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Pr="008E2495" w:rsidRDefault="00E304CC" w:rsidP="0061093C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 w:rsidRPr="008E2495">
        <w:t>References</w:t>
      </w:r>
      <w:bookmarkEnd w:id="1"/>
    </w:p>
    <w:p w:rsidR="00357352" w:rsidRPr="008E2495" w:rsidRDefault="00897025" w:rsidP="00B54BBA">
      <w:pPr>
        <w:pStyle w:val="Reference"/>
      </w:pPr>
      <w:bookmarkStart w:id="3" w:name="begin"/>
      <w:bookmarkEnd w:id="3"/>
      <w:r w:rsidRPr="008E2495">
        <w:t xml:space="preserve">ABS (Australian Bureau of Statistics) </w:t>
      </w:r>
      <w:r w:rsidR="00357352" w:rsidRPr="008E2495">
        <w:t>2007</w:t>
      </w:r>
      <w:r w:rsidR="00A241AF" w:rsidRPr="008E2495">
        <w:t xml:space="preserve">, </w:t>
      </w:r>
      <w:r w:rsidR="00A241AF" w:rsidRPr="008E2495">
        <w:rPr>
          <w:i/>
        </w:rPr>
        <w:t>Employment Arrangements, Retirement and Superannuation, Australia</w:t>
      </w:r>
      <w:r w:rsidR="00A241AF" w:rsidRPr="008E2495">
        <w:t>, Cat. no. 6361.0, Canberra.</w:t>
      </w:r>
    </w:p>
    <w:p w:rsidR="00395BA2" w:rsidRPr="008E2495" w:rsidRDefault="00357352" w:rsidP="00B54BBA">
      <w:pPr>
        <w:pStyle w:val="Reference"/>
      </w:pPr>
      <w:r w:rsidRPr="008E2495">
        <w:t xml:space="preserve">—— </w:t>
      </w:r>
      <w:r w:rsidR="00640BA6" w:rsidRPr="008E2495">
        <w:t xml:space="preserve">2009, </w:t>
      </w:r>
      <w:r w:rsidR="00640BA6" w:rsidRPr="008E2495">
        <w:rPr>
          <w:i/>
        </w:rPr>
        <w:t xml:space="preserve">Employment </w:t>
      </w:r>
      <w:r w:rsidR="000D6378" w:rsidRPr="008E2495">
        <w:rPr>
          <w:i/>
        </w:rPr>
        <w:t>A</w:t>
      </w:r>
      <w:r w:rsidR="00640BA6" w:rsidRPr="008E2495">
        <w:rPr>
          <w:i/>
        </w:rPr>
        <w:t xml:space="preserve">rrangements, </w:t>
      </w:r>
      <w:r w:rsidR="000D6378" w:rsidRPr="008E2495">
        <w:rPr>
          <w:i/>
        </w:rPr>
        <w:t>R</w:t>
      </w:r>
      <w:r w:rsidR="00640BA6" w:rsidRPr="008E2495">
        <w:rPr>
          <w:i/>
        </w:rPr>
        <w:t xml:space="preserve">etirement and </w:t>
      </w:r>
      <w:r w:rsidR="000D6378" w:rsidRPr="008E2495">
        <w:rPr>
          <w:i/>
        </w:rPr>
        <w:t>S</w:t>
      </w:r>
      <w:r w:rsidR="00640BA6" w:rsidRPr="008E2495">
        <w:rPr>
          <w:i/>
        </w:rPr>
        <w:t>uperannuation, Australia</w:t>
      </w:r>
      <w:r w:rsidR="00F56783" w:rsidRPr="008E2495">
        <w:t>, Cat. no. 6361.0, Canberra.</w:t>
      </w:r>
    </w:p>
    <w:p w:rsidR="00A95722" w:rsidRPr="008E2495" w:rsidRDefault="00233D0C" w:rsidP="00A95722">
      <w:pPr>
        <w:pStyle w:val="Reference"/>
        <w:jc w:val="left"/>
      </w:pPr>
      <w:r w:rsidRPr="008E2495">
        <w:t xml:space="preserve">—— </w:t>
      </w:r>
      <w:r w:rsidR="00A95722" w:rsidRPr="008E2495">
        <w:t xml:space="preserve">2011a, </w:t>
      </w:r>
      <w:r w:rsidR="00A95722" w:rsidRPr="008E2495">
        <w:rPr>
          <w:i/>
        </w:rPr>
        <w:t>Australian Industry 2009</w:t>
      </w:r>
      <w:r w:rsidR="00A95722" w:rsidRPr="008E2495">
        <w:rPr>
          <w:i/>
        </w:rPr>
        <w:noBreakHyphen/>
        <w:t>10</w:t>
      </w:r>
      <w:r w:rsidR="00A95722" w:rsidRPr="008E2495">
        <w:t>, Cat no. 8155.0, Canberra.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2011b, </w:t>
      </w:r>
      <w:r w:rsidRPr="008E2495">
        <w:rPr>
          <w:i/>
        </w:rPr>
        <w:t xml:space="preserve">Employee Earnings and Hours, </w:t>
      </w:r>
      <w:r w:rsidRPr="008E2495">
        <w:t>Cat. no 6306.0, Canberra.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2012a, </w:t>
      </w:r>
      <w:r w:rsidRPr="008E2495">
        <w:rPr>
          <w:i/>
        </w:rPr>
        <w:t>Counts of Australian</w:t>
      </w:r>
      <w:r w:rsidRPr="008E2495">
        <w:t xml:space="preserve"> </w:t>
      </w:r>
      <w:r w:rsidR="000D6378" w:rsidRPr="008E2495">
        <w:rPr>
          <w:i/>
        </w:rPr>
        <w:t>B</w:t>
      </w:r>
      <w:r w:rsidRPr="008E2495">
        <w:rPr>
          <w:i/>
        </w:rPr>
        <w:t xml:space="preserve">usinesses, including </w:t>
      </w:r>
      <w:r w:rsidR="000D6378" w:rsidRPr="008E2495">
        <w:rPr>
          <w:i/>
        </w:rPr>
        <w:t>E</w:t>
      </w:r>
      <w:r w:rsidRPr="008E2495">
        <w:rPr>
          <w:i/>
        </w:rPr>
        <w:t xml:space="preserve">ntries and </w:t>
      </w:r>
      <w:r w:rsidR="000D6378" w:rsidRPr="008E2495">
        <w:rPr>
          <w:i/>
        </w:rPr>
        <w:t>E</w:t>
      </w:r>
      <w:r w:rsidRPr="008E2495">
        <w:rPr>
          <w:i/>
        </w:rPr>
        <w:t>xits</w:t>
      </w:r>
      <w:r w:rsidRPr="004B79C6">
        <w:t>,</w:t>
      </w:r>
      <w:r w:rsidRPr="008E2495">
        <w:rPr>
          <w:i/>
        </w:rPr>
        <w:t xml:space="preserve"> </w:t>
      </w:r>
      <w:r w:rsidR="004B79C6">
        <w:t>Cat. </w:t>
      </w:r>
      <w:r w:rsidRPr="008E2495">
        <w:t>no.</w:t>
      </w:r>
      <w:r w:rsidR="00911A4A">
        <w:t> </w:t>
      </w:r>
      <w:r w:rsidRPr="008E2495">
        <w:t>8165.0, Canberra.</w:t>
      </w:r>
    </w:p>
    <w:p w:rsidR="00B54BBA" w:rsidRPr="008E2495" w:rsidRDefault="00B54BBA" w:rsidP="00B54BBA">
      <w:pPr>
        <w:pStyle w:val="Reference"/>
        <w:rPr>
          <w:i/>
        </w:rPr>
      </w:pPr>
      <w:r w:rsidRPr="008E2495">
        <w:t xml:space="preserve">—— 2012b, </w:t>
      </w:r>
      <w:r w:rsidRPr="008E2495">
        <w:rPr>
          <w:i/>
        </w:rPr>
        <w:t>Employee Earnings, Benefits and Trade Union Membership</w:t>
      </w:r>
      <w:r w:rsidRPr="008E2495">
        <w:t xml:space="preserve"> </w:t>
      </w:r>
      <w:r w:rsidRPr="008E2495">
        <w:rPr>
          <w:i/>
        </w:rPr>
        <w:t>— August 2011</w:t>
      </w:r>
      <w:r w:rsidRPr="008E2495">
        <w:t xml:space="preserve">, Cat. no. </w:t>
      </w:r>
      <w:r w:rsidR="008C7752" w:rsidRPr="008E2495">
        <w:t>6310.0, Canberra</w:t>
      </w:r>
      <w:r w:rsidR="00F56783" w:rsidRPr="008E2495">
        <w:t>.</w:t>
      </w:r>
    </w:p>
    <w:p w:rsidR="00A95722" w:rsidRPr="008E2495" w:rsidRDefault="00A95722" w:rsidP="00A95722">
      <w:pPr>
        <w:pStyle w:val="Reference"/>
        <w:jc w:val="left"/>
      </w:pPr>
      <w:r w:rsidRPr="008E2495">
        <w:t>—— 2012</w:t>
      </w:r>
      <w:r w:rsidR="00B54BBA" w:rsidRPr="008E2495">
        <w:t>c</w:t>
      </w:r>
      <w:r w:rsidRPr="008E2495">
        <w:t xml:space="preserve">, </w:t>
      </w:r>
      <w:r w:rsidR="00911A4A">
        <w:rPr>
          <w:i/>
        </w:rPr>
        <w:t>Australian Labour Market Statistics</w:t>
      </w:r>
      <w:r w:rsidRPr="008E2495">
        <w:t>, Cat. no. 6105.0, Canberra.</w:t>
      </w:r>
    </w:p>
    <w:p w:rsidR="00A95722" w:rsidRPr="008E2495" w:rsidRDefault="00A95722" w:rsidP="00A95722">
      <w:pPr>
        <w:pStyle w:val="Reference"/>
        <w:jc w:val="left"/>
      </w:pPr>
      <w:r w:rsidRPr="008E2495">
        <w:t>—— 2012</w:t>
      </w:r>
      <w:r w:rsidR="00B54BBA" w:rsidRPr="008E2495">
        <w:t>d</w:t>
      </w:r>
      <w:r w:rsidRPr="008E2495">
        <w:t xml:space="preserve">, </w:t>
      </w:r>
      <w:r w:rsidRPr="008E2495">
        <w:rPr>
          <w:i/>
        </w:rPr>
        <w:t xml:space="preserve">Key </w:t>
      </w:r>
      <w:r w:rsidR="000D6378" w:rsidRPr="008E2495">
        <w:rPr>
          <w:i/>
        </w:rPr>
        <w:t>E</w:t>
      </w:r>
      <w:r w:rsidRPr="008E2495">
        <w:rPr>
          <w:i/>
        </w:rPr>
        <w:t xml:space="preserve">conomic </w:t>
      </w:r>
      <w:r w:rsidR="000D6378" w:rsidRPr="008E2495">
        <w:rPr>
          <w:i/>
        </w:rPr>
        <w:t>I</w:t>
      </w:r>
      <w:r w:rsidRPr="008E2495">
        <w:rPr>
          <w:i/>
        </w:rPr>
        <w:t xml:space="preserve">ndicators, </w:t>
      </w:r>
      <w:r w:rsidRPr="008E2495">
        <w:t>C</w:t>
      </w:r>
      <w:r w:rsidR="008C7752" w:rsidRPr="008E2495">
        <w:t>at. no. 1345.0, Canberra</w:t>
      </w:r>
      <w:r w:rsidRPr="008E2495">
        <w:t>.</w:t>
      </w:r>
    </w:p>
    <w:p w:rsidR="00CE10C5" w:rsidRPr="008E2495" w:rsidRDefault="00CE10C5" w:rsidP="00CE10C5">
      <w:pPr>
        <w:pStyle w:val="Reference"/>
        <w:jc w:val="left"/>
      </w:pPr>
      <w:r w:rsidRPr="008E2495">
        <w:t xml:space="preserve">ACCC (Australian Competition and Consumer Commission) 2008, </w:t>
      </w:r>
      <w:r w:rsidRPr="008E2495">
        <w:rPr>
          <w:i/>
          <w:iCs/>
        </w:rPr>
        <w:t xml:space="preserve">Merger </w:t>
      </w:r>
      <w:r w:rsidR="00775BAA" w:rsidRPr="008E2495">
        <w:rPr>
          <w:i/>
          <w:iCs/>
        </w:rPr>
        <w:t>G</w:t>
      </w:r>
      <w:r w:rsidRPr="008E2495">
        <w:rPr>
          <w:i/>
          <w:iCs/>
        </w:rPr>
        <w:t xml:space="preserve">uidelines 2008, </w:t>
      </w:r>
      <w:hyperlink r:id="rId9" w:history="1">
        <w:r w:rsidRPr="008E2495">
          <w:rPr>
            <w:rStyle w:val="Hyperlink"/>
            <w:color w:val="auto"/>
            <w:u w:val="none"/>
          </w:rPr>
          <w:t>www.accc.gov.au/content/index.phtml/itemId/809866</w:t>
        </w:r>
      </w:hyperlink>
      <w:r w:rsidRPr="008E2495">
        <w:t xml:space="preserve"> (accessed 12 June 2012).</w:t>
      </w:r>
    </w:p>
    <w:p w:rsidR="00CE10C5" w:rsidRPr="008E2495" w:rsidRDefault="00CE10C5" w:rsidP="00CE10C5">
      <w:pPr>
        <w:pStyle w:val="Reference"/>
        <w:jc w:val="left"/>
      </w:pPr>
      <w:r w:rsidRPr="008E2495">
        <w:t xml:space="preserve">—— 2012, </w:t>
      </w:r>
      <w:r w:rsidRPr="008E2495">
        <w:rPr>
          <w:i/>
          <w:iCs/>
        </w:rPr>
        <w:t xml:space="preserve">Anti-competitive conduct, </w:t>
      </w:r>
      <w:hyperlink r:id="rId10" w:history="1">
        <w:r w:rsidRPr="008E2495">
          <w:rPr>
            <w:rStyle w:val="Hyperlink"/>
            <w:color w:val="auto"/>
            <w:u w:val="none"/>
          </w:rPr>
          <w:t>www.accc.gov.au/content/index.phtml/</w:t>
        </w:r>
        <w:r w:rsidRPr="008E2495">
          <w:br/>
        </w:r>
        <w:r w:rsidRPr="008E2495">
          <w:rPr>
            <w:rStyle w:val="Hyperlink"/>
            <w:color w:val="auto"/>
            <w:u w:val="none"/>
          </w:rPr>
          <w:t>itemId/816373</w:t>
        </w:r>
      </w:hyperlink>
      <w:r w:rsidRPr="008E2495">
        <w:t xml:space="preserve"> (accessed 12 June 2012).</w:t>
      </w:r>
    </w:p>
    <w:p w:rsidR="00A52A23" w:rsidRPr="008E2495" w:rsidRDefault="00A52A23" w:rsidP="00A52A23">
      <w:pPr>
        <w:pStyle w:val="Reference"/>
      </w:pPr>
      <w:r w:rsidRPr="008E2495">
        <w:t xml:space="preserve">AIRC (Australian Industrial Relations Commission) 1994, </w:t>
      </w:r>
      <w:r w:rsidRPr="008E2495">
        <w:rPr>
          <w:i/>
        </w:rPr>
        <w:t>The Australian Insurance Employees</w:t>
      </w:r>
      <w:r w:rsidR="00C37D95" w:rsidRPr="008E2495">
        <w:rPr>
          <w:i/>
        </w:rPr>
        <w:t>’</w:t>
      </w:r>
      <w:r w:rsidRPr="008E2495">
        <w:rPr>
          <w:i/>
        </w:rPr>
        <w:t xml:space="preserve"> Union &amp; Others v Adjustor and Assessors (Ass Risks) Pty Ltd &amp; Others Superannuation Test Case</w:t>
      </w:r>
      <w:r w:rsidRPr="008E2495">
        <w:t xml:space="preserve"> (1994) 55 IR 447 (Superannuation test case), </w:t>
      </w:r>
      <w:hyperlink r:id="rId11" w:history="1">
        <w:r w:rsidRPr="008E2495">
          <w:rPr>
            <w:rStyle w:val="Hyperlink"/>
            <w:color w:val="auto"/>
            <w:szCs w:val="26"/>
            <w:u w:val="none"/>
          </w:rPr>
          <w:t>http://ww3.e-airc.gov.au/archives/1994superannuation</w:t>
        </w:r>
      </w:hyperlink>
      <w:r w:rsidRPr="008E2495">
        <w:t xml:space="preserve"> (accessed 10</w:t>
      </w:r>
      <w:r w:rsidR="00C37D95" w:rsidRPr="008E2495">
        <w:t> </w:t>
      </w:r>
      <w:r w:rsidRPr="008E2495">
        <w:t>September 2012).</w:t>
      </w:r>
    </w:p>
    <w:p w:rsidR="00C37D95" w:rsidRPr="008E2495" w:rsidRDefault="00C37D95" w:rsidP="00C37D95">
      <w:pPr>
        <w:pStyle w:val="Reference"/>
      </w:pPr>
      <w:r w:rsidRPr="008E2495">
        <w:t xml:space="preserve">—— 1999, </w:t>
      </w:r>
      <w:r w:rsidRPr="008E2495">
        <w:rPr>
          <w:i/>
        </w:rPr>
        <w:t>Building and Plumbing Industry Award Simplification Decision</w:t>
      </w:r>
      <w:r w:rsidRPr="008E2495">
        <w:t xml:space="preserve">, print R770, </w:t>
      </w:r>
      <w:hyperlink r:id="rId12" w:history="1">
        <w:r w:rsidRPr="008E2495">
          <w:rPr>
            <w:rStyle w:val="Hyperlink"/>
            <w:color w:val="auto"/>
            <w:u w:val="none"/>
          </w:rPr>
          <w:t>http://www.airc.gov.au/asdecisions/R7700.htm</w:t>
        </w:r>
      </w:hyperlink>
      <w:r w:rsidRPr="008E2495">
        <w:t xml:space="preserve"> (accessed 10 September 2012).</w:t>
      </w:r>
    </w:p>
    <w:p w:rsidR="00A7691E" w:rsidRPr="008E2495" w:rsidRDefault="00A7691E" w:rsidP="00A7691E">
      <w:pPr>
        <w:pStyle w:val="Reference"/>
      </w:pPr>
      <w:r w:rsidRPr="008E2495">
        <w:t>—— 2008</w:t>
      </w:r>
      <w:r>
        <w:t>a</w:t>
      </w:r>
      <w:r w:rsidRPr="008E2495">
        <w:t xml:space="preserve">, </w:t>
      </w:r>
      <w:r>
        <w:rPr>
          <w:i/>
        </w:rPr>
        <w:t>Decision</w:t>
      </w:r>
      <w:r w:rsidRPr="008E2495">
        <w:rPr>
          <w:i/>
        </w:rPr>
        <w:t xml:space="preserve"> — Award Modernisation</w:t>
      </w:r>
      <w:r w:rsidRPr="008E2495">
        <w:t xml:space="preserve">, [2008] AIRCFB </w:t>
      </w:r>
      <w:r>
        <w:t>1000</w:t>
      </w:r>
      <w:r w:rsidRPr="008E2495">
        <w:t>, par. 9</w:t>
      </w:r>
      <w:r>
        <w:t>0</w:t>
      </w:r>
      <w:r w:rsidRPr="008E2495">
        <w:t>.</w:t>
      </w:r>
    </w:p>
    <w:p w:rsidR="00897025" w:rsidRPr="008E2495" w:rsidRDefault="00A52A23" w:rsidP="00897025">
      <w:pPr>
        <w:pStyle w:val="Reference"/>
      </w:pPr>
      <w:r w:rsidRPr="008E2495">
        <w:t xml:space="preserve">—— </w:t>
      </w:r>
      <w:r w:rsidR="00897025" w:rsidRPr="008E2495">
        <w:t>2008</w:t>
      </w:r>
      <w:r w:rsidR="00A7691E">
        <w:t>b</w:t>
      </w:r>
      <w:r w:rsidR="00897025" w:rsidRPr="008E2495">
        <w:t xml:space="preserve">, </w:t>
      </w:r>
      <w:r w:rsidR="00897025" w:rsidRPr="008E2495">
        <w:rPr>
          <w:i/>
        </w:rPr>
        <w:t>Statement — Award Modernisation</w:t>
      </w:r>
      <w:r w:rsidR="00897025" w:rsidRPr="008E2495">
        <w:t>, [2008] AIRCFB 717, par. 29.</w:t>
      </w:r>
    </w:p>
    <w:p w:rsidR="00897025" w:rsidRPr="008E2495" w:rsidRDefault="00897025" w:rsidP="00897025">
      <w:pPr>
        <w:pStyle w:val="Reference"/>
      </w:pPr>
      <w:r w:rsidRPr="008E2495">
        <w:t xml:space="preserve">—— 2009a, </w:t>
      </w:r>
      <w:r w:rsidRPr="008E2495">
        <w:rPr>
          <w:i/>
        </w:rPr>
        <w:t>Decision — Award Modernisation</w:t>
      </w:r>
      <w:r w:rsidRPr="008E2495">
        <w:t>, [2009] AIRCFB 800, par. 66–</w:t>
      </w:r>
      <w:r w:rsidR="0023332E" w:rsidRPr="008E2495">
        <w:t>69</w:t>
      </w:r>
      <w:r w:rsidRPr="008E2495">
        <w:t>.</w:t>
      </w:r>
    </w:p>
    <w:p w:rsidR="00897025" w:rsidRPr="008E2495" w:rsidRDefault="00897025" w:rsidP="00897025">
      <w:pPr>
        <w:pStyle w:val="Reference"/>
      </w:pPr>
      <w:r w:rsidRPr="008E2495">
        <w:t xml:space="preserve">—— 2009b, </w:t>
      </w:r>
      <w:r w:rsidRPr="008E2495">
        <w:rPr>
          <w:i/>
        </w:rPr>
        <w:t>Statement — Award Modernisation</w:t>
      </w:r>
      <w:r w:rsidRPr="008E2495">
        <w:t>, [2009] AIRCFB 450, par. 124.</w:t>
      </w:r>
    </w:p>
    <w:p w:rsidR="00CE10C5" w:rsidRPr="008E2495" w:rsidRDefault="00CE10C5" w:rsidP="00CE10C5">
      <w:pPr>
        <w:pStyle w:val="Reference"/>
        <w:jc w:val="left"/>
      </w:pPr>
      <w:r w:rsidRPr="00FC483C">
        <w:lastRenderedPageBreak/>
        <w:t xml:space="preserve">—— 2009c, </w:t>
      </w:r>
      <w:r w:rsidRPr="00FC483C">
        <w:rPr>
          <w:i/>
          <w:iCs/>
        </w:rPr>
        <w:t>Timeline</w:t>
      </w:r>
      <w:r w:rsidRPr="00FC483C">
        <w:t xml:space="preserve">, </w:t>
      </w:r>
      <w:hyperlink r:id="rId13" w:anchor="2008" w:history="1">
        <w:r w:rsidRPr="00FC483C">
          <w:t>www.airc.gov.au/awardmod/fullbench/timetable.cfm#2008</w:t>
        </w:r>
      </w:hyperlink>
      <w:r w:rsidRPr="00FC483C">
        <w:t xml:space="preserve"> </w:t>
      </w:r>
      <w:r w:rsidRPr="008E2495">
        <w:t>(accessed 8 February 2012).</w:t>
      </w:r>
    </w:p>
    <w:p w:rsidR="00395BA2" w:rsidRPr="008E2495" w:rsidRDefault="00B54BBA" w:rsidP="00EC3B5C">
      <w:pPr>
        <w:pStyle w:val="Reference"/>
        <w:jc w:val="left"/>
      </w:pPr>
      <w:r w:rsidRPr="008E2495">
        <w:t xml:space="preserve">AIST (Australian Institute for Superannuation Trustees) </w:t>
      </w:r>
      <w:r w:rsidR="00395BA2" w:rsidRPr="008E2495">
        <w:t>and IFF</w:t>
      </w:r>
      <w:r w:rsidRPr="008E2495">
        <w:t xml:space="preserve"> </w:t>
      </w:r>
      <w:r w:rsidR="00497C91" w:rsidRPr="008E2495">
        <w:t>(Industry Funds Forum)</w:t>
      </w:r>
      <w:r w:rsidR="00395BA2" w:rsidRPr="008E2495">
        <w:t xml:space="preserve"> 2008, </w:t>
      </w:r>
      <w:r w:rsidR="00395BA2" w:rsidRPr="008E2495">
        <w:rPr>
          <w:i/>
        </w:rPr>
        <w:t>Member Insurance Research</w:t>
      </w:r>
      <w:r w:rsidR="00395BA2" w:rsidRPr="008E2495">
        <w:t>, www.aist.</w:t>
      </w:r>
      <w:r w:rsidR="00AC3E42" w:rsidRPr="008E2495" w:rsidDel="00AC3E42">
        <w:t xml:space="preserve"> </w:t>
      </w:r>
      <w:r w:rsidR="00395BA2" w:rsidRPr="008E2495">
        <w:t>asn.au/media/2245/aist</w:t>
      </w:r>
      <w:r w:rsidR="00AC3E42" w:rsidRPr="008E2495">
        <w:br/>
      </w:r>
      <w:r w:rsidR="00395BA2" w:rsidRPr="008E2495">
        <w:t>_2008.06.03_research_IFF&amp;AIST_member_insurance_research.pdf</w:t>
      </w:r>
      <w:r w:rsidR="00F56783" w:rsidRPr="008E2495">
        <w:t xml:space="preserve"> (accessed 24 April 2012).</w:t>
      </w:r>
    </w:p>
    <w:p w:rsidR="006D79F5" w:rsidRPr="008E2495" w:rsidRDefault="006D79F5" w:rsidP="00EC3B5C">
      <w:pPr>
        <w:pStyle w:val="Reference"/>
        <w:jc w:val="left"/>
      </w:pPr>
      <w:r w:rsidRPr="008E2495">
        <w:t xml:space="preserve">—— 2012, </w:t>
      </w:r>
      <w:r w:rsidR="003B0E05" w:rsidRPr="008E2495">
        <w:rPr>
          <w:i/>
        </w:rPr>
        <w:t>A Fund Governance Framework for Not-for-Profit Superannuation Funds</w:t>
      </w:r>
      <w:r w:rsidR="003B0E05" w:rsidRPr="008E2495">
        <w:t>, Second edition, September.</w:t>
      </w:r>
    </w:p>
    <w:p w:rsidR="00D52BB1" w:rsidRPr="008E2495" w:rsidRDefault="00D52BB1" w:rsidP="00D52BB1">
      <w:pPr>
        <w:pStyle w:val="Reference"/>
      </w:pPr>
      <w:r w:rsidRPr="008E2495">
        <w:t>Ambachtsheer</w:t>
      </w:r>
      <w:r w:rsidR="004B79C6">
        <w:t>,</w:t>
      </w:r>
      <w:r w:rsidRPr="008E2495">
        <w:t xml:space="preserve"> K., Capelle</w:t>
      </w:r>
      <w:r w:rsidR="004B79C6">
        <w:t>,</w:t>
      </w:r>
      <w:r w:rsidRPr="008E2495">
        <w:t xml:space="preserve"> R. and Lum</w:t>
      </w:r>
      <w:r w:rsidR="004B79C6">
        <w:t>,</w:t>
      </w:r>
      <w:r w:rsidRPr="008E2495">
        <w:t xml:space="preserve"> H. 2006, </w:t>
      </w:r>
      <w:r w:rsidRPr="008E2495">
        <w:rPr>
          <w:i/>
        </w:rPr>
        <w:t>Pension Fund Governance Today: Strengths, Weaknesses and Opportunities for Improvement</w:t>
      </w:r>
      <w:r w:rsidRPr="008E2495">
        <w:t>, Rotman International Centre for Pension Management Wor</w:t>
      </w:r>
      <w:r w:rsidR="00F56783" w:rsidRPr="008E2495">
        <w:t>king Paper, October, Toronto.</w:t>
      </w:r>
    </w:p>
    <w:p w:rsidR="0000260B" w:rsidRPr="008E2495" w:rsidRDefault="0000260B" w:rsidP="0000260B">
      <w:pPr>
        <w:pStyle w:val="Reference"/>
      </w:pPr>
      <w:r w:rsidRPr="008E2495">
        <w:t xml:space="preserve">ANAO (Australian National Audit Office) 2012, </w:t>
      </w:r>
      <w:r w:rsidRPr="008E2495">
        <w:rPr>
          <w:i/>
        </w:rPr>
        <w:t>Audit Report No. 47 2011–12: Small Business Superannuation Clearing House</w:t>
      </w:r>
      <w:r w:rsidRPr="008E2495">
        <w:t>, Canberra.</w:t>
      </w:r>
    </w:p>
    <w:p w:rsidR="00A95722" w:rsidRPr="008E2495" w:rsidRDefault="00A95722" w:rsidP="00A95722">
      <w:pPr>
        <w:pStyle w:val="Reference"/>
        <w:jc w:val="left"/>
      </w:pPr>
      <w:r w:rsidRPr="008E2495">
        <w:t>APRA (Australian Prudential Regulation Authority) 2004</w:t>
      </w:r>
      <w:r w:rsidRPr="008E2495">
        <w:rPr>
          <w:i/>
        </w:rPr>
        <w:t>, Superannuation: Licensing and Registering a Superannuation Entity — Explanatory Guide on Licensing and Registration</w:t>
      </w:r>
      <w:r w:rsidRPr="008E2495">
        <w:t>, July</w:t>
      </w:r>
      <w:r w:rsidR="00AD76BE" w:rsidRPr="008E2495">
        <w:t>, Sydney</w:t>
      </w:r>
      <w:r w:rsidRPr="008E2495">
        <w:t>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2005, </w:t>
      </w:r>
      <w:r w:rsidRPr="008E2495">
        <w:rPr>
          <w:i/>
        </w:rPr>
        <w:t>Statistics: Classification of Superannuation Entities</w:t>
      </w:r>
      <w:r w:rsidRPr="008E2495">
        <w:t xml:space="preserve">, Sydney, May, </w:t>
      </w:r>
      <w:hyperlink r:id="rId14" w:history="1">
        <w:r w:rsidRPr="008E2495">
          <w:t>www.apra.gov.au/Super/Publications/Documents/Classification-of-superannuation-entities.pdf</w:t>
        </w:r>
      </w:hyperlink>
      <w:r w:rsidRPr="008E2495">
        <w:t xml:space="preserve"> (accessed 16 April 2012).</w:t>
      </w:r>
    </w:p>
    <w:p w:rsidR="00A95722" w:rsidRPr="008E2495" w:rsidRDefault="00A95722" w:rsidP="00A95722">
      <w:pPr>
        <w:pStyle w:val="Reference"/>
        <w:jc w:val="left"/>
      </w:pPr>
      <w:r w:rsidRPr="008E2495">
        <w:t>—— 2007, ‘Celebrating 10 years of superannuation data collection 1996</w:t>
      </w:r>
      <w:r w:rsidRPr="008E2495">
        <w:rPr>
          <w:rFonts w:cs="Arial"/>
          <w:sz w:val="22"/>
          <w:szCs w:val="22"/>
        </w:rPr>
        <w:t>−</w:t>
      </w:r>
      <w:r w:rsidRPr="008E2495">
        <w:t>2006’,</w:t>
      </w:r>
      <w:r w:rsidRPr="008E2495">
        <w:rPr>
          <w:i/>
        </w:rPr>
        <w:t xml:space="preserve"> APRA Insight</w:t>
      </w:r>
      <w:r w:rsidR="00775BAA" w:rsidRPr="008E2495">
        <w:t>,</w:t>
      </w:r>
      <w:r w:rsidRPr="008E2495">
        <w:t xml:space="preserve"> no. 2, Sydney.</w:t>
      </w:r>
    </w:p>
    <w:p w:rsidR="00B54BBA" w:rsidRPr="008E2495" w:rsidRDefault="001A3AD5" w:rsidP="00B54BBA">
      <w:pPr>
        <w:pStyle w:val="Reference"/>
      </w:pPr>
      <w:r w:rsidRPr="008E2495">
        <w:t xml:space="preserve">—— </w:t>
      </w:r>
      <w:r w:rsidR="001704D7" w:rsidRPr="008E2495">
        <w:t>2011</w:t>
      </w:r>
      <w:r w:rsidR="00B54BBA" w:rsidRPr="008E2495">
        <w:t xml:space="preserve">, </w:t>
      </w:r>
      <w:r w:rsidR="00B54BBA" w:rsidRPr="008E2495">
        <w:rPr>
          <w:i/>
        </w:rPr>
        <w:t>Prudential Standards for Superannuation</w:t>
      </w:r>
      <w:r w:rsidR="00B54BBA" w:rsidRPr="008E2495">
        <w:t>, Discussio</w:t>
      </w:r>
      <w:r w:rsidR="00F56783" w:rsidRPr="008E2495">
        <w:t>n Paper, September</w:t>
      </w:r>
      <w:r w:rsidR="00AD76BE" w:rsidRPr="008E2495">
        <w:t>, Sydney</w:t>
      </w:r>
      <w:r w:rsidR="00F56783" w:rsidRPr="008E2495">
        <w:t>.</w:t>
      </w:r>
    </w:p>
    <w:p w:rsidR="00A95722" w:rsidRPr="008E2495" w:rsidRDefault="00A95722" w:rsidP="00A95722">
      <w:pPr>
        <w:pStyle w:val="Reference"/>
      </w:pPr>
      <w:r w:rsidRPr="008E2495">
        <w:t>——</w:t>
      </w:r>
      <w:r w:rsidR="00B54BBA" w:rsidRPr="008E2495">
        <w:t xml:space="preserve"> </w:t>
      </w:r>
      <w:r w:rsidRPr="008E2495">
        <w:t xml:space="preserve">2012a, </w:t>
      </w:r>
      <w:r w:rsidRPr="008E2495">
        <w:rPr>
          <w:i/>
        </w:rPr>
        <w:t>Annual Superannuation Statistics: June 2011</w:t>
      </w:r>
      <w:r w:rsidRPr="008E2495">
        <w:t>, February</w:t>
      </w:r>
      <w:r w:rsidR="00AD76BE" w:rsidRPr="008E2495">
        <w:t>, Sydney</w:t>
      </w:r>
      <w:r w:rsidRPr="008E2495">
        <w:t>.</w:t>
      </w:r>
    </w:p>
    <w:p w:rsidR="00B54BBA" w:rsidRPr="008E2495" w:rsidRDefault="00B54BBA" w:rsidP="00B54BBA">
      <w:pPr>
        <w:pStyle w:val="Reference"/>
        <w:rPr>
          <w:rStyle w:val="DraftingNote"/>
          <w:color w:val="auto"/>
          <w:szCs w:val="24"/>
        </w:rPr>
      </w:pPr>
      <w:r w:rsidRPr="008E2495">
        <w:t>—— 2012</w:t>
      </w:r>
      <w:r w:rsidR="00615040" w:rsidRPr="008E2495">
        <w:t>b</w:t>
      </w:r>
      <w:r w:rsidRPr="008E2495">
        <w:t xml:space="preserve">, </w:t>
      </w:r>
      <w:r w:rsidRPr="008E2495">
        <w:rPr>
          <w:i/>
          <w:iCs/>
        </w:rPr>
        <w:t>Draft</w:t>
      </w:r>
      <w:r w:rsidRPr="008E2495">
        <w:t xml:space="preserve"> </w:t>
      </w:r>
      <w:r w:rsidRPr="008E2495">
        <w:rPr>
          <w:i/>
          <w:iCs/>
        </w:rPr>
        <w:t>Prudential Standard SPS 114 — Operational Risk Financial Requirements</w:t>
      </w:r>
      <w:r w:rsidRPr="008E2495">
        <w:t>, www.apra.gov.au/Super/PrudentialFramework/Documents/Draft-Prudential-Standard-SPS-114-Operational-Risk-Financial-Requirement-(April-2012).pdf</w:t>
      </w:r>
      <w:r w:rsidR="00F56783" w:rsidRPr="008E2495">
        <w:t xml:space="preserve"> (accessed 3 June 2012).</w:t>
      </w:r>
    </w:p>
    <w:p w:rsidR="00FD1C9B" w:rsidRPr="008E2495" w:rsidRDefault="00FD1C9B" w:rsidP="004E158D">
      <w:pPr>
        <w:pStyle w:val="Reference"/>
        <w:rPr>
          <w:lang w:val="en"/>
        </w:rPr>
      </w:pPr>
      <w:r w:rsidRPr="008E2495">
        <w:t xml:space="preserve">—— </w:t>
      </w:r>
      <w:r w:rsidRPr="008E2495">
        <w:rPr>
          <w:lang w:val="en"/>
        </w:rPr>
        <w:t xml:space="preserve">2012c, </w:t>
      </w:r>
      <w:r w:rsidRPr="008E2495">
        <w:rPr>
          <w:i/>
          <w:lang w:val="en"/>
        </w:rPr>
        <w:t>Instruction Guide, Application form – Authority to Offer a MySuper Product</w:t>
      </w:r>
      <w:r w:rsidRPr="008E2495">
        <w:rPr>
          <w:lang w:val="en"/>
        </w:rPr>
        <w:t>, Sydney, 3 May.</w:t>
      </w:r>
    </w:p>
    <w:p w:rsidR="004E158D" w:rsidRPr="008E2495" w:rsidRDefault="004E158D" w:rsidP="004E158D">
      <w:pPr>
        <w:pStyle w:val="Reference"/>
      </w:pPr>
      <w:r w:rsidRPr="008E2495">
        <w:t>—— 2012</w:t>
      </w:r>
      <w:r w:rsidR="00FD1C9B" w:rsidRPr="008E2495">
        <w:t>d</w:t>
      </w:r>
      <w:r w:rsidRPr="008E2495">
        <w:t xml:space="preserve">, </w:t>
      </w:r>
      <w:r w:rsidRPr="008E2495">
        <w:rPr>
          <w:i/>
        </w:rPr>
        <w:t>MySuper Application Process</w:t>
      </w:r>
      <w:r w:rsidRPr="008E2495">
        <w:t>, Presented by Ross Jones (Deputy Chairman) at The Association of Superannuation Funds of Australia NSW Luncheon, Sydney, 20 August, www.apra.gov.au/Speeches/Documents/</w:t>
      </w:r>
      <w:r w:rsidRPr="008E2495">
        <w:br/>
        <w:t>Ross%20Jones_ASFA_20%20August%202012_FINAL.pdf (accessed 21 August 2012).</w:t>
      </w:r>
    </w:p>
    <w:p w:rsidR="00B54BBA" w:rsidRPr="008E2495" w:rsidRDefault="00B54BBA" w:rsidP="00B54BBA">
      <w:pPr>
        <w:pStyle w:val="Reference"/>
      </w:pPr>
      <w:r w:rsidRPr="008E2495">
        <w:lastRenderedPageBreak/>
        <w:t>—— 2012</w:t>
      </w:r>
      <w:r w:rsidR="00FD1C9B" w:rsidRPr="008E2495">
        <w:t>e</w:t>
      </w:r>
      <w:r w:rsidRPr="008E2495">
        <w:t xml:space="preserve">, </w:t>
      </w:r>
      <w:r w:rsidRPr="008E2495">
        <w:rPr>
          <w:i/>
        </w:rPr>
        <w:t>Quarterly Life Insurance Performance: December 2011</w:t>
      </w:r>
      <w:r w:rsidRPr="008E2495">
        <w:t>, table 1(f), Sydney.</w:t>
      </w:r>
    </w:p>
    <w:p w:rsidR="00A95722" w:rsidRPr="008E2495" w:rsidRDefault="00A95722" w:rsidP="00A95722">
      <w:pPr>
        <w:pStyle w:val="Reference"/>
        <w:jc w:val="left"/>
      </w:pPr>
      <w:r w:rsidRPr="008E2495">
        <w:t>—— 2012</w:t>
      </w:r>
      <w:r w:rsidR="00FD1C9B" w:rsidRPr="008E2495">
        <w:t>f</w:t>
      </w:r>
      <w:r w:rsidRPr="008E2495">
        <w:t xml:space="preserve">, </w:t>
      </w:r>
      <w:r w:rsidRPr="008E2495">
        <w:rPr>
          <w:i/>
        </w:rPr>
        <w:t>Quarterly Superannuation Performance Statistics</w:t>
      </w:r>
      <w:r w:rsidRPr="008E2495">
        <w:t xml:space="preserve">, </w:t>
      </w:r>
      <w:r w:rsidR="00BB0693" w:rsidRPr="008E2495">
        <w:t>August</w:t>
      </w:r>
      <w:r w:rsidR="00AD76BE" w:rsidRPr="008E2495">
        <w:t>, Sydney</w:t>
      </w:r>
      <w:r w:rsidRPr="008E2495">
        <w:t>.</w:t>
      </w:r>
    </w:p>
    <w:p w:rsidR="000C05F1" w:rsidRPr="008E2495" w:rsidRDefault="000C05F1" w:rsidP="000C05F1">
      <w:pPr>
        <w:pStyle w:val="Reference"/>
      </w:pPr>
      <w:r w:rsidRPr="008E2495">
        <w:t xml:space="preserve">—— 2012g, </w:t>
      </w:r>
      <w:r w:rsidRPr="008E2495">
        <w:rPr>
          <w:i/>
        </w:rPr>
        <w:t>Reporting Standards for Superannuation</w:t>
      </w:r>
      <w:r w:rsidRPr="008E2495">
        <w:t>, Discussion Paper, September, Sydney.</w:t>
      </w:r>
    </w:p>
    <w:p w:rsidR="00B54BBA" w:rsidRPr="008E2495" w:rsidRDefault="00B54BBA" w:rsidP="00B54BBA">
      <w:pPr>
        <w:pStyle w:val="Reference"/>
      </w:pPr>
      <w:r w:rsidRPr="008E2495">
        <w:t>—— 2012</w:t>
      </w:r>
      <w:r w:rsidR="000C05F1" w:rsidRPr="008E2495">
        <w:t>h</w:t>
      </w:r>
      <w:r w:rsidRPr="008E2495">
        <w:t xml:space="preserve">, </w:t>
      </w:r>
      <w:r w:rsidRPr="008E2495">
        <w:rPr>
          <w:i/>
        </w:rPr>
        <w:t>Response to Submissions: Prudential Standards for Superannuation</w:t>
      </w:r>
      <w:r w:rsidR="00F56783" w:rsidRPr="008E2495">
        <w:t>, April</w:t>
      </w:r>
      <w:r w:rsidR="00AD76BE" w:rsidRPr="008E2495">
        <w:t>, Sydney</w:t>
      </w:r>
      <w:r w:rsidR="00F56783" w:rsidRPr="008E2495">
        <w:t>.</w:t>
      </w:r>
    </w:p>
    <w:p w:rsidR="00B54BBA" w:rsidRPr="008E2495" w:rsidRDefault="00B54BBA" w:rsidP="00B54BBA">
      <w:pPr>
        <w:pStyle w:val="Reference"/>
      </w:pPr>
      <w:r w:rsidRPr="008E2495">
        <w:t>—— 2012</w:t>
      </w:r>
      <w:r w:rsidR="000C05F1" w:rsidRPr="008E2495">
        <w:t>i</w:t>
      </w:r>
      <w:r w:rsidRPr="008E2495">
        <w:t xml:space="preserve">, </w:t>
      </w:r>
      <w:r w:rsidRPr="008E2495">
        <w:rPr>
          <w:i/>
        </w:rPr>
        <w:t>Statistics: Annual Superannuation Bulletin: June 2011</w:t>
      </w:r>
      <w:r w:rsidRPr="008E2495">
        <w:t>, Febr</w:t>
      </w:r>
      <w:r w:rsidR="00F56783" w:rsidRPr="008E2495">
        <w:t>uary</w:t>
      </w:r>
      <w:r w:rsidR="00AD76BE" w:rsidRPr="008E2495">
        <w:t>, Sydney</w:t>
      </w:r>
      <w:r w:rsidR="00F56783" w:rsidRPr="008E2495">
        <w:t>.</w:t>
      </w:r>
    </w:p>
    <w:p w:rsidR="00B54BBA" w:rsidRPr="008E2495" w:rsidRDefault="00B54BBA" w:rsidP="00B54BBA">
      <w:pPr>
        <w:pStyle w:val="Reference"/>
        <w:rPr>
          <w:rStyle w:val="DraftingNote"/>
          <w:color w:val="auto"/>
        </w:rPr>
      </w:pPr>
      <w:r w:rsidRPr="008E2495">
        <w:t>—— 2012</w:t>
      </w:r>
      <w:r w:rsidR="000C05F1" w:rsidRPr="008E2495">
        <w:t>j</w:t>
      </w:r>
      <w:r w:rsidRPr="008E2495">
        <w:t xml:space="preserve">, </w:t>
      </w:r>
      <w:r w:rsidRPr="008E2495">
        <w:rPr>
          <w:i/>
        </w:rPr>
        <w:t>Statistics: Superannuation Fund</w:t>
      </w:r>
      <w:r w:rsidRPr="008E2495">
        <w:rPr>
          <w:i/>
        </w:rPr>
        <w:noBreakHyphen/>
        <w:t>level Profiles and Financial Performance</w:t>
      </w:r>
      <w:r w:rsidRPr="008E2495">
        <w:t>, June 2011 (issue</w:t>
      </w:r>
      <w:r w:rsidR="00F56783" w:rsidRPr="008E2495">
        <w:t>d 29 February 2012), February</w:t>
      </w:r>
      <w:r w:rsidR="00AD76BE" w:rsidRPr="008E2495">
        <w:t>, Sydney</w:t>
      </w:r>
      <w:r w:rsidR="00F56783" w:rsidRPr="008E2495">
        <w:t>.</w:t>
      </w:r>
    </w:p>
    <w:p w:rsidR="00B54BBA" w:rsidRPr="008E2495" w:rsidRDefault="00B54BBA" w:rsidP="00B54BBA">
      <w:pPr>
        <w:pStyle w:val="Reference"/>
        <w:rPr>
          <w:rStyle w:val="DraftingNote"/>
          <w:b w:val="0"/>
          <w:color w:val="auto"/>
          <w:sz w:val="26"/>
          <w:szCs w:val="26"/>
          <w:u w:val="none"/>
        </w:rPr>
      </w:pPr>
      <w:r w:rsidRPr="008E2495">
        <w:t xml:space="preserve">ASFA </w:t>
      </w:r>
      <w:r w:rsidR="00497C91" w:rsidRPr="008E2495">
        <w:t>(Association of Superannuation Funds of Australia)</w:t>
      </w:r>
      <w:r w:rsidRPr="008E2495">
        <w:t xml:space="preserve"> 2008, </w:t>
      </w:r>
      <w:hyperlink r:id="rId15" w:tgtFrame="_self" w:history="1">
        <w:r w:rsidRPr="008E2495">
          <w:rPr>
            <w:rStyle w:val="Hyperlink"/>
            <w:i/>
            <w:color w:val="auto"/>
            <w:szCs w:val="26"/>
            <w:u w:val="none"/>
          </w:rPr>
          <w:t xml:space="preserve">Annual </w:t>
        </w:r>
        <w:r w:rsidR="00497C91" w:rsidRPr="008E2495">
          <w:rPr>
            <w:rStyle w:val="Hyperlink"/>
            <w:i/>
            <w:color w:val="auto"/>
            <w:szCs w:val="26"/>
            <w:u w:val="none"/>
          </w:rPr>
          <w:t>S</w:t>
        </w:r>
        <w:r w:rsidRPr="008E2495">
          <w:rPr>
            <w:rStyle w:val="Hyperlink"/>
            <w:i/>
            <w:color w:val="auto"/>
            <w:szCs w:val="26"/>
            <w:u w:val="none"/>
          </w:rPr>
          <w:t xml:space="preserve">uperannuation </w:t>
        </w:r>
        <w:r w:rsidR="00497C91" w:rsidRPr="008E2495">
          <w:rPr>
            <w:rStyle w:val="Hyperlink"/>
            <w:i/>
            <w:color w:val="auto"/>
            <w:szCs w:val="26"/>
            <w:u w:val="none"/>
          </w:rPr>
          <w:t>S</w:t>
        </w:r>
        <w:r w:rsidRPr="008E2495">
          <w:rPr>
            <w:rStyle w:val="Hyperlink"/>
            <w:i/>
            <w:color w:val="auto"/>
            <w:szCs w:val="26"/>
            <w:u w:val="none"/>
          </w:rPr>
          <w:t>urvey</w:t>
        </w:r>
      </w:hyperlink>
      <w:r w:rsidRPr="008E2495">
        <w:rPr>
          <w:szCs w:val="26"/>
        </w:rPr>
        <w:t>, prepared for ASFA by McNair Ingenuity Research</w:t>
      </w:r>
      <w:r w:rsidRPr="008E2495">
        <w:rPr>
          <w:rStyle w:val="DraftingNote"/>
          <w:b w:val="0"/>
          <w:bCs/>
          <w:color w:val="auto"/>
          <w:sz w:val="26"/>
          <w:szCs w:val="26"/>
        </w:rPr>
        <w:t xml:space="preserve">, </w:t>
      </w:r>
      <w:r w:rsidRPr="008E2495">
        <w:rPr>
          <w:szCs w:val="26"/>
        </w:rPr>
        <w:t>www.superannuation.asn.au/policy/reports-2007-09</w:t>
      </w:r>
      <w:r w:rsidR="00497C91" w:rsidRPr="008E2495">
        <w:rPr>
          <w:rStyle w:val="DraftingNote"/>
          <w:b w:val="0"/>
          <w:bCs/>
          <w:color w:val="auto"/>
          <w:sz w:val="26"/>
          <w:szCs w:val="26"/>
          <w:u w:val="none"/>
        </w:rPr>
        <w:t>.</w:t>
      </w:r>
    </w:p>
    <w:p w:rsidR="009A4948" w:rsidRPr="00F82C96" w:rsidRDefault="009A4948" w:rsidP="009A4948">
      <w:pPr>
        <w:pStyle w:val="Reference"/>
      </w:pPr>
      <w:r w:rsidRPr="00F82C96">
        <w:t xml:space="preserve">ASIC (Australian Securities and Investments Commission) 2002, </w:t>
      </w:r>
      <w:r w:rsidRPr="00F82C96">
        <w:rPr>
          <w:i/>
        </w:rPr>
        <w:t xml:space="preserve">A </w:t>
      </w:r>
      <w:r>
        <w:rPr>
          <w:i/>
        </w:rPr>
        <w:t>R</w:t>
      </w:r>
      <w:r w:rsidRPr="00F82C96">
        <w:rPr>
          <w:i/>
        </w:rPr>
        <w:t xml:space="preserve">eview of the </w:t>
      </w:r>
      <w:r>
        <w:rPr>
          <w:i/>
        </w:rPr>
        <w:t>R</w:t>
      </w:r>
      <w:r w:rsidRPr="00F82C96">
        <w:rPr>
          <w:i/>
        </w:rPr>
        <w:t xml:space="preserve">esearch on the </w:t>
      </w:r>
      <w:r>
        <w:rPr>
          <w:i/>
        </w:rPr>
        <w:t>P</w:t>
      </w:r>
      <w:r w:rsidRPr="00F82C96">
        <w:rPr>
          <w:i/>
        </w:rPr>
        <w:t xml:space="preserve">ast </w:t>
      </w:r>
      <w:r>
        <w:rPr>
          <w:i/>
        </w:rPr>
        <w:t>P</w:t>
      </w:r>
      <w:r w:rsidRPr="00F82C96">
        <w:rPr>
          <w:i/>
        </w:rPr>
        <w:t xml:space="preserve">erformance of </w:t>
      </w:r>
      <w:r>
        <w:rPr>
          <w:i/>
        </w:rPr>
        <w:t>M</w:t>
      </w:r>
      <w:r w:rsidRPr="00F82C96">
        <w:rPr>
          <w:i/>
        </w:rPr>
        <w:t xml:space="preserve">anaged </w:t>
      </w:r>
      <w:r>
        <w:rPr>
          <w:i/>
        </w:rPr>
        <w:t>F</w:t>
      </w:r>
      <w:r w:rsidRPr="00F82C96">
        <w:rPr>
          <w:i/>
        </w:rPr>
        <w:t>unds</w:t>
      </w:r>
      <w:r w:rsidRPr="00F82C96">
        <w:t xml:space="preserve">, </w:t>
      </w:r>
      <w:r>
        <w:t xml:space="preserve">Report 22, </w:t>
      </w:r>
      <w:r w:rsidRPr="00F82C96">
        <w:t>www.asic.gov.au/asic/pdflib.nsf/LookupByFileName/FMRC_Report.pdf/$file/FMRC_Report.pdf (accessed 26 September 2012).</w:t>
      </w:r>
    </w:p>
    <w:p w:rsidR="00E84CED" w:rsidRPr="008E2495" w:rsidRDefault="009A4948" w:rsidP="00E84CED">
      <w:pPr>
        <w:pStyle w:val="Reference"/>
      </w:pPr>
      <w:r w:rsidRPr="008E2495">
        <w:t xml:space="preserve">—— </w:t>
      </w:r>
      <w:r w:rsidR="00E84CED" w:rsidRPr="008E2495">
        <w:t xml:space="preserve">2003, </w:t>
      </w:r>
      <w:r w:rsidR="00E84CED" w:rsidRPr="008E2495">
        <w:rPr>
          <w:i/>
        </w:rPr>
        <w:t xml:space="preserve">Regulatory Guide 53: The </w:t>
      </w:r>
      <w:r w:rsidR="000D6378" w:rsidRPr="008E2495">
        <w:rPr>
          <w:i/>
        </w:rPr>
        <w:t>U</w:t>
      </w:r>
      <w:r w:rsidR="00E84CED" w:rsidRPr="008E2495">
        <w:rPr>
          <w:i/>
        </w:rPr>
        <w:t xml:space="preserve">se of </w:t>
      </w:r>
      <w:r w:rsidR="000D6378" w:rsidRPr="008E2495">
        <w:rPr>
          <w:i/>
        </w:rPr>
        <w:t>P</w:t>
      </w:r>
      <w:r w:rsidR="00E84CED" w:rsidRPr="008E2495">
        <w:rPr>
          <w:i/>
        </w:rPr>
        <w:t xml:space="preserve">ast </w:t>
      </w:r>
      <w:r w:rsidR="000D6378" w:rsidRPr="008E2495">
        <w:rPr>
          <w:i/>
        </w:rPr>
        <w:t>P</w:t>
      </w:r>
      <w:r w:rsidR="00E84CED" w:rsidRPr="008E2495">
        <w:rPr>
          <w:i/>
        </w:rPr>
        <w:t xml:space="preserve">erformance in </w:t>
      </w:r>
      <w:r w:rsidR="000D6378" w:rsidRPr="008E2495">
        <w:rPr>
          <w:i/>
        </w:rPr>
        <w:t>P</w:t>
      </w:r>
      <w:r w:rsidR="00E84CED" w:rsidRPr="008E2495">
        <w:rPr>
          <w:i/>
        </w:rPr>
        <w:t xml:space="preserve">romotional </w:t>
      </w:r>
      <w:r w:rsidR="000D6378" w:rsidRPr="008E2495">
        <w:rPr>
          <w:i/>
        </w:rPr>
        <w:t>M</w:t>
      </w:r>
      <w:r w:rsidR="00E84CED" w:rsidRPr="008E2495">
        <w:rPr>
          <w:i/>
        </w:rPr>
        <w:t>aterial</w:t>
      </w:r>
      <w:r w:rsidR="00E84CED" w:rsidRPr="008E2495">
        <w:t>, www.asic.gov.au/asic/pdflib.nsf/LookupByFileName/past_perf_</w:t>
      </w:r>
      <w:r w:rsidRPr="009A4948">
        <w:br/>
      </w:r>
      <w:r w:rsidR="00E84CED" w:rsidRPr="008E2495">
        <w:t>guide.pdf/</w:t>
      </w:r>
      <w:r>
        <w:t>$file/past_perf_guide.pdf</w:t>
      </w:r>
      <w:r w:rsidR="00E84CED" w:rsidRPr="008E2495">
        <w:t xml:space="preserve"> (accessed 19 April 2012)</w:t>
      </w:r>
      <w:r w:rsidR="00F56783" w:rsidRPr="008E2495">
        <w:t>.</w:t>
      </w:r>
    </w:p>
    <w:p w:rsidR="00615040" w:rsidRPr="008E2495" w:rsidRDefault="00615040" w:rsidP="00615040">
      <w:pPr>
        <w:pStyle w:val="Reference"/>
        <w:jc w:val="left"/>
      </w:pPr>
      <w:r w:rsidRPr="008E2495">
        <w:t>—— 2011</w:t>
      </w:r>
      <w:r w:rsidR="00FD1C9B" w:rsidRPr="008E2495">
        <w:t>a</w:t>
      </w:r>
      <w:r w:rsidRPr="008E2495">
        <w:t xml:space="preserve">, </w:t>
      </w:r>
      <w:r w:rsidRPr="008E2495">
        <w:rPr>
          <w:i/>
        </w:rPr>
        <w:t xml:space="preserve">National </w:t>
      </w:r>
      <w:r w:rsidR="000D6378" w:rsidRPr="008E2495">
        <w:rPr>
          <w:i/>
        </w:rPr>
        <w:t>F</w:t>
      </w:r>
      <w:r w:rsidRPr="008E2495">
        <w:rPr>
          <w:i/>
        </w:rPr>
        <w:t xml:space="preserve">inancial </w:t>
      </w:r>
      <w:r w:rsidR="000D6378" w:rsidRPr="008E2495">
        <w:rPr>
          <w:i/>
        </w:rPr>
        <w:t>L</w:t>
      </w:r>
      <w:r w:rsidRPr="008E2495">
        <w:rPr>
          <w:i/>
        </w:rPr>
        <w:t xml:space="preserve">iteracy </w:t>
      </w:r>
      <w:r w:rsidR="000D6378" w:rsidRPr="008E2495">
        <w:rPr>
          <w:i/>
        </w:rPr>
        <w:t>S</w:t>
      </w:r>
      <w:r w:rsidRPr="008E2495">
        <w:rPr>
          <w:i/>
        </w:rPr>
        <w:t>trategy</w:t>
      </w:r>
      <w:r w:rsidRPr="008E2495">
        <w:t>, Report 229</w:t>
      </w:r>
      <w:r w:rsidR="00AD76BE" w:rsidRPr="008E2495">
        <w:t>, Sydney</w:t>
      </w:r>
      <w:r w:rsidRPr="008E2495">
        <w:t>.</w:t>
      </w:r>
    </w:p>
    <w:p w:rsidR="00FD1C9B" w:rsidRPr="008E2495" w:rsidRDefault="00FD1C9B" w:rsidP="00FD1C9B">
      <w:pPr>
        <w:pStyle w:val="Reference"/>
        <w:rPr>
          <w:lang w:val="en"/>
        </w:rPr>
      </w:pPr>
      <w:r w:rsidRPr="008E2495">
        <w:t xml:space="preserve">—— </w:t>
      </w:r>
      <w:r w:rsidRPr="008E2495">
        <w:rPr>
          <w:lang w:val="en"/>
        </w:rPr>
        <w:t xml:space="preserve">2011b, </w:t>
      </w:r>
      <w:r w:rsidRPr="008E2495">
        <w:rPr>
          <w:i/>
          <w:lang w:val="en"/>
        </w:rPr>
        <w:t>Super Decisions</w:t>
      </w:r>
      <w:r w:rsidRPr="008E2495">
        <w:rPr>
          <w:lang w:val="en"/>
        </w:rPr>
        <w:t xml:space="preserve">, </w:t>
      </w:r>
      <w:hyperlink r:id="rId16" w:history="1">
        <w:r w:rsidRPr="008E2495">
          <w:rPr>
            <w:rStyle w:val="Hyperlink"/>
            <w:color w:val="auto"/>
            <w:u w:val="none"/>
            <w:lang w:val="en"/>
          </w:rPr>
          <w:t>https://www.moneysmart.gov.au/media/275360/</w:t>
        </w:r>
        <w:r w:rsidRPr="008E2495">
          <w:br/>
        </w:r>
        <w:r w:rsidRPr="008E2495">
          <w:rPr>
            <w:rStyle w:val="Hyperlink"/>
            <w:color w:val="auto"/>
            <w:u w:val="none"/>
            <w:lang w:val="en"/>
          </w:rPr>
          <w:t>super-decisions.pdf</w:t>
        </w:r>
      </w:hyperlink>
      <w:r w:rsidRPr="008E2495">
        <w:rPr>
          <w:lang w:val="en"/>
        </w:rPr>
        <w:t xml:space="preserve"> (accessed 4 September 2012).</w:t>
      </w:r>
    </w:p>
    <w:p w:rsidR="00A95722" w:rsidRPr="008E2495" w:rsidRDefault="00615040" w:rsidP="00A95722">
      <w:pPr>
        <w:pStyle w:val="Reference"/>
        <w:jc w:val="left"/>
      </w:pPr>
      <w:r w:rsidRPr="008E2495">
        <w:t xml:space="preserve">—— </w:t>
      </w:r>
      <w:r w:rsidR="00A95722" w:rsidRPr="008E2495">
        <w:t>2012</w:t>
      </w:r>
      <w:r w:rsidRPr="008E2495">
        <w:t>a</w:t>
      </w:r>
      <w:r w:rsidR="00A95722" w:rsidRPr="008E2495">
        <w:t xml:space="preserve">, </w:t>
      </w:r>
      <w:r w:rsidR="00A95722" w:rsidRPr="008E2495">
        <w:rPr>
          <w:i/>
        </w:rPr>
        <w:t>Our Role</w:t>
      </w:r>
      <w:r w:rsidR="00A95722" w:rsidRPr="008E2495">
        <w:t xml:space="preserve">, </w:t>
      </w:r>
      <w:hyperlink r:id="rId17" w:history="1">
        <w:r w:rsidR="00A95722" w:rsidRPr="008E2495">
          <w:t>www.asic.gov.au/asic/ASIC.NSF/byHeadline/Our%20role</w:t>
        </w:r>
      </w:hyperlink>
      <w:r w:rsidR="00A95722" w:rsidRPr="008E2495">
        <w:t xml:space="preserve"> (accessed 20 March 2012).</w:t>
      </w:r>
    </w:p>
    <w:p w:rsidR="00E84CED" w:rsidRPr="008E2495" w:rsidRDefault="00615040" w:rsidP="00E84CED">
      <w:pPr>
        <w:pStyle w:val="Reference"/>
      </w:pPr>
      <w:r w:rsidRPr="008E2495">
        <w:t xml:space="preserve">—— </w:t>
      </w:r>
      <w:r w:rsidR="00E84CED" w:rsidRPr="008E2495">
        <w:t>2012</w:t>
      </w:r>
      <w:r w:rsidRPr="008E2495">
        <w:t>b</w:t>
      </w:r>
      <w:r w:rsidR="00E84CED" w:rsidRPr="008E2495">
        <w:t xml:space="preserve">, </w:t>
      </w:r>
      <w:r w:rsidR="00E84CED" w:rsidRPr="008E2495">
        <w:rPr>
          <w:i/>
        </w:rPr>
        <w:t xml:space="preserve">Shadow </w:t>
      </w:r>
      <w:r w:rsidR="000D6378" w:rsidRPr="008E2495">
        <w:rPr>
          <w:i/>
        </w:rPr>
        <w:t>S</w:t>
      </w:r>
      <w:r w:rsidR="00E84CED" w:rsidRPr="008E2495">
        <w:rPr>
          <w:i/>
        </w:rPr>
        <w:t xml:space="preserve">hopping </w:t>
      </w:r>
      <w:r w:rsidR="000D6378" w:rsidRPr="008E2495">
        <w:rPr>
          <w:i/>
        </w:rPr>
        <w:t>S</w:t>
      </w:r>
      <w:r w:rsidR="00E84CED" w:rsidRPr="008E2495">
        <w:rPr>
          <w:i/>
        </w:rPr>
        <w:t xml:space="preserve">tudy of </w:t>
      </w:r>
      <w:r w:rsidR="000D6378" w:rsidRPr="008E2495">
        <w:rPr>
          <w:i/>
        </w:rPr>
        <w:t>R</w:t>
      </w:r>
      <w:r w:rsidR="00E84CED" w:rsidRPr="008E2495">
        <w:rPr>
          <w:i/>
        </w:rPr>
        <w:t xml:space="preserve">etirement </w:t>
      </w:r>
      <w:r w:rsidR="000D6378" w:rsidRPr="008E2495">
        <w:rPr>
          <w:i/>
        </w:rPr>
        <w:t>A</w:t>
      </w:r>
      <w:r w:rsidR="00E84CED" w:rsidRPr="008E2495">
        <w:rPr>
          <w:i/>
        </w:rPr>
        <w:t>dvice</w:t>
      </w:r>
      <w:r w:rsidR="00AD76BE" w:rsidRPr="008E2495">
        <w:t>, Sydney.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ATO (Australian Taxation Office) 2011a, </w:t>
      </w:r>
      <w:r w:rsidRPr="008E2495">
        <w:rPr>
          <w:i/>
        </w:rPr>
        <w:t xml:space="preserve">Guide to </w:t>
      </w:r>
      <w:r w:rsidR="000D6378" w:rsidRPr="008E2495">
        <w:rPr>
          <w:i/>
        </w:rPr>
        <w:t>S</w:t>
      </w:r>
      <w:r w:rsidRPr="008E2495">
        <w:rPr>
          <w:i/>
        </w:rPr>
        <w:t xml:space="preserve">uperannuation for </w:t>
      </w:r>
      <w:r w:rsidR="000D6378" w:rsidRPr="008E2495">
        <w:rPr>
          <w:i/>
        </w:rPr>
        <w:t>E</w:t>
      </w:r>
      <w:r w:rsidRPr="008E2495">
        <w:rPr>
          <w:i/>
        </w:rPr>
        <w:t xml:space="preserve">mployers, </w:t>
      </w:r>
      <w:r w:rsidRPr="008E2495">
        <w:t>13 July, www.ato.gov.au/businesses/content.aspx?menuid=0&amp;doc=/content/</w:t>
      </w:r>
      <w:r w:rsidR="00CA4B40" w:rsidRPr="008E2495">
        <w:br/>
      </w:r>
      <w:r w:rsidRPr="008E2495">
        <w:t>00249857.htm&amp;page=21#P535_33034 (accessed 21 May 2012).</w:t>
      </w:r>
    </w:p>
    <w:p w:rsidR="00297F44" w:rsidRPr="008E2495" w:rsidRDefault="00A95722" w:rsidP="00EC3B5C">
      <w:pPr>
        <w:pStyle w:val="Reference"/>
        <w:jc w:val="left"/>
      </w:pPr>
      <w:r w:rsidRPr="008E2495">
        <w:t xml:space="preserve">—— 2011b, </w:t>
      </w:r>
      <w:r w:rsidRPr="008E2495">
        <w:rPr>
          <w:i/>
        </w:rPr>
        <w:t xml:space="preserve">Running a </w:t>
      </w:r>
      <w:r w:rsidR="00407440" w:rsidRPr="008E2495">
        <w:rPr>
          <w:i/>
        </w:rPr>
        <w:t>S</w:t>
      </w:r>
      <w:r w:rsidRPr="008E2495">
        <w:rPr>
          <w:i/>
        </w:rPr>
        <w:t xml:space="preserve">elf-managed </w:t>
      </w:r>
      <w:r w:rsidR="00407440" w:rsidRPr="008E2495">
        <w:rPr>
          <w:i/>
        </w:rPr>
        <w:t>S</w:t>
      </w:r>
      <w:r w:rsidRPr="008E2495">
        <w:rPr>
          <w:i/>
        </w:rPr>
        <w:t xml:space="preserve">uper </w:t>
      </w:r>
      <w:r w:rsidR="00407440" w:rsidRPr="008E2495">
        <w:rPr>
          <w:i/>
        </w:rPr>
        <w:t>Fu</w:t>
      </w:r>
      <w:r w:rsidRPr="008E2495">
        <w:rPr>
          <w:i/>
        </w:rPr>
        <w:t>nd</w:t>
      </w:r>
      <w:r w:rsidRPr="008E2495">
        <w:t>, 3 November, www.ato.gov.au/</w:t>
      </w:r>
      <w:r w:rsidR="00E3379A" w:rsidRPr="008E2495">
        <w:br/>
      </w:r>
      <w:r w:rsidRPr="008E2495">
        <w:t>superfunds/content.aspx?doc=/content/46427.htm (accessed 11 May 2012).</w:t>
      </w:r>
    </w:p>
    <w:p w:rsidR="00615040" w:rsidRPr="008E2495" w:rsidRDefault="00297F44" w:rsidP="00EC3B5C">
      <w:pPr>
        <w:pStyle w:val="Reference"/>
        <w:jc w:val="left"/>
        <w:rPr>
          <w:szCs w:val="26"/>
        </w:rPr>
      </w:pPr>
      <w:r w:rsidRPr="008E2495">
        <w:t xml:space="preserve">—— </w:t>
      </w:r>
      <w:r w:rsidR="00615040" w:rsidRPr="008E2495">
        <w:rPr>
          <w:szCs w:val="26"/>
        </w:rPr>
        <w:t xml:space="preserve">2011c, </w:t>
      </w:r>
      <w:r w:rsidR="00615040" w:rsidRPr="008E2495">
        <w:rPr>
          <w:i/>
          <w:iCs/>
          <w:szCs w:val="26"/>
        </w:rPr>
        <w:t xml:space="preserve">Self-managed </w:t>
      </w:r>
      <w:r w:rsidR="00407440" w:rsidRPr="008E2495">
        <w:rPr>
          <w:i/>
          <w:iCs/>
          <w:szCs w:val="26"/>
        </w:rPr>
        <w:t>S</w:t>
      </w:r>
      <w:r w:rsidR="00615040" w:rsidRPr="008E2495">
        <w:rPr>
          <w:i/>
          <w:iCs/>
          <w:szCs w:val="26"/>
        </w:rPr>
        <w:t xml:space="preserve">uper: </w:t>
      </w:r>
      <w:r w:rsidR="00407440" w:rsidRPr="008E2495">
        <w:rPr>
          <w:i/>
          <w:iCs/>
          <w:szCs w:val="26"/>
        </w:rPr>
        <w:t>M</w:t>
      </w:r>
      <w:r w:rsidR="00615040" w:rsidRPr="008E2495">
        <w:rPr>
          <w:i/>
          <w:iCs/>
          <w:szCs w:val="26"/>
        </w:rPr>
        <w:t xml:space="preserve">aking </w:t>
      </w:r>
      <w:r w:rsidR="00407440" w:rsidRPr="008E2495">
        <w:rPr>
          <w:i/>
          <w:iCs/>
          <w:szCs w:val="26"/>
        </w:rPr>
        <w:t>S</w:t>
      </w:r>
      <w:r w:rsidR="00615040" w:rsidRPr="008E2495">
        <w:rPr>
          <w:i/>
          <w:iCs/>
          <w:szCs w:val="26"/>
        </w:rPr>
        <w:t xml:space="preserve">ure it </w:t>
      </w:r>
      <w:r w:rsidR="00407440" w:rsidRPr="008E2495">
        <w:rPr>
          <w:i/>
          <w:iCs/>
          <w:szCs w:val="26"/>
        </w:rPr>
        <w:t>W</w:t>
      </w:r>
      <w:r w:rsidR="00615040" w:rsidRPr="008E2495">
        <w:rPr>
          <w:i/>
          <w:iCs/>
          <w:szCs w:val="26"/>
        </w:rPr>
        <w:t xml:space="preserve">orks for </w:t>
      </w:r>
      <w:r w:rsidR="00407440" w:rsidRPr="008E2495">
        <w:rPr>
          <w:i/>
          <w:iCs/>
          <w:szCs w:val="26"/>
        </w:rPr>
        <w:t>Y</w:t>
      </w:r>
      <w:r w:rsidR="00615040" w:rsidRPr="008E2495">
        <w:rPr>
          <w:i/>
          <w:iCs/>
          <w:szCs w:val="26"/>
        </w:rPr>
        <w:t xml:space="preserve">ou and the </w:t>
      </w:r>
      <w:r w:rsidR="00407440" w:rsidRPr="008E2495">
        <w:rPr>
          <w:i/>
          <w:iCs/>
          <w:szCs w:val="26"/>
        </w:rPr>
        <w:t>C</w:t>
      </w:r>
      <w:r w:rsidR="00615040" w:rsidRPr="008E2495">
        <w:rPr>
          <w:i/>
          <w:iCs/>
          <w:szCs w:val="26"/>
        </w:rPr>
        <w:t xml:space="preserve">ommunity, </w:t>
      </w:r>
      <w:r w:rsidR="00615040" w:rsidRPr="008E2495">
        <w:rPr>
          <w:szCs w:val="26"/>
        </w:rPr>
        <w:t>www.ato.gov.au/corporate/content.aspx?doc=/content/</w:t>
      </w:r>
      <w:r w:rsidR="000871BA" w:rsidRPr="008E2495">
        <w:rPr>
          <w:szCs w:val="26"/>
        </w:rPr>
        <w:br/>
      </w:r>
      <w:r w:rsidR="00615040" w:rsidRPr="008E2495">
        <w:rPr>
          <w:szCs w:val="26"/>
        </w:rPr>
        <w:t>00270847.htm (accessed 4 June 2012).</w:t>
      </w:r>
    </w:p>
    <w:p w:rsidR="00A241AF" w:rsidRPr="008E2495" w:rsidRDefault="00A241AF" w:rsidP="00A241AF">
      <w:pPr>
        <w:pStyle w:val="Reference"/>
        <w:jc w:val="left"/>
      </w:pPr>
      <w:r w:rsidRPr="008E2495">
        <w:lastRenderedPageBreak/>
        <w:t xml:space="preserve">—— 2012a, </w:t>
      </w:r>
      <w:r w:rsidRPr="008E2495">
        <w:rPr>
          <w:i/>
        </w:rPr>
        <w:t xml:space="preserve">Changes to the Super Guarantee, </w:t>
      </w:r>
      <w:hyperlink r:id="rId18" w:history="1">
        <w:r w:rsidRPr="00FC483C">
          <w:t>www.ato.gov.au/taxprofessionals/content.aspx?doc=/content/00245692.htm&amp;pc=001/005/054/006/001&amp;mnu=0&amp;mfp=&amp;st=&amp;cy</w:t>
        </w:r>
      </w:hyperlink>
      <w:r w:rsidRPr="008E2495">
        <w:t>= (accessed 4 June 2012).</w:t>
      </w:r>
    </w:p>
    <w:p w:rsidR="00B51289" w:rsidRPr="008E2495" w:rsidRDefault="00B51289" w:rsidP="00B51289">
      <w:pPr>
        <w:pStyle w:val="Reference"/>
      </w:pPr>
      <w:r w:rsidRPr="008E2495">
        <w:t xml:space="preserve">—— 2012b, </w:t>
      </w:r>
      <w:r w:rsidRPr="008E2495">
        <w:rPr>
          <w:i/>
        </w:rPr>
        <w:t xml:space="preserve">Guide to </w:t>
      </w:r>
      <w:r w:rsidR="00775BAA" w:rsidRPr="008E2495">
        <w:rPr>
          <w:i/>
        </w:rPr>
        <w:t>S</w:t>
      </w:r>
      <w:r w:rsidRPr="008E2495">
        <w:rPr>
          <w:i/>
        </w:rPr>
        <w:t xml:space="preserve">uperannuation for </w:t>
      </w:r>
      <w:r w:rsidR="00775BAA" w:rsidRPr="008E2495">
        <w:rPr>
          <w:i/>
        </w:rPr>
        <w:t>E</w:t>
      </w:r>
      <w:r w:rsidRPr="008E2495">
        <w:rPr>
          <w:i/>
        </w:rPr>
        <w:t>mployers</w:t>
      </w:r>
      <w:r w:rsidRPr="008E2495">
        <w:t>, http://www.ato.gov.au/</w:t>
      </w:r>
      <w:r w:rsidRPr="008E2495">
        <w:br/>
        <w:t>businesses/content.aspx?menuid=0&amp;doc=/content/00249857.htm&amp;page=6&amp;H6 (accessed 16 July 2012).</w:t>
      </w:r>
    </w:p>
    <w:p w:rsidR="00615040" w:rsidRPr="008E2495" w:rsidRDefault="00615040" w:rsidP="00615040">
      <w:pPr>
        <w:pStyle w:val="Reference"/>
        <w:jc w:val="left"/>
        <w:rPr>
          <w:i/>
        </w:rPr>
      </w:pPr>
      <w:r w:rsidRPr="008E2495">
        <w:t xml:space="preserve">—— </w:t>
      </w:r>
      <w:r w:rsidR="00A241AF" w:rsidRPr="008E2495">
        <w:t>2012</w:t>
      </w:r>
      <w:r w:rsidR="00B51289" w:rsidRPr="008E2495">
        <w:t>c</w:t>
      </w:r>
      <w:r w:rsidRPr="008E2495">
        <w:t xml:space="preserve">, </w:t>
      </w:r>
      <w:r w:rsidRPr="008E2495">
        <w:rPr>
          <w:i/>
        </w:rPr>
        <w:t xml:space="preserve">Key Superannuation Rates and Thresholds: Superannuation Guarantee, </w:t>
      </w:r>
      <w:r w:rsidRPr="008E2495">
        <w:t>www.ato.gov.au/superfunds/content.aspx?doc=/content/60489.</w:t>
      </w:r>
      <w:r w:rsidRPr="008E2495">
        <w:br/>
        <w:t>htm&amp;page=19&amp;H19 (accessed 20 April 2012).</w:t>
      </w:r>
    </w:p>
    <w:p w:rsidR="00FD1C9B" w:rsidRPr="008E2495" w:rsidRDefault="00FD1C9B" w:rsidP="00FD1C9B">
      <w:pPr>
        <w:pStyle w:val="Reference"/>
      </w:pPr>
      <w:r w:rsidRPr="008E2495">
        <w:t xml:space="preserve">—— </w:t>
      </w:r>
      <w:r w:rsidRPr="008E2495">
        <w:rPr>
          <w:lang w:val="en"/>
        </w:rPr>
        <w:t>2012d,</w:t>
      </w:r>
      <w:r w:rsidRPr="008E2495">
        <w:rPr>
          <w:i/>
          <w:lang w:val="en"/>
        </w:rPr>
        <w:t xml:space="preserve"> Questions and </w:t>
      </w:r>
      <w:r w:rsidR="00C06603" w:rsidRPr="008E2495">
        <w:rPr>
          <w:i/>
          <w:lang w:val="en"/>
        </w:rPr>
        <w:t>A</w:t>
      </w:r>
      <w:r w:rsidRPr="008E2495">
        <w:rPr>
          <w:i/>
          <w:lang w:val="en"/>
        </w:rPr>
        <w:t xml:space="preserve">nswers for </w:t>
      </w:r>
      <w:r w:rsidR="00C06603" w:rsidRPr="008E2495">
        <w:rPr>
          <w:i/>
          <w:lang w:val="en"/>
        </w:rPr>
        <w:t>S</w:t>
      </w:r>
      <w:r w:rsidRPr="008E2495">
        <w:rPr>
          <w:i/>
          <w:lang w:val="en"/>
        </w:rPr>
        <w:t xml:space="preserve">uper </w:t>
      </w:r>
      <w:r w:rsidR="00C06603" w:rsidRPr="008E2495">
        <w:rPr>
          <w:i/>
          <w:lang w:val="en"/>
        </w:rPr>
        <w:t>F</w:t>
      </w:r>
      <w:r w:rsidRPr="008E2495">
        <w:rPr>
          <w:i/>
          <w:lang w:val="en"/>
        </w:rPr>
        <w:t xml:space="preserve">unds — </w:t>
      </w:r>
      <w:bookmarkStart w:id="4" w:name="P24_1241"/>
      <w:bookmarkStart w:id="5" w:name="H2"/>
      <w:bookmarkStart w:id="6" w:name="Content"/>
      <w:bookmarkEnd w:id="4"/>
      <w:bookmarkEnd w:id="5"/>
      <w:bookmarkEnd w:id="6"/>
      <w:r w:rsidRPr="008E2495">
        <w:rPr>
          <w:i/>
          <w:lang w:val="en"/>
        </w:rPr>
        <w:t xml:space="preserve">Consolidation and </w:t>
      </w:r>
      <w:r w:rsidR="00A21A4A" w:rsidRPr="008E2495">
        <w:rPr>
          <w:i/>
          <w:lang w:val="en"/>
        </w:rPr>
        <w:t>U</w:t>
      </w:r>
      <w:r w:rsidRPr="008E2495">
        <w:rPr>
          <w:i/>
          <w:lang w:val="en"/>
        </w:rPr>
        <w:t xml:space="preserve">se of </w:t>
      </w:r>
      <w:r w:rsidR="00A21A4A" w:rsidRPr="008E2495">
        <w:rPr>
          <w:i/>
          <w:lang w:val="en"/>
        </w:rPr>
        <w:t>T</w:t>
      </w:r>
      <w:r w:rsidRPr="008E2495">
        <w:rPr>
          <w:i/>
          <w:lang w:val="en"/>
        </w:rPr>
        <w:t xml:space="preserve">ax </w:t>
      </w:r>
      <w:r w:rsidR="00A21A4A" w:rsidRPr="008E2495">
        <w:rPr>
          <w:i/>
          <w:lang w:val="en"/>
        </w:rPr>
        <w:t>F</w:t>
      </w:r>
      <w:r w:rsidRPr="008E2495">
        <w:rPr>
          <w:i/>
          <w:lang w:val="en"/>
        </w:rPr>
        <w:t xml:space="preserve">ile </w:t>
      </w:r>
      <w:r w:rsidR="00A21A4A" w:rsidRPr="008E2495">
        <w:rPr>
          <w:i/>
          <w:lang w:val="en"/>
        </w:rPr>
        <w:t>N</w:t>
      </w:r>
      <w:r w:rsidRPr="008E2495">
        <w:rPr>
          <w:i/>
          <w:lang w:val="en"/>
        </w:rPr>
        <w:t>umbers</w:t>
      </w:r>
      <w:r w:rsidRPr="008E2495">
        <w:t xml:space="preserve">, </w:t>
      </w:r>
      <w:hyperlink r:id="rId19" w:history="1">
        <w:r w:rsidRPr="008E2495">
          <w:rPr>
            <w:rStyle w:val="Hyperlink"/>
            <w:color w:val="auto"/>
            <w:u w:val="none"/>
          </w:rPr>
          <w:t>www.ato.gov.au/superfunds/content.aspx?menuid=0&amp;doc=/</w:t>
        </w:r>
        <w:r w:rsidRPr="008E2495">
          <w:br/>
        </w:r>
        <w:r w:rsidRPr="008E2495">
          <w:rPr>
            <w:rStyle w:val="Hyperlink"/>
            <w:color w:val="auto"/>
            <w:u w:val="none"/>
          </w:rPr>
          <w:t>content/00305619.htm&amp;page=2</w:t>
        </w:r>
      </w:hyperlink>
      <w:r w:rsidRPr="008E2495">
        <w:t xml:space="preserve"> (accessed 3 September 2012).</w:t>
      </w:r>
    </w:p>
    <w:p w:rsidR="006C63E2" w:rsidRPr="008E2495" w:rsidRDefault="00407440" w:rsidP="00407440">
      <w:pPr>
        <w:pStyle w:val="Reference"/>
        <w:jc w:val="left"/>
      </w:pPr>
      <w:r w:rsidRPr="008E2495">
        <w:t xml:space="preserve">—— </w:t>
      </w:r>
      <w:r w:rsidR="00A241AF" w:rsidRPr="008E2495">
        <w:t>2012</w:t>
      </w:r>
      <w:r w:rsidR="00FD1C9B" w:rsidRPr="008E2495">
        <w:t>e</w:t>
      </w:r>
      <w:r w:rsidR="006C63E2" w:rsidRPr="008E2495">
        <w:t xml:space="preserve">, </w:t>
      </w:r>
      <w:r w:rsidR="006C63E2" w:rsidRPr="008E2495">
        <w:rPr>
          <w:i/>
          <w:iCs/>
        </w:rPr>
        <w:t xml:space="preserve">Self-managed </w:t>
      </w:r>
      <w:r w:rsidRPr="008E2495">
        <w:rPr>
          <w:i/>
          <w:iCs/>
        </w:rPr>
        <w:t>S</w:t>
      </w:r>
      <w:r w:rsidR="006C63E2" w:rsidRPr="008E2495">
        <w:rPr>
          <w:i/>
          <w:iCs/>
        </w:rPr>
        <w:t xml:space="preserve">uperannuation </w:t>
      </w:r>
      <w:r w:rsidRPr="008E2495">
        <w:rPr>
          <w:i/>
          <w:iCs/>
        </w:rPr>
        <w:t>F</w:t>
      </w:r>
      <w:r w:rsidR="006C63E2" w:rsidRPr="008E2495">
        <w:rPr>
          <w:i/>
          <w:iCs/>
        </w:rPr>
        <w:t xml:space="preserve">unds: A </w:t>
      </w:r>
      <w:r w:rsidRPr="008E2495">
        <w:rPr>
          <w:i/>
          <w:iCs/>
        </w:rPr>
        <w:t>S</w:t>
      </w:r>
      <w:r w:rsidR="006C63E2" w:rsidRPr="008E2495">
        <w:rPr>
          <w:i/>
          <w:iCs/>
        </w:rPr>
        <w:t xml:space="preserve">tatistical </w:t>
      </w:r>
      <w:r w:rsidRPr="008E2495">
        <w:rPr>
          <w:i/>
          <w:iCs/>
        </w:rPr>
        <w:t>O</w:t>
      </w:r>
      <w:r w:rsidR="006C63E2" w:rsidRPr="008E2495">
        <w:rPr>
          <w:i/>
          <w:iCs/>
        </w:rPr>
        <w:t xml:space="preserve">verview, 2009−10, </w:t>
      </w:r>
      <w:r w:rsidR="006C63E2" w:rsidRPr="008E2495">
        <w:t>www.ato.gov.au/superfunds/content.aspx?menuid=0&amp;doc=/content/</w:t>
      </w:r>
      <w:r w:rsidRPr="008E2495">
        <w:br/>
      </w:r>
      <w:r w:rsidR="006C63E2" w:rsidRPr="008E2495">
        <w:t>00316375.htm&amp;page=3&amp;H3</w:t>
      </w:r>
      <w:r w:rsidR="00B51289" w:rsidRPr="008E2495">
        <w:t>.</w:t>
      </w:r>
    </w:p>
    <w:p w:rsidR="00B54BBA" w:rsidRPr="008E2495" w:rsidRDefault="00B54BBA" w:rsidP="00B54BBA">
      <w:pPr>
        <w:pStyle w:val="Reference"/>
      </w:pPr>
      <w:r w:rsidRPr="008E2495">
        <w:t xml:space="preserve">Australian Fair Pay Commission 2006, </w:t>
      </w:r>
      <w:r w:rsidRPr="008E2495">
        <w:rPr>
          <w:i/>
          <w:iCs/>
        </w:rPr>
        <w:t>Appendix I: Award Relevance Study: Use and Relevance of State and Federal Awards Final Report,</w:t>
      </w:r>
      <w:r w:rsidRPr="008E2495">
        <w:t xml:space="preserve"> Award Review Taskforce Report Wage and Classi</w:t>
      </w:r>
      <w:r w:rsidR="00F56783" w:rsidRPr="008E2495">
        <w:t>fication Structure, 1 August.</w:t>
      </w:r>
    </w:p>
    <w:p w:rsidR="00B54BBA" w:rsidRPr="008E2495" w:rsidRDefault="00B54BBA" w:rsidP="00B54BBA">
      <w:pPr>
        <w:pStyle w:val="Reference"/>
        <w:jc w:val="left"/>
        <w:rPr>
          <w:i/>
        </w:rPr>
      </w:pPr>
      <w:r w:rsidRPr="008E2495">
        <w:t xml:space="preserve">Australian Government 2006, </w:t>
      </w:r>
      <w:r w:rsidRPr="008E2495">
        <w:rPr>
          <w:i/>
        </w:rPr>
        <w:t xml:space="preserve">Rethinking Regulation, </w:t>
      </w:r>
      <w:r w:rsidRPr="008E2495">
        <w:t>Report of the Taskforce on Reducing Regulatory Burdens on Business, Canberra, January.</w:t>
      </w:r>
    </w:p>
    <w:p w:rsidR="00B54BBA" w:rsidRPr="008E2495" w:rsidRDefault="0093238F" w:rsidP="0093238F">
      <w:pPr>
        <w:pStyle w:val="Reference"/>
        <w:jc w:val="left"/>
        <w:rPr>
          <w:szCs w:val="26"/>
        </w:rPr>
      </w:pPr>
      <w:r w:rsidRPr="008E2495">
        <w:t xml:space="preserve">—— </w:t>
      </w:r>
      <w:r w:rsidR="00B54BBA" w:rsidRPr="008E2495">
        <w:rPr>
          <w:szCs w:val="26"/>
        </w:rPr>
        <w:t xml:space="preserve">2009, </w:t>
      </w:r>
      <w:r w:rsidR="00B54BBA" w:rsidRPr="008E2495">
        <w:rPr>
          <w:i/>
          <w:iCs/>
          <w:szCs w:val="26"/>
        </w:rPr>
        <w:t xml:space="preserve">Review into the Governance, Efficiency, Structure and Operation of Australia’s Superannuation System — A </w:t>
      </w:r>
      <w:r w:rsidRPr="008E2495">
        <w:rPr>
          <w:i/>
          <w:iCs/>
          <w:szCs w:val="26"/>
        </w:rPr>
        <w:t>S</w:t>
      </w:r>
      <w:r w:rsidR="00B54BBA" w:rsidRPr="008E2495">
        <w:rPr>
          <w:i/>
          <w:iCs/>
          <w:szCs w:val="26"/>
        </w:rPr>
        <w:t xml:space="preserve">tatistical </w:t>
      </w:r>
      <w:r w:rsidRPr="008E2495">
        <w:rPr>
          <w:i/>
          <w:iCs/>
          <w:szCs w:val="26"/>
        </w:rPr>
        <w:t>S</w:t>
      </w:r>
      <w:r w:rsidR="00B54BBA" w:rsidRPr="008E2495">
        <w:rPr>
          <w:i/>
          <w:iCs/>
          <w:szCs w:val="26"/>
        </w:rPr>
        <w:t xml:space="preserve">ummary of </w:t>
      </w:r>
      <w:r w:rsidRPr="008E2495">
        <w:rPr>
          <w:i/>
          <w:iCs/>
          <w:szCs w:val="26"/>
        </w:rPr>
        <w:t>S</w:t>
      </w:r>
      <w:r w:rsidR="00B54BBA" w:rsidRPr="008E2495">
        <w:rPr>
          <w:i/>
          <w:iCs/>
          <w:szCs w:val="26"/>
        </w:rPr>
        <w:t xml:space="preserve">elf-managed </w:t>
      </w:r>
      <w:r w:rsidRPr="008E2495">
        <w:rPr>
          <w:i/>
          <w:iCs/>
          <w:szCs w:val="26"/>
        </w:rPr>
        <w:t>S</w:t>
      </w:r>
      <w:r w:rsidR="00B54BBA" w:rsidRPr="008E2495">
        <w:rPr>
          <w:i/>
          <w:iCs/>
          <w:szCs w:val="26"/>
        </w:rPr>
        <w:t xml:space="preserve">uperannuation </w:t>
      </w:r>
      <w:r w:rsidRPr="008E2495">
        <w:rPr>
          <w:i/>
          <w:iCs/>
          <w:szCs w:val="26"/>
        </w:rPr>
        <w:t>F</w:t>
      </w:r>
      <w:r w:rsidR="00B54BBA" w:rsidRPr="008E2495">
        <w:rPr>
          <w:i/>
          <w:iCs/>
          <w:szCs w:val="26"/>
        </w:rPr>
        <w:t xml:space="preserve">unds, </w:t>
      </w:r>
      <w:r w:rsidR="00B54BBA" w:rsidRPr="008E2495">
        <w:rPr>
          <w:szCs w:val="26"/>
        </w:rPr>
        <w:t>Canberra.</w:t>
      </w:r>
    </w:p>
    <w:p w:rsidR="00B54BBA" w:rsidRPr="008E2495" w:rsidRDefault="00B54BBA" w:rsidP="00B54BBA">
      <w:pPr>
        <w:pStyle w:val="Reference"/>
        <w:jc w:val="left"/>
      </w:pPr>
      <w:r w:rsidRPr="008E2495">
        <w:t xml:space="preserve">—— 2010a, </w:t>
      </w:r>
      <w:r w:rsidRPr="008E2495">
        <w:rPr>
          <w:i/>
          <w:iCs/>
        </w:rPr>
        <w:t>Review into the Governance, Efficiency, Structure and Operation of Australia’s Superannuation System</w:t>
      </w:r>
      <w:r w:rsidR="003C59C4" w:rsidRPr="008E2495">
        <w:t xml:space="preserve">, </w:t>
      </w:r>
      <w:r w:rsidRPr="008E2495">
        <w:t xml:space="preserve">— </w:t>
      </w:r>
      <w:r w:rsidRPr="008E2495">
        <w:rPr>
          <w:i/>
          <w:iCs/>
        </w:rPr>
        <w:t>Final Report: Part One</w:t>
      </w:r>
      <w:r w:rsidR="003C59C4" w:rsidRPr="008E2495">
        <w:rPr>
          <w:i/>
          <w:iCs/>
        </w:rPr>
        <w:t xml:space="preserve">, </w:t>
      </w:r>
      <w:r w:rsidRPr="008E2495">
        <w:rPr>
          <w:i/>
          <w:iCs/>
        </w:rPr>
        <w:t>Overview and Recommendations</w:t>
      </w:r>
      <w:r w:rsidR="003C59C4" w:rsidRPr="008E2495">
        <w:rPr>
          <w:i/>
          <w:iCs/>
        </w:rPr>
        <w:t xml:space="preserve"> </w:t>
      </w:r>
      <w:r w:rsidR="003C59C4" w:rsidRPr="008E2495">
        <w:t>(Cooper Review)</w:t>
      </w:r>
      <w:r w:rsidR="00F56783" w:rsidRPr="008E2495">
        <w:t>, Canberra.</w:t>
      </w:r>
    </w:p>
    <w:p w:rsidR="00B54BBA" w:rsidRPr="008E2495" w:rsidRDefault="00B54BBA" w:rsidP="00B54BBA">
      <w:pPr>
        <w:pStyle w:val="Reference"/>
      </w:pPr>
      <w:r w:rsidRPr="008E2495">
        <w:t xml:space="preserve">—— 2010b, </w:t>
      </w:r>
      <w:r w:rsidRPr="008E2495">
        <w:rPr>
          <w:i/>
        </w:rPr>
        <w:t>Review into the Governance, Efficiency, Structure and Operation of Australia’s Superannuation System</w:t>
      </w:r>
      <w:r w:rsidR="003C59C4" w:rsidRPr="008E2495">
        <w:t xml:space="preserve"> </w:t>
      </w:r>
      <w:r w:rsidRPr="008E2495">
        <w:t xml:space="preserve">— </w:t>
      </w:r>
      <w:r w:rsidRPr="008E2495">
        <w:rPr>
          <w:i/>
        </w:rPr>
        <w:t>Final Report: Part Two, Recommendation Packages</w:t>
      </w:r>
      <w:r w:rsidR="003C59C4" w:rsidRPr="008E2495">
        <w:rPr>
          <w:i/>
        </w:rPr>
        <w:t xml:space="preserve"> </w:t>
      </w:r>
      <w:r w:rsidR="003C59C4" w:rsidRPr="008E2495">
        <w:t>(Cooper Review)</w:t>
      </w:r>
      <w:r w:rsidR="00F56783" w:rsidRPr="008E2495">
        <w:t>, Canberra.</w:t>
      </w:r>
    </w:p>
    <w:p w:rsidR="00B54BBA" w:rsidRPr="008E2495" w:rsidRDefault="00B54BBA" w:rsidP="00B54BBA">
      <w:pPr>
        <w:pStyle w:val="Reference"/>
        <w:jc w:val="left"/>
        <w:rPr>
          <w:szCs w:val="26"/>
        </w:rPr>
      </w:pPr>
      <w:r w:rsidRPr="008E2495">
        <w:rPr>
          <w:szCs w:val="26"/>
        </w:rPr>
        <w:t>—— 2010c,</w:t>
      </w:r>
      <w:r w:rsidRPr="008E2495">
        <w:rPr>
          <w:i/>
          <w:iCs/>
          <w:szCs w:val="26"/>
        </w:rPr>
        <w:t xml:space="preserve"> Review into the Governance, Efficiency, Structure and Operation of Australia’s Superannuation System </w:t>
      </w:r>
      <w:r w:rsidRPr="008E2495">
        <w:rPr>
          <w:szCs w:val="26"/>
        </w:rPr>
        <w:t xml:space="preserve">— </w:t>
      </w:r>
      <w:r w:rsidRPr="008E2495">
        <w:rPr>
          <w:i/>
          <w:iCs/>
          <w:szCs w:val="26"/>
        </w:rPr>
        <w:t xml:space="preserve">Superstream — A </w:t>
      </w:r>
      <w:r w:rsidR="0093238F" w:rsidRPr="008E2495">
        <w:rPr>
          <w:i/>
          <w:iCs/>
          <w:szCs w:val="26"/>
        </w:rPr>
        <w:t>P</w:t>
      </w:r>
      <w:r w:rsidRPr="008E2495">
        <w:rPr>
          <w:i/>
          <w:iCs/>
          <w:szCs w:val="26"/>
        </w:rPr>
        <w:t xml:space="preserve">roposal to </w:t>
      </w:r>
      <w:r w:rsidR="0093238F" w:rsidRPr="008E2495">
        <w:rPr>
          <w:i/>
          <w:iCs/>
          <w:szCs w:val="26"/>
        </w:rPr>
        <w:t>B</w:t>
      </w:r>
      <w:r w:rsidRPr="008E2495">
        <w:rPr>
          <w:i/>
          <w:iCs/>
          <w:szCs w:val="26"/>
        </w:rPr>
        <w:t xml:space="preserve">ring the </w:t>
      </w:r>
      <w:r w:rsidR="0093238F" w:rsidRPr="008E2495">
        <w:rPr>
          <w:i/>
          <w:iCs/>
          <w:szCs w:val="26"/>
        </w:rPr>
        <w:t>B</w:t>
      </w:r>
      <w:r w:rsidRPr="008E2495">
        <w:rPr>
          <w:i/>
          <w:iCs/>
          <w:szCs w:val="26"/>
        </w:rPr>
        <w:t xml:space="preserve">ack </w:t>
      </w:r>
      <w:r w:rsidR="0093238F" w:rsidRPr="008E2495">
        <w:rPr>
          <w:i/>
          <w:iCs/>
          <w:szCs w:val="26"/>
        </w:rPr>
        <w:t>O</w:t>
      </w:r>
      <w:r w:rsidRPr="008E2495">
        <w:rPr>
          <w:i/>
          <w:iCs/>
          <w:szCs w:val="26"/>
        </w:rPr>
        <w:t xml:space="preserve">ffice of </w:t>
      </w:r>
      <w:r w:rsidR="0093238F" w:rsidRPr="008E2495">
        <w:rPr>
          <w:i/>
          <w:iCs/>
          <w:szCs w:val="26"/>
        </w:rPr>
        <w:t>S</w:t>
      </w:r>
      <w:r w:rsidRPr="008E2495">
        <w:rPr>
          <w:i/>
          <w:iCs/>
          <w:szCs w:val="26"/>
        </w:rPr>
        <w:t>uper into the 21st Century</w:t>
      </w:r>
      <w:r w:rsidRPr="008E2495">
        <w:rPr>
          <w:szCs w:val="26"/>
        </w:rPr>
        <w:t>, Canberra.</w:t>
      </w:r>
    </w:p>
    <w:p w:rsidR="00B54BBA" w:rsidRPr="008E2495" w:rsidRDefault="00B54BBA" w:rsidP="00B54BBA">
      <w:pPr>
        <w:pStyle w:val="Reference"/>
      </w:pPr>
      <w:r w:rsidRPr="008E2495">
        <w:t xml:space="preserve">—— 2010d, </w:t>
      </w:r>
      <w:r w:rsidRPr="008E2495">
        <w:rPr>
          <w:i/>
        </w:rPr>
        <w:t>Stronger Super: Government Response to the Super System Review</w:t>
      </w:r>
      <w:r w:rsidR="00F56783" w:rsidRPr="008E2495">
        <w:t>, Canberra.</w:t>
      </w:r>
    </w:p>
    <w:p w:rsidR="00615040" w:rsidRPr="008E2495" w:rsidRDefault="00615040" w:rsidP="00615040">
      <w:pPr>
        <w:pStyle w:val="Reference"/>
      </w:pPr>
      <w:r w:rsidRPr="008E2495">
        <w:t xml:space="preserve">—— 2011a, </w:t>
      </w:r>
      <w:r w:rsidRPr="008E2495">
        <w:rPr>
          <w:i/>
        </w:rPr>
        <w:t>Stronger Super Information Pack</w:t>
      </w:r>
      <w:r w:rsidR="00F56783" w:rsidRPr="008E2495">
        <w:t>, September, Canberra.</w:t>
      </w:r>
    </w:p>
    <w:p w:rsidR="00B54BBA" w:rsidRPr="008E2495" w:rsidRDefault="00B54BBA" w:rsidP="00B54BBA">
      <w:pPr>
        <w:pStyle w:val="Reference"/>
      </w:pPr>
      <w:r w:rsidRPr="008E2495">
        <w:t>—— 2011</w:t>
      </w:r>
      <w:r w:rsidR="00615040" w:rsidRPr="008E2495">
        <w:t>b</w:t>
      </w:r>
      <w:r w:rsidRPr="008E2495">
        <w:t xml:space="preserve">, </w:t>
      </w:r>
      <w:r w:rsidRPr="008E2495">
        <w:rPr>
          <w:i/>
        </w:rPr>
        <w:t>Stronger Super: Outcomes of Consultation Process</w:t>
      </w:r>
      <w:r w:rsidR="00F56783" w:rsidRPr="008E2495">
        <w:t>, Canberra.</w:t>
      </w:r>
    </w:p>
    <w:p w:rsidR="00792071" w:rsidRPr="008E2495" w:rsidRDefault="00792071" w:rsidP="00792071">
      <w:pPr>
        <w:pStyle w:val="Reference"/>
      </w:pPr>
      <w:r w:rsidRPr="008E2495">
        <w:lastRenderedPageBreak/>
        <w:t xml:space="preserve">—— nd, </w:t>
      </w:r>
      <w:r w:rsidRPr="00792071">
        <w:t>SuperStream Working Group Terms of Reference</w:t>
      </w:r>
      <w:r w:rsidRPr="008E2495">
        <w:t>, http://strongersuper.treasury.gov.au/content/consultations/working_groups/</w:t>
      </w:r>
      <w:r w:rsidRPr="008E2495">
        <w:br/>
        <w:t>superstream/administration/downloads/SuperStream_Terms_of_Reference.pdf (accessed 3 September 2012).</w:t>
      </w:r>
    </w:p>
    <w:p w:rsidR="0051643A" w:rsidRPr="008E2495" w:rsidRDefault="0051643A" w:rsidP="0051643A">
      <w:pPr>
        <w:pStyle w:val="Reference"/>
        <w:rPr>
          <w:sz w:val="24"/>
        </w:rPr>
      </w:pPr>
      <w:r w:rsidRPr="008E2495">
        <w:t>Bashears, J., Choi, J., Laibson, D.</w:t>
      </w:r>
      <w:r w:rsidR="00196108" w:rsidRPr="008E2495">
        <w:t xml:space="preserve"> and</w:t>
      </w:r>
      <w:r w:rsidRPr="008E2495">
        <w:t xml:space="preserve"> Madrian, B. 2006, </w:t>
      </w:r>
      <w:r w:rsidRPr="008E2495">
        <w:rPr>
          <w:i/>
        </w:rPr>
        <w:t xml:space="preserve">The </w:t>
      </w:r>
      <w:r w:rsidR="00974F26" w:rsidRPr="008E2495">
        <w:rPr>
          <w:i/>
        </w:rPr>
        <w:t>I</w:t>
      </w:r>
      <w:r w:rsidRPr="008E2495">
        <w:rPr>
          <w:i/>
        </w:rPr>
        <w:t xml:space="preserve">mportance of </w:t>
      </w:r>
      <w:r w:rsidR="00974F26" w:rsidRPr="008E2495">
        <w:rPr>
          <w:i/>
        </w:rPr>
        <w:t>D</w:t>
      </w:r>
      <w:r w:rsidRPr="008E2495">
        <w:rPr>
          <w:i/>
        </w:rPr>
        <w:t xml:space="preserve">efault </w:t>
      </w:r>
      <w:r w:rsidR="00974F26" w:rsidRPr="008E2495">
        <w:rPr>
          <w:i/>
        </w:rPr>
        <w:t>O</w:t>
      </w:r>
      <w:r w:rsidRPr="008E2495">
        <w:rPr>
          <w:i/>
        </w:rPr>
        <w:t xml:space="preserve">ptions for </w:t>
      </w:r>
      <w:r w:rsidR="00974F26" w:rsidRPr="008E2495">
        <w:rPr>
          <w:i/>
        </w:rPr>
        <w:t>R</w:t>
      </w:r>
      <w:r w:rsidRPr="008E2495">
        <w:rPr>
          <w:i/>
        </w:rPr>
        <w:t xml:space="preserve">etirement </w:t>
      </w:r>
      <w:r w:rsidR="00974F26" w:rsidRPr="008E2495">
        <w:rPr>
          <w:i/>
        </w:rPr>
        <w:t>S</w:t>
      </w:r>
      <w:r w:rsidRPr="008E2495">
        <w:rPr>
          <w:i/>
        </w:rPr>
        <w:t xml:space="preserve">avings </w:t>
      </w:r>
      <w:r w:rsidR="00974F26" w:rsidRPr="008E2495">
        <w:rPr>
          <w:i/>
        </w:rPr>
        <w:t>O</w:t>
      </w:r>
      <w:r w:rsidRPr="008E2495">
        <w:rPr>
          <w:i/>
        </w:rPr>
        <w:t xml:space="preserve">utcomes: </w:t>
      </w:r>
      <w:r w:rsidR="00974F26" w:rsidRPr="008E2495">
        <w:rPr>
          <w:i/>
        </w:rPr>
        <w:t>E</w:t>
      </w:r>
      <w:r w:rsidRPr="008E2495">
        <w:rPr>
          <w:i/>
        </w:rPr>
        <w:t>vidence from the United States</w:t>
      </w:r>
      <w:r w:rsidRPr="008E2495">
        <w:t>, NBER Working Paper No. 12</w:t>
      </w:r>
      <w:r w:rsidR="00F56783" w:rsidRPr="008E2495">
        <w:t>009, Cambridge Massachusetts.</w:t>
      </w:r>
    </w:p>
    <w:p w:rsidR="00D52BB1" w:rsidRPr="008E2495" w:rsidRDefault="00D52BB1" w:rsidP="00D52BB1">
      <w:pPr>
        <w:pStyle w:val="Reference"/>
      </w:pPr>
      <w:r w:rsidRPr="008E2495">
        <w:t xml:space="preserve">Basu, A.K. and Drew, M.E. 2009, ‘Portfolio size effect in retirement accounts: what does it imply for lifecycle asset allocation funds?’, </w:t>
      </w:r>
      <w:r w:rsidRPr="008E2495">
        <w:rPr>
          <w:i/>
        </w:rPr>
        <w:t>Journal of Portfolio Management</w:t>
      </w:r>
      <w:r w:rsidRPr="008E2495">
        <w:t xml:space="preserve">, </w:t>
      </w:r>
      <w:r w:rsidR="00F56783" w:rsidRPr="008E2495">
        <w:t>vol. 35, no. 3, pp. 61–72.</w:t>
      </w:r>
    </w:p>
    <w:p w:rsidR="0051643A" w:rsidRPr="008E2495" w:rsidRDefault="0051643A" w:rsidP="0051643A">
      <w:pPr>
        <w:pStyle w:val="Reference"/>
      </w:pPr>
      <w:r w:rsidRPr="008E2495">
        <w:t>Benartzi</w:t>
      </w:r>
      <w:r w:rsidR="001F7971" w:rsidRPr="008E2495">
        <w:t>, S. and Thaler, R.H.</w:t>
      </w:r>
      <w:r w:rsidR="00643D3B" w:rsidRPr="008E2495">
        <w:t xml:space="preserve"> </w:t>
      </w:r>
      <w:r w:rsidRPr="008E2495">
        <w:t xml:space="preserve">2007, </w:t>
      </w:r>
      <w:r w:rsidR="00140194">
        <w:t>‘</w:t>
      </w:r>
      <w:r w:rsidRPr="00084D51">
        <w:t>Heuristics and Biases in Retirement Savings Behavior</w:t>
      </w:r>
      <w:r w:rsidR="00140194">
        <w:t>’,</w:t>
      </w:r>
      <w:r w:rsidRPr="00140194">
        <w:t xml:space="preserve"> </w:t>
      </w:r>
      <w:r w:rsidRPr="00084D51">
        <w:rPr>
          <w:i/>
        </w:rPr>
        <w:t>Journal of Economic Perspectives</w:t>
      </w:r>
      <w:r w:rsidRPr="008E2495">
        <w:t xml:space="preserve">, </w:t>
      </w:r>
      <w:r w:rsidR="00140194">
        <w:t xml:space="preserve">vol. </w:t>
      </w:r>
      <w:r w:rsidRPr="008E2495">
        <w:t>21</w:t>
      </w:r>
      <w:r w:rsidR="00140194">
        <w:t xml:space="preserve">, no. </w:t>
      </w:r>
      <w:r w:rsidRPr="008E2495">
        <w:t>3</w:t>
      </w:r>
      <w:r w:rsidR="00992FD2">
        <w:t>, pp.</w:t>
      </w:r>
      <w:r w:rsidRPr="008E2495">
        <w:t xml:space="preserve"> 81–104.</w:t>
      </w:r>
    </w:p>
    <w:p w:rsidR="009A4948" w:rsidRPr="00F82C96" w:rsidRDefault="009A4948" w:rsidP="009A4948">
      <w:pPr>
        <w:pStyle w:val="Reference"/>
      </w:pPr>
      <w:r w:rsidRPr="00F82C96">
        <w:t xml:space="preserve">Bilson, C., Frino, A. and Heaney, R. 2005, </w:t>
      </w:r>
      <w:r w:rsidR="00140194">
        <w:t>‘</w:t>
      </w:r>
      <w:r w:rsidRPr="00084D51">
        <w:t>Australian retail fund performance persistence</w:t>
      </w:r>
      <w:r w:rsidR="00140194">
        <w:t>’</w:t>
      </w:r>
      <w:r w:rsidRPr="00F82C96">
        <w:t xml:space="preserve">, </w:t>
      </w:r>
      <w:r w:rsidRPr="00084D51">
        <w:rPr>
          <w:i/>
        </w:rPr>
        <w:t>Accounting and Finance</w:t>
      </w:r>
      <w:r w:rsidRPr="00F82C96">
        <w:t>, vol. 45, pp. 25–42.</w:t>
      </w:r>
    </w:p>
    <w:p w:rsidR="0051643A" w:rsidRPr="008E2495" w:rsidRDefault="0051643A" w:rsidP="0051643A">
      <w:pPr>
        <w:pStyle w:val="Reference"/>
      </w:pPr>
      <w:r w:rsidRPr="008E2495">
        <w:t>Brown, J., Farrell</w:t>
      </w:r>
      <w:r w:rsidR="0044506F">
        <w:t>,</w:t>
      </w:r>
      <w:r w:rsidRPr="008E2495">
        <w:t xml:space="preserve"> A. and Weisbenner S. 2011, </w:t>
      </w:r>
      <w:r w:rsidRPr="008E2495">
        <w:rPr>
          <w:i/>
        </w:rPr>
        <w:t>The Downside of Defaults</w:t>
      </w:r>
      <w:r w:rsidRPr="008E2495">
        <w:t>, NBER</w:t>
      </w:r>
      <w:r w:rsidR="0044506F">
        <w:t> </w:t>
      </w:r>
      <w:r w:rsidRPr="008E2495">
        <w:t>Working Paper No. NB11</w:t>
      </w:r>
      <w:r w:rsidR="00F56783" w:rsidRPr="008E2495">
        <w:t>-01, Cambridge Massachusetts.</w:t>
      </w:r>
    </w:p>
    <w:p w:rsidR="00A95722" w:rsidRPr="008E2495" w:rsidRDefault="00A95722" w:rsidP="00A95722">
      <w:pPr>
        <w:pStyle w:val="Reference"/>
        <w:jc w:val="left"/>
      </w:pPr>
      <w:r w:rsidRPr="008E2495">
        <w:t>Buchanan, J</w:t>
      </w:r>
      <w:r w:rsidR="0044506F">
        <w:t>.</w:t>
      </w:r>
      <w:r w:rsidRPr="008E2495">
        <w:t xml:space="preserve"> and Considine, G. 2008, ‘The significance of minimum wages for the broader wage setting environment: understanding the role and reach of Australian awards’ in Australian Fair Pay Commission, 2008 </w:t>
      </w:r>
      <w:r w:rsidRPr="008E2495">
        <w:rPr>
          <w:i/>
        </w:rPr>
        <w:t>Minimum Wages Research Forum Proceedings</w:t>
      </w:r>
      <w:r w:rsidRPr="008E2495">
        <w:t>, vol. 1, Research Report No 4a/08, October, pp. 47</w:t>
      </w:r>
      <w:r w:rsidRPr="008E2495">
        <w:rPr>
          <w:rFonts w:cs="Arial"/>
          <w:sz w:val="22"/>
          <w:szCs w:val="22"/>
        </w:rPr>
        <w:t>−</w:t>
      </w:r>
      <w:r w:rsidRPr="008E2495">
        <w:t>62.</w:t>
      </w:r>
    </w:p>
    <w:p w:rsidR="00841062" w:rsidRPr="008E2495" w:rsidRDefault="00841062" w:rsidP="00841062">
      <w:pPr>
        <w:pStyle w:val="Reference"/>
      </w:pPr>
      <w:r w:rsidRPr="008E2495">
        <w:t xml:space="preserve">Business News Americas 2007, </w:t>
      </w:r>
      <w:r w:rsidRPr="008E2495">
        <w:rPr>
          <w:i/>
        </w:rPr>
        <w:t>Commission to Issue Verdict on BancoEstado AFP Entry by Jun 25</w:t>
      </w:r>
      <w:r w:rsidRPr="008E2495">
        <w:t>, www.bnamericas.com/news/insurance/Commission</w:t>
      </w:r>
      <w:r w:rsidRPr="008E2495">
        <w:br/>
        <w:t>_to_issue_verdict_on_BancoEstado_AFP_entry_by_Jun_25 (accessed 4 June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Business Victoria 2011, </w:t>
      </w:r>
      <w:r w:rsidRPr="008E2495">
        <w:rPr>
          <w:i/>
        </w:rPr>
        <w:t xml:space="preserve">About Victorian </w:t>
      </w:r>
      <w:r w:rsidR="00974F26" w:rsidRPr="008E2495">
        <w:rPr>
          <w:i/>
        </w:rPr>
        <w:t>I</w:t>
      </w:r>
      <w:r w:rsidRPr="008E2495">
        <w:rPr>
          <w:i/>
        </w:rPr>
        <w:t xml:space="preserve">ndustrial </w:t>
      </w:r>
      <w:r w:rsidR="00974F26" w:rsidRPr="008E2495">
        <w:rPr>
          <w:i/>
        </w:rPr>
        <w:t>Re</w:t>
      </w:r>
      <w:r w:rsidRPr="008E2495">
        <w:rPr>
          <w:i/>
        </w:rPr>
        <w:t xml:space="preserve">lations, </w:t>
      </w:r>
      <w:r w:rsidRPr="008E2495">
        <w:t>8 August, www.business.vic.gov.au/BUSVIC/STANDARD/PC_50492.html (accessed 21</w:t>
      </w:r>
      <w:r w:rsidR="00992FD2">
        <w:t> </w:t>
      </w:r>
      <w:r w:rsidRPr="008E2495">
        <w:t>May 2012).</w:t>
      </w:r>
    </w:p>
    <w:p w:rsidR="00D52BB1" w:rsidRPr="008E2495" w:rsidRDefault="00D52BB1" w:rsidP="00D52BB1">
      <w:pPr>
        <w:pStyle w:val="Reference"/>
      </w:pPr>
      <w:r w:rsidRPr="008E2495">
        <w:t xml:space="preserve">Canstar Cannex 2011, </w:t>
      </w:r>
      <w:r w:rsidRPr="008E2495">
        <w:rPr>
          <w:i/>
        </w:rPr>
        <w:t>Report No. 2 — Superannuation Star Ratings,</w:t>
      </w:r>
      <w:r w:rsidR="00F56783" w:rsidRPr="008E2495">
        <w:t xml:space="preserve"> September.</w:t>
      </w:r>
    </w:p>
    <w:p w:rsidR="0051643A" w:rsidRPr="008E2495" w:rsidRDefault="0051643A" w:rsidP="0051643A">
      <w:pPr>
        <w:pStyle w:val="Reference"/>
      </w:pPr>
      <w:r w:rsidRPr="008E2495">
        <w:t xml:space="preserve">Carroll, G., Choi, J., Laibson, D., Madrian, B. and Metrick, A. 2009, </w:t>
      </w:r>
      <w:r w:rsidR="000D2B96">
        <w:t>‘</w:t>
      </w:r>
      <w:r w:rsidRPr="00084D51">
        <w:t>Optimal Defaults and Active Decisions</w:t>
      </w:r>
      <w:r w:rsidR="000D2B96">
        <w:t>’</w:t>
      </w:r>
      <w:r w:rsidRPr="008E2495">
        <w:t xml:space="preserve">, </w:t>
      </w:r>
      <w:r w:rsidRPr="00084D51">
        <w:rPr>
          <w:i/>
        </w:rPr>
        <w:t xml:space="preserve">The Quarterly Journal </w:t>
      </w:r>
      <w:r w:rsidR="00F56783" w:rsidRPr="00084D51">
        <w:rPr>
          <w:i/>
        </w:rPr>
        <w:t>of Economics</w:t>
      </w:r>
      <w:r w:rsidR="00F56783" w:rsidRPr="008E2495">
        <w:t xml:space="preserve">, </w:t>
      </w:r>
      <w:r w:rsidR="000D2B96">
        <w:t xml:space="preserve">vol. </w:t>
      </w:r>
      <w:r w:rsidR="00F56783" w:rsidRPr="008E2495">
        <w:t xml:space="preserve">124, </w:t>
      </w:r>
      <w:r w:rsidR="000D2B96">
        <w:t xml:space="preserve">no. 4, pp. </w:t>
      </w:r>
      <w:r w:rsidR="00F56783" w:rsidRPr="008E2495">
        <w:t>1639</w:t>
      </w:r>
      <w:r w:rsidR="000D2B96">
        <w:t>–</w:t>
      </w:r>
      <w:r w:rsidR="00F56783" w:rsidRPr="008E2495">
        <w:t>74.</w:t>
      </w:r>
    </w:p>
    <w:p w:rsidR="0046284D" w:rsidRPr="008E2495" w:rsidRDefault="00D52BB1" w:rsidP="00D52BB1">
      <w:pPr>
        <w:pStyle w:val="Reference"/>
        <w:rPr>
          <w:vanish/>
        </w:rPr>
      </w:pPr>
      <w:r w:rsidRPr="008E2495">
        <w:t xml:space="preserve">Chant West 2012, </w:t>
      </w:r>
      <w:r w:rsidRPr="008E2495">
        <w:rPr>
          <w:i/>
        </w:rPr>
        <w:t xml:space="preserve">Another </w:t>
      </w:r>
      <w:r w:rsidR="00974F26" w:rsidRPr="008E2495">
        <w:rPr>
          <w:i/>
        </w:rPr>
        <w:t>S</w:t>
      </w:r>
      <w:r w:rsidRPr="008E2495">
        <w:rPr>
          <w:i/>
        </w:rPr>
        <w:t xml:space="preserve">trong </w:t>
      </w:r>
      <w:r w:rsidR="00974F26" w:rsidRPr="008E2495">
        <w:rPr>
          <w:i/>
        </w:rPr>
        <w:t>M</w:t>
      </w:r>
      <w:r w:rsidRPr="008E2495">
        <w:rPr>
          <w:i/>
        </w:rPr>
        <w:t xml:space="preserve">onth on the </w:t>
      </w:r>
      <w:r w:rsidR="00974F26" w:rsidRPr="008E2495">
        <w:rPr>
          <w:i/>
        </w:rPr>
        <w:t>M</w:t>
      </w:r>
      <w:r w:rsidRPr="008E2495">
        <w:rPr>
          <w:i/>
        </w:rPr>
        <w:t xml:space="preserve">arkets </w:t>
      </w:r>
      <w:r w:rsidR="00974F26" w:rsidRPr="008E2495">
        <w:rPr>
          <w:i/>
        </w:rPr>
        <w:t>P</w:t>
      </w:r>
      <w:r w:rsidRPr="008E2495">
        <w:rPr>
          <w:i/>
        </w:rPr>
        <w:t xml:space="preserve">ushes </w:t>
      </w:r>
      <w:r w:rsidR="00974F26" w:rsidRPr="008E2495">
        <w:rPr>
          <w:i/>
        </w:rPr>
        <w:t>F</w:t>
      </w:r>
      <w:r w:rsidRPr="008E2495">
        <w:rPr>
          <w:i/>
        </w:rPr>
        <w:t xml:space="preserve">unds </w:t>
      </w:r>
      <w:r w:rsidR="00974F26" w:rsidRPr="008E2495">
        <w:rPr>
          <w:i/>
        </w:rPr>
        <w:t>H</w:t>
      </w:r>
      <w:r w:rsidRPr="008E2495">
        <w:rPr>
          <w:i/>
        </w:rPr>
        <w:t>igher</w:t>
      </w:r>
      <w:r w:rsidRPr="008E2495">
        <w:t xml:space="preserve">, </w:t>
      </w:r>
      <w:r w:rsidR="005E3BA4" w:rsidRPr="008E2495">
        <w:t xml:space="preserve">Media Release, </w:t>
      </w:r>
      <w:r w:rsidRPr="008E2495">
        <w:t>www.chantwest.com.au/PDFFiles/Chant%20West%20Media%</w:t>
      </w:r>
      <w:r w:rsidRPr="008E2495">
        <w:br/>
        <w:t>20Release%20-%20February%202012%20Performance.pdf</w:t>
      </w:r>
      <w:r w:rsidR="0046284D" w:rsidRPr="008E2495">
        <w:t xml:space="preserve"> (accessed </w:t>
      </w:r>
      <w:r w:rsidRPr="008E2495">
        <w:t>2 April 2012).</w:t>
      </w:r>
    </w:p>
    <w:p w:rsidR="005773D1" w:rsidRPr="008E2495" w:rsidRDefault="005773D1" w:rsidP="005773D1">
      <w:pPr>
        <w:pStyle w:val="Reference"/>
      </w:pPr>
      <w:r w:rsidRPr="008E2495">
        <w:lastRenderedPageBreak/>
        <w:t xml:space="preserve">Choice 2006, </w:t>
      </w:r>
      <w:r w:rsidRPr="008E2495">
        <w:rPr>
          <w:i/>
        </w:rPr>
        <w:t xml:space="preserve">The Super Secret: How </w:t>
      </w:r>
      <w:r w:rsidR="00D02040" w:rsidRPr="008E2495">
        <w:rPr>
          <w:i/>
        </w:rPr>
        <w:t>M</w:t>
      </w:r>
      <w:r w:rsidRPr="008E2495">
        <w:rPr>
          <w:i/>
        </w:rPr>
        <w:t xml:space="preserve">ultiple </w:t>
      </w:r>
      <w:r w:rsidR="00D02040" w:rsidRPr="008E2495">
        <w:rPr>
          <w:i/>
        </w:rPr>
        <w:t>Ac</w:t>
      </w:r>
      <w:r w:rsidRPr="008E2495">
        <w:rPr>
          <w:i/>
        </w:rPr>
        <w:t xml:space="preserve">counts </w:t>
      </w:r>
      <w:r w:rsidR="00D02040" w:rsidRPr="008E2495">
        <w:rPr>
          <w:i/>
        </w:rPr>
        <w:t>C</w:t>
      </w:r>
      <w:r w:rsidRPr="008E2495">
        <w:rPr>
          <w:i/>
        </w:rPr>
        <w:t xml:space="preserve">ost </w:t>
      </w:r>
      <w:r w:rsidR="00D02040" w:rsidRPr="008E2495">
        <w:rPr>
          <w:i/>
        </w:rPr>
        <w:t>C</w:t>
      </w:r>
      <w:r w:rsidRPr="008E2495">
        <w:rPr>
          <w:i/>
        </w:rPr>
        <w:t xml:space="preserve">onsumers </w:t>
      </w:r>
      <w:r w:rsidR="00D02040" w:rsidRPr="008E2495">
        <w:rPr>
          <w:i/>
        </w:rPr>
        <w:t>B</w:t>
      </w:r>
      <w:r w:rsidRPr="008E2495">
        <w:rPr>
          <w:i/>
        </w:rPr>
        <w:t>illions</w:t>
      </w:r>
      <w:r w:rsidRPr="008E2495">
        <w:t>, Research Report 2006:1, Marrickville, November.</w:t>
      </w:r>
    </w:p>
    <w:p w:rsidR="00623255" w:rsidRPr="008E2495" w:rsidRDefault="00A95722" w:rsidP="00A95722">
      <w:pPr>
        <w:pStyle w:val="Reference"/>
        <w:jc w:val="left"/>
      </w:pPr>
      <w:r w:rsidRPr="008E2495">
        <w:t xml:space="preserve">Clare, R. </w:t>
      </w:r>
      <w:r w:rsidR="00623255" w:rsidRPr="008E2495">
        <w:t xml:space="preserve">2006, </w:t>
      </w:r>
      <w:r w:rsidR="00553F1A" w:rsidRPr="008E2495">
        <w:rPr>
          <w:i/>
        </w:rPr>
        <w:t>The I</w:t>
      </w:r>
      <w:r w:rsidR="00623255" w:rsidRPr="008E2495">
        <w:rPr>
          <w:i/>
        </w:rPr>
        <w:t xml:space="preserve">ntroduction of </w:t>
      </w:r>
      <w:r w:rsidR="00553F1A" w:rsidRPr="008E2495">
        <w:rPr>
          <w:i/>
        </w:rPr>
        <w:t>C</w:t>
      </w:r>
      <w:r w:rsidR="00623255" w:rsidRPr="008E2495">
        <w:rPr>
          <w:i/>
        </w:rPr>
        <w:t xml:space="preserve">hoice of </w:t>
      </w:r>
      <w:r w:rsidR="00553F1A" w:rsidRPr="008E2495">
        <w:rPr>
          <w:i/>
        </w:rPr>
        <w:t>S</w:t>
      </w:r>
      <w:r w:rsidR="00623255" w:rsidRPr="008E2495">
        <w:rPr>
          <w:i/>
        </w:rPr>
        <w:t>upera</w:t>
      </w:r>
      <w:r w:rsidR="00136B0E" w:rsidRPr="008E2495">
        <w:rPr>
          <w:i/>
        </w:rPr>
        <w:t xml:space="preserve">nnuation </w:t>
      </w:r>
      <w:r w:rsidR="00553F1A" w:rsidRPr="008E2495">
        <w:rPr>
          <w:i/>
        </w:rPr>
        <w:t>F</w:t>
      </w:r>
      <w:r w:rsidR="00136B0E" w:rsidRPr="008E2495">
        <w:rPr>
          <w:i/>
        </w:rPr>
        <w:t xml:space="preserve">und — </w:t>
      </w:r>
      <w:r w:rsidR="00553F1A" w:rsidRPr="008E2495">
        <w:rPr>
          <w:i/>
        </w:rPr>
        <w:t>R</w:t>
      </w:r>
      <w:r w:rsidR="00136B0E" w:rsidRPr="008E2495">
        <w:rPr>
          <w:i/>
        </w:rPr>
        <w:t xml:space="preserve">esults to </w:t>
      </w:r>
      <w:r w:rsidR="00553F1A" w:rsidRPr="008E2495">
        <w:rPr>
          <w:i/>
        </w:rPr>
        <w:t>D</w:t>
      </w:r>
      <w:r w:rsidR="00136B0E" w:rsidRPr="008E2495">
        <w:rPr>
          <w:i/>
        </w:rPr>
        <w:t>ate</w:t>
      </w:r>
      <w:r w:rsidR="00136B0E" w:rsidRPr="008E2495">
        <w:t>,</w:t>
      </w:r>
      <w:r w:rsidR="00623255" w:rsidRPr="008E2495">
        <w:rPr>
          <w:i/>
        </w:rPr>
        <w:t xml:space="preserve"> </w:t>
      </w:r>
      <w:r w:rsidR="00623255" w:rsidRPr="008E2495">
        <w:t>Association of Superannuation Funds Australia, February.</w:t>
      </w:r>
    </w:p>
    <w:p w:rsidR="00CE10C5" w:rsidRPr="008E2495" w:rsidRDefault="00CE10C5" w:rsidP="00CE10C5">
      <w:pPr>
        <w:pStyle w:val="Reference"/>
        <w:jc w:val="left"/>
      </w:pPr>
      <w:r w:rsidRPr="008E2495">
        <w:t xml:space="preserve">—— 2008, </w:t>
      </w:r>
      <w:r w:rsidRPr="008E2495">
        <w:rPr>
          <w:i/>
          <w:iCs/>
        </w:rPr>
        <w:t>Retirement Savings Update,</w:t>
      </w:r>
      <w:r w:rsidRPr="008E2495">
        <w:t xml:space="preserve"> ASFA Research and Resource Centre, February.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2010, </w:t>
      </w:r>
      <w:r w:rsidRPr="008E2495">
        <w:rPr>
          <w:i/>
        </w:rPr>
        <w:t xml:space="preserve">Employer Contributions to Superannuation in Excess of 9% of Wages: Results of Survey and </w:t>
      </w:r>
      <w:r w:rsidR="00974F26" w:rsidRPr="008E2495">
        <w:rPr>
          <w:i/>
        </w:rPr>
        <w:t>O</w:t>
      </w:r>
      <w:r w:rsidRPr="008E2495">
        <w:rPr>
          <w:i/>
        </w:rPr>
        <w:t>ther Research</w:t>
      </w:r>
      <w:r w:rsidRPr="008E2495">
        <w:t>, Association of Superannuation Funds Australia</w:t>
      </w:r>
      <w:r w:rsidRPr="008E2495">
        <w:rPr>
          <w:i/>
        </w:rPr>
        <w:t xml:space="preserve">, </w:t>
      </w:r>
      <w:r w:rsidRPr="008E2495">
        <w:t>March.</w:t>
      </w:r>
    </w:p>
    <w:p w:rsidR="00615040" w:rsidRPr="008E2495" w:rsidRDefault="00615040" w:rsidP="00615040">
      <w:pPr>
        <w:pStyle w:val="Reference"/>
      </w:pPr>
      <w:r w:rsidRPr="008E2495">
        <w:t xml:space="preserve">Colmar Brunton 2010a, </w:t>
      </w:r>
      <w:r w:rsidRPr="008E2495">
        <w:rPr>
          <w:i/>
          <w:iCs/>
        </w:rPr>
        <w:t xml:space="preserve">Investigating Superannuation: Quantitative Investigation with Employers, </w:t>
      </w:r>
      <w:r w:rsidRPr="008E2495">
        <w:t>Final Quantitative Report, Prepared for the Australian Tax Office, 20 January.</w:t>
      </w:r>
    </w:p>
    <w:p w:rsidR="00A658D4" w:rsidRPr="008E2495" w:rsidRDefault="00615040" w:rsidP="00A658D4">
      <w:pPr>
        <w:pStyle w:val="Reference"/>
        <w:rPr>
          <w:i/>
        </w:rPr>
      </w:pPr>
      <w:r w:rsidRPr="008E2495">
        <w:t xml:space="preserve">—— </w:t>
      </w:r>
      <w:r w:rsidR="00A658D4" w:rsidRPr="008E2495">
        <w:t>2010</w:t>
      </w:r>
      <w:r w:rsidRPr="008E2495">
        <w:t>b</w:t>
      </w:r>
      <w:r w:rsidR="00A658D4" w:rsidRPr="008E2495">
        <w:t>,</w:t>
      </w:r>
      <w:r w:rsidR="00A658D4" w:rsidRPr="008E2495">
        <w:rPr>
          <w:i/>
        </w:rPr>
        <w:t xml:space="preserve"> Understanding Superannuation Preliminary Report: Qualitative Investigation with Employers, Consumers &amp; Industry prepared for Australian Taxation Office</w:t>
      </w:r>
      <w:r w:rsidR="00A658D4" w:rsidRPr="008E2495">
        <w:t>, Can</w:t>
      </w:r>
      <w:r w:rsidR="00F56783" w:rsidRPr="008E2495">
        <w:t>berra, 25 March.</w:t>
      </w:r>
    </w:p>
    <w:p w:rsidR="00A658D4" w:rsidRPr="008E2495" w:rsidRDefault="001E5FBF" w:rsidP="00AC3E42">
      <w:pPr>
        <w:pStyle w:val="Reference"/>
      </w:pPr>
      <w:r w:rsidRPr="008E2495">
        <w:t xml:space="preserve">Commission for Financial Literacy and Retirement Income nd, </w:t>
      </w:r>
      <w:r w:rsidR="00A658D4" w:rsidRPr="00992FD2">
        <w:t>New Zealand Superannuation</w:t>
      </w:r>
      <w:r w:rsidR="00A658D4" w:rsidRPr="008E2495">
        <w:t>, www.sorted.org.nz/home/sorted-sections/retirement/new-zealand-superannuation</w:t>
      </w:r>
      <w:r w:rsidR="00F56783" w:rsidRPr="008E2495">
        <w:t xml:space="preserve"> (accessed 6 March 2012).</w:t>
      </w:r>
    </w:p>
    <w:p w:rsidR="00D52BB1" w:rsidRPr="008E2495" w:rsidRDefault="00D52BB1" w:rsidP="00D52BB1">
      <w:pPr>
        <w:pStyle w:val="Reference"/>
      </w:pPr>
      <w:r w:rsidRPr="008E2495">
        <w:t xml:space="preserve">Commonwealth of Australia 2012, </w:t>
      </w:r>
      <w:r w:rsidRPr="008E2495">
        <w:rPr>
          <w:i/>
        </w:rPr>
        <w:t>Parliamentary Joint Committee on Corporations and Financial Services — Superannuation Legislation Amendment (MySuper Core Provisions) Bill 2011 and Superannuation Legislation Amendment (Trustee Obligations and Prudential Standards) Bill 2012</w:t>
      </w:r>
      <w:r w:rsidR="00F56783" w:rsidRPr="008E2495">
        <w:t>, March.</w:t>
      </w:r>
    </w:p>
    <w:p w:rsidR="00A658D4" w:rsidRPr="008E2495" w:rsidRDefault="00A658D4" w:rsidP="00A658D4">
      <w:pPr>
        <w:pStyle w:val="Reference"/>
      </w:pPr>
      <w:r w:rsidRPr="008E2495">
        <w:t xml:space="preserve">Cronqvist, H. and Thaler, R. 2004, </w:t>
      </w:r>
      <w:r w:rsidR="00D52F97">
        <w:t>‘</w:t>
      </w:r>
      <w:r w:rsidRPr="00084D51">
        <w:t>Design Choices in Privatized Social-Security Systems: Learning from the Swedish Experience</w:t>
      </w:r>
      <w:r w:rsidR="00D52F97">
        <w:t>’</w:t>
      </w:r>
      <w:r w:rsidRPr="008E2495">
        <w:t xml:space="preserve">, </w:t>
      </w:r>
      <w:r w:rsidRPr="00084D51">
        <w:rPr>
          <w:i/>
        </w:rPr>
        <w:t>American Economic Review</w:t>
      </w:r>
      <w:r w:rsidRPr="008E2495">
        <w:t>, vol. 94</w:t>
      </w:r>
      <w:r w:rsidR="00D52F97">
        <w:t xml:space="preserve">, no. </w:t>
      </w:r>
      <w:r w:rsidRPr="008E2495">
        <w:t>2, pp. 424–8, May.</w:t>
      </w:r>
    </w:p>
    <w:p w:rsidR="00A658D4" w:rsidRPr="008E2495" w:rsidRDefault="00A658D4" w:rsidP="00A658D4">
      <w:pPr>
        <w:pStyle w:val="Reference"/>
      </w:pPr>
      <w:r w:rsidRPr="008E2495">
        <w:t xml:space="preserve">Cullen, M. (New Zealand Minister for Finance) 2006, </w:t>
      </w:r>
      <w:r w:rsidRPr="008E2495">
        <w:rPr>
          <w:i/>
        </w:rPr>
        <w:t xml:space="preserve">KiwiSaver </w:t>
      </w:r>
      <w:r w:rsidR="00974F26" w:rsidRPr="008E2495">
        <w:rPr>
          <w:i/>
        </w:rPr>
        <w:t>O</w:t>
      </w:r>
      <w:r w:rsidRPr="008E2495">
        <w:rPr>
          <w:i/>
        </w:rPr>
        <w:t xml:space="preserve">n </w:t>
      </w:r>
      <w:r w:rsidR="00974F26" w:rsidRPr="008E2495">
        <w:rPr>
          <w:i/>
        </w:rPr>
        <w:t>T</w:t>
      </w:r>
      <w:r w:rsidRPr="008E2495">
        <w:rPr>
          <w:i/>
        </w:rPr>
        <w:t xml:space="preserve">rack with </w:t>
      </w:r>
      <w:r w:rsidR="00974F26" w:rsidRPr="008E2495">
        <w:rPr>
          <w:i/>
        </w:rPr>
        <w:t>D</w:t>
      </w:r>
      <w:r w:rsidRPr="008E2495">
        <w:rPr>
          <w:i/>
        </w:rPr>
        <w:t xml:space="preserve">efault </w:t>
      </w:r>
      <w:r w:rsidR="00974F26" w:rsidRPr="008E2495">
        <w:rPr>
          <w:i/>
        </w:rPr>
        <w:t>P</w:t>
      </w:r>
      <w:r w:rsidRPr="008E2495">
        <w:rPr>
          <w:i/>
        </w:rPr>
        <w:t xml:space="preserve">roviders </w:t>
      </w:r>
      <w:r w:rsidR="00974F26" w:rsidRPr="008E2495">
        <w:rPr>
          <w:i/>
        </w:rPr>
        <w:t>S</w:t>
      </w:r>
      <w:r w:rsidRPr="008E2495">
        <w:rPr>
          <w:i/>
        </w:rPr>
        <w:t xml:space="preserve">elected, </w:t>
      </w:r>
      <w:r w:rsidR="00F56783" w:rsidRPr="008E2495">
        <w:t>7 December.</w:t>
      </w:r>
    </w:p>
    <w:p w:rsidR="0046284D" w:rsidRPr="008E2495" w:rsidRDefault="00967125" w:rsidP="00D52BB1">
      <w:pPr>
        <w:pStyle w:val="Reference"/>
      </w:pPr>
      <w:r w:rsidRPr="008E2495">
        <w:t xml:space="preserve">—— </w:t>
      </w:r>
      <w:r w:rsidR="00014591" w:rsidRPr="008E2495">
        <w:t xml:space="preserve">2007, </w:t>
      </w:r>
      <w:r w:rsidR="00014591" w:rsidRPr="008E2495">
        <w:rPr>
          <w:i/>
        </w:rPr>
        <w:t xml:space="preserve">Easier </w:t>
      </w:r>
      <w:r w:rsidR="00C06603" w:rsidRPr="008E2495">
        <w:rPr>
          <w:i/>
        </w:rPr>
        <w:t>S</w:t>
      </w:r>
      <w:r w:rsidR="00014591" w:rsidRPr="008E2495">
        <w:rPr>
          <w:i/>
        </w:rPr>
        <w:t xml:space="preserve">aving </w:t>
      </w:r>
      <w:r w:rsidR="00C06603" w:rsidRPr="008E2495">
        <w:rPr>
          <w:i/>
        </w:rPr>
        <w:t>O</w:t>
      </w:r>
      <w:r w:rsidR="00014591" w:rsidRPr="008E2495">
        <w:rPr>
          <w:i/>
        </w:rPr>
        <w:t xml:space="preserve">ne </w:t>
      </w:r>
      <w:r w:rsidR="00C06603" w:rsidRPr="008E2495">
        <w:rPr>
          <w:i/>
        </w:rPr>
        <w:t>S</w:t>
      </w:r>
      <w:r w:rsidR="00014591" w:rsidRPr="008E2495">
        <w:rPr>
          <w:i/>
        </w:rPr>
        <w:t xml:space="preserve">tep </w:t>
      </w:r>
      <w:r w:rsidR="00C06603" w:rsidRPr="008E2495">
        <w:rPr>
          <w:i/>
        </w:rPr>
        <w:t>Cl</w:t>
      </w:r>
      <w:r w:rsidR="00014591" w:rsidRPr="008E2495">
        <w:rPr>
          <w:i/>
        </w:rPr>
        <w:t>oser</w:t>
      </w:r>
      <w:r w:rsidR="00F56783" w:rsidRPr="008E2495">
        <w:t>, 2 April.</w:t>
      </w:r>
    </w:p>
    <w:p w:rsidR="00D52BB1" w:rsidRPr="008E2495" w:rsidRDefault="00D52BB1" w:rsidP="00D52BB1">
      <w:pPr>
        <w:pStyle w:val="Reference"/>
      </w:pPr>
      <w:r w:rsidRPr="008E2495">
        <w:t xml:space="preserve">Cummings, J.R. 2012, </w:t>
      </w:r>
      <w:r w:rsidRPr="008E2495">
        <w:rPr>
          <w:i/>
        </w:rPr>
        <w:t xml:space="preserve">APRA Working paper — Effect of </w:t>
      </w:r>
      <w:r w:rsidR="00974F26" w:rsidRPr="008E2495">
        <w:rPr>
          <w:i/>
        </w:rPr>
        <w:t>F</w:t>
      </w:r>
      <w:r w:rsidRPr="008E2495">
        <w:rPr>
          <w:i/>
        </w:rPr>
        <w:t xml:space="preserve">und </w:t>
      </w:r>
      <w:r w:rsidR="00974F26" w:rsidRPr="008E2495">
        <w:rPr>
          <w:i/>
        </w:rPr>
        <w:t>S</w:t>
      </w:r>
      <w:r w:rsidRPr="008E2495">
        <w:rPr>
          <w:i/>
        </w:rPr>
        <w:t xml:space="preserve">ize on the </w:t>
      </w:r>
      <w:r w:rsidR="00974F26" w:rsidRPr="008E2495">
        <w:rPr>
          <w:i/>
        </w:rPr>
        <w:t>P</w:t>
      </w:r>
      <w:r w:rsidRPr="008E2495">
        <w:rPr>
          <w:i/>
        </w:rPr>
        <w:t xml:space="preserve">erformance of Australian </w:t>
      </w:r>
      <w:r w:rsidR="00974F26" w:rsidRPr="008E2495">
        <w:rPr>
          <w:i/>
        </w:rPr>
        <w:t>S</w:t>
      </w:r>
      <w:r w:rsidRPr="008E2495">
        <w:rPr>
          <w:i/>
        </w:rPr>
        <w:t xml:space="preserve">uperannuation </w:t>
      </w:r>
      <w:r w:rsidR="00974F26" w:rsidRPr="008E2495">
        <w:rPr>
          <w:i/>
        </w:rPr>
        <w:t>F</w:t>
      </w:r>
      <w:r w:rsidRPr="008E2495">
        <w:rPr>
          <w:i/>
        </w:rPr>
        <w:t>unds</w:t>
      </w:r>
      <w:r w:rsidRPr="008E2495">
        <w:t>, www.apra.gov.au/</w:t>
      </w:r>
      <w:r w:rsidRPr="008E2495">
        <w:br/>
        <w:t>AboutAPRA/Documents/SA_WP_EFSP_032012_ex.pdf (</w:t>
      </w:r>
      <w:r w:rsidR="004F0C43" w:rsidRPr="008E2495">
        <w:t>access</w:t>
      </w:r>
      <w:r w:rsidR="00136B0E" w:rsidRPr="008E2495">
        <w:t>ed 24 May 2012)</w:t>
      </w:r>
      <w:r w:rsidR="004F0C43" w:rsidRPr="008E2495">
        <w:t>.</w:t>
      </w:r>
    </w:p>
    <w:p w:rsidR="00967125" w:rsidRPr="008E2495" w:rsidRDefault="00967125" w:rsidP="00967125">
      <w:pPr>
        <w:pStyle w:val="Reference"/>
        <w:jc w:val="left"/>
      </w:pPr>
      <w:r w:rsidRPr="008E2495">
        <w:t xml:space="preserve">DEEWR (Department of Education, Employment and Workplace Relations) 2012a, </w:t>
      </w:r>
      <w:r w:rsidRPr="008E2495">
        <w:rPr>
          <w:i/>
        </w:rPr>
        <w:t>Australian Enterprise Agreements Data</w:t>
      </w:r>
      <w:r w:rsidRPr="008E2495">
        <w:t>, www.deewr.gov.au/workplacerelations/</w:t>
      </w:r>
      <w:r w:rsidRPr="008E2495">
        <w:br/>
        <w:t>Pages/AustralianEnterpriseAgreementsData.aspx (accessed 16 April 2012).</w:t>
      </w:r>
    </w:p>
    <w:p w:rsidR="00967125" w:rsidRPr="008E2495" w:rsidRDefault="00967125" w:rsidP="00967125">
      <w:pPr>
        <w:pStyle w:val="Reference"/>
        <w:jc w:val="left"/>
      </w:pPr>
      <w:r w:rsidRPr="008E2495">
        <w:lastRenderedPageBreak/>
        <w:t xml:space="preserve">—— 2012b, </w:t>
      </w:r>
      <w:r w:rsidRPr="008E2495">
        <w:rPr>
          <w:i/>
        </w:rPr>
        <w:t>Superannuation — Increasing the Superannuation Guarantee to 12</w:t>
      </w:r>
      <w:r w:rsidR="00992FD2">
        <w:t> </w:t>
      </w:r>
      <w:r w:rsidRPr="008E2495">
        <w:rPr>
          <w:i/>
        </w:rPr>
        <w:t>per</w:t>
      </w:r>
      <w:r w:rsidR="00992FD2">
        <w:rPr>
          <w:i/>
        </w:rPr>
        <w:t> </w:t>
      </w:r>
      <w:r w:rsidRPr="008E2495">
        <w:rPr>
          <w:i/>
        </w:rPr>
        <w:t xml:space="preserve">cent, </w:t>
      </w:r>
      <w:r w:rsidRPr="008E2495">
        <w:t>www.deewr.gov.au/Department/Documents/Files/6_Fact_Sheet_</w:t>
      </w:r>
      <w:r w:rsidR="00992FD2" w:rsidRPr="008E2495">
        <w:br/>
      </w:r>
      <w:r w:rsidRPr="008E2495">
        <w:t>SG%20_rate_increase.pdf</w:t>
      </w:r>
      <w:r w:rsidRPr="008E2495">
        <w:rPr>
          <w:rStyle w:val="Hyperlink"/>
          <w:color w:val="auto"/>
          <w:u w:val="none"/>
        </w:rPr>
        <w:t xml:space="preserve"> (accessed 27 March 2012).</w:t>
      </w:r>
    </w:p>
    <w:p w:rsidR="009A4948" w:rsidRPr="00F82C96" w:rsidRDefault="009A4948" w:rsidP="009A4948">
      <w:pPr>
        <w:pStyle w:val="Reference"/>
      </w:pPr>
      <w:r w:rsidRPr="00F82C96">
        <w:t xml:space="preserve">Delaney, J., Watson, J. and Wickramanayake, J. 2011, </w:t>
      </w:r>
      <w:r w:rsidRPr="00F82C96">
        <w:rPr>
          <w:i/>
        </w:rPr>
        <w:t>Australian Superannuation Fund Ratings: What Investors Need to Know</w:t>
      </w:r>
      <w:r w:rsidRPr="00F82C96">
        <w:t>, Department of Accounting and Finance, Monash University, Working Paper Series, http://papers.ssrn.com/sol3/papers.cfm?abstract_id=1913997 (accessed 26</w:t>
      </w:r>
      <w:r w:rsidR="00BD54D9">
        <w:t> </w:t>
      </w:r>
      <w:r w:rsidRPr="00F82C96">
        <w:t>September 2012), August 22.</w:t>
      </w:r>
    </w:p>
    <w:p w:rsidR="003B354A" w:rsidRPr="008E2495" w:rsidRDefault="003B354A" w:rsidP="003B354A">
      <w:pPr>
        <w:pStyle w:val="Reference"/>
      </w:pPr>
      <w:r w:rsidRPr="008E2495">
        <w:t xml:space="preserve">Deloitte 2010, </w:t>
      </w:r>
      <w:r w:rsidRPr="008E2495">
        <w:rPr>
          <w:i/>
          <w:iCs/>
        </w:rPr>
        <w:t xml:space="preserve">Super System Review — Default Fund </w:t>
      </w:r>
      <w:r w:rsidR="00974F26" w:rsidRPr="008E2495">
        <w:rPr>
          <w:i/>
          <w:iCs/>
        </w:rPr>
        <w:t>C</w:t>
      </w:r>
      <w:r w:rsidRPr="008E2495">
        <w:rPr>
          <w:i/>
          <w:iCs/>
        </w:rPr>
        <w:t xml:space="preserve">osts </w:t>
      </w:r>
      <w:r w:rsidR="00974F26" w:rsidRPr="008E2495">
        <w:rPr>
          <w:i/>
          <w:iCs/>
        </w:rPr>
        <w:t>U</w:t>
      </w:r>
      <w:r w:rsidRPr="008E2495">
        <w:rPr>
          <w:i/>
          <w:iCs/>
        </w:rPr>
        <w:t xml:space="preserve">nder the MySuper </w:t>
      </w:r>
      <w:r w:rsidR="00974F26" w:rsidRPr="008E2495">
        <w:rPr>
          <w:i/>
          <w:iCs/>
        </w:rPr>
        <w:t>P</w:t>
      </w:r>
      <w:r w:rsidRPr="008E2495">
        <w:rPr>
          <w:i/>
          <w:iCs/>
        </w:rPr>
        <w:t>roposal</w:t>
      </w:r>
      <w:r w:rsidRPr="008E2495">
        <w:t>, Super Syste</w:t>
      </w:r>
      <w:r w:rsidR="000137B5" w:rsidRPr="008E2495">
        <w:t>m Review Appendix D, 19 April.</w:t>
      </w:r>
    </w:p>
    <w:p w:rsidR="009A4948" w:rsidRPr="00F82C96" w:rsidRDefault="009A4948" w:rsidP="009A4948">
      <w:pPr>
        <w:pStyle w:val="Reference"/>
      </w:pPr>
      <w:r w:rsidRPr="00F82C96">
        <w:t xml:space="preserve">Deloitte </w:t>
      </w:r>
      <w:r>
        <w:t xml:space="preserve">Access Economics 2012, </w:t>
      </w:r>
      <w:r w:rsidRPr="009A4948">
        <w:rPr>
          <w:i/>
        </w:rPr>
        <w:t>Persistence in Superannuation Fund Returns</w:t>
      </w:r>
      <w:r w:rsidRPr="00F82C96">
        <w:t xml:space="preserve">, </w:t>
      </w:r>
      <w:r w:rsidR="00AD0C73">
        <w:t xml:space="preserve">Report </w:t>
      </w:r>
      <w:r w:rsidRPr="00F82C96">
        <w:t>commissioned by Industry Super Network, 24 June.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Department of Commerce (WA) 2012, </w:t>
      </w:r>
      <w:r w:rsidRPr="008E2495">
        <w:rPr>
          <w:i/>
        </w:rPr>
        <w:t xml:space="preserve">Western Australian </w:t>
      </w:r>
      <w:r w:rsidR="00974F26" w:rsidRPr="008E2495">
        <w:rPr>
          <w:i/>
        </w:rPr>
        <w:t>I</w:t>
      </w:r>
      <w:r w:rsidRPr="008E2495">
        <w:rPr>
          <w:i/>
        </w:rPr>
        <w:t xml:space="preserve">ndustrial </w:t>
      </w:r>
      <w:r w:rsidR="00974F26" w:rsidRPr="008E2495">
        <w:rPr>
          <w:i/>
        </w:rPr>
        <w:t>R</w:t>
      </w:r>
      <w:r w:rsidRPr="008E2495">
        <w:rPr>
          <w:i/>
        </w:rPr>
        <w:t xml:space="preserve">elations </w:t>
      </w:r>
      <w:r w:rsidR="00974F26" w:rsidRPr="008E2495">
        <w:rPr>
          <w:i/>
        </w:rPr>
        <w:t>S</w:t>
      </w:r>
      <w:r w:rsidRPr="008E2495">
        <w:rPr>
          <w:i/>
        </w:rPr>
        <w:t xml:space="preserve">ystem </w:t>
      </w:r>
      <w:r w:rsidR="00974F26" w:rsidRPr="008E2495">
        <w:rPr>
          <w:i/>
        </w:rPr>
        <w:t>C</w:t>
      </w:r>
      <w:r w:rsidRPr="008E2495">
        <w:rPr>
          <w:i/>
        </w:rPr>
        <w:t xml:space="preserve">overage, </w:t>
      </w:r>
      <w:r w:rsidRPr="008E2495">
        <w:t>15 May, www.commerce.wa.gov.au/labourrelations/</w:t>
      </w:r>
      <w:r w:rsidR="00E3379A" w:rsidRPr="008E2495">
        <w:br/>
      </w:r>
      <w:r w:rsidRPr="008E2495">
        <w:t>content/Employers/About_IR_in_WA/Western_Australian_industrial_.html (accessed 21 May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Department of Human Services 2011, </w:t>
      </w:r>
      <w:r w:rsidRPr="008E2495">
        <w:rPr>
          <w:i/>
        </w:rPr>
        <w:t xml:space="preserve">Small </w:t>
      </w:r>
      <w:r w:rsidR="00974F26" w:rsidRPr="008E2495">
        <w:rPr>
          <w:i/>
        </w:rPr>
        <w:t>B</w:t>
      </w:r>
      <w:r w:rsidRPr="008E2495">
        <w:rPr>
          <w:i/>
        </w:rPr>
        <w:t xml:space="preserve">usiness </w:t>
      </w:r>
      <w:r w:rsidR="00974F26" w:rsidRPr="008E2495">
        <w:rPr>
          <w:i/>
        </w:rPr>
        <w:t>S</w:t>
      </w:r>
      <w:r w:rsidRPr="008E2495">
        <w:rPr>
          <w:i/>
        </w:rPr>
        <w:t xml:space="preserve">uperannuation </w:t>
      </w:r>
      <w:r w:rsidR="00974F26" w:rsidRPr="008E2495">
        <w:rPr>
          <w:i/>
        </w:rPr>
        <w:t>C</w:t>
      </w:r>
      <w:r w:rsidRPr="008E2495">
        <w:rPr>
          <w:i/>
        </w:rPr>
        <w:t xml:space="preserve">learing </w:t>
      </w:r>
      <w:r w:rsidR="00974F26" w:rsidRPr="008E2495">
        <w:rPr>
          <w:i/>
        </w:rPr>
        <w:t>H</w:t>
      </w:r>
      <w:r w:rsidRPr="008E2495">
        <w:rPr>
          <w:i/>
        </w:rPr>
        <w:t xml:space="preserve">ouse </w:t>
      </w:r>
      <w:r w:rsidR="00974F26" w:rsidRPr="008E2495">
        <w:rPr>
          <w:i/>
        </w:rPr>
        <w:t>C</w:t>
      </w:r>
      <w:r w:rsidRPr="008E2495">
        <w:rPr>
          <w:i/>
        </w:rPr>
        <w:t xml:space="preserve">ontributions </w:t>
      </w:r>
      <w:r w:rsidR="00974F26" w:rsidRPr="008E2495">
        <w:rPr>
          <w:i/>
        </w:rPr>
        <w:t>R</w:t>
      </w:r>
      <w:r w:rsidRPr="008E2495">
        <w:rPr>
          <w:i/>
        </w:rPr>
        <w:t xml:space="preserve">each </w:t>
      </w:r>
      <w:r w:rsidR="00974F26" w:rsidRPr="008E2495">
        <w:rPr>
          <w:i/>
        </w:rPr>
        <w:t>O</w:t>
      </w:r>
      <w:r w:rsidRPr="008E2495">
        <w:rPr>
          <w:i/>
        </w:rPr>
        <w:t>ver $100 million,</w:t>
      </w:r>
      <w:r w:rsidRPr="008E2495">
        <w:t xml:space="preserve"> Media Release, Australian </w:t>
      </w:r>
      <w:r w:rsidRPr="008E2495">
        <w:rPr>
          <w14:textOutline w14:w="9525" w14:cap="rnd" w14:cmpd="sng" w14:algn="ctr">
            <w14:noFill/>
            <w14:prstDash w14:val="solid"/>
            <w14:bevel/>
          </w14:textOutline>
        </w:rPr>
        <w:t>Government</w:t>
      </w:r>
      <w:r w:rsidRPr="008E2495">
        <w:t>, Canberra, 7 November, www.humanservices.gov.au/corporate/</w:t>
      </w:r>
      <w:r w:rsidR="005259B0" w:rsidRPr="008E2495">
        <w:br/>
      </w:r>
      <w:r w:rsidRPr="008E2495">
        <w:t>media/media-releases/2011/2011-11-21-small-business-superannuation-clearing-house-contributions-reach-over-$100-million</w:t>
      </w:r>
      <w:r w:rsidR="000137B5" w:rsidRPr="008E2495">
        <w:t xml:space="preserve"> (accessed 2 May 2012).</w:t>
      </w:r>
    </w:p>
    <w:p w:rsidR="00395BA2" w:rsidRPr="008E2495" w:rsidRDefault="00395BA2" w:rsidP="00395BA2">
      <w:pPr>
        <w:pStyle w:val="Reference"/>
      </w:pPr>
      <w:r w:rsidRPr="008E2495">
        <w:t>Drew</w:t>
      </w:r>
      <w:r w:rsidR="00AD0C73">
        <w:t>,</w:t>
      </w:r>
      <w:r w:rsidRPr="008E2495">
        <w:t xml:space="preserve"> M. and Stanford</w:t>
      </w:r>
      <w:r w:rsidR="00AD0C73">
        <w:t>,</w:t>
      </w:r>
      <w:r w:rsidRPr="008E2495">
        <w:t xml:space="preserve"> J. 2003, ‘Principal and </w:t>
      </w:r>
      <w:r w:rsidR="00C06603" w:rsidRPr="008E2495">
        <w:t>A</w:t>
      </w:r>
      <w:r w:rsidRPr="008E2495">
        <w:t xml:space="preserve">gent </w:t>
      </w:r>
      <w:r w:rsidR="00C06603" w:rsidRPr="008E2495">
        <w:t>Pr</w:t>
      </w:r>
      <w:r w:rsidRPr="008E2495">
        <w:t xml:space="preserve">oblems in </w:t>
      </w:r>
      <w:r w:rsidR="00C06603" w:rsidRPr="008E2495">
        <w:t>S</w:t>
      </w:r>
      <w:r w:rsidRPr="008E2495">
        <w:t xml:space="preserve">uperannuation </w:t>
      </w:r>
      <w:r w:rsidR="00C06603" w:rsidRPr="008E2495">
        <w:t>F</w:t>
      </w:r>
      <w:r w:rsidRPr="008E2495">
        <w:t xml:space="preserve">unds’, </w:t>
      </w:r>
      <w:r w:rsidRPr="008E2495">
        <w:rPr>
          <w:i/>
        </w:rPr>
        <w:t>Australian Economic Review</w:t>
      </w:r>
      <w:r w:rsidR="000137B5" w:rsidRPr="008E2495">
        <w:t>, vol. 36, no. 1, pp. 98</w:t>
      </w:r>
      <w:r w:rsidR="00DF624B">
        <w:t>–</w:t>
      </w:r>
      <w:r w:rsidR="000137B5" w:rsidRPr="008E2495">
        <w:t>107.</w:t>
      </w:r>
    </w:p>
    <w:p w:rsidR="009A4948" w:rsidRPr="00F82C96" w:rsidRDefault="009A4948" w:rsidP="009A4948">
      <w:pPr>
        <w:pStyle w:val="Reference"/>
      </w:pPr>
      <w:r w:rsidRPr="008E2495">
        <w:t xml:space="preserve">—— </w:t>
      </w:r>
      <w:r>
        <w:t>,</w:t>
      </w:r>
      <w:r w:rsidRPr="00F82C96">
        <w:t xml:space="preserve"> </w:t>
      </w:r>
      <w:r w:rsidRPr="008E2495">
        <w:t xml:space="preserve">—— </w:t>
      </w:r>
      <w:r w:rsidRPr="00F82C96">
        <w:t xml:space="preserve">and Veeraraghavan, M. 2002, </w:t>
      </w:r>
      <w:r w:rsidRPr="009A4948">
        <w:rPr>
          <w:i/>
        </w:rPr>
        <w:t>Selecting Australian Equity Superannuation Funds: A Retail Investor’s Perspective</w:t>
      </w:r>
      <w:r w:rsidRPr="00F82C96">
        <w:t>, EFMA 2002 London Meetings, Working Paper Series, http://papers.ssrn.com/sol3/papers.cfm?</w:t>
      </w:r>
      <w:r w:rsidRPr="009A4948">
        <w:t xml:space="preserve"> </w:t>
      </w:r>
      <w:r w:rsidRPr="008E2495">
        <w:br/>
      </w:r>
      <w:r w:rsidRPr="00F82C96">
        <w:t>abstract_id=314886 (accessed 26 September 2012), June 20.</w:t>
      </w:r>
    </w:p>
    <w:p w:rsidR="00D52BB1" w:rsidRPr="008E2495" w:rsidRDefault="00D52BB1" w:rsidP="00D52BB1">
      <w:pPr>
        <w:pStyle w:val="Reference"/>
      </w:pPr>
      <w:r w:rsidRPr="008E2495">
        <w:t xml:space="preserve">Ellis, K., Tobin, A. and Tracey, B. 2008, </w:t>
      </w:r>
      <w:r w:rsidRPr="008E2495">
        <w:rPr>
          <w:i/>
        </w:rPr>
        <w:t>APRA Working Paper — Investment Performance, Asset Allocation, and Expenses of Large Superannuation Funds</w:t>
      </w:r>
      <w:r w:rsidR="003D0ADB" w:rsidRPr="008E2495">
        <w:t>, October.</w:t>
      </w:r>
    </w:p>
    <w:p w:rsidR="0069225C" w:rsidRPr="008E2495" w:rsidRDefault="0069225C" w:rsidP="0051643A">
      <w:pPr>
        <w:pStyle w:val="Reference"/>
      </w:pPr>
      <w:r w:rsidRPr="008E2495">
        <w:t>Farmarkis-Gamboni, S.</w:t>
      </w:r>
      <w:r w:rsidR="00755832">
        <w:t xml:space="preserve">, </w:t>
      </w:r>
      <w:r w:rsidRPr="008E2495">
        <w:t>Rozenbes, D.</w:t>
      </w:r>
      <w:r w:rsidR="00755832">
        <w:t xml:space="preserve"> and Yuen, K.</w:t>
      </w:r>
      <w:r w:rsidRPr="008E2495">
        <w:t xml:space="preserve"> 2012, </w:t>
      </w:r>
      <w:r w:rsidRPr="008E2495">
        <w:rPr>
          <w:i/>
        </w:rPr>
        <w:t xml:space="preserve">Award-reliant </w:t>
      </w:r>
      <w:r w:rsidR="00755832">
        <w:rPr>
          <w:i/>
        </w:rPr>
        <w:t>s</w:t>
      </w:r>
      <w:r w:rsidR="00755832" w:rsidRPr="008E2495">
        <w:rPr>
          <w:i/>
        </w:rPr>
        <w:t xml:space="preserve">mall </w:t>
      </w:r>
      <w:r w:rsidR="00755832">
        <w:rPr>
          <w:i/>
        </w:rPr>
        <w:t>b</w:t>
      </w:r>
      <w:r w:rsidR="00755832" w:rsidRPr="008E2495">
        <w:rPr>
          <w:i/>
        </w:rPr>
        <w:t>usinesses</w:t>
      </w:r>
      <w:r w:rsidRPr="008E2495">
        <w:t>, Research Report 1</w:t>
      </w:r>
      <w:r w:rsidR="00755832">
        <w:t xml:space="preserve">/2012, Fair Work Australia, </w:t>
      </w:r>
      <w:r w:rsidR="00163C66">
        <w:t>Melbourne</w:t>
      </w:r>
      <w:r w:rsidRPr="008E2495">
        <w:t>.</w:t>
      </w:r>
    </w:p>
    <w:p w:rsidR="0051643A" w:rsidRPr="008E2495" w:rsidRDefault="0051643A" w:rsidP="0051643A">
      <w:pPr>
        <w:pStyle w:val="Reference"/>
      </w:pPr>
      <w:r w:rsidRPr="008E2495">
        <w:t>Fear</w:t>
      </w:r>
      <w:r w:rsidR="00AD0C73">
        <w:t>,</w:t>
      </w:r>
      <w:r w:rsidRPr="008E2495">
        <w:t xml:space="preserve"> J. and Pace</w:t>
      </w:r>
      <w:r w:rsidR="00AD0C73">
        <w:t>,</w:t>
      </w:r>
      <w:r w:rsidRPr="008E2495">
        <w:t xml:space="preserve"> G. 2008, </w:t>
      </w:r>
      <w:r w:rsidRPr="008E2495">
        <w:rPr>
          <w:i/>
        </w:rPr>
        <w:t xml:space="preserve">Choosing </w:t>
      </w:r>
      <w:r w:rsidR="00974F26" w:rsidRPr="008E2495">
        <w:rPr>
          <w:i/>
        </w:rPr>
        <w:t>N</w:t>
      </w:r>
      <w:r w:rsidRPr="008E2495">
        <w:rPr>
          <w:i/>
        </w:rPr>
        <w:t xml:space="preserve">ot to </w:t>
      </w:r>
      <w:r w:rsidR="00974F26" w:rsidRPr="008E2495">
        <w:rPr>
          <w:i/>
        </w:rPr>
        <w:t>C</w:t>
      </w:r>
      <w:r w:rsidRPr="008E2495">
        <w:rPr>
          <w:i/>
        </w:rPr>
        <w:t xml:space="preserve">hoose – Making </w:t>
      </w:r>
      <w:r w:rsidR="00974F26" w:rsidRPr="008E2495">
        <w:rPr>
          <w:i/>
        </w:rPr>
        <w:t>S</w:t>
      </w:r>
      <w:r w:rsidRPr="008E2495">
        <w:rPr>
          <w:i/>
        </w:rPr>
        <w:t xml:space="preserve">uperannuation </w:t>
      </w:r>
      <w:r w:rsidR="00974F26" w:rsidRPr="008E2495">
        <w:rPr>
          <w:i/>
        </w:rPr>
        <w:t>W</w:t>
      </w:r>
      <w:r w:rsidRPr="008E2495">
        <w:rPr>
          <w:i/>
        </w:rPr>
        <w:t xml:space="preserve">ork by </w:t>
      </w:r>
      <w:r w:rsidR="00974F26" w:rsidRPr="008E2495">
        <w:rPr>
          <w:i/>
        </w:rPr>
        <w:t>De</w:t>
      </w:r>
      <w:r w:rsidRPr="008E2495">
        <w:rPr>
          <w:i/>
        </w:rPr>
        <w:t>fault</w:t>
      </w:r>
      <w:r w:rsidRPr="008E2495">
        <w:t>, The Australia Institute</w:t>
      </w:r>
      <w:r w:rsidR="00967125" w:rsidRPr="008E2495">
        <w:t>,</w:t>
      </w:r>
      <w:r w:rsidRPr="008E2495">
        <w:t xml:space="preserve"> Discussion Paper No. 103</w:t>
      </w:r>
      <w:r w:rsidR="00967125" w:rsidRPr="008E2495">
        <w:t>, November</w:t>
      </w:r>
      <w:r w:rsidR="003D0ADB" w:rsidRPr="008E2495">
        <w:t>.</w:t>
      </w:r>
    </w:p>
    <w:p w:rsidR="00841062" w:rsidRPr="008E2495" w:rsidRDefault="00841062" w:rsidP="00841062">
      <w:pPr>
        <w:pStyle w:val="Reference"/>
      </w:pPr>
      <w:r w:rsidRPr="008E2495">
        <w:t xml:space="preserve">Ferreiro Yazigi, A. (ed.) 2003, </w:t>
      </w:r>
      <w:r w:rsidRPr="008E2495">
        <w:rPr>
          <w:i/>
        </w:rPr>
        <w:t>The Chilean Pension System</w:t>
      </w:r>
      <w:r w:rsidRPr="008E2495">
        <w:t>, 4th edn, Santiago.</w:t>
      </w:r>
    </w:p>
    <w:p w:rsidR="00967125" w:rsidRPr="008E2495" w:rsidRDefault="00967125" w:rsidP="00967125">
      <w:pPr>
        <w:pStyle w:val="Reference"/>
      </w:pPr>
      <w:r w:rsidRPr="008E2495">
        <w:lastRenderedPageBreak/>
        <w:t xml:space="preserve">Finch, N. 2005, </w:t>
      </w:r>
      <w:r w:rsidR="0007213D">
        <w:t>‘</w:t>
      </w:r>
      <w:r w:rsidRPr="00084D51">
        <w:t>The Trouble with MER: The Disclosure of Fees and Charges in Australian Superannuation and Investment Funds</w:t>
      </w:r>
      <w:r w:rsidR="0007213D">
        <w:t>’</w:t>
      </w:r>
      <w:r w:rsidRPr="008E2495">
        <w:t xml:space="preserve">, </w:t>
      </w:r>
      <w:r w:rsidRPr="00084D51">
        <w:rPr>
          <w:i/>
        </w:rPr>
        <w:t>Journal of Law and Financial Man</w:t>
      </w:r>
      <w:r w:rsidR="003D0ADB" w:rsidRPr="00084D51">
        <w:rPr>
          <w:i/>
        </w:rPr>
        <w:t>agement</w:t>
      </w:r>
      <w:r w:rsidR="003D0ADB" w:rsidRPr="008E2495">
        <w:t xml:space="preserve">, vol. 4, no. 1, </w:t>
      </w:r>
      <w:r w:rsidR="0007213D">
        <w:t>pp. 32–50</w:t>
      </w:r>
      <w:r w:rsidR="003D0ADB" w:rsidRPr="008E2495">
        <w:t>.</w:t>
      </w:r>
    </w:p>
    <w:p w:rsidR="00395BA2" w:rsidRPr="008E2495" w:rsidRDefault="00395BA2" w:rsidP="00395BA2">
      <w:pPr>
        <w:pStyle w:val="Reference"/>
      </w:pPr>
      <w:r w:rsidRPr="008E2495">
        <w:t xml:space="preserve">FSC (Financial Services Council) 2012, </w:t>
      </w:r>
      <w:r w:rsidR="009D3428" w:rsidRPr="008E2495">
        <w:rPr>
          <w:i/>
        </w:rPr>
        <w:t>Superannuation Governance Policy</w:t>
      </w:r>
      <w:r w:rsidR="003D0ADB" w:rsidRPr="008E2495">
        <w:t>, Sydney.</w:t>
      </w:r>
    </w:p>
    <w:p w:rsidR="00014591" w:rsidRPr="008E2495" w:rsidRDefault="00014591" w:rsidP="00014591">
      <w:pPr>
        <w:pStyle w:val="Reference"/>
        <w:rPr>
          <w:i/>
        </w:rPr>
      </w:pPr>
      <w:r w:rsidRPr="008E2495">
        <w:t xml:space="preserve">FWA (Fair Work Australia) 2010a, </w:t>
      </w:r>
      <w:r w:rsidRPr="008E2495">
        <w:rPr>
          <w:i/>
        </w:rPr>
        <w:t>Decision — AMP Life Limited,</w:t>
      </w:r>
      <w:r w:rsidRPr="008E2495">
        <w:t xml:space="preserve"> [2010] FWA 2475.</w:t>
      </w:r>
    </w:p>
    <w:p w:rsidR="00967125" w:rsidRPr="008E2495" w:rsidRDefault="00967125" w:rsidP="00967125">
      <w:pPr>
        <w:pStyle w:val="Reference"/>
        <w:jc w:val="left"/>
      </w:pPr>
      <w:r w:rsidRPr="008E2495">
        <w:t>—— 2010b,</w:t>
      </w:r>
      <w:r w:rsidRPr="008E2495">
        <w:rPr>
          <w:szCs w:val="26"/>
        </w:rPr>
        <w:t xml:space="preserve"> </w:t>
      </w:r>
      <w:r w:rsidRPr="008E2495">
        <w:rPr>
          <w:i/>
          <w:szCs w:val="26"/>
        </w:rPr>
        <w:t>Background to Award Modernisation Process</w:t>
      </w:r>
      <w:r w:rsidRPr="008E2495">
        <w:rPr>
          <w:szCs w:val="26"/>
        </w:rPr>
        <w:t xml:space="preserve">, </w:t>
      </w:r>
      <w:r w:rsidR="007C6094" w:rsidRPr="008E2495">
        <w:t xml:space="preserve"> www.fwa.gov.au /index.cfm?pagename=awardsmodern</w:t>
      </w:r>
      <w:r w:rsidRPr="008E2495">
        <w:t xml:space="preserve"> (accessed 3 February 2012).</w:t>
      </w:r>
    </w:p>
    <w:p w:rsidR="00014591" w:rsidRPr="008E2495" w:rsidRDefault="00014591" w:rsidP="00014591">
      <w:pPr>
        <w:pStyle w:val="Reference"/>
        <w:rPr>
          <w:i/>
        </w:rPr>
      </w:pPr>
      <w:r w:rsidRPr="008E2495">
        <w:t>—— 2010</w:t>
      </w:r>
      <w:r w:rsidR="00967125" w:rsidRPr="008E2495">
        <w:t>c</w:t>
      </w:r>
      <w:r w:rsidRPr="008E2495">
        <w:t xml:space="preserve">, </w:t>
      </w:r>
      <w:r w:rsidRPr="008E2495">
        <w:rPr>
          <w:i/>
        </w:rPr>
        <w:t>Decision — AMWU,</w:t>
      </w:r>
      <w:r w:rsidRPr="008E2495">
        <w:t xml:space="preserve"> [2010] FWA 6098.</w:t>
      </w:r>
    </w:p>
    <w:p w:rsidR="00014591" w:rsidRPr="008E2495" w:rsidRDefault="00014591" w:rsidP="00014591">
      <w:pPr>
        <w:pStyle w:val="Reference"/>
        <w:rPr>
          <w:i/>
        </w:rPr>
      </w:pPr>
      <w:r w:rsidRPr="008E2495">
        <w:t>—— 2010</w:t>
      </w:r>
      <w:r w:rsidR="00967125" w:rsidRPr="008E2495">
        <w:t>d</w:t>
      </w:r>
      <w:r w:rsidRPr="008E2495">
        <w:t>,</w:t>
      </w:r>
      <w:r w:rsidRPr="008E2495">
        <w:rPr>
          <w:i/>
        </w:rPr>
        <w:t xml:space="preserve"> Decision — </w:t>
      </w:r>
      <w:r w:rsidRPr="008E2495">
        <w:t xml:space="preserve"> </w:t>
      </w:r>
      <w:r w:rsidRPr="008E2495">
        <w:rPr>
          <w:i/>
        </w:rPr>
        <w:t>Asset Limited and Austsafe Super,</w:t>
      </w:r>
      <w:r w:rsidRPr="008E2495">
        <w:t xml:space="preserve"> [2010] FWAFB 461.</w:t>
      </w:r>
    </w:p>
    <w:p w:rsidR="00014591" w:rsidRPr="008E2495" w:rsidRDefault="00014591" w:rsidP="00014591">
      <w:pPr>
        <w:pStyle w:val="Reference"/>
        <w:rPr>
          <w:i/>
        </w:rPr>
      </w:pPr>
      <w:r w:rsidRPr="008E2495">
        <w:t>—— 2010</w:t>
      </w:r>
      <w:r w:rsidR="00967125" w:rsidRPr="008E2495">
        <w:t>e</w:t>
      </w:r>
      <w:r w:rsidRPr="008E2495">
        <w:t xml:space="preserve">, </w:t>
      </w:r>
      <w:r w:rsidRPr="008E2495">
        <w:rPr>
          <w:i/>
        </w:rPr>
        <w:t>Decision —</w:t>
      </w:r>
      <w:r w:rsidRPr="008E2495">
        <w:t xml:space="preserve"> </w:t>
      </w:r>
      <w:r w:rsidRPr="008E2495">
        <w:rPr>
          <w:i/>
        </w:rPr>
        <w:t>Austsafe Super,</w:t>
      </w:r>
      <w:r w:rsidRPr="008E2495">
        <w:t xml:space="preserve"> [2010] FWA 3426.</w:t>
      </w:r>
    </w:p>
    <w:p w:rsidR="00014591" w:rsidRPr="008E2495" w:rsidRDefault="00014591" w:rsidP="00014591">
      <w:pPr>
        <w:pStyle w:val="Reference"/>
        <w:rPr>
          <w:i/>
        </w:rPr>
      </w:pPr>
      <w:r w:rsidRPr="008E2495">
        <w:t>—— 2010</w:t>
      </w:r>
      <w:r w:rsidR="00967125" w:rsidRPr="008E2495">
        <w:t>f</w:t>
      </w:r>
      <w:r w:rsidRPr="008E2495">
        <w:t xml:space="preserve">, </w:t>
      </w:r>
      <w:r w:rsidRPr="008E2495">
        <w:rPr>
          <w:i/>
        </w:rPr>
        <w:t>Decision — Sunsuper Pty Ltd,</w:t>
      </w:r>
      <w:r w:rsidRPr="008E2495">
        <w:t xml:space="preserve"> [2010] FWAFB 321.</w:t>
      </w:r>
    </w:p>
    <w:p w:rsidR="00014591" w:rsidRPr="008E2495" w:rsidRDefault="00014591" w:rsidP="00014591">
      <w:pPr>
        <w:pStyle w:val="Reference"/>
        <w:rPr>
          <w:i/>
        </w:rPr>
      </w:pPr>
      <w:r w:rsidRPr="008E2495">
        <w:t>—— 2010</w:t>
      </w:r>
      <w:r w:rsidR="00967125" w:rsidRPr="008E2495">
        <w:t>g</w:t>
      </w:r>
      <w:r w:rsidRPr="008E2495">
        <w:t xml:space="preserve">, </w:t>
      </w:r>
      <w:r w:rsidRPr="008E2495">
        <w:rPr>
          <w:i/>
        </w:rPr>
        <w:t>Decision — Westscheme Pty Ltd</w:t>
      </w:r>
      <w:r w:rsidRPr="008E2495">
        <w:t xml:space="preserve">, [2010] FWAFB </w:t>
      </w:r>
      <w:r w:rsidR="003D0ADB" w:rsidRPr="008E2495">
        <w:t>12.</w:t>
      </w:r>
    </w:p>
    <w:p w:rsidR="00A52A23" w:rsidRPr="008E2495" w:rsidRDefault="00A52A23" w:rsidP="006B7106">
      <w:pPr>
        <w:pStyle w:val="Reference"/>
      </w:pPr>
      <w:r w:rsidRPr="008E2495">
        <w:t xml:space="preserve">—— 2011a, </w:t>
      </w:r>
      <w:r w:rsidRPr="008E2495">
        <w:rPr>
          <w:i/>
        </w:rPr>
        <w:t>Annual Wage Review 2010-11</w:t>
      </w:r>
      <w:r w:rsidRPr="008E2495">
        <w:t xml:space="preserve"> [2011] FWAFB 3400, </w:t>
      </w:r>
      <w:hyperlink r:id="rId20" w:history="1">
        <w:r w:rsidRPr="008E2495">
          <w:rPr>
            <w:rStyle w:val="Hyperlink"/>
            <w:color w:val="auto"/>
            <w:u w:val="none"/>
          </w:rPr>
          <w:t>http://www.fwa.gov.au/decisionssigned/html/2011fwafb3400.htm</w:t>
        </w:r>
      </w:hyperlink>
      <w:r w:rsidRPr="008E2495">
        <w:t xml:space="preserve"> (accessed 22 August 2012).</w:t>
      </w:r>
    </w:p>
    <w:p w:rsidR="00967125" w:rsidRPr="008E2495" w:rsidRDefault="00967125" w:rsidP="00967125">
      <w:pPr>
        <w:pStyle w:val="Reference"/>
        <w:rPr>
          <w:i/>
        </w:rPr>
      </w:pPr>
      <w:r w:rsidRPr="008E2495">
        <w:t>—— 2011</w:t>
      </w:r>
      <w:r w:rsidR="00A52A23" w:rsidRPr="008E2495">
        <w:t>b</w:t>
      </w:r>
      <w:r w:rsidRPr="008E2495">
        <w:t xml:space="preserve">, </w:t>
      </w:r>
      <w:r w:rsidRPr="008E2495">
        <w:rPr>
          <w:i/>
        </w:rPr>
        <w:t>FWA Transcript,</w:t>
      </w:r>
      <w:r w:rsidRPr="008E2495">
        <w:t xml:space="preserve"> AM 2011/52.</w:t>
      </w:r>
    </w:p>
    <w:p w:rsidR="00A95722" w:rsidRPr="008E2495" w:rsidRDefault="00A95722" w:rsidP="00A95722">
      <w:pPr>
        <w:pStyle w:val="Reference"/>
        <w:jc w:val="left"/>
      </w:pPr>
      <w:r w:rsidRPr="008E2495">
        <w:t>—— 2012a,</w:t>
      </w:r>
      <w:r w:rsidR="006B7106" w:rsidRPr="008E2495">
        <w:t xml:space="preserve"> </w:t>
      </w:r>
      <w:r w:rsidRPr="008E2495">
        <w:rPr>
          <w:i/>
        </w:rPr>
        <w:t>Agreement Making</w:t>
      </w:r>
      <w:r w:rsidRPr="008E2495">
        <w:t xml:space="preserve">, </w:t>
      </w:r>
      <w:hyperlink r:id="rId21" w:history="1">
        <w:r w:rsidRPr="008E2495">
          <w:t>www.fwa.gov.au/index.cfm?pagename=</w:t>
        </w:r>
        <w:r w:rsidR="00C34A34" w:rsidRPr="008E2495">
          <w:br/>
        </w:r>
        <w:r w:rsidRPr="008E2495">
          <w:t>agreementsmakeabout</w:t>
        </w:r>
      </w:hyperlink>
      <w:r w:rsidRPr="008E2495">
        <w:t xml:space="preserve"> (accessed 20 April 2012).</w:t>
      </w:r>
    </w:p>
    <w:p w:rsidR="00A52A23" w:rsidRPr="008E2495" w:rsidRDefault="00A52A23" w:rsidP="006B7106">
      <w:pPr>
        <w:pStyle w:val="Reference"/>
      </w:pPr>
      <w:r w:rsidRPr="008E2495">
        <w:t xml:space="preserve">—— 2012b, </w:t>
      </w:r>
      <w:r w:rsidRPr="008E2495">
        <w:rPr>
          <w:i/>
        </w:rPr>
        <w:t>Annual Wage Review 2011-12</w:t>
      </w:r>
      <w:r w:rsidRPr="008E2495">
        <w:t xml:space="preserve"> [2012] FWAFB 5000, </w:t>
      </w:r>
      <w:hyperlink r:id="rId22" w:anchor="P915_67077" w:history="1">
        <w:r w:rsidRPr="008E2495">
          <w:rPr>
            <w:rStyle w:val="Hyperlink"/>
            <w:color w:val="auto"/>
            <w:u w:val="none"/>
          </w:rPr>
          <w:t>http://www.fwa.gov.au/decisionssigned/html/2012fwafb5000.htm#P915_67077</w:t>
        </w:r>
      </w:hyperlink>
      <w:r w:rsidRPr="008E2495">
        <w:t xml:space="preserve"> (accessed 22 August 2012).</w:t>
      </w:r>
      <w:r w:rsidRPr="008E2495">
        <w:fldChar w:fldCharType="begin"/>
      </w:r>
      <w:r w:rsidRPr="008E2495">
        <w:instrText xml:space="preserve">  </w:instrText>
      </w:r>
      <w:r w:rsidRPr="008E2495">
        <w:fldChar w:fldCharType="end"/>
      </w:r>
    </w:p>
    <w:p w:rsidR="005773D1" w:rsidRPr="008E2495" w:rsidRDefault="005773D1" w:rsidP="005773D1">
      <w:pPr>
        <w:pStyle w:val="Reference"/>
      </w:pPr>
      <w:r w:rsidRPr="008E2495">
        <w:t xml:space="preserve">—— 2012c, </w:t>
      </w:r>
      <w:r w:rsidRPr="008E2495">
        <w:rPr>
          <w:i/>
        </w:rPr>
        <w:t>Draft spreadsheets with modern awards and relevant ANZSIC classes listed</w:t>
      </w:r>
      <w:r w:rsidRPr="008E2495">
        <w:t xml:space="preserve">, </w:t>
      </w:r>
      <w:hyperlink r:id="rId23" w:history="1">
        <w:r w:rsidRPr="008E2495">
          <w:rPr>
            <w:rStyle w:val="Hyperlink"/>
            <w:color w:val="auto"/>
            <w:u w:val="none"/>
          </w:rPr>
          <w:t>www.fwa.gov.au/index.cfm?pagename=wagereview2013&amp;page</w:t>
        </w:r>
        <w:r w:rsidRPr="008E2495">
          <w:br/>
        </w:r>
        <w:r w:rsidRPr="008E2495">
          <w:rPr>
            <w:rStyle w:val="Hyperlink"/>
            <w:color w:val="auto"/>
            <w:u w:val="none"/>
          </w:rPr>
          <w:t>=research_map2</w:t>
        </w:r>
      </w:hyperlink>
      <w:r w:rsidRPr="008E2495">
        <w:t xml:space="preserve"> (accessed 11 September 2012).</w:t>
      </w:r>
    </w:p>
    <w:p w:rsidR="0069225C" w:rsidRPr="008E2495" w:rsidRDefault="0069225C" w:rsidP="0069225C">
      <w:pPr>
        <w:pStyle w:val="Reference"/>
        <w:jc w:val="left"/>
      </w:pPr>
      <w:r w:rsidRPr="008E2495">
        <w:t>—— 2012</w:t>
      </w:r>
      <w:r w:rsidR="005773D1" w:rsidRPr="008E2495">
        <w:t>d</w:t>
      </w:r>
      <w:r w:rsidRPr="008E2495">
        <w:t xml:space="preserve">, </w:t>
      </w:r>
      <w:r w:rsidRPr="008E2495">
        <w:rPr>
          <w:i/>
        </w:rPr>
        <w:t>Find an agreement,</w:t>
      </w:r>
      <w:r w:rsidRPr="008E2495">
        <w:t xml:space="preserve"> www.fwa.gov.au/index.cfm?pagename=</w:t>
      </w:r>
      <w:r w:rsidR="005773D1" w:rsidRPr="008E2495">
        <w:br/>
      </w:r>
      <w:r w:rsidRPr="008E2495">
        <w:t>agreementsfind (accessed 12 June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</w:t>
      </w:r>
      <w:r w:rsidR="0069225C" w:rsidRPr="008E2495">
        <w:t>2012</w:t>
      </w:r>
      <w:r w:rsidR="005773D1" w:rsidRPr="008E2495">
        <w:t>e</w:t>
      </w:r>
      <w:r w:rsidRPr="008E2495">
        <w:t xml:space="preserve">, </w:t>
      </w:r>
      <w:r w:rsidRPr="008E2495">
        <w:rPr>
          <w:i/>
        </w:rPr>
        <w:t>Modern Awards</w:t>
      </w:r>
      <w:r w:rsidRPr="008E2495">
        <w:t>, www.fwa.gov.au/index.cfm?pagename=</w:t>
      </w:r>
      <w:r w:rsidR="00C34A34" w:rsidRPr="008E2495">
        <w:br/>
      </w:r>
      <w:r w:rsidRPr="008E2495">
        <w:t xml:space="preserve">awardsfind#modernawards (accessed </w:t>
      </w:r>
      <w:r w:rsidR="00F72F6C" w:rsidRPr="008E2495">
        <w:t>19 September</w:t>
      </w:r>
      <w:r w:rsidRPr="008E2495">
        <w:t xml:space="preserve">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</w:t>
      </w:r>
      <w:r w:rsidR="0069225C" w:rsidRPr="008E2495">
        <w:t>2012</w:t>
      </w:r>
      <w:r w:rsidR="005773D1" w:rsidRPr="008E2495">
        <w:t>f</w:t>
      </w:r>
      <w:r w:rsidRPr="008E2495">
        <w:t xml:space="preserve">, </w:t>
      </w:r>
      <w:r w:rsidRPr="008E2495">
        <w:rPr>
          <w:i/>
        </w:rPr>
        <w:t>Modern awards review 2012,</w:t>
      </w:r>
      <w:r w:rsidRPr="008E2495">
        <w:t xml:space="preserve"> www.fwa.gov.au/index.cfm?pagename=</w:t>
      </w:r>
      <w:r w:rsidR="00C34A34" w:rsidRPr="008E2495">
        <w:br/>
      </w:r>
      <w:r w:rsidRPr="008E2495">
        <w:t>awardReview2012 (accessed 21 May 2012).</w:t>
      </w:r>
    </w:p>
    <w:p w:rsidR="00A52A23" w:rsidRPr="008E2495" w:rsidRDefault="00A52A23" w:rsidP="006B7106">
      <w:pPr>
        <w:pStyle w:val="Reference"/>
      </w:pPr>
      <w:r w:rsidRPr="008E2495">
        <w:t>—— 2012</w:t>
      </w:r>
      <w:r w:rsidR="005773D1" w:rsidRPr="008E2495">
        <w:t>g</w:t>
      </w:r>
      <w:r w:rsidRPr="008E2495">
        <w:t xml:space="preserve">, </w:t>
      </w:r>
      <w:r w:rsidRPr="008E2495">
        <w:rPr>
          <w:i/>
        </w:rPr>
        <w:t>Modern awards review 2012 — Timetable</w:t>
      </w:r>
      <w:r w:rsidRPr="008E2495">
        <w:t xml:space="preserve">, [2012] FWA 5721, 5 July 2012, </w:t>
      </w:r>
      <w:hyperlink r:id="rId24" w:history="1">
        <w:r w:rsidRPr="008E2495">
          <w:rPr>
            <w:rStyle w:val="Hyperlink"/>
            <w:color w:val="auto"/>
            <w:u w:val="none"/>
          </w:rPr>
          <w:t>http://www.fwa.gov.au/decisionssigned/html/2012fwa5721.htm</w:t>
        </w:r>
      </w:hyperlink>
      <w:r w:rsidRPr="008E2495">
        <w:t xml:space="preserve"> (accessed 27 August 2012).</w:t>
      </w:r>
    </w:p>
    <w:p w:rsidR="00A95722" w:rsidRPr="008E2495" w:rsidRDefault="00A95722" w:rsidP="00A95722">
      <w:pPr>
        <w:pStyle w:val="Reference"/>
        <w:jc w:val="left"/>
      </w:pPr>
      <w:r w:rsidRPr="008E2495">
        <w:lastRenderedPageBreak/>
        <w:t xml:space="preserve">FWO (Fair Work Ombudsman) 2011a, </w:t>
      </w:r>
      <w:r w:rsidRPr="008E2495">
        <w:rPr>
          <w:i/>
        </w:rPr>
        <w:t>Underpaid? Complaints</w:t>
      </w:r>
      <w:r w:rsidRPr="008E2495">
        <w:t xml:space="preserve">, </w:t>
      </w:r>
      <w:r w:rsidR="00C34A34" w:rsidRPr="008E2495">
        <w:t>www.fairwork.</w:t>
      </w:r>
      <w:r w:rsidR="00C34A34" w:rsidRPr="008E2495">
        <w:br/>
        <w:t>gov.au/complaints/underpaid/pages/default.aspx</w:t>
      </w:r>
      <w:r w:rsidRPr="008E2495">
        <w:t xml:space="preserve"> (accessed 2 April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—— 2011b, </w:t>
      </w:r>
      <w:r w:rsidRPr="008E2495">
        <w:rPr>
          <w:i/>
        </w:rPr>
        <w:t xml:space="preserve">Workplace </w:t>
      </w:r>
      <w:r w:rsidR="00837F12">
        <w:rPr>
          <w:i/>
        </w:rPr>
        <w:t>l</w:t>
      </w:r>
      <w:r w:rsidRPr="008E2495">
        <w:rPr>
          <w:i/>
        </w:rPr>
        <w:t xml:space="preserve">aws go </w:t>
      </w:r>
      <w:r w:rsidR="00837F12">
        <w:rPr>
          <w:i/>
        </w:rPr>
        <w:t>n</w:t>
      </w:r>
      <w:r w:rsidRPr="008E2495">
        <w:rPr>
          <w:i/>
        </w:rPr>
        <w:t xml:space="preserve">ational </w:t>
      </w:r>
      <w:r w:rsidR="00837F12">
        <w:rPr>
          <w:i/>
        </w:rPr>
        <w:t>f</w:t>
      </w:r>
      <w:r w:rsidRPr="008E2495">
        <w:rPr>
          <w:i/>
        </w:rPr>
        <w:t xml:space="preserve">act </w:t>
      </w:r>
      <w:r w:rsidR="00837F12">
        <w:rPr>
          <w:i/>
        </w:rPr>
        <w:t>s</w:t>
      </w:r>
      <w:r w:rsidRPr="008E2495">
        <w:rPr>
          <w:i/>
        </w:rPr>
        <w:t>heet</w:t>
      </w:r>
      <w:r w:rsidRPr="008E2495">
        <w:t xml:space="preserve">, </w:t>
      </w:r>
      <w:r w:rsidR="00C34A34" w:rsidRPr="008E2495">
        <w:t>www.fairwork.gov.au/</w:t>
      </w:r>
      <w:r w:rsidR="00C34A34" w:rsidRPr="008E2495">
        <w:br/>
        <w:t>resources/fact-sheets/conditions-of-employment/ pages/workplace-laws-go-national-fact-sheet.aspx</w:t>
      </w:r>
      <w:r w:rsidRPr="008E2495">
        <w:t xml:space="preserve"> (accessed 20 April 2012).</w:t>
      </w:r>
    </w:p>
    <w:p w:rsidR="007A5439" w:rsidRPr="008E2495" w:rsidRDefault="007A5439" w:rsidP="007A5439">
      <w:pPr>
        <w:pStyle w:val="Reference"/>
      </w:pPr>
      <w:r w:rsidRPr="008E2495">
        <w:t xml:space="preserve">Gallery, G., Gallery, N. and Brown, K. 2004, </w:t>
      </w:r>
      <w:r w:rsidRPr="008E2495">
        <w:rPr>
          <w:i/>
        </w:rPr>
        <w:t>Superannuation Choice: The Pivotal Role of the Default Option</w:t>
      </w:r>
      <w:r w:rsidRPr="008E2495">
        <w:t xml:space="preserve">, Journal of Australian Political Economy, </w:t>
      </w:r>
      <w:r w:rsidR="000E4BE7">
        <w:t>Issue</w:t>
      </w:r>
      <w:r w:rsidR="00DF624B">
        <w:t xml:space="preserve"> </w:t>
      </w:r>
      <w:r w:rsidRPr="008E2495">
        <w:t>53, pp. 44</w:t>
      </w:r>
      <w:r w:rsidR="00DF624B">
        <w:noBreakHyphen/>
      </w:r>
      <w:r w:rsidRPr="008E2495">
        <w:t>66.</w:t>
      </w:r>
    </w:p>
    <w:p w:rsidR="007A5439" w:rsidRPr="008E2495" w:rsidRDefault="007A5439" w:rsidP="007A5439">
      <w:pPr>
        <w:pStyle w:val="Reference"/>
      </w:pPr>
      <w:r w:rsidRPr="008E2495">
        <w:t xml:space="preserve">——, —— and McDougall L 2010, </w:t>
      </w:r>
      <w:r w:rsidRPr="008E2495">
        <w:rPr>
          <w:i/>
          <w:iCs/>
        </w:rPr>
        <w:t>Don’t Judge a Superannuation Default Investment Option by Its Name</w:t>
      </w:r>
      <w:r w:rsidRPr="008E2495">
        <w:t>, 19 April, eprints.qut.edu.au/35780/1/c35780.pdf (accessed 7 June 2012).</w:t>
      </w:r>
    </w:p>
    <w:p w:rsidR="006571C2" w:rsidRPr="00F82C96" w:rsidRDefault="006571C2" w:rsidP="006571C2">
      <w:pPr>
        <w:pStyle w:val="Reference"/>
      </w:pPr>
      <w:r w:rsidRPr="00F82C96">
        <w:t xml:space="preserve">Gerrans, P. 2006, </w:t>
      </w:r>
      <w:r w:rsidR="001C764B">
        <w:t>‘</w:t>
      </w:r>
      <w:r w:rsidRPr="00F82C96">
        <w:t>Morningstar ratings and future performance</w:t>
      </w:r>
      <w:r>
        <w:t>’</w:t>
      </w:r>
      <w:r w:rsidRPr="00F82C96">
        <w:t xml:space="preserve">, </w:t>
      </w:r>
      <w:r w:rsidRPr="006571C2">
        <w:rPr>
          <w:i/>
        </w:rPr>
        <w:t>Accounting and Finance</w:t>
      </w:r>
      <w:r w:rsidRPr="00F82C96">
        <w:t xml:space="preserve">, vol. 46, </w:t>
      </w:r>
      <w:r w:rsidR="001C764B">
        <w:t xml:space="preserve">no. 4, </w:t>
      </w:r>
      <w:r w:rsidRPr="00F82C96">
        <w:t>pp. 605–628.</w:t>
      </w:r>
    </w:p>
    <w:p w:rsidR="00A95722" w:rsidRPr="008E2495" w:rsidRDefault="00CE10C5" w:rsidP="00A95722">
      <w:pPr>
        <w:pStyle w:val="Reference"/>
        <w:jc w:val="left"/>
      </w:pPr>
      <w:r w:rsidRPr="008E2495">
        <w:t xml:space="preserve">Gruen, D. 2011, </w:t>
      </w:r>
      <w:r w:rsidR="00A95722" w:rsidRPr="008E2495">
        <w:rPr>
          <w:i/>
        </w:rPr>
        <w:t xml:space="preserve">Compulsory </w:t>
      </w:r>
      <w:r w:rsidR="00B51F81" w:rsidRPr="008E2495">
        <w:rPr>
          <w:i/>
        </w:rPr>
        <w:t>S</w:t>
      </w:r>
      <w:r w:rsidR="00A95722" w:rsidRPr="008E2495">
        <w:rPr>
          <w:i/>
        </w:rPr>
        <w:t xml:space="preserve">uperannuation and </w:t>
      </w:r>
      <w:r w:rsidR="00B51F81" w:rsidRPr="008E2495">
        <w:rPr>
          <w:i/>
        </w:rPr>
        <w:t>N</w:t>
      </w:r>
      <w:r w:rsidR="00A95722" w:rsidRPr="008E2495">
        <w:rPr>
          <w:i/>
        </w:rPr>
        <w:t xml:space="preserve">ational </w:t>
      </w:r>
      <w:r w:rsidR="00B51F81" w:rsidRPr="008E2495">
        <w:rPr>
          <w:i/>
        </w:rPr>
        <w:t>S</w:t>
      </w:r>
      <w:r w:rsidR="00A95722" w:rsidRPr="008E2495">
        <w:rPr>
          <w:i/>
        </w:rPr>
        <w:t xml:space="preserve">aving, </w:t>
      </w:r>
      <w:r w:rsidR="00A95722" w:rsidRPr="008E2495">
        <w:t>Presented at the Economic and Social Outlook Conference, 30 June – 1 July 2011, University of Melbourne, www.treasury.gov.au/PublicationsAndMedia/Speeches/2011/</w:t>
      </w:r>
      <w:r w:rsidR="00E3379A" w:rsidRPr="008E2495">
        <w:br/>
      </w:r>
      <w:r w:rsidR="00A95722" w:rsidRPr="008E2495">
        <w:t>Compulsory-superannuation-and-national-saving (accessed 14 May 2012).</w:t>
      </w:r>
    </w:p>
    <w:p w:rsidR="00394211" w:rsidRPr="00F82C96" w:rsidRDefault="00394211" w:rsidP="00394211">
      <w:pPr>
        <w:pStyle w:val="Reference"/>
      </w:pPr>
      <w:r w:rsidRPr="00F82C96">
        <w:t xml:space="preserve">Hallahan, T.A. 1999, </w:t>
      </w:r>
      <w:r>
        <w:t>‘</w:t>
      </w:r>
      <w:r w:rsidRPr="00F82C96">
        <w:t>The information content of portfolio performance history and persistence in fund performance: An examination of rollover funds</w:t>
      </w:r>
      <w:r>
        <w:t>’</w:t>
      </w:r>
      <w:r w:rsidRPr="00F82C96">
        <w:t xml:space="preserve">, </w:t>
      </w:r>
      <w:r w:rsidRPr="00394211">
        <w:rPr>
          <w:i/>
        </w:rPr>
        <w:t>Accounting and Finance</w:t>
      </w:r>
      <w:r w:rsidRPr="00F82C96">
        <w:t xml:space="preserve">, vol. 39, </w:t>
      </w:r>
      <w:r w:rsidR="0009600F">
        <w:t xml:space="preserve">no. 3, </w:t>
      </w:r>
      <w:r w:rsidRPr="00F82C96">
        <w:t>pp. 255–274.</w:t>
      </w:r>
    </w:p>
    <w:p w:rsidR="00524F9E" w:rsidRPr="008E2495" w:rsidRDefault="00524F9E" w:rsidP="00524F9E">
      <w:pPr>
        <w:pStyle w:val="Reference"/>
        <w:jc w:val="left"/>
      </w:pPr>
      <w:r w:rsidRPr="008E2495">
        <w:t xml:space="preserve">Higgs, H. and Worthington, A. 2010, </w:t>
      </w:r>
      <w:r w:rsidRPr="008E2495">
        <w:rPr>
          <w:i/>
          <w:iCs/>
        </w:rPr>
        <w:t>Economies of Scale and Scope in Australian Superannuation Funds</w:t>
      </w:r>
      <w:r w:rsidRPr="008E2495">
        <w:t>, Griffith Business School Discussion Papers, no. 2010</w:t>
      </w:r>
      <w:r w:rsidR="00172FF6">
        <w:rPr>
          <w:rFonts w:ascii="Arial" w:hAnsi="Arial" w:cs="Arial"/>
          <w:sz w:val="22"/>
          <w:szCs w:val="22"/>
        </w:rPr>
        <w:noBreakHyphen/>
      </w:r>
      <w:r w:rsidRPr="008E2495">
        <w:t xml:space="preserve">15, Brisbane. </w:t>
      </w:r>
    </w:p>
    <w:p w:rsidR="000842A2" w:rsidRPr="008E2495" w:rsidRDefault="000842A2" w:rsidP="000842A2">
      <w:pPr>
        <w:pStyle w:val="Reference"/>
        <w:jc w:val="left"/>
      </w:pPr>
      <w:r w:rsidRPr="008E2495">
        <w:t xml:space="preserve">High Court of Australia 1986, </w:t>
      </w:r>
      <w:r w:rsidRPr="008E2495">
        <w:rPr>
          <w:i/>
        </w:rPr>
        <w:t>Re: Manufacturing Grocers’ Employees Federation; Ex parte Australian Chamber of Manufacturers</w:t>
      </w:r>
      <w:r w:rsidRPr="008E2495">
        <w:t xml:space="preserve"> (1986) 160 CLR 341.</w:t>
      </w:r>
    </w:p>
    <w:p w:rsidR="000842A2" w:rsidRPr="008E2495" w:rsidRDefault="000842A2" w:rsidP="000842A2">
      <w:pPr>
        <w:pStyle w:val="Reference"/>
      </w:pPr>
      <w:r w:rsidRPr="008E2495">
        <w:t xml:space="preserve">Holzmann, R. and Hinz, R. 2005, </w:t>
      </w:r>
      <w:r w:rsidRPr="008E2495">
        <w:rPr>
          <w:i/>
        </w:rPr>
        <w:t>Old-Age Income Support in the 21</w:t>
      </w:r>
      <w:r w:rsidRPr="008E2495">
        <w:rPr>
          <w:i/>
          <w:vertAlign w:val="superscript"/>
        </w:rPr>
        <w:t>st</w:t>
      </w:r>
      <w:r w:rsidRPr="008E2495">
        <w:rPr>
          <w:i/>
        </w:rPr>
        <w:t xml:space="preserve"> Century: An International Perspective on Pension Systems and Reform</w:t>
      </w:r>
      <w:r w:rsidR="003D0ADB" w:rsidRPr="008E2495">
        <w:t>, World Bank, Washington.</w:t>
      </w:r>
    </w:p>
    <w:p w:rsidR="00841062" w:rsidRPr="008E2495" w:rsidRDefault="00172FF6" w:rsidP="00841062">
      <w:pPr>
        <w:pStyle w:val="Reference"/>
      </w:pPr>
      <w:r>
        <w:t xml:space="preserve">Iglesias-Palau, A. </w:t>
      </w:r>
      <w:r w:rsidR="00841062" w:rsidRPr="008E2495">
        <w:t xml:space="preserve">2009, ‘Pension Reform in Chile Revisited: What Has Been Learned?’, </w:t>
      </w:r>
      <w:r w:rsidR="00841062" w:rsidRPr="008E2495">
        <w:rPr>
          <w:i/>
        </w:rPr>
        <w:t>OECD Social, Employment and Migration Working Papers</w:t>
      </w:r>
      <w:r w:rsidR="00841062" w:rsidRPr="008E2495">
        <w:t>, No. 86, OECD, Paris.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IGT (Inspector-General of Taxation) 2010, </w:t>
      </w:r>
      <w:r w:rsidRPr="008E2495">
        <w:rPr>
          <w:i/>
        </w:rPr>
        <w:t xml:space="preserve">Review into the ATO’s Administration of the Superannuation Guarantee Charge, </w:t>
      </w:r>
      <w:r w:rsidRPr="008E2495">
        <w:t>Repor</w:t>
      </w:r>
      <w:r w:rsidR="00CA4B40" w:rsidRPr="008E2495">
        <w:t xml:space="preserve">t to the Assistant Treasurer, </w:t>
      </w:r>
      <w:r w:rsidRPr="008E2495">
        <w:t>Canberra, March.</w:t>
      </w:r>
    </w:p>
    <w:p w:rsidR="00D52BB1" w:rsidRPr="008E2495" w:rsidRDefault="00D52BB1" w:rsidP="00D52BB1">
      <w:pPr>
        <w:pStyle w:val="Reference"/>
      </w:pPr>
      <w:r w:rsidRPr="008E2495">
        <w:t xml:space="preserve">Impavido, G., Lasagabaster, E., and </w:t>
      </w:r>
      <w:r w:rsidR="00AC6F3A" w:rsidRPr="008E2495">
        <w:rPr>
          <w:rStyle w:val="DraftingNote"/>
          <w:b w:val="0"/>
          <w:color w:val="auto"/>
          <w:sz w:val="26"/>
          <w:u w:val="none"/>
        </w:rPr>
        <w:t>García-Huitrón</w:t>
      </w:r>
      <w:r w:rsidRPr="008E2495">
        <w:t xml:space="preserve">, M. 2010, </w:t>
      </w:r>
      <w:r w:rsidRPr="008E2495">
        <w:rPr>
          <w:i/>
        </w:rPr>
        <w:t xml:space="preserve">New Policies for Mandatory Defined Contribution Pensions: Industrial organisation models and </w:t>
      </w:r>
      <w:r w:rsidRPr="008E2495">
        <w:rPr>
          <w:i/>
        </w:rPr>
        <w:lastRenderedPageBreak/>
        <w:t>investment products</w:t>
      </w:r>
      <w:r w:rsidRPr="008E2495">
        <w:t>, The International Bank for Reconstruction</w:t>
      </w:r>
      <w:r w:rsidR="003D0ADB" w:rsidRPr="008E2495">
        <w:t xml:space="preserve"> and Development, Washington.</w:t>
      </w:r>
    </w:p>
    <w:p w:rsidR="00775EB6" w:rsidRPr="008E2495" w:rsidRDefault="00775EB6" w:rsidP="00775EB6">
      <w:pPr>
        <w:pStyle w:val="Reference"/>
      </w:pPr>
      <w:r w:rsidRPr="008E2495">
        <w:t xml:space="preserve">Industry Commission 1996, </w:t>
      </w:r>
      <w:r w:rsidRPr="008E2495">
        <w:rPr>
          <w:i/>
          <w:iCs/>
        </w:rPr>
        <w:t>Competitive Tendering and Contracting by Public Sector Agencies</w:t>
      </w:r>
      <w:r w:rsidRPr="008E2495">
        <w:t>, Report No. 48, Australian Government Publishing Service, Melbourne.</w:t>
      </w:r>
    </w:p>
    <w:p w:rsidR="00D52107" w:rsidRPr="008E2495" w:rsidRDefault="00D52107" w:rsidP="00D52107">
      <w:pPr>
        <w:pStyle w:val="Reference"/>
      </w:pPr>
      <w:r w:rsidRPr="008E2495">
        <w:t>Ingl</w:t>
      </w:r>
      <w:r w:rsidR="0009600F">
        <w:t>e</w:t>
      </w:r>
      <w:r w:rsidRPr="008E2495">
        <w:t xml:space="preserve">s, D. and Fear J. 2009, </w:t>
      </w:r>
      <w:r w:rsidRPr="008E2495">
        <w:rPr>
          <w:i/>
        </w:rPr>
        <w:t xml:space="preserve">The </w:t>
      </w:r>
      <w:r w:rsidR="00F038A4" w:rsidRPr="008E2495">
        <w:rPr>
          <w:i/>
        </w:rPr>
        <w:t>C</w:t>
      </w:r>
      <w:r w:rsidRPr="008E2495">
        <w:rPr>
          <w:i/>
        </w:rPr>
        <w:t xml:space="preserve">ase for a </w:t>
      </w:r>
      <w:r w:rsidR="00F038A4" w:rsidRPr="008E2495">
        <w:rPr>
          <w:i/>
        </w:rPr>
        <w:t>U</w:t>
      </w:r>
      <w:r w:rsidRPr="008E2495">
        <w:rPr>
          <w:i/>
        </w:rPr>
        <w:t xml:space="preserve">niversal </w:t>
      </w:r>
      <w:r w:rsidR="00F038A4" w:rsidRPr="008E2495">
        <w:rPr>
          <w:i/>
        </w:rPr>
        <w:t>D</w:t>
      </w:r>
      <w:r w:rsidRPr="008E2495">
        <w:rPr>
          <w:i/>
        </w:rPr>
        <w:t xml:space="preserve">efault </w:t>
      </w:r>
      <w:r w:rsidR="00F038A4" w:rsidRPr="008E2495">
        <w:rPr>
          <w:i/>
        </w:rPr>
        <w:t>S</w:t>
      </w:r>
      <w:r w:rsidRPr="008E2495">
        <w:rPr>
          <w:i/>
        </w:rPr>
        <w:t xml:space="preserve">uperannuation </w:t>
      </w:r>
      <w:r w:rsidR="00F038A4" w:rsidRPr="008E2495">
        <w:rPr>
          <w:i/>
        </w:rPr>
        <w:t>F</w:t>
      </w:r>
      <w:r w:rsidRPr="008E2495">
        <w:rPr>
          <w:i/>
        </w:rPr>
        <w:t>und</w:t>
      </w:r>
      <w:r w:rsidRPr="008E2495">
        <w:t>, The Australian Institute P</w:t>
      </w:r>
      <w:r w:rsidR="003D0ADB" w:rsidRPr="008E2495">
        <w:t>olicy Brief No. 3, September.</w:t>
      </w:r>
    </w:p>
    <w:p w:rsidR="00967125" w:rsidRPr="008E2495" w:rsidRDefault="00967125" w:rsidP="00967125">
      <w:pPr>
        <w:pStyle w:val="Reference"/>
      </w:pPr>
      <w:r w:rsidRPr="008E2495">
        <w:t xml:space="preserve">Inland Revenue 2007, </w:t>
      </w:r>
      <w:r w:rsidRPr="008E2495">
        <w:rPr>
          <w:i/>
        </w:rPr>
        <w:t xml:space="preserve">Technical </w:t>
      </w:r>
      <w:r w:rsidR="00B51F81" w:rsidRPr="008E2495">
        <w:rPr>
          <w:i/>
        </w:rPr>
        <w:t>R</w:t>
      </w:r>
      <w:r w:rsidRPr="008E2495">
        <w:rPr>
          <w:i/>
        </w:rPr>
        <w:t>equirements (Running a KiwiSaver scheme)</w:t>
      </w:r>
      <w:r w:rsidRPr="008E2495">
        <w:t>, www.ird.govt.nz/kiwisaver/providers/running/technical-requirements/</w:t>
      </w:r>
      <w:r w:rsidR="003D0ADB" w:rsidRPr="008E2495">
        <w:t xml:space="preserve"> (accessed 14 March 2012).</w:t>
      </w:r>
    </w:p>
    <w:p w:rsidR="000842A2" w:rsidRPr="008E2495" w:rsidRDefault="00967125" w:rsidP="000842A2">
      <w:pPr>
        <w:pStyle w:val="Reference"/>
      </w:pPr>
      <w:r w:rsidRPr="008E2495">
        <w:t xml:space="preserve">—— </w:t>
      </w:r>
      <w:r w:rsidR="000842A2" w:rsidRPr="008E2495">
        <w:t xml:space="preserve">2009, </w:t>
      </w:r>
      <w:r w:rsidR="000842A2" w:rsidRPr="008E2495">
        <w:rPr>
          <w:i/>
        </w:rPr>
        <w:t xml:space="preserve">Role of </w:t>
      </w:r>
      <w:r w:rsidR="00F038A4" w:rsidRPr="008E2495">
        <w:rPr>
          <w:i/>
        </w:rPr>
        <w:t>E</w:t>
      </w:r>
      <w:r w:rsidR="000842A2" w:rsidRPr="008E2495">
        <w:rPr>
          <w:i/>
        </w:rPr>
        <w:t>mployers (How it works)</w:t>
      </w:r>
      <w:r w:rsidR="000842A2" w:rsidRPr="008E2495">
        <w:t>, www.ird.govt.nz/kiwisaver/employers/how/role-of-employers/</w:t>
      </w:r>
      <w:r w:rsidR="003D0ADB" w:rsidRPr="008E2495">
        <w:t xml:space="preserve"> (accessed 13</w:t>
      </w:r>
      <w:r w:rsidR="00136B0E" w:rsidRPr="008E2495">
        <w:t> </w:t>
      </w:r>
      <w:r w:rsidR="003D0ADB" w:rsidRPr="008E2495">
        <w:t>March 2012).</w:t>
      </w:r>
    </w:p>
    <w:p w:rsidR="00967125" w:rsidRPr="008E2495" w:rsidRDefault="00967125" w:rsidP="00967125">
      <w:pPr>
        <w:pStyle w:val="Reference"/>
      </w:pPr>
      <w:r w:rsidRPr="008E2495">
        <w:t xml:space="preserve">—— 2011a, </w:t>
      </w:r>
      <w:r w:rsidRPr="008E2495">
        <w:rPr>
          <w:i/>
        </w:rPr>
        <w:t xml:space="preserve">Operational </w:t>
      </w:r>
      <w:r w:rsidR="00F038A4" w:rsidRPr="008E2495">
        <w:rPr>
          <w:i/>
        </w:rPr>
        <w:t>R</w:t>
      </w:r>
      <w:r w:rsidRPr="008E2495">
        <w:rPr>
          <w:i/>
        </w:rPr>
        <w:t>equirements (Running a KiwiSaver scheme)</w:t>
      </w:r>
      <w:r w:rsidRPr="008E2495">
        <w:t>, www.ird.govt.nz/kiwisaver/providers/running/operational-requirements/</w:t>
      </w:r>
      <w:r w:rsidR="003D0ADB" w:rsidRPr="008E2495">
        <w:t xml:space="preserve"> (accessed 14 March 2012).</w:t>
      </w:r>
    </w:p>
    <w:p w:rsidR="00D52107" w:rsidRPr="008E2495" w:rsidRDefault="00967125" w:rsidP="00D52107">
      <w:pPr>
        <w:pStyle w:val="Reference"/>
      </w:pPr>
      <w:r w:rsidRPr="008E2495">
        <w:t xml:space="preserve">—— </w:t>
      </w:r>
      <w:r w:rsidR="00D52107" w:rsidRPr="008E2495">
        <w:t>2011</w:t>
      </w:r>
      <w:r w:rsidRPr="008E2495">
        <w:t>b</w:t>
      </w:r>
      <w:r w:rsidR="00D52107" w:rsidRPr="008E2495">
        <w:t xml:space="preserve">, </w:t>
      </w:r>
      <w:r w:rsidR="00D52107" w:rsidRPr="008E2495">
        <w:rPr>
          <w:i/>
        </w:rPr>
        <w:t xml:space="preserve">Who’s </w:t>
      </w:r>
      <w:r w:rsidR="00F038A4" w:rsidRPr="008E2495">
        <w:rPr>
          <w:i/>
        </w:rPr>
        <w:t>I</w:t>
      </w:r>
      <w:r w:rsidR="00D52107" w:rsidRPr="008E2495">
        <w:rPr>
          <w:i/>
        </w:rPr>
        <w:t>nvolved? (About KiwiSaver)</w:t>
      </w:r>
      <w:r w:rsidR="00D52107" w:rsidRPr="008E2495">
        <w:t>, www.ird.govt.nz/kiwisaver/providers/about/who/</w:t>
      </w:r>
      <w:r w:rsidR="00277413" w:rsidRPr="008E2495">
        <w:t xml:space="preserve"> (accessed 14 March 2012).</w:t>
      </w:r>
    </w:p>
    <w:p w:rsidR="00967125" w:rsidRPr="008E2495" w:rsidRDefault="00967125" w:rsidP="00967125">
      <w:pPr>
        <w:pStyle w:val="Reference"/>
      </w:pPr>
      <w:r w:rsidRPr="008E2495">
        <w:t xml:space="preserve">—— nd, </w:t>
      </w:r>
      <w:r w:rsidRPr="00172FF6">
        <w:t xml:space="preserve">Automatic </w:t>
      </w:r>
      <w:r w:rsidR="00A33D10" w:rsidRPr="00172FF6">
        <w:t>E</w:t>
      </w:r>
      <w:r w:rsidRPr="00172FF6">
        <w:t>nrolment</w:t>
      </w:r>
      <w:r w:rsidRPr="008E2495">
        <w:t>, www.kiwisaver.govt.nz/new/join/how-to/auto-enrol/</w:t>
      </w:r>
      <w:r w:rsidR="00277413" w:rsidRPr="008E2495">
        <w:t xml:space="preserve"> (accessed 13 March 2012).</w:t>
      </w:r>
    </w:p>
    <w:p w:rsidR="000D0990" w:rsidRPr="008E2495" w:rsidRDefault="000D0990" w:rsidP="000D0990">
      <w:pPr>
        <w:pStyle w:val="Reference"/>
      </w:pPr>
      <w:r w:rsidRPr="008E2495">
        <w:t xml:space="preserve">ISN (Industry Super Network) 2010, </w:t>
      </w:r>
      <w:r w:rsidRPr="008E2495">
        <w:rPr>
          <w:i/>
        </w:rPr>
        <w:t>Supernomics – Addressing Failures of Competition in the Superannuation Market</w:t>
      </w:r>
      <w:r w:rsidR="00277413" w:rsidRPr="008E2495">
        <w:t>, March.</w:t>
      </w:r>
    </w:p>
    <w:p w:rsidR="000842A2" w:rsidRPr="008E2495" w:rsidRDefault="000842A2" w:rsidP="00AC3E42">
      <w:pPr>
        <w:pStyle w:val="Reference"/>
      </w:pPr>
      <w:r w:rsidRPr="008E2495">
        <w:t xml:space="preserve">James, E., Ferrier, G., Smalhout, J. and Vittas, D. 2000, </w:t>
      </w:r>
      <w:r w:rsidRPr="008E2495">
        <w:rPr>
          <w:i/>
        </w:rPr>
        <w:t>Mutual Funds and Institutional Investments – What is the Most Efficient Way to Set Up Individual Accounts in a Social Security System</w:t>
      </w:r>
      <w:r w:rsidRPr="008E2495">
        <w:t xml:space="preserve">, in Shoven, B. 2000, ‘Administrative Aspects of Investment-Based Social Security Reform’, University </w:t>
      </w:r>
      <w:r w:rsidR="00277413" w:rsidRPr="008E2495">
        <w:t>of Chicago Press.</w:t>
      </w:r>
    </w:p>
    <w:p w:rsidR="00245CB2" w:rsidRPr="008E2495" w:rsidRDefault="00245CB2" w:rsidP="00245CB2">
      <w:pPr>
        <w:pStyle w:val="Reference"/>
      </w:pPr>
      <w:r w:rsidRPr="008E2495">
        <w:t xml:space="preserve">Johannisson, I. 2010, </w:t>
      </w:r>
      <w:r w:rsidRPr="008E2495">
        <w:rPr>
          <w:i/>
        </w:rPr>
        <w:t>Swedish Pensions Agency</w:t>
      </w:r>
      <w:r w:rsidRPr="008E2495">
        <w:t>, presentation to the OECD Working Party on Privat</w:t>
      </w:r>
      <w:r w:rsidR="00136B0E" w:rsidRPr="008E2495">
        <w:t xml:space="preserve">e Pensions, 30 November, </w:t>
      </w:r>
      <w:r w:rsidRPr="008E2495">
        <w:t>www.pensionsmyndigheten.se/download/18.2c8f793e1335aaf986a8000298000/Presentation.pdf (accessed 8 June 2012).</w:t>
      </w:r>
    </w:p>
    <w:p w:rsidR="00D52BB1" w:rsidRPr="008E2495" w:rsidRDefault="00D52BB1" w:rsidP="00D52BB1">
      <w:pPr>
        <w:pStyle w:val="Reference"/>
      </w:pPr>
      <w:r w:rsidRPr="008E2495">
        <w:t xml:space="preserve">Jones, S. 2011, </w:t>
      </w:r>
      <w:r w:rsidRPr="008E2495">
        <w:rPr>
          <w:i/>
        </w:rPr>
        <w:t>Australian Superannuation Handbook 2011</w:t>
      </w:r>
      <w:r w:rsidR="00172FF6">
        <w:rPr>
          <w:i/>
        </w:rPr>
        <w:t>-</w:t>
      </w:r>
      <w:r w:rsidRPr="008E2495">
        <w:rPr>
          <w:i/>
        </w:rPr>
        <w:t>12</w:t>
      </w:r>
      <w:r w:rsidR="00277413" w:rsidRPr="008E2495">
        <w:t>, Thomson Reuters, July.</w:t>
      </w:r>
    </w:p>
    <w:p w:rsidR="000842A2" w:rsidRPr="008E2495" w:rsidRDefault="000842A2" w:rsidP="00841062">
      <w:pPr>
        <w:pStyle w:val="Reference"/>
      </w:pPr>
      <w:r w:rsidRPr="008E2495">
        <w:t xml:space="preserve">Kakes, J. 2006, </w:t>
      </w:r>
      <w:r w:rsidR="00841062" w:rsidRPr="00172FF6">
        <w:rPr>
          <w:i/>
        </w:rPr>
        <w:t>Financial Behaviour of Dutch Pension Funds: a Disaggregated Approach</w:t>
      </w:r>
      <w:r w:rsidR="00172FF6" w:rsidRPr="00172FF6">
        <w:t>,</w:t>
      </w:r>
      <w:r w:rsidR="00841062" w:rsidRPr="00172FF6">
        <w:t xml:space="preserve"> </w:t>
      </w:r>
      <w:r w:rsidR="00841062" w:rsidRPr="008E2495">
        <w:t xml:space="preserve">De Nederlandsche Bank, </w:t>
      </w:r>
      <w:r w:rsidR="008E5B18">
        <w:t xml:space="preserve">DNB </w:t>
      </w:r>
      <w:r w:rsidR="00666AA4" w:rsidRPr="008E2495">
        <w:t>Working Paper No. 108/</w:t>
      </w:r>
      <w:r w:rsidR="008E5B18">
        <w:t xml:space="preserve"> July </w:t>
      </w:r>
      <w:r w:rsidR="00666AA4" w:rsidRPr="008E2495">
        <w:t>2006,</w:t>
      </w:r>
      <w:r w:rsidR="008E5B18">
        <w:t xml:space="preserve"> Amsterdam</w:t>
      </w:r>
      <w:r w:rsidR="00277413" w:rsidRPr="008E2495">
        <w:t>.</w:t>
      </w:r>
    </w:p>
    <w:p w:rsidR="0051643A" w:rsidRPr="008E2495" w:rsidRDefault="0051643A" w:rsidP="0051643A">
      <w:pPr>
        <w:pStyle w:val="Reference"/>
      </w:pPr>
      <w:r w:rsidRPr="008E2495">
        <w:lastRenderedPageBreak/>
        <w:t xml:space="preserve">Kingston, G. 2004, </w:t>
      </w:r>
      <w:r w:rsidR="008E5B18">
        <w:t>‘</w:t>
      </w:r>
      <w:r w:rsidRPr="00084D51">
        <w:t xml:space="preserve">Superannuation: A </w:t>
      </w:r>
      <w:r w:rsidR="00F038A4" w:rsidRPr="00084D51">
        <w:t>G</w:t>
      </w:r>
      <w:r w:rsidRPr="00084D51">
        <w:t xml:space="preserve">uide to the </w:t>
      </w:r>
      <w:r w:rsidR="00F038A4" w:rsidRPr="00084D51">
        <w:t>F</w:t>
      </w:r>
      <w:r w:rsidRPr="00084D51">
        <w:t>ield for Australian Economists</w:t>
      </w:r>
      <w:r w:rsidR="008E5B18">
        <w:t>’</w:t>
      </w:r>
      <w:r w:rsidRPr="008E2495">
        <w:t xml:space="preserve">, </w:t>
      </w:r>
      <w:r w:rsidRPr="00084D51">
        <w:rPr>
          <w:i/>
        </w:rPr>
        <w:t>Economic Analysis &amp; Polic</w:t>
      </w:r>
      <w:r w:rsidR="00277413" w:rsidRPr="00084D51">
        <w:rPr>
          <w:i/>
        </w:rPr>
        <w:t>y</w:t>
      </w:r>
      <w:r w:rsidR="00277413" w:rsidRPr="008E2495">
        <w:t xml:space="preserve">, </w:t>
      </w:r>
      <w:r w:rsidR="00442E39">
        <w:t>v</w:t>
      </w:r>
      <w:r w:rsidR="00442E39" w:rsidRPr="008E2495">
        <w:t>ol</w:t>
      </w:r>
      <w:r w:rsidR="00277413" w:rsidRPr="008E2495">
        <w:t>. 33</w:t>
      </w:r>
      <w:r w:rsidR="00442E39">
        <w:t>,</w:t>
      </w:r>
      <w:r w:rsidR="00277413" w:rsidRPr="008E2495">
        <w:t xml:space="preserve"> </w:t>
      </w:r>
      <w:r w:rsidR="00442E39">
        <w:t>n</w:t>
      </w:r>
      <w:r w:rsidR="00442E39" w:rsidRPr="008E2495">
        <w:t>o</w:t>
      </w:r>
      <w:r w:rsidR="00277413" w:rsidRPr="008E2495">
        <w:t>. 2, pp. 203</w:t>
      </w:r>
      <w:r w:rsidR="000871BA">
        <w:t>–</w:t>
      </w:r>
      <w:r w:rsidR="00277413" w:rsidRPr="008E2495">
        <w:t>26.</w:t>
      </w:r>
    </w:p>
    <w:p w:rsidR="00652AB6" w:rsidRPr="008E2495" w:rsidRDefault="00652AB6" w:rsidP="00652AB6">
      <w:pPr>
        <w:pStyle w:val="Reference"/>
      </w:pPr>
      <w:r w:rsidRPr="008E2495">
        <w:t xml:space="preserve">Kobayashi, B., 2005, ‘Does economics provide a reliable guide to regulating commodity bundling by firms? A survey of the economic literature’, </w:t>
      </w:r>
      <w:r w:rsidRPr="008E2495">
        <w:rPr>
          <w:i/>
        </w:rPr>
        <w:t>Journal of Competition Law &amp; Economics</w:t>
      </w:r>
      <w:r w:rsidRPr="008E2495">
        <w:t>, vol. 1, no. 4, pp. 707</w:t>
      </w:r>
      <w:r w:rsidR="000871BA">
        <w:t>–</w:t>
      </w:r>
      <w:r w:rsidRPr="008E2495">
        <w:t>746.</w:t>
      </w:r>
    </w:p>
    <w:p w:rsidR="0011511E" w:rsidRPr="008E2495" w:rsidRDefault="0011511E" w:rsidP="00245CB2">
      <w:pPr>
        <w:pStyle w:val="Reference"/>
      </w:pPr>
      <w:r w:rsidRPr="008E2495">
        <w:t xml:space="preserve">Korporaal, G. 2012, ‘APRA to Urge Mergers on Small Super Funds’, </w:t>
      </w:r>
      <w:r w:rsidRPr="008E2495">
        <w:rPr>
          <w:i/>
        </w:rPr>
        <w:t>The Australian</w:t>
      </w:r>
      <w:r w:rsidRPr="008E2495">
        <w:t>, June 18, p. 21.</w:t>
      </w:r>
    </w:p>
    <w:p w:rsidR="00245CB2" w:rsidRPr="008E2495" w:rsidRDefault="00245CB2" w:rsidP="00245CB2">
      <w:pPr>
        <w:pStyle w:val="Reference"/>
      </w:pPr>
      <w:r w:rsidRPr="008E2495">
        <w:t xml:space="preserve">Littlewood, M. 2012, </w:t>
      </w:r>
      <w:r w:rsidRPr="008E2495">
        <w:rPr>
          <w:i/>
        </w:rPr>
        <w:t>KiwiSaver: Changing the Default Provider Regime</w:t>
      </w:r>
      <w:r w:rsidRPr="008E2495">
        <w:t>, Retirement Policy and Research Centre, The University of Auckland.</w:t>
      </w:r>
    </w:p>
    <w:p w:rsidR="00245CB2" w:rsidRPr="008E2495" w:rsidRDefault="00245CB2" w:rsidP="00245CB2">
      <w:pPr>
        <w:pStyle w:val="Reference"/>
      </w:pPr>
      <w:r w:rsidRPr="008E2495">
        <w:t xml:space="preserve">Ministry of Economic Development 2010, </w:t>
      </w:r>
      <w:r w:rsidRPr="00084D51">
        <w:rPr>
          <w:i/>
        </w:rPr>
        <w:t>R</w:t>
      </w:r>
      <w:r w:rsidRPr="008E2495">
        <w:rPr>
          <w:i/>
        </w:rPr>
        <w:t>eport on KiwiSaver Supply Side Evaluation: July 2010</w:t>
      </w:r>
      <w:r w:rsidRPr="008E2495">
        <w:t>, Wellington.</w:t>
      </w:r>
    </w:p>
    <w:p w:rsidR="00395BA2" w:rsidRPr="008E2495" w:rsidRDefault="00395BA2" w:rsidP="00395BA2">
      <w:pPr>
        <w:pStyle w:val="Reference"/>
      </w:pPr>
      <w:r w:rsidRPr="008E2495">
        <w:t xml:space="preserve">Morningstar 2009, </w:t>
      </w:r>
      <w:r w:rsidRPr="008E2495">
        <w:rPr>
          <w:i/>
        </w:rPr>
        <w:t>Submission to Review into the Governance, Efficiency, Structure and Operation of Australia’s Superannuation System</w:t>
      </w:r>
      <w:r w:rsidR="00277413" w:rsidRPr="008E2495">
        <w:t>, Sydney, December.</w:t>
      </w:r>
    </w:p>
    <w:p w:rsidR="00F0039B" w:rsidRPr="008E2495" w:rsidRDefault="00F0039B" w:rsidP="00F0039B">
      <w:pPr>
        <w:pStyle w:val="Reference"/>
      </w:pPr>
      <w:r w:rsidRPr="008E2495">
        <w:t xml:space="preserve">MPFA (Mandatory Provident Fund Schemes Authority) 2012, </w:t>
      </w:r>
      <w:r w:rsidRPr="008E2495">
        <w:rPr>
          <w:i/>
        </w:rPr>
        <w:t>Mandatory Provident Fund Schemes Authority</w:t>
      </w:r>
      <w:r w:rsidRPr="008E2495">
        <w:t>, http://www.mpfa.org.hk/eindex.asp (accessed 18 July 2012).</w:t>
      </w:r>
    </w:p>
    <w:p w:rsidR="006F150F" w:rsidRPr="008E2495" w:rsidRDefault="006F150F" w:rsidP="00245CB2">
      <w:pPr>
        <w:pStyle w:val="Reference"/>
      </w:pPr>
      <w:r w:rsidRPr="008E2495">
        <w:t xml:space="preserve">OECD (Organisation </w:t>
      </w:r>
      <w:r w:rsidR="009B7A67" w:rsidRPr="008E2495">
        <w:t>for</w:t>
      </w:r>
      <w:r w:rsidRPr="008E2495">
        <w:t xml:space="preserve"> Economic Co-operation and Development) 2009, </w:t>
      </w:r>
      <w:r w:rsidRPr="008E2495">
        <w:rPr>
          <w:i/>
        </w:rPr>
        <w:t>OECD Guidelines for Pension Fund Governance</w:t>
      </w:r>
      <w:r w:rsidRPr="008E2495">
        <w:t>, Working Party on Private Pensions, June, Paris.</w:t>
      </w:r>
    </w:p>
    <w:p w:rsidR="003F255F" w:rsidRPr="008E2495" w:rsidRDefault="003F255F" w:rsidP="003F255F">
      <w:pPr>
        <w:pStyle w:val="Reference"/>
        <w:rPr>
          <w:rFonts w:eastAsiaTheme="minorHAnsi"/>
        </w:rPr>
      </w:pPr>
      <w:r w:rsidRPr="008E2495">
        <w:rPr>
          <w:rFonts w:eastAsiaTheme="minorHAnsi"/>
        </w:rPr>
        <w:t xml:space="preserve">O’Neill, S. 2009, ‘Workplace relations overview’, </w:t>
      </w:r>
      <w:r w:rsidRPr="008E2495">
        <w:rPr>
          <w:rFonts w:eastAsiaTheme="minorHAnsi"/>
          <w:i/>
        </w:rPr>
        <w:t>Budget Review 2009-10</w:t>
      </w:r>
      <w:r w:rsidRPr="008E2495">
        <w:rPr>
          <w:rFonts w:eastAsiaTheme="minorHAnsi"/>
        </w:rPr>
        <w:t>, Parliamentary Library Research Paper, no. 33 2008-09, pp. 113</w:t>
      </w:r>
      <w:r w:rsidR="000871BA">
        <w:rPr>
          <w:rFonts w:eastAsiaTheme="minorHAnsi"/>
        </w:rPr>
        <w:t>–</w:t>
      </w:r>
      <w:r w:rsidRPr="008E2495">
        <w:rPr>
          <w:rFonts w:eastAsiaTheme="minorHAnsi"/>
        </w:rPr>
        <w:t>14.</w:t>
      </w:r>
    </w:p>
    <w:p w:rsidR="00245CB2" w:rsidRPr="008E2495" w:rsidRDefault="00245CB2" w:rsidP="00245CB2">
      <w:pPr>
        <w:pStyle w:val="Reference"/>
      </w:pPr>
      <w:r w:rsidRPr="008E2495">
        <w:t xml:space="preserve">Palmer, E. nd, </w:t>
      </w:r>
      <w:r w:rsidRPr="000871BA">
        <w:t xml:space="preserve">Sweden: Competition in the </w:t>
      </w:r>
      <w:r w:rsidR="00B51F81" w:rsidRPr="000871BA">
        <w:t>P</w:t>
      </w:r>
      <w:r w:rsidR="00B36277" w:rsidRPr="000871BA">
        <w:t xml:space="preserve">ensions </w:t>
      </w:r>
      <w:r w:rsidR="00B51F81" w:rsidRPr="000871BA">
        <w:t>S</w:t>
      </w:r>
      <w:r w:rsidRPr="000871BA">
        <w:t xml:space="preserve">ector – </w:t>
      </w:r>
      <w:r w:rsidR="00B36277" w:rsidRPr="000871BA">
        <w:t xml:space="preserve">a </w:t>
      </w:r>
      <w:r w:rsidR="00B51F81" w:rsidRPr="000871BA">
        <w:t>L</w:t>
      </w:r>
      <w:r w:rsidR="00B36277" w:rsidRPr="000871BA">
        <w:t xml:space="preserve">ow </w:t>
      </w:r>
      <w:r w:rsidR="00B51F81" w:rsidRPr="000871BA">
        <w:t>C</w:t>
      </w:r>
      <w:r w:rsidR="00B36277" w:rsidRPr="000871BA">
        <w:t xml:space="preserve">ost </w:t>
      </w:r>
      <w:r w:rsidR="00B51F81" w:rsidRPr="000871BA">
        <w:t>M</w:t>
      </w:r>
      <w:r w:rsidRPr="000871BA">
        <w:t>odel</w:t>
      </w:r>
      <w:r w:rsidRPr="008E2495">
        <w:t>, www.oecd.org/dataoecd/0/48/40478237.pdf (accessed 8 June 2012).</w:t>
      </w:r>
    </w:p>
    <w:p w:rsidR="00996CC6" w:rsidRPr="008E2495" w:rsidRDefault="00996CC6" w:rsidP="00996CC6">
      <w:pPr>
        <w:pStyle w:val="Reference"/>
      </w:pPr>
      <w:r>
        <w:t xml:space="preserve">Parliament of Australia </w:t>
      </w:r>
      <w:r w:rsidRPr="008E2495">
        <w:rPr>
          <w:lang w:val="en"/>
        </w:rPr>
        <w:t xml:space="preserve">2012, </w:t>
      </w:r>
      <w:r w:rsidRPr="008E2495">
        <w:rPr>
          <w:i/>
          <w:lang w:val="en"/>
        </w:rPr>
        <w:t>House of Representatives</w:t>
      </w:r>
      <w:r>
        <w:rPr>
          <w:i/>
          <w:lang w:val="en"/>
        </w:rPr>
        <w:t xml:space="preserve"> Official Hansard</w:t>
      </w:r>
      <w:r w:rsidRPr="008E2495">
        <w:rPr>
          <w:lang w:val="en"/>
        </w:rPr>
        <w:t>, </w:t>
      </w:r>
      <w:r w:rsidRPr="008E2495">
        <w:rPr>
          <w:i/>
          <w:lang w:val="en"/>
        </w:rPr>
        <w:t>Questions in Writing — Fair Work Australia</w:t>
      </w:r>
      <w:r w:rsidRPr="008E2495">
        <w:rPr>
          <w:lang w:val="en"/>
        </w:rPr>
        <w:t xml:space="preserve">, </w:t>
      </w:r>
      <w:r w:rsidRPr="008E2495">
        <w:rPr>
          <w:i/>
          <w:lang w:val="en"/>
        </w:rPr>
        <w:t>Modern Awards</w:t>
      </w:r>
      <w:r w:rsidRPr="008E2495">
        <w:rPr>
          <w:lang w:val="en"/>
        </w:rPr>
        <w:t xml:space="preserve">, </w:t>
      </w:r>
      <w:r>
        <w:rPr>
          <w:lang w:val="en"/>
        </w:rPr>
        <w:t xml:space="preserve">Question </w:t>
      </w:r>
      <w:r w:rsidRPr="008E2495">
        <w:rPr>
          <w:lang w:val="en"/>
        </w:rPr>
        <w:t>no. 736, pp.</w:t>
      </w:r>
      <w:r>
        <w:rPr>
          <w:lang w:val="en"/>
        </w:rPr>
        <w:t> </w:t>
      </w:r>
      <w:r w:rsidRPr="008E2495">
        <w:rPr>
          <w:lang w:val="en"/>
        </w:rPr>
        <w:t>708</w:t>
      </w:r>
      <w:r>
        <w:rPr>
          <w:lang w:val="en"/>
        </w:rPr>
        <w:noBreakHyphen/>
      </w:r>
      <w:r w:rsidRPr="008E2495">
        <w:rPr>
          <w:lang w:val="en"/>
        </w:rPr>
        <w:t>7</w:t>
      </w:r>
      <w:r>
        <w:rPr>
          <w:lang w:val="en"/>
        </w:rPr>
        <w:t>27</w:t>
      </w:r>
      <w:r w:rsidRPr="008E2495">
        <w:rPr>
          <w:lang w:val="en"/>
        </w:rPr>
        <w:t>.</w:t>
      </w:r>
    </w:p>
    <w:p w:rsidR="0011511E" w:rsidRPr="008E2495" w:rsidRDefault="00395BA2" w:rsidP="00395BA2">
      <w:pPr>
        <w:pStyle w:val="Reference"/>
      </w:pPr>
      <w:r w:rsidRPr="008E2495">
        <w:t>Patten</w:t>
      </w:r>
      <w:r w:rsidR="0011511E" w:rsidRPr="008E2495">
        <w:t>,</w:t>
      </w:r>
      <w:r w:rsidRPr="008E2495">
        <w:t xml:space="preserve"> S. </w:t>
      </w:r>
      <w:r w:rsidR="0011511E" w:rsidRPr="008E2495">
        <w:t xml:space="preserve">2012a, ‘APRA Puts Pressure on Union Funds’, </w:t>
      </w:r>
      <w:r w:rsidR="0011511E" w:rsidRPr="008E2495">
        <w:rPr>
          <w:i/>
        </w:rPr>
        <w:t>Australian Financial Review</w:t>
      </w:r>
      <w:r w:rsidR="0011511E" w:rsidRPr="008E2495">
        <w:t>, June 18, p. 1.</w:t>
      </w:r>
    </w:p>
    <w:p w:rsidR="00395BA2" w:rsidRPr="008E2495" w:rsidRDefault="0011511E" w:rsidP="00395BA2">
      <w:pPr>
        <w:pStyle w:val="Reference"/>
      </w:pPr>
      <w:r w:rsidRPr="008E2495">
        <w:t xml:space="preserve">—— </w:t>
      </w:r>
      <w:r w:rsidR="00395BA2" w:rsidRPr="008E2495">
        <w:t>2012</w:t>
      </w:r>
      <w:r w:rsidRPr="008E2495">
        <w:t>b</w:t>
      </w:r>
      <w:r w:rsidR="00395BA2" w:rsidRPr="008E2495">
        <w:t xml:space="preserve">, ‘Cooper Wants More Non-Aligned Directors’, </w:t>
      </w:r>
      <w:r w:rsidR="00395BA2" w:rsidRPr="008E2495">
        <w:rPr>
          <w:i/>
        </w:rPr>
        <w:t>Australian Financial Review</w:t>
      </w:r>
      <w:r w:rsidR="00277413" w:rsidRPr="008E2495">
        <w:t>, April 12, p. 6.</w:t>
      </w:r>
    </w:p>
    <w:p w:rsidR="00395BA2" w:rsidRPr="008E2495" w:rsidRDefault="00395BA2" w:rsidP="00395BA2">
      <w:pPr>
        <w:pStyle w:val="Reference"/>
      </w:pPr>
      <w:r w:rsidRPr="008E2495">
        <w:t>—— 2012</w:t>
      </w:r>
      <w:r w:rsidR="0011511E" w:rsidRPr="008E2495">
        <w:t>c</w:t>
      </w:r>
      <w:r w:rsidRPr="008E2495">
        <w:t xml:space="preserve">, ‘Funds Face Full Disclosure Rule’, </w:t>
      </w:r>
      <w:r w:rsidRPr="008E2495">
        <w:rPr>
          <w:i/>
        </w:rPr>
        <w:t>Australian Financial Review</w:t>
      </w:r>
      <w:r w:rsidR="00277413" w:rsidRPr="008E2495">
        <w:t>, May 15, p. 8.</w:t>
      </w:r>
    </w:p>
    <w:p w:rsidR="00395BA2" w:rsidRPr="008E2495" w:rsidRDefault="00395BA2" w:rsidP="00395BA2">
      <w:pPr>
        <w:pStyle w:val="Reference"/>
      </w:pPr>
      <w:r w:rsidRPr="008E2495">
        <w:t xml:space="preserve">PC (Productivity Commission) 2001, </w:t>
      </w:r>
      <w:r w:rsidRPr="008E2495">
        <w:rPr>
          <w:i/>
        </w:rPr>
        <w:t>Review of the Superannuation Industry (Supervision) Act 1993 and Certain Other Superannuation Legislation</w:t>
      </w:r>
      <w:r w:rsidR="001D3815" w:rsidRPr="008E2495">
        <w:t>, Report no. 18, Canberra.</w:t>
      </w:r>
    </w:p>
    <w:p w:rsidR="00395BA2" w:rsidRPr="008E2495" w:rsidRDefault="00395BA2" w:rsidP="00395BA2">
      <w:pPr>
        <w:pStyle w:val="Reference"/>
      </w:pPr>
      <w:r w:rsidRPr="008E2495">
        <w:lastRenderedPageBreak/>
        <w:t xml:space="preserve">—— 2009, </w:t>
      </w:r>
      <w:r w:rsidRPr="008E2495">
        <w:rPr>
          <w:i/>
        </w:rPr>
        <w:t>Executive Remuneration in Australia</w:t>
      </w:r>
      <w:r w:rsidRPr="008E2495">
        <w:t>, Report no. 49, Fi</w:t>
      </w:r>
      <w:r w:rsidR="00277413" w:rsidRPr="008E2495">
        <w:t>nal Inquiry Report, Melbourne.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Preston, M., Pung, A., Leung, E., Casey, C., Dunn, A. and Richter, O. 2012, </w:t>
      </w:r>
      <w:r w:rsidRPr="008E2495">
        <w:rPr>
          <w:i/>
        </w:rPr>
        <w:t>Analysing Modern Award Coverage using the Australian and New Zealand Standard Industrial Classification 2006: Phase 1 Report,</w:t>
      </w:r>
      <w:r w:rsidRPr="008E2495">
        <w:t xml:space="preserve"> Research Report</w:t>
      </w:r>
      <w:r w:rsidR="000871BA">
        <w:t> </w:t>
      </w:r>
      <w:r w:rsidRPr="008E2495">
        <w:t>2/2012</w:t>
      </w:r>
      <w:r w:rsidRPr="008E2495">
        <w:rPr>
          <w:i/>
        </w:rPr>
        <w:t xml:space="preserve">, </w:t>
      </w:r>
      <w:r w:rsidRPr="008E2495">
        <w:t>Fair Work Australia, Melbourne.</w:t>
      </w:r>
    </w:p>
    <w:p w:rsidR="00A95722" w:rsidRPr="008E2495" w:rsidRDefault="00A95722" w:rsidP="00A95722">
      <w:pPr>
        <w:pStyle w:val="Reference"/>
        <w:jc w:val="left"/>
        <w:rPr>
          <w:rStyle w:val="Hyperlink"/>
          <w:color w:val="auto"/>
        </w:rPr>
      </w:pPr>
      <w:r w:rsidRPr="008E2495">
        <w:t xml:space="preserve">Rice Warner 2007, </w:t>
      </w:r>
      <w:r w:rsidRPr="008E2495">
        <w:rPr>
          <w:i/>
        </w:rPr>
        <w:t>Is Choice of Fund Working?</w:t>
      </w:r>
      <w:r w:rsidR="00B51F81" w:rsidRPr="008E2495">
        <w:t>,</w:t>
      </w:r>
      <w:r w:rsidRPr="008E2495">
        <w:t xml:space="preserve"> Touchstone Newsletter, January, </w:t>
      </w:r>
      <w:hyperlink r:id="rId25" w:history="1">
        <w:r w:rsidRPr="008E2495">
          <w:t>www.ricewarner.com/images/newsroom/1235564272_1Is_Choice_of_Funding_Working_January_2007.pdf</w:t>
        </w:r>
      </w:hyperlink>
      <w:r w:rsidRPr="008E2495">
        <w:t xml:space="preserve"> (accessed 18 April 2012).</w:t>
      </w:r>
    </w:p>
    <w:p w:rsidR="00524F9E" w:rsidRPr="008E2495" w:rsidRDefault="00524F9E" w:rsidP="00524F9E">
      <w:pPr>
        <w:pStyle w:val="Reference"/>
        <w:jc w:val="left"/>
      </w:pPr>
      <w:r w:rsidRPr="008E2495">
        <w:t xml:space="preserve">—— 2010, </w:t>
      </w:r>
      <w:r w:rsidRPr="008E2495">
        <w:rPr>
          <w:i/>
          <w:iCs/>
        </w:rPr>
        <w:t>The Future of Super</w:t>
      </w:r>
      <w:r w:rsidRPr="008E2495">
        <w:t xml:space="preserve">, Touchstone Newsletter, July, </w:t>
      </w:r>
      <w:hyperlink r:id="rId26" w:history="1">
        <w:r w:rsidRPr="008E2495">
          <w:rPr>
            <w:rStyle w:val="Hyperlink"/>
            <w:color w:val="auto"/>
            <w:u w:val="none"/>
          </w:rPr>
          <w:t>www.ricewarner.com/images/newsroom/1279676461_Touchstone%20Newsletter%20-%20The%20Future%20of%20Super.pdf</w:t>
        </w:r>
      </w:hyperlink>
      <w:r w:rsidRPr="008E2495">
        <w:rPr>
          <w:rStyle w:val="Hyperlink"/>
          <w:color w:val="auto"/>
          <w:u w:val="none"/>
        </w:rPr>
        <w:t xml:space="preserve"> (accessed 18 April 2012).</w:t>
      </w:r>
    </w:p>
    <w:p w:rsidR="00652AB6" w:rsidRPr="008E2495" w:rsidRDefault="00652AB6" w:rsidP="00652AB6">
      <w:pPr>
        <w:pStyle w:val="Reference"/>
      </w:pPr>
      <w:r w:rsidRPr="008E2495">
        <w:t xml:space="preserve">—— 2012, </w:t>
      </w:r>
      <w:r w:rsidRPr="008E2495">
        <w:rPr>
          <w:i/>
        </w:rPr>
        <w:t>Superannuation Fees Research</w:t>
      </w:r>
      <w:r w:rsidRPr="008E2495">
        <w:t>, report prepared for the FSC, Sydney.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Rozenbes, D. 2010, </w:t>
      </w:r>
      <w:r w:rsidRPr="008E2495">
        <w:rPr>
          <w:i/>
        </w:rPr>
        <w:t>An Overview of Compositional Change in the Australian Labour Market and Award Reliance</w:t>
      </w:r>
      <w:r w:rsidRPr="008E2495">
        <w:t>, Research Report 1/2010, Fair Work Australia, Melbourne.</w:t>
      </w:r>
    </w:p>
    <w:p w:rsidR="0069225C" w:rsidRPr="008E2495" w:rsidRDefault="0069225C" w:rsidP="0069225C">
      <w:pPr>
        <w:pStyle w:val="Reference"/>
        <w:jc w:val="left"/>
      </w:pPr>
      <w:r w:rsidRPr="008E2495">
        <w:t xml:space="preserve">SCT (Superannuation Complaints Tribunal) 2009, </w:t>
      </w:r>
      <w:r w:rsidRPr="008E2495">
        <w:rPr>
          <w:i/>
        </w:rPr>
        <w:t xml:space="preserve">What </w:t>
      </w:r>
      <w:r w:rsidR="00740E32" w:rsidRPr="008E2495">
        <w:rPr>
          <w:i/>
        </w:rPr>
        <w:t>D</w:t>
      </w:r>
      <w:r w:rsidRPr="008E2495">
        <w:rPr>
          <w:i/>
        </w:rPr>
        <w:t xml:space="preserve">oes the Tribunal Cover? </w:t>
      </w:r>
      <w:r w:rsidRPr="008E2495">
        <w:t>www.sct.gov.au/Page.aspx?pid=26</w:t>
      </w:r>
      <w:r w:rsidR="00277413" w:rsidRPr="008E2495">
        <w:t xml:space="preserve"> (accessed 22 May 2012).</w:t>
      </w:r>
    </w:p>
    <w:p w:rsidR="002D3359" w:rsidRPr="008E2495" w:rsidRDefault="002D3359" w:rsidP="00D84D8F">
      <w:pPr>
        <w:pStyle w:val="Reference"/>
      </w:pPr>
      <w:r w:rsidRPr="008E2495">
        <w:t xml:space="preserve">Shorten, B. (Minister for Employment and Workplace Relations and Minister for Financial Services and Superannuation) </w:t>
      </w:r>
      <w:r w:rsidRPr="008E2495">
        <w:rPr>
          <w:lang w:val="en"/>
        </w:rPr>
        <w:t xml:space="preserve">2011a, </w:t>
      </w:r>
      <w:r w:rsidRPr="008E2495">
        <w:rPr>
          <w:i/>
          <w:lang w:val="en"/>
        </w:rPr>
        <w:t>A Better Deal for Superfund Members</w:t>
      </w:r>
      <w:r w:rsidRPr="008E2495">
        <w:rPr>
          <w:lang w:val="en"/>
        </w:rPr>
        <w:t xml:space="preserve">, </w:t>
      </w:r>
      <w:r w:rsidRPr="008E2495">
        <w:rPr>
          <w:szCs w:val="26"/>
        </w:rPr>
        <w:t>Media Release no. 131, 21 September.</w:t>
      </w:r>
    </w:p>
    <w:p w:rsidR="0051643A" w:rsidRPr="008E2495" w:rsidRDefault="002D3359" w:rsidP="0051643A">
      <w:pPr>
        <w:pStyle w:val="Reference"/>
      </w:pPr>
      <w:r w:rsidRPr="008E2495">
        <w:t xml:space="preserve">—— </w:t>
      </w:r>
      <w:r w:rsidR="0051643A" w:rsidRPr="008E2495">
        <w:t>2011</w:t>
      </w:r>
      <w:r w:rsidRPr="008E2495">
        <w:t>b</w:t>
      </w:r>
      <w:r w:rsidR="0051643A" w:rsidRPr="008E2495">
        <w:t xml:space="preserve">, </w:t>
      </w:r>
      <w:r w:rsidR="0051643A" w:rsidRPr="008E2495">
        <w:rPr>
          <w:i/>
        </w:rPr>
        <w:t xml:space="preserve">Superannuation Legislation Amendment (MySuper Core Provisions) Bill 2011 </w:t>
      </w:r>
      <w:r w:rsidR="0051643A" w:rsidRPr="008E2495">
        <w:rPr>
          <w:i/>
          <w:iCs/>
        </w:rPr>
        <w:t>Explanatory Memorandum</w:t>
      </w:r>
      <w:r w:rsidR="0051643A" w:rsidRPr="008E2495">
        <w:t>, Parliament of the Commonw</w:t>
      </w:r>
      <w:r w:rsidR="00277413" w:rsidRPr="008E2495">
        <w:t>ealth of Australia, Canberra.</w:t>
      </w:r>
    </w:p>
    <w:p w:rsidR="00967125" w:rsidRPr="008E2495" w:rsidRDefault="00967125" w:rsidP="00967125">
      <w:pPr>
        <w:pStyle w:val="Reference"/>
      </w:pPr>
      <w:r w:rsidRPr="008E2495">
        <w:t xml:space="preserve">—— 2012a, </w:t>
      </w:r>
      <w:r w:rsidRPr="008E2495">
        <w:rPr>
          <w:i/>
          <w:iCs/>
        </w:rPr>
        <w:t>Superannuation Legislation Amendment (Further MySuper and Transparency Measures) Bill 2012 Explanatory Memorandum</w:t>
      </w:r>
      <w:r w:rsidRPr="008E2495">
        <w:t>, Parliament of the Commonw</w:t>
      </w:r>
      <w:r w:rsidR="00277413" w:rsidRPr="008E2495">
        <w:t>ealth of Australia, Canberra.</w:t>
      </w:r>
    </w:p>
    <w:p w:rsidR="004E158D" w:rsidRPr="008E2495" w:rsidRDefault="004E158D" w:rsidP="004E158D">
      <w:pPr>
        <w:pStyle w:val="Reference"/>
      </w:pPr>
      <w:r w:rsidRPr="008E2495">
        <w:t xml:space="preserve">—— 2012b, </w:t>
      </w:r>
      <w:r w:rsidRPr="008E2495">
        <w:rPr>
          <w:i/>
        </w:rPr>
        <w:t>Superannuation Legislation Amendment (MySuper Core Provisions) Bill 2011 Supplementary Explanatory Memorandum</w:t>
      </w:r>
      <w:r w:rsidRPr="008E2495">
        <w:t>, Parliament of the Commonwealth of Australia, Canberra.</w:t>
      </w:r>
    </w:p>
    <w:p w:rsidR="00764924" w:rsidRPr="008E2495" w:rsidRDefault="00764924" w:rsidP="00D52BB1">
      <w:pPr>
        <w:pStyle w:val="Reference"/>
      </w:pPr>
      <w:r w:rsidRPr="008E2495">
        <w:t>—— 2012</w:t>
      </w:r>
      <w:r w:rsidR="004E158D" w:rsidRPr="008E2495">
        <w:t>c</w:t>
      </w:r>
      <w:r w:rsidRPr="008E2495">
        <w:t xml:space="preserve">, </w:t>
      </w:r>
      <w:r w:rsidRPr="008E2495">
        <w:rPr>
          <w:i/>
        </w:rPr>
        <w:t>Superannuation Legislation Amendment (Stronger Super and Other Measures) (No. 2)</w:t>
      </w:r>
      <w:r w:rsidR="004E158D" w:rsidRPr="008E2495">
        <w:rPr>
          <w:i/>
        </w:rPr>
        <w:t xml:space="preserve"> </w:t>
      </w:r>
      <w:r w:rsidRPr="008E2495">
        <w:rPr>
          <w:i/>
        </w:rPr>
        <w:t>Bill 2012: Superannuation Data and Payment Standards Explanatory Memorandum</w:t>
      </w:r>
      <w:r w:rsidRPr="008E2495">
        <w:t>, Parliament of the Commonwealth of Australia, Canberra.</w:t>
      </w:r>
    </w:p>
    <w:p w:rsidR="00D52BB1" w:rsidRPr="008E2495" w:rsidRDefault="00D52107" w:rsidP="00D52BB1">
      <w:pPr>
        <w:pStyle w:val="Reference"/>
      </w:pPr>
      <w:r w:rsidRPr="008E2495">
        <w:t xml:space="preserve">—— </w:t>
      </w:r>
      <w:r w:rsidR="00D52BB1" w:rsidRPr="008E2495">
        <w:t>2012</w:t>
      </w:r>
      <w:r w:rsidR="004E158D" w:rsidRPr="008E2495">
        <w:t>d</w:t>
      </w:r>
      <w:r w:rsidR="00D52BB1" w:rsidRPr="008E2495">
        <w:t xml:space="preserve">, </w:t>
      </w:r>
      <w:r w:rsidR="00D52BB1" w:rsidRPr="008E2495">
        <w:rPr>
          <w:i/>
        </w:rPr>
        <w:t xml:space="preserve">Superannuation Legislation Amendment (Trustee Obligations and Prudential Standards) Bill 2012 </w:t>
      </w:r>
      <w:r w:rsidR="00D52BB1" w:rsidRPr="008E2495">
        <w:rPr>
          <w:i/>
          <w:iCs/>
        </w:rPr>
        <w:t>Explanatory Memorandum</w:t>
      </w:r>
      <w:r w:rsidR="00D52BB1" w:rsidRPr="008E2495">
        <w:t xml:space="preserve">, Parliament of the Commonwealth of Australia, </w:t>
      </w:r>
      <w:r w:rsidR="00277413" w:rsidRPr="008E2495">
        <w:t>Canberra.</w:t>
      </w:r>
    </w:p>
    <w:p w:rsidR="002737B7" w:rsidRPr="008E2495" w:rsidRDefault="002737B7" w:rsidP="002737B7">
      <w:pPr>
        <w:pStyle w:val="Reference"/>
      </w:pPr>
      <w:r w:rsidRPr="008E2495">
        <w:lastRenderedPageBreak/>
        <w:t xml:space="preserve">—— 2012e, </w:t>
      </w:r>
      <w:r w:rsidRPr="008E2495">
        <w:rPr>
          <w:i/>
        </w:rPr>
        <w:t xml:space="preserve">Superannuation </w:t>
      </w:r>
      <w:r w:rsidR="00B966F7" w:rsidRPr="008E2495">
        <w:rPr>
          <w:i/>
        </w:rPr>
        <w:t>R</w:t>
      </w:r>
      <w:r w:rsidRPr="008E2495">
        <w:rPr>
          <w:i/>
        </w:rPr>
        <w:t xml:space="preserve">oundtable </w:t>
      </w:r>
      <w:r w:rsidR="00B966F7" w:rsidRPr="008E2495">
        <w:rPr>
          <w:i/>
        </w:rPr>
        <w:t>A</w:t>
      </w:r>
      <w:r w:rsidRPr="008E2495">
        <w:rPr>
          <w:i/>
        </w:rPr>
        <w:t xml:space="preserve">grees to </w:t>
      </w:r>
      <w:r w:rsidR="00B966F7" w:rsidRPr="008E2495">
        <w:rPr>
          <w:i/>
        </w:rPr>
        <w:t>P</w:t>
      </w:r>
      <w:r w:rsidRPr="008E2495">
        <w:rPr>
          <w:i/>
        </w:rPr>
        <w:t xml:space="preserve">romote </w:t>
      </w:r>
      <w:r w:rsidR="00B966F7" w:rsidRPr="008E2495">
        <w:rPr>
          <w:i/>
        </w:rPr>
        <w:t>S</w:t>
      </w:r>
      <w:r w:rsidRPr="008E2495">
        <w:rPr>
          <w:i/>
        </w:rPr>
        <w:t xml:space="preserve">mall </w:t>
      </w:r>
      <w:r w:rsidR="00B966F7" w:rsidRPr="008E2495">
        <w:rPr>
          <w:i/>
        </w:rPr>
        <w:t>B</w:t>
      </w:r>
      <w:r w:rsidRPr="008E2495">
        <w:rPr>
          <w:i/>
        </w:rPr>
        <w:t xml:space="preserve">usiness </w:t>
      </w:r>
      <w:r w:rsidR="00B966F7" w:rsidRPr="008E2495">
        <w:rPr>
          <w:i/>
        </w:rPr>
        <w:t>C</w:t>
      </w:r>
      <w:r w:rsidRPr="008E2495">
        <w:rPr>
          <w:i/>
        </w:rPr>
        <w:t xml:space="preserve">learing </w:t>
      </w:r>
      <w:r w:rsidR="00B966F7" w:rsidRPr="008E2495">
        <w:rPr>
          <w:i/>
        </w:rPr>
        <w:t>H</w:t>
      </w:r>
      <w:r w:rsidRPr="008E2495">
        <w:rPr>
          <w:i/>
        </w:rPr>
        <w:t>ouse</w:t>
      </w:r>
      <w:r w:rsidRPr="008E2495">
        <w:t>, Media Release no. 058, 7 September.</w:t>
      </w:r>
    </w:p>
    <w:p w:rsidR="00D52107" w:rsidRPr="008E2495" w:rsidRDefault="00D52107" w:rsidP="00D52107">
      <w:pPr>
        <w:pStyle w:val="Reference"/>
      </w:pPr>
      <w:r w:rsidRPr="008E2495">
        <w:t>—— 2012</w:t>
      </w:r>
      <w:r w:rsidR="002737B7" w:rsidRPr="008E2495">
        <w:t>f</w:t>
      </w:r>
      <w:r w:rsidRPr="008E2495">
        <w:t xml:space="preserve">, </w:t>
      </w:r>
      <w:r w:rsidRPr="008E2495">
        <w:rPr>
          <w:i/>
        </w:rPr>
        <w:t>Superfund Executive Pay and Investments to be Disclosed</w:t>
      </w:r>
      <w:r w:rsidR="00277413" w:rsidRPr="008E2495">
        <w:t>, Media Release</w:t>
      </w:r>
      <w:r w:rsidR="004A69B5" w:rsidRPr="008E2495">
        <w:t xml:space="preserve"> no. 021</w:t>
      </w:r>
      <w:r w:rsidR="00277413" w:rsidRPr="008E2495">
        <w:t xml:space="preserve">, </w:t>
      </w:r>
      <w:r w:rsidR="00B966F7" w:rsidRPr="008E2495">
        <w:t xml:space="preserve">27 </w:t>
      </w:r>
      <w:r w:rsidR="00277413" w:rsidRPr="008E2495">
        <w:t>April.</w:t>
      </w:r>
    </w:p>
    <w:p w:rsidR="00652AB6" w:rsidRPr="008E2495" w:rsidRDefault="00652AB6" w:rsidP="00652AB6">
      <w:pPr>
        <w:pStyle w:val="Reference"/>
      </w:pPr>
      <w:r w:rsidRPr="008E2495">
        <w:t>—— 2012</w:t>
      </w:r>
      <w:r w:rsidR="002737B7" w:rsidRPr="008E2495">
        <w:t>g</w:t>
      </w:r>
      <w:r w:rsidRPr="008E2495">
        <w:t xml:space="preserve">, </w:t>
      </w:r>
      <w:r w:rsidRPr="008E2495">
        <w:rPr>
          <w:i/>
        </w:rPr>
        <w:t>SuperStream Advisory Council — Call for Nominees</w:t>
      </w:r>
      <w:r w:rsidRPr="008E2495">
        <w:t>, Media Release no. 028, 25 May.</w:t>
      </w:r>
    </w:p>
    <w:p w:rsidR="00D52BB1" w:rsidRPr="008E2495" w:rsidRDefault="00D52107" w:rsidP="00D52BB1">
      <w:pPr>
        <w:pStyle w:val="Reference"/>
      </w:pPr>
      <w:r w:rsidRPr="008E2495">
        <w:t xml:space="preserve">—— </w:t>
      </w:r>
      <w:r w:rsidR="00D52BB1" w:rsidRPr="008E2495">
        <w:t>2012</w:t>
      </w:r>
      <w:r w:rsidR="002737B7" w:rsidRPr="008E2495">
        <w:t>h</w:t>
      </w:r>
      <w:r w:rsidR="00D52BB1" w:rsidRPr="008E2495">
        <w:t xml:space="preserve">, </w:t>
      </w:r>
      <w:r w:rsidR="00D52BB1" w:rsidRPr="008E2495">
        <w:rPr>
          <w:i/>
        </w:rPr>
        <w:t xml:space="preserve">Tax </w:t>
      </w:r>
      <w:r w:rsidR="00DB64F2" w:rsidRPr="008E2495">
        <w:rPr>
          <w:i/>
        </w:rPr>
        <w:t>R</w:t>
      </w:r>
      <w:r w:rsidR="00D52BB1" w:rsidRPr="008E2495">
        <w:rPr>
          <w:i/>
        </w:rPr>
        <w:t xml:space="preserve">elief for </w:t>
      </w:r>
      <w:r w:rsidR="00DB64F2" w:rsidRPr="008E2495">
        <w:rPr>
          <w:i/>
        </w:rPr>
        <w:t>S</w:t>
      </w:r>
      <w:r w:rsidR="00D52BB1" w:rsidRPr="008E2495">
        <w:rPr>
          <w:i/>
        </w:rPr>
        <w:t xml:space="preserve">uperannuation </w:t>
      </w:r>
      <w:r w:rsidR="00DB64F2" w:rsidRPr="008E2495">
        <w:rPr>
          <w:i/>
        </w:rPr>
        <w:t>M</w:t>
      </w:r>
      <w:r w:rsidR="00D52BB1" w:rsidRPr="008E2495">
        <w:rPr>
          <w:i/>
        </w:rPr>
        <w:t xml:space="preserve">ergers </w:t>
      </w:r>
      <w:r w:rsidR="00DB64F2" w:rsidRPr="008E2495">
        <w:rPr>
          <w:i/>
        </w:rPr>
        <w:t>He</w:t>
      </w:r>
      <w:r w:rsidR="00D52BB1" w:rsidRPr="008E2495">
        <w:rPr>
          <w:i/>
        </w:rPr>
        <w:t xml:space="preserve">lps to </w:t>
      </w:r>
      <w:r w:rsidR="00DB64F2" w:rsidRPr="008E2495">
        <w:rPr>
          <w:i/>
        </w:rPr>
        <w:t>L</w:t>
      </w:r>
      <w:r w:rsidR="00D52BB1" w:rsidRPr="008E2495">
        <w:rPr>
          <w:i/>
        </w:rPr>
        <w:t xml:space="preserve">ower </w:t>
      </w:r>
      <w:r w:rsidR="00DB64F2" w:rsidRPr="008E2495">
        <w:rPr>
          <w:i/>
        </w:rPr>
        <w:t>F</w:t>
      </w:r>
      <w:r w:rsidR="00D52BB1" w:rsidRPr="008E2495">
        <w:rPr>
          <w:i/>
        </w:rPr>
        <w:t>ees</w:t>
      </w:r>
      <w:r w:rsidR="00D52BB1" w:rsidRPr="008E2495">
        <w:t>, Med</w:t>
      </w:r>
      <w:r w:rsidR="00277413" w:rsidRPr="008E2495">
        <w:t>ia Release no. 020, 24 April.</w:t>
      </w:r>
    </w:p>
    <w:p w:rsidR="00D52107" w:rsidRPr="008E2495" w:rsidRDefault="000842A2" w:rsidP="00AC3E42">
      <w:pPr>
        <w:pStyle w:val="Reference"/>
      </w:pPr>
      <w:r w:rsidRPr="008E2495">
        <w:t xml:space="preserve">Social Security Administration </w:t>
      </w:r>
      <w:r w:rsidR="00D52107" w:rsidRPr="008E2495">
        <w:t xml:space="preserve">2012, </w:t>
      </w:r>
      <w:r w:rsidR="00D52107" w:rsidRPr="008E2495">
        <w:rPr>
          <w:i/>
        </w:rPr>
        <w:t>International Update: March 2012</w:t>
      </w:r>
      <w:r w:rsidR="00D52107" w:rsidRPr="008E2495">
        <w:t xml:space="preserve">, www.ssa.gov/policy/docs/progdesc/intl_update/2012-03/index.html (accessed </w:t>
      </w:r>
      <w:r w:rsidR="00AC3E42" w:rsidRPr="008E2495">
        <w:br/>
      </w:r>
      <w:r w:rsidR="00277413" w:rsidRPr="008E2495">
        <w:t>1 May 2012).</w:t>
      </w:r>
    </w:p>
    <w:p w:rsidR="00D52BB1" w:rsidRPr="008E2495" w:rsidRDefault="00D52BB1" w:rsidP="00D52BB1">
      <w:pPr>
        <w:pStyle w:val="Reference"/>
      </w:pPr>
      <w:r w:rsidRPr="008E2495">
        <w:t xml:space="preserve">Staley, L. 2010, </w:t>
      </w:r>
      <w:r w:rsidRPr="008E2495">
        <w:rPr>
          <w:i/>
        </w:rPr>
        <w:t xml:space="preserve">Keeping Super Safe: A </w:t>
      </w:r>
      <w:r w:rsidR="00F112F8" w:rsidRPr="008E2495">
        <w:rPr>
          <w:i/>
        </w:rPr>
        <w:t>C</w:t>
      </w:r>
      <w:r w:rsidRPr="008E2495">
        <w:rPr>
          <w:i/>
        </w:rPr>
        <w:t xml:space="preserve">all for </w:t>
      </w:r>
      <w:r w:rsidR="00F112F8" w:rsidRPr="008E2495">
        <w:rPr>
          <w:i/>
        </w:rPr>
        <w:t>G</w:t>
      </w:r>
      <w:r w:rsidRPr="008E2495">
        <w:rPr>
          <w:i/>
        </w:rPr>
        <w:t xml:space="preserve">reater </w:t>
      </w:r>
      <w:r w:rsidR="00F112F8" w:rsidRPr="008E2495">
        <w:rPr>
          <w:i/>
        </w:rPr>
        <w:t>T</w:t>
      </w:r>
      <w:r w:rsidRPr="008E2495">
        <w:rPr>
          <w:i/>
        </w:rPr>
        <w:t xml:space="preserve">ransparency from </w:t>
      </w:r>
      <w:r w:rsidR="00F112F8" w:rsidRPr="008E2495">
        <w:rPr>
          <w:i/>
        </w:rPr>
        <w:t>S</w:t>
      </w:r>
      <w:r w:rsidRPr="008E2495">
        <w:rPr>
          <w:i/>
        </w:rPr>
        <w:t xml:space="preserve">uperannuation </w:t>
      </w:r>
      <w:r w:rsidR="00F112F8" w:rsidRPr="008E2495">
        <w:rPr>
          <w:i/>
        </w:rPr>
        <w:t>F</w:t>
      </w:r>
      <w:r w:rsidRPr="008E2495">
        <w:rPr>
          <w:i/>
        </w:rPr>
        <w:t>unds</w:t>
      </w:r>
      <w:r w:rsidRPr="008E2495">
        <w:t>, Instit</w:t>
      </w:r>
      <w:r w:rsidR="00277413" w:rsidRPr="008E2495">
        <w:t>ute of Public Affairs, April.</w:t>
      </w:r>
    </w:p>
    <w:p w:rsidR="000871BA" w:rsidRPr="008E2495" w:rsidRDefault="000871BA" w:rsidP="000871BA">
      <w:pPr>
        <w:pStyle w:val="Reference"/>
      </w:pPr>
      <w:r w:rsidRPr="008E2495">
        <w:t xml:space="preserve">St Anne, C. 2012, </w:t>
      </w:r>
      <w:r w:rsidRPr="008E2495">
        <w:rPr>
          <w:i/>
        </w:rPr>
        <w:t>A Super History: How Australia’s $1 trillion+ Superannuation Industry Was Made</w:t>
      </w:r>
      <w:r w:rsidRPr="008E2495">
        <w:t>, Major Street Publishing</w:t>
      </w:r>
      <w:r w:rsidR="00540FAC">
        <w:t>.</w:t>
      </w:r>
    </w:p>
    <w:p w:rsidR="000842A2" w:rsidRPr="008E2495" w:rsidRDefault="000842A2" w:rsidP="000842A2">
      <w:pPr>
        <w:pStyle w:val="Reference"/>
      </w:pPr>
      <w:r w:rsidRPr="008E2495">
        <w:t xml:space="preserve">Stewart, S. 2005, </w:t>
      </w:r>
      <w:r w:rsidRPr="008E2495">
        <w:rPr>
          <w:i/>
        </w:rPr>
        <w:t xml:space="preserve">Can </w:t>
      </w:r>
      <w:r w:rsidR="007B00D6" w:rsidRPr="008E2495">
        <w:rPr>
          <w:i/>
        </w:rPr>
        <w:t>B</w:t>
      </w:r>
      <w:r w:rsidRPr="008E2495">
        <w:rPr>
          <w:i/>
        </w:rPr>
        <w:t xml:space="preserve">ehavioural </w:t>
      </w:r>
      <w:r w:rsidR="007B00D6" w:rsidRPr="008E2495">
        <w:rPr>
          <w:i/>
        </w:rPr>
        <w:t>E</w:t>
      </w:r>
      <w:r w:rsidRPr="008E2495">
        <w:rPr>
          <w:i/>
        </w:rPr>
        <w:t xml:space="preserve">conomics </w:t>
      </w:r>
      <w:r w:rsidR="007B00D6" w:rsidRPr="008E2495">
        <w:rPr>
          <w:i/>
        </w:rPr>
        <w:t>S</w:t>
      </w:r>
      <w:r w:rsidRPr="008E2495">
        <w:rPr>
          <w:i/>
        </w:rPr>
        <w:t xml:space="preserve">ave us from </w:t>
      </w:r>
      <w:r w:rsidR="007B00D6" w:rsidRPr="008E2495">
        <w:rPr>
          <w:i/>
        </w:rPr>
        <w:t>O</w:t>
      </w:r>
      <w:r w:rsidRPr="008E2495">
        <w:rPr>
          <w:i/>
        </w:rPr>
        <w:t>urselves?</w:t>
      </w:r>
      <w:r w:rsidRPr="008E2495">
        <w:t>, http://magazine.uchicago.edu/0502/features/economics.shtml</w:t>
      </w:r>
      <w:r w:rsidR="00277413" w:rsidRPr="008E2495">
        <w:t xml:space="preserve"> (accessed 26 April 2012).</w:t>
      </w:r>
    </w:p>
    <w:p w:rsidR="00897025" w:rsidRPr="008E2495" w:rsidRDefault="00897025" w:rsidP="00897025">
      <w:pPr>
        <w:pStyle w:val="Reference"/>
      </w:pPr>
      <w:r w:rsidRPr="008E2495">
        <w:t xml:space="preserve">SuperGuide 2012, </w:t>
      </w:r>
      <w:r w:rsidRPr="008E2495">
        <w:rPr>
          <w:i/>
        </w:rPr>
        <w:t>T</w:t>
      </w:r>
      <w:r w:rsidR="007E7BF6" w:rsidRPr="008E2495">
        <w:rPr>
          <w:i/>
        </w:rPr>
        <w:t>he</w:t>
      </w:r>
      <w:r w:rsidRPr="008E2495">
        <w:rPr>
          <w:i/>
        </w:rPr>
        <w:t xml:space="preserve"> S</w:t>
      </w:r>
      <w:r w:rsidR="007E7BF6" w:rsidRPr="008E2495">
        <w:rPr>
          <w:i/>
        </w:rPr>
        <w:t>oapbox</w:t>
      </w:r>
      <w:r w:rsidRPr="008E2495">
        <w:rPr>
          <w:i/>
        </w:rPr>
        <w:t xml:space="preserve">: Only 9 </w:t>
      </w:r>
      <w:r w:rsidR="007B00D6" w:rsidRPr="008E2495">
        <w:rPr>
          <w:i/>
        </w:rPr>
        <w:t>T</w:t>
      </w:r>
      <w:r w:rsidRPr="008E2495">
        <w:rPr>
          <w:i/>
        </w:rPr>
        <w:t xml:space="preserve">ruly </w:t>
      </w:r>
      <w:r w:rsidR="007B00D6" w:rsidRPr="008E2495">
        <w:rPr>
          <w:i/>
        </w:rPr>
        <w:t>I</w:t>
      </w:r>
      <w:r w:rsidRPr="008E2495">
        <w:rPr>
          <w:i/>
        </w:rPr>
        <w:t xml:space="preserve">ndependent </w:t>
      </w:r>
      <w:r w:rsidR="007B00D6" w:rsidRPr="008E2495">
        <w:rPr>
          <w:i/>
        </w:rPr>
        <w:t>F</w:t>
      </w:r>
      <w:r w:rsidRPr="008E2495">
        <w:rPr>
          <w:i/>
        </w:rPr>
        <w:t xml:space="preserve">inancial </w:t>
      </w:r>
      <w:r w:rsidR="007B00D6" w:rsidRPr="008E2495">
        <w:rPr>
          <w:i/>
        </w:rPr>
        <w:t>A</w:t>
      </w:r>
      <w:r w:rsidRPr="008E2495">
        <w:rPr>
          <w:i/>
        </w:rPr>
        <w:t>dvisers in Australia</w:t>
      </w:r>
      <w:r w:rsidRPr="008E2495">
        <w:t>, www.superguide.com.au/superannuation-basics/truly-independent-financial-advisers-in-australia</w:t>
      </w:r>
      <w:r w:rsidR="00277413" w:rsidRPr="008E2495">
        <w:t xml:space="preserve"> (accessed 20 April 2012).</w:t>
      </w:r>
    </w:p>
    <w:p w:rsidR="00507344" w:rsidRPr="008E2495" w:rsidRDefault="00507344" w:rsidP="00507344">
      <w:pPr>
        <w:pStyle w:val="Reference"/>
      </w:pPr>
      <w:r w:rsidRPr="008E2495">
        <w:t xml:space="preserve">Super Ratings 2006, </w:t>
      </w:r>
      <w:r w:rsidRPr="008E2495">
        <w:rPr>
          <w:i/>
        </w:rPr>
        <w:t>Submission to the Parliamentary Joint Committee on Corporations and Financial Service</w:t>
      </w:r>
      <w:r w:rsidR="007B00D6" w:rsidRPr="008E2495">
        <w:rPr>
          <w:i/>
        </w:rPr>
        <w:t>s’</w:t>
      </w:r>
      <w:r w:rsidRPr="008E2495">
        <w:rPr>
          <w:i/>
        </w:rPr>
        <w:t xml:space="preserve"> Inquiry into the Structure and Operation of the Superannuation Industry</w:t>
      </w:r>
      <w:r w:rsidRPr="008E2495">
        <w:t>, September 2006.</w:t>
      </w:r>
    </w:p>
    <w:p w:rsidR="00074040" w:rsidRPr="008E2495" w:rsidRDefault="00074040" w:rsidP="00074040">
      <w:pPr>
        <w:pStyle w:val="Reference"/>
      </w:pPr>
      <w:r w:rsidRPr="008E2495">
        <w:t xml:space="preserve">—— nd, </w:t>
      </w:r>
      <w:r w:rsidR="00B36277" w:rsidRPr="00BA41E9">
        <w:t xml:space="preserve">Super </w:t>
      </w:r>
      <w:r w:rsidR="00B51F81" w:rsidRPr="00BA41E9">
        <w:t>M</w:t>
      </w:r>
      <w:r w:rsidRPr="00BA41E9">
        <w:t>ethodology</w:t>
      </w:r>
      <w:r w:rsidRPr="008E2495">
        <w:t>, www.superratings.com.au/ratingsnawards/</w:t>
      </w:r>
      <w:r w:rsidRPr="008E2495">
        <w:br/>
        <w:t>explained-ratings</w:t>
      </w:r>
      <w:r w:rsidR="00277413" w:rsidRPr="008E2495">
        <w:t xml:space="preserve"> (accessed 22 May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Sy, W. 2008, </w:t>
      </w:r>
      <w:r w:rsidRPr="008E2495">
        <w:rPr>
          <w:i/>
        </w:rPr>
        <w:t xml:space="preserve">Superannuation Fund Governance: an </w:t>
      </w:r>
      <w:r w:rsidR="007B00D6" w:rsidRPr="008E2495">
        <w:rPr>
          <w:i/>
        </w:rPr>
        <w:t>I</w:t>
      </w:r>
      <w:r w:rsidRPr="008E2495">
        <w:rPr>
          <w:i/>
        </w:rPr>
        <w:t>nterpretation</w:t>
      </w:r>
      <w:r w:rsidRPr="008E2495">
        <w:t>, Australian Prudential Regulation Authority Working Paper, Sydney, 15 July.</w:t>
      </w:r>
    </w:p>
    <w:p w:rsidR="00D52BB1" w:rsidRPr="008E2495" w:rsidRDefault="00E70F89" w:rsidP="00D52BB1">
      <w:pPr>
        <w:pStyle w:val="Reference"/>
      </w:pPr>
      <w:r w:rsidRPr="008E2495">
        <w:t xml:space="preserve">—— </w:t>
      </w:r>
      <w:r w:rsidR="00D52BB1" w:rsidRPr="008E2495">
        <w:t xml:space="preserve">and Liu, K. 2009, </w:t>
      </w:r>
      <w:r w:rsidR="00D52BB1" w:rsidRPr="008E2495">
        <w:rPr>
          <w:i/>
        </w:rPr>
        <w:t xml:space="preserve">APRA Working Paper — Investment Performance </w:t>
      </w:r>
      <w:r w:rsidR="007B00D6" w:rsidRPr="008E2495">
        <w:rPr>
          <w:i/>
        </w:rPr>
        <w:t>R</w:t>
      </w:r>
      <w:r w:rsidR="00D52BB1" w:rsidRPr="008E2495">
        <w:rPr>
          <w:i/>
        </w:rPr>
        <w:t xml:space="preserve">anking of </w:t>
      </w:r>
      <w:r w:rsidR="007B00D6" w:rsidRPr="008E2495">
        <w:rPr>
          <w:i/>
        </w:rPr>
        <w:t>S</w:t>
      </w:r>
      <w:r w:rsidR="00D52BB1" w:rsidRPr="008E2495">
        <w:rPr>
          <w:i/>
        </w:rPr>
        <w:t xml:space="preserve">uperannuation </w:t>
      </w:r>
      <w:r w:rsidR="007B00D6" w:rsidRPr="008E2495">
        <w:rPr>
          <w:i/>
        </w:rPr>
        <w:t>F</w:t>
      </w:r>
      <w:r w:rsidR="00D52BB1" w:rsidRPr="008E2495">
        <w:rPr>
          <w:i/>
        </w:rPr>
        <w:t>irms</w:t>
      </w:r>
      <w:r w:rsidR="00277413" w:rsidRPr="008E2495">
        <w:t>, June.</w:t>
      </w:r>
    </w:p>
    <w:p w:rsidR="00524F9E" w:rsidRPr="008E2495" w:rsidRDefault="00524F9E" w:rsidP="00524F9E">
      <w:pPr>
        <w:pStyle w:val="Reference"/>
        <w:jc w:val="left"/>
      </w:pPr>
      <w:r w:rsidRPr="008E2495">
        <w:t xml:space="preserve">—— 2010, ‘Improving the cost efficiency of Australian pension management’, </w:t>
      </w:r>
      <w:r w:rsidRPr="008E2495">
        <w:rPr>
          <w:i/>
          <w:iCs/>
        </w:rPr>
        <w:t>Rotman International Journal Of Pension Management</w:t>
      </w:r>
      <w:r w:rsidRPr="008E2495">
        <w:t>, vol. 3, no. 1, pp. 38</w:t>
      </w:r>
      <w:r w:rsidR="009E65B4" w:rsidRPr="008E2495">
        <w:t>–</w:t>
      </w:r>
      <w:r w:rsidRPr="008E2495">
        <w:t>47.</w:t>
      </w:r>
    </w:p>
    <w:p w:rsidR="00841062" w:rsidRPr="008E2495" w:rsidRDefault="00841062" w:rsidP="00841062">
      <w:pPr>
        <w:pStyle w:val="Reference"/>
      </w:pPr>
      <w:r w:rsidRPr="008E2495">
        <w:t xml:space="preserve">Tapia, W. and Yermo, J. 2008, ‘Fees in Individual Account Pension Systems: A Cross-Country Comparison’, </w:t>
      </w:r>
      <w:r w:rsidRPr="008E2495">
        <w:rPr>
          <w:i/>
        </w:rPr>
        <w:t>OECD Working Papers on Insurance and Private Pensions</w:t>
      </w:r>
      <w:r w:rsidRPr="008E2495">
        <w:t>, No. 27, OECD, Paris.</w:t>
      </w:r>
    </w:p>
    <w:p w:rsidR="00BA41E9" w:rsidRPr="008E2495" w:rsidRDefault="00BA41E9" w:rsidP="00BA41E9">
      <w:pPr>
        <w:pStyle w:val="Reference"/>
      </w:pPr>
      <w:r w:rsidRPr="008E2495">
        <w:lastRenderedPageBreak/>
        <w:t xml:space="preserve">Thaler, R. and Sunstein, C. 2009, </w:t>
      </w:r>
      <w:r w:rsidRPr="008E2495">
        <w:rPr>
          <w:i/>
        </w:rPr>
        <w:t>Nudge: Improving Decisions about Health, Wealth and Happiness</w:t>
      </w:r>
      <w:r w:rsidRPr="008E2495">
        <w:t>, Penguin, London.</w:t>
      </w:r>
    </w:p>
    <w:p w:rsidR="00524F9E" w:rsidRPr="008E2495" w:rsidRDefault="00524F9E" w:rsidP="00524F9E">
      <w:pPr>
        <w:pStyle w:val="Reference"/>
        <w:jc w:val="left"/>
      </w:pPr>
      <w:r w:rsidRPr="008E2495">
        <w:t xml:space="preserve">Towers Watson 2010, </w:t>
      </w:r>
      <w:r w:rsidRPr="008E2495">
        <w:rPr>
          <w:i/>
          <w:iCs/>
        </w:rPr>
        <w:t>The Superannuation Fund Merger Imperative,</w:t>
      </w:r>
      <w:r w:rsidRPr="008E2495">
        <w:t xml:space="preserve"> </w:t>
      </w:r>
      <w:hyperlink r:id="rId27" w:history="1">
        <w:r w:rsidRPr="008E2495">
          <w:rPr>
            <w:rStyle w:val="Hyperlink"/>
            <w:color w:val="auto"/>
            <w:u w:val="none"/>
          </w:rPr>
          <w:t>www.towerswatson.com/australia/research/1884</w:t>
        </w:r>
      </w:hyperlink>
      <w:r w:rsidRPr="008E2495">
        <w:t xml:space="preserve"> (accessed 12 April 2012).</w:t>
      </w:r>
    </w:p>
    <w:p w:rsidR="00A95722" w:rsidRPr="008E2495" w:rsidRDefault="00A95722" w:rsidP="00A95722">
      <w:pPr>
        <w:pStyle w:val="Reference"/>
        <w:jc w:val="left"/>
      </w:pPr>
      <w:r w:rsidRPr="008E2495">
        <w:t xml:space="preserve">Treasury (Australian Government Department of Treasury) 2008, </w:t>
      </w:r>
      <w:r w:rsidRPr="008E2495">
        <w:rPr>
          <w:i/>
        </w:rPr>
        <w:t xml:space="preserve">Superannuation </w:t>
      </w:r>
      <w:r w:rsidR="007B00D6" w:rsidRPr="008E2495">
        <w:rPr>
          <w:i/>
        </w:rPr>
        <w:t>C</w:t>
      </w:r>
      <w:r w:rsidRPr="008E2495">
        <w:rPr>
          <w:i/>
        </w:rPr>
        <w:t xml:space="preserve">learing </w:t>
      </w:r>
      <w:r w:rsidR="007B00D6" w:rsidRPr="008E2495">
        <w:rPr>
          <w:i/>
        </w:rPr>
        <w:t>Ho</w:t>
      </w:r>
      <w:r w:rsidRPr="008E2495">
        <w:rPr>
          <w:i/>
        </w:rPr>
        <w:t xml:space="preserve">use and the </w:t>
      </w:r>
      <w:r w:rsidR="007B00D6" w:rsidRPr="008E2495">
        <w:rPr>
          <w:i/>
        </w:rPr>
        <w:t>L</w:t>
      </w:r>
      <w:r w:rsidRPr="008E2495">
        <w:rPr>
          <w:i/>
        </w:rPr>
        <w:t xml:space="preserve">ost </w:t>
      </w:r>
      <w:r w:rsidR="007B00D6" w:rsidRPr="008E2495">
        <w:rPr>
          <w:i/>
        </w:rPr>
        <w:t>M</w:t>
      </w:r>
      <w:r w:rsidRPr="008E2495">
        <w:rPr>
          <w:i/>
        </w:rPr>
        <w:t xml:space="preserve">embers </w:t>
      </w:r>
      <w:r w:rsidR="007B00D6" w:rsidRPr="008E2495">
        <w:rPr>
          <w:i/>
        </w:rPr>
        <w:t>F</w:t>
      </w:r>
      <w:r w:rsidRPr="008E2495">
        <w:rPr>
          <w:i/>
        </w:rPr>
        <w:t xml:space="preserve">ramework, </w:t>
      </w:r>
      <w:r w:rsidRPr="008E2495">
        <w:t>Discussion Paper, Canberra, November.</w:t>
      </w:r>
    </w:p>
    <w:p w:rsidR="00D52BB1" w:rsidRPr="008E2495" w:rsidRDefault="004939DE" w:rsidP="00D52BB1">
      <w:pPr>
        <w:pStyle w:val="Reference"/>
      </w:pPr>
      <w:r w:rsidRPr="008E2495">
        <w:t xml:space="preserve">—— </w:t>
      </w:r>
      <w:r w:rsidR="00D009A6" w:rsidRPr="008E2495">
        <w:t>nda</w:t>
      </w:r>
      <w:r w:rsidR="00D52BB1" w:rsidRPr="008E2495">
        <w:t xml:space="preserve">, </w:t>
      </w:r>
      <w:r w:rsidR="00B36277" w:rsidRPr="00BD2D73">
        <w:t xml:space="preserve">Stronger Super </w:t>
      </w:r>
      <w:r w:rsidR="00B51F81" w:rsidRPr="00BD2D73">
        <w:t>K</w:t>
      </w:r>
      <w:r w:rsidR="00B36277" w:rsidRPr="00BD2D73">
        <w:t xml:space="preserve">ey </w:t>
      </w:r>
      <w:r w:rsidR="00B51F81" w:rsidRPr="00BD2D73">
        <w:t>P</w:t>
      </w:r>
      <w:r w:rsidR="00D52BB1" w:rsidRPr="00BD2D73">
        <w:t>oints: MySuper — Overview</w:t>
      </w:r>
      <w:r w:rsidR="00D52BB1" w:rsidRPr="008E2495">
        <w:t>, http://strongersuper.treasury.gov.au/content/Content.aspx?doc=publications/government_response/key_points.htm</w:t>
      </w:r>
      <w:r w:rsidR="00277413" w:rsidRPr="008E2495">
        <w:t xml:space="preserve"> (accessed 19 March 2012).</w:t>
      </w:r>
    </w:p>
    <w:p w:rsidR="00D52BB1" w:rsidRPr="008E2495" w:rsidRDefault="004939DE" w:rsidP="00D52BB1">
      <w:pPr>
        <w:pStyle w:val="Reference"/>
      </w:pPr>
      <w:r w:rsidRPr="008E2495">
        <w:t>——</w:t>
      </w:r>
      <w:r w:rsidR="00D52BB1" w:rsidRPr="008E2495">
        <w:t xml:space="preserve"> </w:t>
      </w:r>
      <w:r w:rsidR="00D009A6" w:rsidRPr="008E2495">
        <w:t>ndb</w:t>
      </w:r>
      <w:r w:rsidR="00D52BB1" w:rsidRPr="008E2495">
        <w:t xml:space="preserve">, </w:t>
      </w:r>
      <w:r w:rsidR="00B36277" w:rsidRPr="00BD2D73">
        <w:t>Stronger Super s</w:t>
      </w:r>
      <w:r w:rsidR="00D52BB1" w:rsidRPr="00BD2D73">
        <w:t xml:space="preserve">ummary: Stronger Super — Government </w:t>
      </w:r>
      <w:r w:rsidR="00B51F81" w:rsidRPr="00BD2D73">
        <w:t>R</w:t>
      </w:r>
      <w:r w:rsidR="00D52BB1" w:rsidRPr="00BD2D73">
        <w:t>esponse to the Super System Review</w:t>
      </w:r>
      <w:r w:rsidR="00D52BB1" w:rsidRPr="008E2495">
        <w:t>, http://strongersuper.treasury.gov.au/</w:t>
      </w:r>
      <w:r w:rsidR="00D52BB1" w:rsidRPr="008E2495">
        <w:br/>
        <w:t>content/Content.aspx?doc=publications/government_response/summary.htm</w:t>
      </w:r>
      <w:r w:rsidR="00277413" w:rsidRPr="008E2495">
        <w:t xml:space="preserve"> (accessed 19 March 2012).</w:t>
      </w:r>
    </w:p>
    <w:p w:rsidR="000842A2" w:rsidRPr="008E2495" w:rsidRDefault="000842A2" w:rsidP="000842A2">
      <w:pPr>
        <w:pStyle w:val="Reference"/>
      </w:pPr>
      <w:r w:rsidRPr="008E2495">
        <w:t xml:space="preserve">Turner, J. 2006, </w:t>
      </w:r>
      <w:r w:rsidRPr="008E2495">
        <w:rPr>
          <w:i/>
        </w:rPr>
        <w:t>Individual Accounts for Social Security Reform: International Perspectives on the U.S. Debate</w:t>
      </w:r>
      <w:r w:rsidRPr="008E2495">
        <w:t>, W.E</w:t>
      </w:r>
      <w:r w:rsidR="00277413" w:rsidRPr="008E2495">
        <w:t>. Upjohn Institute, Michigan.</w:t>
      </w:r>
    </w:p>
    <w:p w:rsidR="00B0263F" w:rsidRPr="008E2495" w:rsidRDefault="00B0263F" w:rsidP="00B0263F">
      <w:pPr>
        <w:pStyle w:val="Reference"/>
      </w:pPr>
      <w:r w:rsidRPr="008E2495">
        <w:t xml:space="preserve">VB (Dutch Association of Industry-wide Pension Funds) and OPF (Dutch Association of Company Pension Funds) 2012, </w:t>
      </w:r>
      <w:r w:rsidRPr="008E2495">
        <w:rPr>
          <w:i/>
        </w:rPr>
        <w:t>The Dutch Pension System: an Overview of the Key Aspects</w:t>
      </w:r>
      <w:r w:rsidRPr="008E2495">
        <w:t>, The Hague.</w:t>
      </w:r>
    </w:p>
    <w:p w:rsidR="0051643A" w:rsidRPr="008E2495" w:rsidRDefault="0051643A" w:rsidP="00776E8B">
      <w:pPr>
        <w:pStyle w:val="Reference"/>
      </w:pPr>
      <w:r w:rsidRPr="008E2495">
        <w:t xml:space="preserve">Vidley, S. 2004, </w:t>
      </w:r>
      <w:r w:rsidR="007B00D6" w:rsidRPr="008E2495">
        <w:t>‘</w:t>
      </w:r>
      <w:r w:rsidRPr="008E2495">
        <w:t>Superannuation: Choice, com</w:t>
      </w:r>
      <w:r w:rsidR="007B00D6" w:rsidRPr="008E2495">
        <w:t>petition and administration cost’</w:t>
      </w:r>
      <w:r w:rsidRPr="008E2495">
        <w:rPr>
          <w:i/>
        </w:rPr>
        <w:t>,</w:t>
      </w:r>
      <w:r w:rsidRPr="008E2495">
        <w:t xml:space="preserve"> </w:t>
      </w:r>
      <w:r w:rsidRPr="008E2495">
        <w:rPr>
          <w:i/>
        </w:rPr>
        <w:t xml:space="preserve">Journal of Australian </w:t>
      </w:r>
      <w:r w:rsidR="00776E8B" w:rsidRPr="008E2495">
        <w:rPr>
          <w:i/>
        </w:rPr>
        <w:t>P</w:t>
      </w:r>
      <w:r w:rsidRPr="008E2495">
        <w:rPr>
          <w:i/>
        </w:rPr>
        <w:t>olitical Economy</w:t>
      </w:r>
      <w:r w:rsidR="00277413" w:rsidRPr="008E2495">
        <w:t xml:space="preserve">, </w:t>
      </w:r>
      <w:r w:rsidR="00BA41E9">
        <w:t>n</w:t>
      </w:r>
      <w:r w:rsidR="00277413" w:rsidRPr="008E2495">
        <w:t>o. 53</w:t>
      </w:r>
      <w:r w:rsidR="003C129C" w:rsidRPr="008E2495">
        <w:t>, June, pp. 27</w:t>
      </w:r>
      <w:r w:rsidR="00BA41E9">
        <w:t>–</w:t>
      </w:r>
      <w:r w:rsidR="003C129C" w:rsidRPr="008E2495">
        <w:t>43</w:t>
      </w:r>
      <w:r w:rsidR="00277413" w:rsidRPr="008E2495">
        <w:t>.</w:t>
      </w:r>
    </w:p>
    <w:p w:rsidR="009A276F" w:rsidRPr="008E2495" w:rsidRDefault="000842A2" w:rsidP="009923F9">
      <w:pPr>
        <w:pStyle w:val="Reference"/>
      </w:pPr>
      <w:r w:rsidRPr="008E2495">
        <w:t xml:space="preserve">Weaver, R. 2005, </w:t>
      </w:r>
      <w:r w:rsidRPr="008E2495">
        <w:rPr>
          <w:i/>
        </w:rPr>
        <w:t>Social Security Smörgåsbord? Lessons from Sweden</w:t>
      </w:r>
      <w:r w:rsidR="007A7564" w:rsidRPr="008E2495">
        <w:rPr>
          <w:i/>
        </w:rPr>
        <w:t>’</w:t>
      </w:r>
      <w:r w:rsidRPr="008E2495">
        <w:rPr>
          <w:i/>
        </w:rPr>
        <w:t>s Individual Pension Account</w:t>
      </w:r>
      <w:r w:rsidRPr="008E2495">
        <w:t>, www.brookings.edu/papers/2005/06saving_weaver.aspx</w:t>
      </w:r>
      <w:r w:rsidR="00277413" w:rsidRPr="008E2495">
        <w:t xml:space="preserve"> (accessed 26 April 2012).</w:t>
      </w:r>
    </w:p>
    <w:p w:rsidR="00F0039B" w:rsidRPr="008E2495" w:rsidRDefault="00F0039B" w:rsidP="00F0039B">
      <w:pPr>
        <w:pStyle w:val="BodyText"/>
      </w:pPr>
      <w:r w:rsidRPr="008E2495">
        <w:t xml:space="preserve">World Bank 1994, </w:t>
      </w:r>
      <w:r w:rsidRPr="008E2495">
        <w:rPr>
          <w:i/>
        </w:rPr>
        <w:t>Averting the Old Age Crisis</w:t>
      </w:r>
      <w:r w:rsidRPr="008E2495">
        <w:t>, Oxford, New York.</w:t>
      </w:r>
    </w:p>
    <w:p w:rsidR="003E2321" w:rsidRPr="008E2495" w:rsidRDefault="00F0039B" w:rsidP="00F0039B">
      <w:pPr>
        <w:pStyle w:val="Reference"/>
      </w:pPr>
      <w:r w:rsidRPr="008E2495">
        <w:t xml:space="preserve">Yiu, E. 2011, </w:t>
      </w:r>
      <w:r w:rsidRPr="008E2495">
        <w:rPr>
          <w:i/>
        </w:rPr>
        <w:t xml:space="preserve">MPF </w:t>
      </w:r>
      <w:r w:rsidR="00B51F81" w:rsidRPr="008E2495">
        <w:rPr>
          <w:i/>
        </w:rPr>
        <w:t>C</w:t>
      </w:r>
      <w:r w:rsidRPr="008E2495">
        <w:rPr>
          <w:i/>
        </w:rPr>
        <w:t xml:space="preserve">hoice </w:t>
      </w:r>
      <w:r w:rsidR="00B51F81" w:rsidRPr="008E2495">
        <w:rPr>
          <w:i/>
        </w:rPr>
        <w:t>P</w:t>
      </w:r>
      <w:r w:rsidRPr="008E2495">
        <w:rPr>
          <w:i/>
        </w:rPr>
        <w:t xml:space="preserve">ut </w:t>
      </w:r>
      <w:r w:rsidR="00B51F81" w:rsidRPr="008E2495">
        <w:rPr>
          <w:i/>
        </w:rPr>
        <w:t>B</w:t>
      </w:r>
      <w:r w:rsidRPr="008E2495">
        <w:rPr>
          <w:i/>
        </w:rPr>
        <w:t>ack to July 2012</w:t>
      </w:r>
      <w:r w:rsidRPr="008E2495">
        <w:t>, http://topics.scmp.com/news/hk-news-watch/article/MPF-choice-put-back-to-July-2012 (accessed 18 July 2012).</w:t>
      </w:r>
    </w:p>
    <w:p w:rsidR="00F0039B" w:rsidRPr="008E2495" w:rsidRDefault="00F0039B" w:rsidP="009923F9">
      <w:pPr>
        <w:pStyle w:val="Reference"/>
      </w:pPr>
    </w:p>
    <w:sectPr w:rsidR="00F0039B" w:rsidRPr="008E2495" w:rsidSect="00435787">
      <w:headerReference w:type="even" r:id="rId28"/>
      <w:headerReference w:type="default" r:id="rId29"/>
      <w:footerReference w:type="even" r:id="rId30"/>
      <w:footerReference w:type="default" r:id="rId31"/>
      <w:pgSz w:w="11907" w:h="16840" w:code="9"/>
      <w:pgMar w:top="1985" w:right="1304" w:bottom="1418" w:left="1814" w:header="1701" w:footer="567" w:gutter="0"/>
      <w:pgNumType w:start="265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E39" w:rsidRDefault="00442E39">
      <w:r>
        <w:separator/>
      </w:r>
    </w:p>
  </w:endnote>
  <w:endnote w:type="continuationSeparator" w:id="0">
    <w:p w:rsidR="00442E39" w:rsidRDefault="0044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442E39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442E39" w:rsidRDefault="00442E39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844B7">
            <w:rPr>
              <w:rStyle w:val="PageNumber"/>
              <w:noProof/>
            </w:rPr>
            <w:t>278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442E39" w:rsidRDefault="005844B7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DD324A">
            <w:t>Default Superannuation in modern awards</w:t>
          </w:r>
          <w:r>
            <w:fldChar w:fldCharType="end"/>
          </w:r>
        </w:p>
      </w:tc>
      <w:tc>
        <w:tcPr>
          <w:tcW w:w="6634" w:type="dxa"/>
        </w:tcPr>
        <w:p w:rsidR="00442E39" w:rsidRDefault="00442E39" w:rsidP="0019293B">
          <w:pPr>
            <w:pStyle w:val="Footer"/>
          </w:pPr>
        </w:p>
      </w:tc>
    </w:tr>
  </w:tbl>
  <w:p w:rsidR="00442E39" w:rsidRDefault="00442E3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442E39">
      <w:trPr>
        <w:trHeight w:hRule="exact" w:val="740"/>
      </w:trPr>
      <w:tc>
        <w:tcPr>
          <w:tcW w:w="6634" w:type="dxa"/>
        </w:tcPr>
        <w:p w:rsidR="00442E39" w:rsidRDefault="00442E39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442E39" w:rsidRDefault="005844B7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DD324A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442E39" w:rsidRDefault="00442E39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844B7">
            <w:rPr>
              <w:rStyle w:val="PageNumber"/>
              <w:noProof/>
            </w:rPr>
            <w:t>265</w:t>
          </w:r>
          <w:r>
            <w:rPr>
              <w:rStyle w:val="PageNumber"/>
            </w:rPr>
            <w:fldChar w:fldCharType="end"/>
          </w:r>
        </w:p>
      </w:tc>
    </w:tr>
  </w:tbl>
  <w:p w:rsidR="00442E39" w:rsidRDefault="00442E3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E39" w:rsidRDefault="00442E39">
      <w:r>
        <w:separator/>
      </w:r>
    </w:p>
  </w:footnote>
  <w:footnote w:type="continuationSeparator" w:id="0">
    <w:p w:rsidR="00442E39" w:rsidRDefault="0044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442E39">
      <w:tc>
        <w:tcPr>
          <w:tcW w:w="2155" w:type="dxa"/>
          <w:tcBorders>
            <w:top w:val="single" w:sz="24" w:space="0" w:color="auto"/>
          </w:tcBorders>
        </w:tcPr>
        <w:p w:rsidR="00442E39" w:rsidRDefault="00442E3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442E39" w:rsidRDefault="00442E39" w:rsidP="0019293B">
          <w:pPr>
            <w:pStyle w:val="HeaderEven"/>
          </w:pPr>
        </w:p>
      </w:tc>
    </w:tr>
  </w:tbl>
  <w:p w:rsidR="00442E39" w:rsidRDefault="00442E3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442E39">
      <w:tc>
        <w:tcPr>
          <w:tcW w:w="6634" w:type="dxa"/>
          <w:tcBorders>
            <w:top w:val="single" w:sz="6" w:space="0" w:color="auto"/>
          </w:tcBorders>
        </w:tcPr>
        <w:p w:rsidR="00442E39" w:rsidRDefault="00442E3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442E39" w:rsidRDefault="00442E39" w:rsidP="00E669E2">
          <w:pPr>
            <w:pStyle w:val="HeaderOdd"/>
          </w:pPr>
        </w:p>
      </w:tc>
    </w:tr>
  </w:tbl>
  <w:p w:rsidR="00442E39" w:rsidRDefault="00442E3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Default Superannuation in modern awards"/>
  </w:docVars>
  <w:rsids>
    <w:rsidRoot w:val="0061093C"/>
    <w:rsid w:val="0000260B"/>
    <w:rsid w:val="000137B5"/>
    <w:rsid w:val="00014591"/>
    <w:rsid w:val="000245AA"/>
    <w:rsid w:val="0003664B"/>
    <w:rsid w:val="0004111F"/>
    <w:rsid w:val="00052C81"/>
    <w:rsid w:val="000565B3"/>
    <w:rsid w:val="000652B4"/>
    <w:rsid w:val="00070559"/>
    <w:rsid w:val="0007150B"/>
    <w:rsid w:val="0007213D"/>
    <w:rsid w:val="00074040"/>
    <w:rsid w:val="000842A2"/>
    <w:rsid w:val="00084D51"/>
    <w:rsid w:val="000871BA"/>
    <w:rsid w:val="000938F5"/>
    <w:rsid w:val="0009600F"/>
    <w:rsid w:val="000B3F23"/>
    <w:rsid w:val="000B601B"/>
    <w:rsid w:val="000C05F1"/>
    <w:rsid w:val="000C207E"/>
    <w:rsid w:val="000D0990"/>
    <w:rsid w:val="000D2B96"/>
    <w:rsid w:val="000D46E0"/>
    <w:rsid w:val="000D6378"/>
    <w:rsid w:val="000E4BE7"/>
    <w:rsid w:val="00110116"/>
    <w:rsid w:val="0011511E"/>
    <w:rsid w:val="00126EB8"/>
    <w:rsid w:val="001274D4"/>
    <w:rsid w:val="001363AA"/>
    <w:rsid w:val="00136B0E"/>
    <w:rsid w:val="00140194"/>
    <w:rsid w:val="00152F5E"/>
    <w:rsid w:val="00163C66"/>
    <w:rsid w:val="001704D7"/>
    <w:rsid w:val="00172FF6"/>
    <w:rsid w:val="00177E65"/>
    <w:rsid w:val="00183E82"/>
    <w:rsid w:val="00191027"/>
    <w:rsid w:val="00191AE0"/>
    <w:rsid w:val="0019293B"/>
    <w:rsid w:val="00192D84"/>
    <w:rsid w:val="00196108"/>
    <w:rsid w:val="001A3AD5"/>
    <w:rsid w:val="001C0865"/>
    <w:rsid w:val="001C3ABA"/>
    <w:rsid w:val="001C764B"/>
    <w:rsid w:val="001D3815"/>
    <w:rsid w:val="001E5FBF"/>
    <w:rsid w:val="001E7BE8"/>
    <w:rsid w:val="001F0248"/>
    <w:rsid w:val="001F31FA"/>
    <w:rsid w:val="001F3EB3"/>
    <w:rsid w:val="001F7971"/>
    <w:rsid w:val="00202C2C"/>
    <w:rsid w:val="00206185"/>
    <w:rsid w:val="0023332E"/>
    <w:rsid w:val="00233D0C"/>
    <w:rsid w:val="00242279"/>
    <w:rsid w:val="002423E2"/>
    <w:rsid w:val="00245C82"/>
    <w:rsid w:val="00245CB2"/>
    <w:rsid w:val="002514C1"/>
    <w:rsid w:val="002737B7"/>
    <w:rsid w:val="00276BC3"/>
    <w:rsid w:val="00277413"/>
    <w:rsid w:val="0029010F"/>
    <w:rsid w:val="00291B40"/>
    <w:rsid w:val="00297F44"/>
    <w:rsid w:val="002B4008"/>
    <w:rsid w:val="002D0E8E"/>
    <w:rsid w:val="002D3359"/>
    <w:rsid w:val="00301189"/>
    <w:rsid w:val="00323400"/>
    <w:rsid w:val="00323E09"/>
    <w:rsid w:val="00333932"/>
    <w:rsid w:val="00337A94"/>
    <w:rsid w:val="003518AA"/>
    <w:rsid w:val="00352165"/>
    <w:rsid w:val="00353182"/>
    <w:rsid w:val="003565D9"/>
    <w:rsid w:val="00357352"/>
    <w:rsid w:val="003602E1"/>
    <w:rsid w:val="00361542"/>
    <w:rsid w:val="0037026F"/>
    <w:rsid w:val="00371240"/>
    <w:rsid w:val="00374731"/>
    <w:rsid w:val="003919F9"/>
    <w:rsid w:val="00394211"/>
    <w:rsid w:val="00395BA2"/>
    <w:rsid w:val="003A0438"/>
    <w:rsid w:val="003B0E05"/>
    <w:rsid w:val="003B354A"/>
    <w:rsid w:val="003C129C"/>
    <w:rsid w:val="003C38B5"/>
    <w:rsid w:val="003C59C4"/>
    <w:rsid w:val="003C5D99"/>
    <w:rsid w:val="003D0ADB"/>
    <w:rsid w:val="003E2321"/>
    <w:rsid w:val="003E2F59"/>
    <w:rsid w:val="003F0789"/>
    <w:rsid w:val="003F2043"/>
    <w:rsid w:val="003F255F"/>
    <w:rsid w:val="00401882"/>
    <w:rsid w:val="004060D6"/>
    <w:rsid w:val="00406975"/>
    <w:rsid w:val="00407440"/>
    <w:rsid w:val="004100C8"/>
    <w:rsid w:val="00410C4A"/>
    <w:rsid w:val="00411DBD"/>
    <w:rsid w:val="00412ACE"/>
    <w:rsid w:val="00417244"/>
    <w:rsid w:val="00431249"/>
    <w:rsid w:val="00434C19"/>
    <w:rsid w:val="00435787"/>
    <w:rsid w:val="00435C79"/>
    <w:rsid w:val="00442E39"/>
    <w:rsid w:val="0044506F"/>
    <w:rsid w:val="00450810"/>
    <w:rsid w:val="0046284D"/>
    <w:rsid w:val="00477144"/>
    <w:rsid w:val="004939DE"/>
    <w:rsid w:val="0049459F"/>
    <w:rsid w:val="00497C91"/>
    <w:rsid w:val="004A38DD"/>
    <w:rsid w:val="004A69B5"/>
    <w:rsid w:val="004B43AE"/>
    <w:rsid w:val="004B79C6"/>
    <w:rsid w:val="004C30ED"/>
    <w:rsid w:val="004D5675"/>
    <w:rsid w:val="004E158D"/>
    <w:rsid w:val="004F0C43"/>
    <w:rsid w:val="004F626E"/>
    <w:rsid w:val="00507344"/>
    <w:rsid w:val="005139B3"/>
    <w:rsid w:val="00515E31"/>
    <w:rsid w:val="0051643A"/>
    <w:rsid w:val="00523639"/>
    <w:rsid w:val="00524F9E"/>
    <w:rsid w:val="005259B0"/>
    <w:rsid w:val="00540990"/>
    <w:rsid w:val="00540FAC"/>
    <w:rsid w:val="00542DD3"/>
    <w:rsid w:val="00553F1A"/>
    <w:rsid w:val="005773D1"/>
    <w:rsid w:val="00583C39"/>
    <w:rsid w:val="005844B7"/>
    <w:rsid w:val="005909CF"/>
    <w:rsid w:val="00591E71"/>
    <w:rsid w:val="005A0D41"/>
    <w:rsid w:val="005A5E2A"/>
    <w:rsid w:val="005B1A4A"/>
    <w:rsid w:val="005C1626"/>
    <w:rsid w:val="005C4B8F"/>
    <w:rsid w:val="005D5D67"/>
    <w:rsid w:val="005E3BA4"/>
    <w:rsid w:val="005F654F"/>
    <w:rsid w:val="00600DA9"/>
    <w:rsid w:val="00607BF1"/>
    <w:rsid w:val="0061093C"/>
    <w:rsid w:val="00615040"/>
    <w:rsid w:val="00623255"/>
    <w:rsid w:val="00630D4D"/>
    <w:rsid w:val="00630ECC"/>
    <w:rsid w:val="00632A74"/>
    <w:rsid w:val="00640BA6"/>
    <w:rsid w:val="00643D3B"/>
    <w:rsid w:val="00652AB6"/>
    <w:rsid w:val="006571C2"/>
    <w:rsid w:val="00666AA4"/>
    <w:rsid w:val="006856FB"/>
    <w:rsid w:val="0069225C"/>
    <w:rsid w:val="006A4655"/>
    <w:rsid w:val="006B2B3C"/>
    <w:rsid w:val="006B7106"/>
    <w:rsid w:val="006C1D81"/>
    <w:rsid w:val="006C63E2"/>
    <w:rsid w:val="006C7038"/>
    <w:rsid w:val="006D79F5"/>
    <w:rsid w:val="006E73EF"/>
    <w:rsid w:val="006E7D58"/>
    <w:rsid w:val="006F150F"/>
    <w:rsid w:val="006F7177"/>
    <w:rsid w:val="00714D4D"/>
    <w:rsid w:val="007164E9"/>
    <w:rsid w:val="00740E32"/>
    <w:rsid w:val="00755832"/>
    <w:rsid w:val="007604BB"/>
    <w:rsid w:val="00764924"/>
    <w:rsid w:val="00775BAA"/>
    <w:rsid w:val="00775EB6"/>
    <w:rsid w:val="00776E8B"/>
    <w:rsid w:val="00785232"/>
    <w:rsid w:val="00792071"/>
    <w:rsid w:val="00794C9D"/>
    <w:rsid w:val="007A21EB"/>
    <w:rsid w:val="007A5439"/>
    <w:rsid w:val="007A7564"/>
    <w:rsid w:val="007B00D6"/>
    <w:rsid w:val="007B1A93"/>
    <w:rsid w:val="007B415C"/>
    <w:rsid w:val="007C2560"/>
    <w:rsid w:val="007C36C9"/>
    <w:rsid w:val="007C6094"/>
    <w:rsid w:val="007D6401"/>
    <w:rsid w:val="007E01E4"/>
    <w:rsid w:val="007E138D"/>
    <w:rsid w:val="007E7BF6"/>
    <w:rsid w:val="007E7F9E"/>
    <w:rsid w:val="007F7107"/>
    <w:rsid w:val="0081030F"/>
    <w:rsid w:val="0082087D"/>
    <w:rsid w:val="00837F12"/>
    <w:rsid w:val="00841062"/>
    <w:rsid w:val="00842933"/>
    <w:rsid w:val="0086082C"/>
    <w:rsid w:val="00864204"/>
    <w:rsid w:val="00864ADC"/>
    <w:rsid w:val="00880153"/>
    <w:rsid w:val="00880900"/>
    <w:rsid w:val="00880F97"/>
    <w:rsid w:val="0088133A"/>
    <w:rsid w:val="008845C7"/>
    <w:rsid w:val="0089285E"/>
    <w:rsid w:val="0089436C"/>
    <w:rsid w:val="00897025"/>
    <w:rsid w:val="008C7752"/>
    <w:rsid w:val="008D2561"/>
    <w:rsid w:val="008D365C"/>
    <w:rsid w:val="008E2495"/>
    <w:rsid w:val="008E5B18"/>
    <w:rsid w:val="009030BF"/>
    <w:rsid w:val="0091032F"/>
    <w:rsid w:val="00911A4A"/>
    <w:rsid w:val="00912306"/>
    <w:rsid w:val="00914368"/>
    <w:rsid w:val="00931076"/>
    <w:rsid w:val="0093238F"/>
    <w:rsid w:val="009345D9"/>
    <w:rsid w:val="00934B15"/>
    <w:rsid w:val="00942B62"/>
    <w:rsid w:val="00943D03"/>
    <w:rsid w:val="0094703A"/>
    <w:rsid w:val="00956A0C"/>
    <w:rsid w:val="00956BD9"/>
    <w:rsid w:val="00962489"/>
    <w:rsid w:val="00965CA9"/>
    <w:rsid w:val="00967125"/>
    <w:rsid w:val="00974F26"/>
    <w:rsid w:val="00990C2C"/>
    <w:rsid w:val="009923F9"/>
    <w:rsid w:val="00992FD2"/>
    <w:rsid w:val="00996CC6"/>
    <w:rsid w:val="00997442"/>
    <w:rsid w:val="009A10CF"/>
    <w:rsid w:val="009A221A"/>
    <w:rsid w:val="009A276F"/>
    <w:rsid w:val="009A4948"/>
    <w:rsid w:val="009B5FBB"/>
    <w:rsid w:val="009B7A67"/>
    <w:rsid w:val="009C4BBE"/>
    <w:rsid w:val="009D3428"/>
    <w:rsid w:val="009E65B4"/>
    <w:rsid w:val="009F696D"/>
    <w:rsid w:val="009F6BC6"/>
    <w:rsid w:val="00A1596B"/>
    <w:rsid w:val="00A17328"/>
    <w:rsid w:val="00A213DB"/>
    <w:rsid w:val="00A21A4A"/>
    <w:rsid w:val="00A23A20"/>
    <w:rsid w:val="00A241AF"/>
    <w:rsid w:val="00A25F23"/>
    <w:rsid w:val="00A268B9"/>
    <w:rsid w:val="00A2703A"/>
    <w:rsid w:val="00A33D10"/>
    <w:rsid w:val="00A33DFF"/>
    <w:rsid w:val="00A35115"/>
    <w:rsid w:val="00A52A23"/>
    <w:rsid w:val="00A554AB"/>
    <w:rsid w:val="00A658D4"/>
    <w:rsid w:val="00A7691E"/>
    <w:rsid w:val="00A835F4"/>
    <w:rsid w:val="00A83703"/>
    <w:rsid w:val="00A92B53"/>
    <w:rsid w:val="00A94FA6"/>
    <w:rsid w:val="00A95722"/>
    <w:rsid w:val="00AA49A0"/>
    <w:rsid w:val="00AA6710"/>
    <w:rsid w:val="00AB0681"/>
    <w:rsid w:val="00AC3E42"/>
    <w:rsid w:val="00AC6F3A"/>
    <w:rsid w:val="00AD0C73"/>
    <w:rsid w:val="00AD520B"/>
    <w:rsid w:val="00AD52CB"/>
    <w:rsid w:val="00AD76BE"/>
    <w:rsid w:val="00B0263F"/>
    <w:rsid w:val="00B0605B"/>
    <w:rsid w:val="00B36277"/>
    <w:rsid w:val="00B440AD"/>
    <w:rsid w:val="00B51289"/>
    <w:rsid w:val="00B51F81"/>
    <w:rsid w:val="00B53E7E"/>
    <w:rsid w:val="00B54BBA"/>
    <w:rsid w:val="00B6342E"/>
    <w:rsid w:val="00B705BE"/>
    <w:rsid w:val="00B7113F"/>
    <w:rsid w:val="00B9088E"/>
    <w:rsid w:val="00B966F7"/>
    <w:rsid w:val="00BA41E9"/>
    <w:rsid w:val="00BA73B6"/>
    <w:rsid w:val="00BB0693"/>
    <w:rsid w:val="00BB2603"/>
    <w:rsid w:val="00BB4FCD"/>
    <w:rsid w:val="00BD13EA"/>
    <w:rsid w:val="00BD2D73"/>
    <w:rsid w:val="00BD54D9"/>
    <w:rsid w:val="00BE3778"/>
    <w:rsid w:val="00BE3808"/>
    <w:rsid w:val="00BE43F3"/>
    <w:rsid w:val="00BF15E2"/>
    <w:rsid w:val="00C062E9"/>
    <w:rsid w:val="00C06603"/>
    <w:rsid w:val="00C07B64"/>
    <w:rsid w:val="00C13721"/>
    <w:rsid w:val="00C3066D"/>
    <w:rsid w:val="00C31135"/>
    <w:rsid w:val="00C34A34"/>
    <w:rsid w:val="00C37D95"/>
    <w:rsid w:val="00C543F4"/>
    <w:rsid w:val="00C6291C"/>
    <w:rsid w:val="00C633CB"/>
    <w:rsid w:val="00C71DC9"/>
    <w:rsid w:val="00C80B1F"/>
    <w:rsid w:val="00C8762C"/>
    <w:rsid w:val="00CA00F9"/>
    <w:rsid w:val="00CA2961"/>
    <w:rsid w:val="00CA4B40"/>
    <w:rsid w:val="00CB50D7"/>
    <w:rsid w:val="00CB7177"/>
    <w:rsid w:val="00CC015B"/>
    <w:rsid w:val="00CC1998"/>
    <w:rsid w:val="00CC4946"/>
    <w:rsid w:val="00CD1B29"/>
    <w:rsid w:val="00CE10C5"/>
    <w:rsid w:val="00CE1C25"/>
    <w:rsid w:val="00D009A6"/>
    <w:rsid w:val="00D02040"/>
    <w:rsid w:val="00D05511"/>
    <w:rsid w:val="00D0782D"/>
    <w:rsid w:val="00D270A4"/>
    <w:rsid w:val="00D31FE9"/>
    <w:rsid w:val="00D34E1B"/>
    <w:rsid w:val="00D354E9"/>
    <w:rsid w:val="00D376BA"/>
    <w:rsid w:val="00D52107"/>
    <w:rsid w:val="00D52BB1"/>
    <w:rsid w:val="00D52F97"/>
    <w:rsid w:val="00D5568A"/>
    <w:rsid w:val="00D63D73"/>
    <w:rsid w:val="00D66E1E"/>
    <w:rsid w:val="00D75722"/>
    <w:rsid w:val="00D75A07"/>
    <w:rsid w:val="00D84D8F"/>
    <w:rsid w:val="00D851EF"/>
    <w:rsid w:val="00DA5BBA"/>
    <w:rsid w:val="00DB64F2"/>
    <w:rsid w:val="00DB67C9"/>
    <w:rsid w:val="00DC0C95"/>
    <w:rsid w:val="00DD324A"/>
    <w:rsid w:val="00DD6580"/>
    <w:rsid w:val="00DF624B"/>
    <w:rsid w:val="00E00859"/>
    <w:rsid w:val="00E17C72"/>
    <w:rsid w:val="00E21FC6"/>
    <w:rsid w:val="00E23957"/>
    <w:rsid w:val="00E304CC"/>
    <w:rsid w:val="00E3379A"/>
    <w:rsid w:val="00E431A9"/>
    <w:rsid w:val="00E669E2"/>
    <w:rsid w:val="00E70F89"/>
    <w:rsid w:val="00E76135"/>
    <w:rsid w:val="00E84CED"/>
    <w:rsid w:val="00EB33F8"/>
    <w:rsid w:val="00EC2844"/>
    <w:rsid w:val="00EC3B5C"/>
    <w:rsid w:val="00ED0006"/>
    <w:rsid w:val="00EE69B9"/>
    <w:rsid w:val="00EF6C6C"/>
    <w:rsid w:val="00F0039B"/>
    <w:rsid w:val="00F038A4"/>
    <w:rsid w:val="00F056FC"/>
    <w:rsid w:val="00F10476"/>
    <w:rsid w:val="00F112F8"/>
    <w:rsid w:val="00F12F6F"/>
    <w:rsid w:val="00F135D8"/>
    <w:rsid w:val="00F136A4"/>
    <w:rsid w:val="00F31299"/>
    <w:rsid w:val="00F3534A"/>
    <w:rsid w:val="00F5091B"/>
    <w:rsid w:val="00F56783"/>
    <w:rsid w:val="00F72F6C"/>
    <w:rsid w:val="00F85325"/>
    <w:rsid w:val="00FA5203"/>
    <w:rsid w:val="00FC483C"/>
    <w:rsid w:val="00FD1C9B"/>
    <w:rsid w:val="00F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844B7"/>
    <w:rPr>
      <w:sz w:val="26"/>
      <w:szCs w:val="24"/>
    </w:rPr>
  </w:style>
  <w:style w:type="paragraph" w:styleId="Heading1">
    <w:name w:val="heading 1"/>
    <w:basedOn w:val="BodyText"/>
    <w:next w:val="BodyText"/>
    <w:rsid w:val="005844B7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5844B7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5844B7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5844B7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5844B7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5844B7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5844B7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5844B7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5844B7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844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44B7"/>
  </w:style>
  <w:style w:type="paragraph" w:styleId="BodyText">
    <w:name w:val="Body Text"/>
    <w:link w:val="BodyTextChar"/>
    <w:qFormat/>
    <w:rsid w:val="005844B7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5844B7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5844B7"/>
    <w:pPr>
      <w:spacing w:before="0" w:line="20" w:lineRule="exact"/>
    </w:pPr>
  </w:style>
  <w:style w:type="paragraph" w:styleId="Header">
    <w:name w:val="header"/>
    <w:basedOn w:val="BodyText"/>
    <w:rsid w:val="005844B7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5844B7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5844B7"/>
  </w:style>
  <w:style w:type="paragraph" w:customStyle="1" w:styleId="HeaderOdd">
    <w:name w:val="Header Odd"/>
    <w:basedOn w:val="Header"/>
    <w:semiHidden/>
    <w:rsid w:val="005844B7"/>
  </w:style>
  <w:style w:type="character" w:styleId="PageNumber">
    <w:name w:val="page number"/>
    <w:basedOn w:val="DefaultParagraphFont"/>
    <w:rsid w:val="005844B7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5844B7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5844B7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5844B7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5844B7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5844B7"/>
    <w:rPr>
      <w:b w:val="0"/>
      <w:i/>
    </w:rPr>
  </w:style>
  <w:style w:type="paragraph" w:customStyle="1" w:styleId="BoxListBullet">
    <w:name w:val="Box List Bullet"/>
    <w:basedOn w:val="BodyText"/>
    <w:rsid w:val="005844B7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5844B7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5844B7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5844B7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5844B7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5844B7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5844B7"/>
    <w:pPr>
      <w:spacing w:after="120"/>
    </w:pPr>
  </w:style>
  <w:style w:type="paragraph" w:customStyle="1" w:styleId="BoxSource">
    <w:name w:val="Box Source"/>
    <w:basedOn w:val="Source"/>
    <w:next w:val="BodyText"/>
    <w:rsid w:val="005844B7"/>
    <w:pPr>
      <w:spacing w:before="180" w:after="0"/>
    </w:pPr>
  </w:style>
  <w:style w:type="paragraph" w:customStyle="1" w:styleId="BoxSpace">
    <w:name w:val="Box Space"/>
    <w:basedOn w:val="BodyText"/>
    <w:rsid w:val="005844B7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5844B7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5844B7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5844B7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5844B7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844B7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5844B7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5844B7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844B7"/>
  </w:style>
  <w:style w:type="character" w:customStyle="1" w:styleId="DocumentInfo">
    <w:name w:val="Document Info"/>
    <w:basedOn w:val="DefaultParagraphFont"/>
    <w:semiHidden/>
    <w:rsid w:val="005844B7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5844B7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5844B7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5844B7"/>
    <w:rPr>
      <w:sz w:val="24"/>
    </w:rPr>
  </w:style>
  <w:style w:type="paragraph" w:styleId="Subtitle">
    <w:name w:val="Subtitle"/>
    <w:basedOn w:val="Caption"/>
    <w:link w:val="SubtitleChar"/>
    <w:rsid w:val="005844B7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5844B7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5844B7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5844B7"/>
    <w:pPr>
      <w:spacing w:before="240"/>
    </w:pPr>
  </w:style>
  <w:style w:type="paragraph" w:customStyle="1" w:styleId="RecTitle">
    <w:name w:val="Rec Title"/>
    <w:basedOn w:val="BodyText"/>
    <w:next w:val="Normal"/>
    <w:rsid w:val="005844B7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5844B7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5844B7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5844B7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5844B7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5844B7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5844B7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5844B7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5844B7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5844B7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5844B7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5844B7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5844B7"/>
    <w:pPr>
      <w:numPr>
        <w:ilvl w:val="1"/>
      </w:numPr>
    </w:pPr>
  </w:style>
  <w:style w:type="paragraph" w:styleId="ListNumber3">
    <w:name w:val="List Number 3"/>
    <w:basedOn w:val="ListNumber2"/>
    <w:rsid w:val="005844B7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5844B7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5844B7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5844B7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5844B7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5844B7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5844B7"/>
    <w:pPr>
      <w:numPr>
        <w:numId w:val="14"/>
      </w:numPr>
    </w:pPr>
  </w:style>
  <w:style w:type="paragraph" w:customStyle="1" w:styleId="Rec">
    <w:name w:val="Rec"/>
    <w:basedOn w:val="BodyText"/>
    <w:rsid w:val="005844B7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5844B7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5844B7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5844B7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rsid w:val="005844B7"/>
    <w:pPr>
      <w:spacing w:before="240"/>
    </w:pPr>
  </w:style>
  <w:style w:type="paragraph" w:customStyle="1" w:styleId="Reference">
    <w:name w:val="Reference"/>
    <w:basedOn w:val="BodyText"/>
    <w:rsid w:val="005844B7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5844B7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5844B7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5844B7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5844B7"/>
    <w:pPr>
      <w:framePr w:wrap="around"/>
    </w:pPr>
  </w:style>
  <w:style w:type="paragraph" w:customStyle="1" w:styleId="TableBodyText">
    <w:name w:val="Table Body Text"/>
    <w:basedOn w:val="BodyText"/>
    <w:rsid w:val="005844B7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5844B7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5844B7"/>
    <w:pPr>
      <w:spacing w:before="80" w:after="80"/>
    </w:pPr>
    <w:rPr>
      <w:i/>
    </w:rPr>
  </w:style>
  <w:style w:type="paragraph" w:styleId="TOC2">
    <w:name w:val="toc 2"/>
    <w:basedOn w:val="BodyText"/>
    <w:semiHidden/>
    <w:rsid w:val="005844B7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5844B7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5844B7"/>
    <w:pPr>
      <w:ind w:left="737" w:hanging="737"/>
    </w:pPr>
  </w:style>
  <w:style w:type="paragraph" w:customStyle="1" w:styleId="TableTitle">
    <w:name w:val="Table Title"/>
    <w:basedOn w:val="Caption"/>
    <w:next w:val="Subtitle"/>
    <w:rsid w:val="005844B7"/>
    <w:rPr>
      <w:sz w:val="24"/>
    </w:rPr>
  </w:style>
  <w:style w:type="paragraph" w:customStyle="1" w:styleId="TableUnitsRow">
    <w:name w:val="Table Units Row"/>
    <w:basedOn w:val="TableBodyText"/>
    <w:rsid w:val="005844B7"/>
    <w:pPr>
      <w:spacing w:before="80" w:after="80"/>
    </w:pPr>
  </w:style>
  <w:style w:type="paragraph" w:styleId="TOC1">
    <w:name w:val="toc 1"/>
    <w:basedOn w:val="Normal"/>
    <w:next w:val="TOC2"/>
    <w:semiHidden/>
    <w:rsid w:val="005844B7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5844B7"/>
    <w:pPr>
      <w:ind w:left="1191" w:firstLine="0"/>
    </w:pPr>
  </w:style>
  <w:style w:type="paragraph" w:customStyle="1" w:styleId="RecBBullet2">
    <w:name w:val="RecB Bullet 2"/>
    <w:basedOn w:val="ListBullet2"/>
    <w:rsid w:val="005844B7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5844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44B7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5844B7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844B7"/>
    <w:pPr>
      <w:numPr>
        <w:numId w:val="47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5844B7"/>
    <w:rPr>
      <w:i/>
      <w:iCs/>
    </w:rPr>
  </w:style>
  <w:style w:type="character" w:styleId="Hyperlink">
    <w:name w:val="Hyperlink"/>
    <w:basedOn w:val="DefaultParagraphFont"/>
    <w:uiPriority w:val="99"/>
    <w:unhideWhenUsed/>
    <w:rsid w:val="00A95722"/>
    <w:rPr>
      <w:color w:val="006699"/>
      <w:u w:val="single"/>
    </w:rPr>
  </w:style>
  <w:style w:type="character" w:customStyle="1" w:styleId="BodyTextChar">
    <w:name w:val="Body Text Char"/>
    <w:basedOn w:val="DefaultParagraphFont"/>
    <w:link w:val="BodyText"/>
    <w:rsid w:val="00997442"/>
    <w:rPr>
      <w:sz w:val="26"/>
    </w:rPr>
  </w:style>
  <w:style w:type="paragraph" w:styleId="ListParagraph">
    <w:name w:val="List Paragraph"/>
    <w:basedOn w:val="Normal"/>
    <w:uiPriority w:val="34"/>
    <w:rsid w:val="0050734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297F44"/>
    <w:pPr>
      <w:spacing w:before="0" w:line="240" w:lineRule="auto"/>
      <w:ind w:left="0" w:firstLine="0"/>
    </w:pPr>
    <w:rPr>
      <w:rFonts w:ascii="Calibri" w:eastAsiaTheme="minorHAnsi" w:hAnsi="Calibri" w:cs="Calibri"/>
      <w:b/>
      <w:bCs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297F44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297F44"/>
    <w:rPr>
      <w:rFonts w:ascii="Calibri" w:eastAsiaTheme="minorHAnsi" w:hAnsi="Calibri" w:cs="Calibri"/>
      <w:b/>
      <w:bCs/>
      <w:szCs w:val="24"/>
      <w:lang w:eastAsia="en-US"/>
    </w:rPr>
  </w:style>
  <w:style w:type="character" w:styleId="FollowedHyperlink">
    <w:name w:val="FollowedHyperlink"/>
    <w:basedOn w:val="DefaultParagraphFont"/>
    <w:rsid w:val="003E2321"/>
    <w:rPr>
      <w:color w:val="800080" w:themeColor="followedHyperlink"/>
      <w:u w:val="single"/>
    </w:rPr>
  </w:style>
  <w:style w:type="paragraph" w:customStyle="1" w:styleId="BoxQuoteBullet">
    <w:name w:val="Box Quote Bullet"/>
    <w:basedOn w:val="BoxQuote"/>
    <w:next w:val="Box"/>
    <w:rsid w:val="005844B7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5844B7"/>
    <w:pPr>
      <w:numPr>
        <w:numId w:val="46"/>
      </w:numPr>
      <w:ind w:left="340" w:hanging="340"/>
    </w:pPr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844B7"/>
    <w:rPr>
      <w:sz w:val="26"/>
      <w:szCs w:val="24"/>
    </w:rPr>
  </w:style>
  <w:style w:type="paragraph" w:styleId="Heading1">
    <w:name w:val="heading 1"/>
    <w:basedOn w:val="BodyText"/>
    <w:next w:val="BodyText"/>
    <w:rsid w:val="005844B7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5844B7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5844B7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5844B7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5844B7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5844B7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5844B7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5844B7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5844B7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844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44B7"/>
  </w:style>
  <w:style w:type="paragraph" w:styleId="BodyText">
    <w:name w:val="Body Text"/>
    <w:link w:val="BodyTextChar"/>
    <w:qFormat/>
    <w:rsid w:val="005844B7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5844B7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5844B7"/>
    <w:pPr>
      <w:spacing w:before="0" w:line="20" w:lineRule="exact"/>
    </w:pPr>
  </w:style>
  <w:style w:type="paragraph" w:styleId="Header">
    <w:name w:val="header"/>
    <w:basedOn w:val="BodyText"/>
    <w:rsid w:val="005844B7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5844B7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5844B7"/>
  </w:style>
  <w:style w:type="paragraph" w:customStyle="1" w:styleId="HeaderOdd">
    <w:name w:val="Header Odd"/>
    <w:basedOn w:val="Header"/>
    <w:semiHidden/>
    <w:rsid w:val="005844B7"/>
  </w:style>
  <w:style w:type="character" w:styleId="PageNumber">
    <w:name w:val="page number"/>
    <w:basedOn w:val="DefaultParagraphFont"/>
    <w:rsid w:val="005844B7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5844B7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5844B7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5844B7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5844B7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5844B7"/>
    <w:rPr>
      <w:b w:val="0"/>
      <w:i/>
    </w:rPr>
  </w:style>
  <w:style w:type="paragraph" w:customStyle="1" w:styleId="BoxListBullet">
    <w:name w:val="Box List Bullet"/>
    <w:basedOn w:val="BodyText"/>
    <w:rsid w:val="005844B7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5844B7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5844B7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5844B7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5844B7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5844B7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5844B7"/>
    <w:pPr>
      <w:spacing w:after="120"/>
    </w:pPr>
  </w:style>
  <w:style w:type="paragraph" w:customStyle="1" w:styleId="BoxSource">
    <w:name w:val="Box Source"/>
    <w:basedOn w:val="Source"/>
    <w:next w:val="BodyText"/>
    <w:rsid w:val="005844B7"/>
    <w:pPr>
      <w:spacing w:before="180" w:after="0"/>
    </w:pPr>
  </w:style>
  <w:style w:type="paragraph" w:customStyle="1" w:styleId="BoxSpace">
    <w:name w:val="Box Space"/>
    <w:basedOn w:val="BodyText"/>
    <w:rsid w:val="005844B7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5844B7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5844B7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5844B7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5844B7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844B7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5844B7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5844B7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844B7"/>
  </w:style>
  <w:style w:type="character" w:customStyle="1" w:styleId="DocumentInfo">
    <w:name w:val="Document Info"/>
    <w:basedOn w:val="DefaultParagraphFont"/>
    <w:semiHidden/>
    <w:rsid w:val="005844B7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5844B7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5844B7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5844B7"/>
    <w:rPr>
      <w:sz w:val="24"/>
    </w:rPr>
  </w:style>
  <w:style w:type="paragraph" w:styleId="Subtitle">
    <w:name w:val="Subtitle"/>
    <w:basedOn w:val="Caption"/>
    <w:link w:val="SubtitleChar"/>
    <w:rsid w:val="005844B7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5844B7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5844B7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5844B7"/>
    <w:pPr>
      <w:spacing w:before="240"/>
    </w:pPr>
  </w:style>
  <w:style w:type="paragraph" w:customStyle="1" w:styleId="RecTitle">
    <w:name w:val="Rec Title"/>
    <w:basedOn w:val="BodyText"/>
    <w:next w:val="Normal"/>
    <w:rsid w:val="005844B7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5844B7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5844B7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5844B7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5844B7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5844B7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5844B7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5844B7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5844B7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5844B7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5844B7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5844B7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5844B7"/>
    <w:pPr>
      <w:numPr>
        <w:ilvl w:val="1"/>
      </w:numPr>
    </w:pPr>
  </w:style>
  <w:style w:type="paragraph" w:styleId="ListNumber3">
    <w:name w:val="List Number 3"/>
    <w:basedOn w:val="ListNumber2"/>
    <w:rsid w:val="005844B7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5844B7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5844B7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5844B7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5844B7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5844B7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5844B7"/>
    <w:pPr>
      <w:numPr>
        <w:numId w:val="14"/>
      </w:numPr>
    </w:pPr>
  </w:style>
  <w:style w:type="paragraph" w:customStyle="1" w:styleId="Rec">
    <w:name w:val="Rec"/>
    <w:basedOn w:val="BodyText"/>
    <w:rsid w:val="005844B7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5844B7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5844B7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5844B7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rsid w:val="005844B7"/>
    <w:pPr>
      <w:spacing w:before="240"/>
    </w:pPr>
  </w:style>
  <w:style w:type="paragraph" w:customStyle="1" w:styleId="Reference">
    <w:name w:val="Reference"/>
    <w:basedOn w:val="BodyText"/>
    <w:rsid w:val="005844B7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5844B7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5844B7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5844B7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5844B7"/>
    <w:pPr>
      <w:framePr w:wrap="around"/>
    </w:pPr>
  </w:style>
  <w:style w:type="paragraph" w:customStyle="1" w:styleId="TableBodyText">
    <w:name w:val="Table Body Text"/>
    <w:basedOn w:val="BodyText"/>
    <w:rsid w:val="005844B7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5844B7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5844B7"/>
    <w:pPr>
      <w:spacing w:before="80" w:after="80"/>
    </w:pPr>
    <w:rPr>
      <w:i/>
    </w:rPr>
  </w:style>
  <w:style w:type="paragraph" w:styleId="TOC2">
    <w:name w:val="toc 2"/>
    <w:basedOn w:val="BodyText"/>
    <w:semiHidden/>
    <w:rsid w:val="005844B7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5844B7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5844B7"/>
    <w:pPr>
      <w:ind w:left="737" w:hanging="737"/>
    </w:pPr>
  </w:style>
  <w:style w:type="paragraph" w:customStyle="1" w:styleId="TableTitle">
    <w:name w:val="Table Title"/>
    <w:basedOn w:val="Caption"/>
    <w:next w:val="Subtitle"/>
    <w:rsid w:val="005844B7"/>
    <w:rPr>
      <w:sz w:val="24"/>
    </w:rPr>
  </w:style>
  <w:style w:type="paragraph" w:customStyle="1" w:styleId="TableUnitsRow">
    <w:name w:val="Table Units Row"/>
    <w:basedOn w:val="TableBodyText"/>
    <w:rsid w:val="005844B7"/>
    <w:pPr>
      <w:spacing w:before="80" w:after="80"/>
    </w:pPr>
  </w:style>
  <w:style w:type="paragraph" w:styleId="TOC1">
    <w:name w:val="toc 1"/>
    <w:basedOn w:val="Normal"/>
    <w:next w:val="TOC2"/>
    <w:semiHidden/>
    <w:rsid w:val="005844B7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5844B7"/>
    <w:pPr>
      <w:ind w:left="1191" w:firstLine="0"/>
    </w:pPr>
  </w:style>
  <w:style w:type="paragraph" w:customStyle="1" w:styleId="RecBBullet2">
    <w:name w:val="RecB Bullet 2"/>
    <w:basedOn w:val="ListBullet2"/>
    <w:rsid w:val="005844B7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5844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44B7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5844B7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844B7"/>
    <w:pPr>
      <w:numPr>
        <w:numId w:val="47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5844B7"/>
    <w:rPr>
      <w:i/>
      <w:iCs/>
    </w:rPr>
  </w:style>
  <w:style w:type="character" w:styleId="Hyperlink">
    <w:name w:val="Hyperlink"/>
    <w:basedOn w:val="DefaultParagraphFont"/>
    <w:uiPriority w:val="99"/>
    <w:unhideWhenUsed/>
    <w:rsid w:val="00A95722"/>
    <w:rPr>
      <w:color w:val="006699"/>
      <w:u w:val="single"/>
    </w:rPr>
  </w:style>
  <w:style w:type="character" w:customStyle="1" w:styleId="BodyTextChar">
    <w:name w:val="Body Text Char"/>
    <w:basedOn w:val="DefaultParagraphFont"/>
    <w:link w:val="BodyText"/>
    <w:rsid w:val="00997442"/>
    <w:rPr>
      <w:sz w:val="26"/>
    </w:rPr>
  </w:style>
  <w:style w:type="paragraph" w:styleId="ListParagraph">
    <w:name w:val="List Paragraph"/>
    <w:basedOn w:val="Normal"/>
    <w:uiPriority w:val="34"/>
    <w:rsid w:val="0050734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297F44"/>
    <w:pPr>
      <w:spacing w:before="0" w:line="240" w:lineRule="auto"/>
      <w:ind w:left="0" w:firstLine="0"/>
    </w:pPr>
    <w:rPr>
      <w:rFonts w:ascii="Calibri" w:eastAsiaTheme="minorHAnsi" w:hAnsi="Calibri" w:cs="Calibri"/>
      <w:b/>
      <w:bCs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297F44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297F44"/>
    <w:rPr>
      <w:rFonts w:ascii="Calibri" w:eastAsiaTheme="minorHAnsi" w:hAnsi="Calibri" w:cs="Calibri"/>
      <w:b/>
      <w:bCs/>
      <w:szCs w:val="24"/>
      <w:lang w:eastAsia="en-US"/>
    </w:rPr>
  </w:style>
  <w:style w:type="character" w:styleId="FollowedHyperlink">
    <w:name w:val="FollowedHyperlink"/>
    <w:basedOn w:val="DefaultParagraphFont"/>
    <w:rsid w:val="003E2321"/>
    <w:rPr>
      <w:color w:val="800080" w:themeColor="followedHyperlink"/>
      <w:u w:val="single"/>
    </w:rPr>
  </w:style>
  <w:style w:type="paragraph" w:customStyle="1" w:styleId="BoxQuoteBullet">
    <w:name w:val="Box Quote Bullet"/>
    <w:basedOn w:val="BoxQuote"/>
    <w:next w:val="Box"/>
    <w:rsid w:val="005844B7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5844B7"/>
    <w:pPr>
      <w:numPr>
        <w:numId w:val="46"/>
      </w:numPr>
      <w:ind w:left="340" w:hanging="340"/>
    </w:pPr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20966">
                  <w:marLeft w:val="15"/>
                  <w:marRight w:val="15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11" w:color="FFFFFF"/>
                    <w:right w:val="single" w:sz="6" w:space="0" w:color="FFFFFF"/>
                  </w:divBdr>
                  <w:divsChild>
                    <w:div w:id="731804844">
                      <w:marLeft w:val="3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9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56868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single" w:sz="6" w:space="12" w:color="C8C8C8"/>
                                <w:left w:val="single" w:sz="6" w:space="15" w:color="C8C8C8"/>
                                <w:bottom w:val="single" w:sz="6" w:space="0" w:color="C8C8C8"/>
                                <w:right w:val="single" w:sz="6" w:space="15" w:color="C8C8C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1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irc.gov.au/awardmod/fullbench/timetable.cfm" TargetMode="External"/><Relationship Id="rId18" Type="http://schemas.openxmlformats.org/officeDocument/2006/relationships/hyperlink" Target="http://www.ato.gov.au/taxprofessionals/content.aspx?doc=/content/00245692.htm&amp;pc=001/005/054/006/001&amp;mnu=0&amp;mfp=&amp;st=&amp;cy" TargetMode="External"/><Relationship Id="rId26" Type="http://schemas.openxmlformats.org/officeDocument/2006/relationships/hyperlink" Target="http://www.ricewarner.com/images/newsroom/1279676461_Touchstone%20Newsletter%20-%20The%20Future%20of%20Super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wa.gov.au/index.cfm?pagename=agreementsmakeabou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irc.gov.au/asdecisions/R7700.htm" TargetMode="External"/><Relationship Id="rId17" Type="http://schemas.openxmlformats.org/officeDocument/2006/relationships/hyperlink" Target="http://www.asic.gov.au/asic/ASIC.NSF/byHeadline/Our%20role" TargetMode="External"/><Relationship Id="rId25" Type="http://schemas.openxmlformats.org/officeDocument/2006/relationships/hyperlink" Target="http://www.ricewarner.com/images/newsroom/1235564272_1Is_Choice_of_Funding_Working_January_2007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oneysmart.gov.au/media/275360/super-decisions.pdf" TargetMode="External"/><Relationship Id="rId20" Type="http://schemas.openxmlformats.org/officeDocument/2006/relationships/hyperlink" Target="http://www.fwa.gov.au/decisionssigned/html/2011fwafb3400.htm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3.e-airc.gov.au/archives/1994superannuation" TargetMode="External"/><Relationship Id="rId24" Type="http://schemas.openxmlformats.org/officeDocument/2006/relationships/hyperlink" Target="http://www.fwa.gov.au/decisionssigned/html/2012fwa5721.htm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uperannuation.asn.au/ArticleDocuments/116/superannuation-survey-nov2008.pdf.aspx" TargetMode="External"/><Relationship Id="rId23" Type="http://schemas.openxmlformats.org/officeDocument/2006/relationships/hyperlink" Target="http://www.fwa.gov.au/index.cfm?pagename=wagereview2013&amp;page=research_map2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accc.gov.au/content/index.phtml/itemId/816373" TargetMode="External"/><Relationship Id="rId19" Type="http://schemas.openxmlformats.org/officeDocument/2006/relationships/hyperlink" Target="http://www.ato.gov.au/superfunds/content.aspx?menuid=0&amp;doc=/content/00305619.htm&amp;page=2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accc.gov.au/content/index.phtml/itemId/809866" TargetMode="External"/><Relationship Id="rId14" Type="http://schemas.openxmlformats.org/officeDocument/2006/relationships/hyperlink" Target="http://www.apra.gov.au/Super/Publications/Documents/Classification-of-superannuation-entities.pdf" TargetMode="External"/><Relationship Id="rId22" Type="http://schemas.openxmlformats.org/officeDocument/2006/relationships/hyperlink" Target="http://www.fwa.gov.au/decisionssigned/html/2012fwafb5000.htm" TargetMode="External"/><Relationship Id="rId27" Type="http://schemas.openxmlformats.org/officeDocument/2006/relationships/hyperlink" Target="http://www.towerswatson.com/australia/research/1884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D112A-F19B-47E8-A7B0-CF628647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14</Pages>
  <Words>3347</Words>
  <Characters>27283</Characters>
  <Application>Microsoft Office Word</Application>
  <DocSecurity>0</DocSecurity>
  <Lines>227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30569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Default Superannuation in modern awards</dc:subject>
  <dc:creator>Productivity Commission</dc:creator>
  <dc:description>.</dc:description>
  <cp:lastModifiedBy>Productivity Commission</cp:lastModifiedBy>
  <cp:revision>2</cp:revision>
  <cp:lastPrinted>2012-10-03T23:19:00Z</cp:lastPrinted>
  <dcterms:created xsi:type="dcterms:W3CDTF">2012-10-08T03:09:00Z</dcterms:created>
  <dcterms:modified xsi:type="dcterms:W3CDTF">2012-10-08T03:09:00Z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1659930985</vt:i4>
  </property>
  <property fmtid="{D5CDD505-2E9C-101B-9397-08002B2CF9AE}" pid="4" name="_EmailSubject">
    <vt:lpwstr>web files - default super - final report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