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622" w:rsidRPr="00DD703E" w:rsidRDefault="00DD703E" w:rsidP="00DD703E">
      <w:pPr>
        <w:pStyle w:val="Heading1NotTOC"/>
        <w:rPr>
          <w:color w:val="FFFFFF" w:themeColor="background1"/>
          <w:sz w:val="16"/>
          <w:szCs w:val="16"/>
        </w:rPr>
      </w:pPr>
      <w:bookmarkStart w:id="0" w:name="_GoBack"/>
      <w:bookmarkEnd w:id="0"/>
      <w:r>
        <w:rPr>
          <w:noProof/>
          <w:color w:val="FFFFFF" w:themeColor="background1"/>
          <w:sz w:val="16"/>
          <w:szCs w:val="16"/>
          <w:lang w:eastAsia="en-AU"/>
        </w:rPr>
        <w:drawing>
          <wp:anchor distT="0" distB="0" distL="114300" distR="114300" simplePos="0" relativeHeight="251658240" behindDoc="0" locked="0" layoutInCell="1" allowOverlap="1">
            <wp:simplePos x="1152525" y="-6496050"/>
            <wp:positionH relativeFrom="page">
              <wp:align>center</wp:align>
            </wp:positionH>
            <wp:positionV relativeFrom="page">
              <wp:align>center</wp:align>
            </wp:positionV>
            <wp:extent cx="7560000" cy="10692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sues-paper-cover-NDAR-inquiry.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Pr="00DD703E">
        <w:rPr>
          <w:color w:val="FFFFFF" w:themeColor="background1"/>
          <w:sz w:val="16"/>
          <w:szCs w:val="16"/>
        </w:rPr>
        <w:t>National Disability Agreement Review Issues Paper. July 2018.</w:t>
      </w:r>
    </w:p>
    <w:p w:rsidR="00D96622" w:rsidRDefault="00D96622" w:rsidP="00D96622">
      <w:pPr>
        <w:pStyle w:val="Heading1"/>
        <w:spacing w:before="0"/>
      </w:pPr>
      <w:r>
        <w:br w:type="page"/>
      </w:r>
    </w:p>
    <w:p w:rsidR="00D96622" w:rsidRDefault="00D96622" w:rsidP="00D9662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96622" w:rsidTr="00C62653">
        <w:trPr>
          <w:tblHeader/>
        </w:trPr>
        <w:tc>
          <w:tcPr>
            <w:tcW w:w="8771" w:type="dxa"/>
            <w:tcBorders>
              <w:top w:val="single" w:sz="6" w:space="0" w:color="78A22F"/>
              <w:left w:val="nil"/>
              <w:bottom w:val="nil"/>
              <w:right w:val="nil"/>
            </w:tcBorders>
            <w:shd w:val="clear" w:color="auto" w:fill="F2F2F2" w:themeFill="background1" w:themeFillShade="F2"/>
          </w:tcPr>
          <w:p w:rsidR="00D96622" w:rsidRPr="008A3857" w:rsidRDefault="00D96622" w:rsidP="00C62653">
            <w:pPr>
              <w:pStyle w:val="BoxTitle"/>
              <w:rPr>
                <w:sz w:val="22"/>
                <w:szCs w:val="22"/>
              </w:rPr>
            </w:pPr>
            <w:r w:rsidRPr="008A3857">
              <w:rPr>
                <w:sz w:val="22"/>
                <w:szCs w:val="22"/>
              </w:rPr>
              <w:t xml:space="preserve">The </w:t>
            </w:r>
            <w:r>
              <w:rPr>
                <w:sz w:val="22"/>
                <w:szCs w:val="22"/>
              </w:rPr>
              <w:t>Issues Paper</w:t>
            </w:r>
          </w:p>
        </w:tc>
      </w:tr>
      <w:tr w:rsidR="00D96622" w:rsidTr="00C62653">
        <w:tc>
          <w:tcPr>
            <w:tcW w:w="8771" w:type="dxa"/>
            <w:tcBorders>
              <w:top w:val="nil"/>
              <w:left w:val="nil"/>
              <w:bottom w:val="nil"/>
              <w:right w:val="nil"/>
            </w:tcBorders>
            <w:shd w:val="clear" w:color="auto" w:fill="F2F2F2" w:themeFill="background1" w:themeFillShade="F2"/>
          </w:tcPr>
          <w:p w:rsidR="00D96622" w:rsidRDefault="00D96622" w:rsidP="00C62653">
            <w:pPr>
              <w:pStyle w:val="Box"/>
            </w:pPr>
            <w:r>
              <w:t>The Commission has released this issues paper to assist individuals and organisations to prepare submissions to the study. It contains and outlines:</w:t>
            </w:r>
          </w:p>
          <w:p w:rsidR="00D96622" w:rsidRDefault="00D96622" w:rsidP="00C62653">
            <w:pPr>
              <w:pStyle w:val="BoxListBullet"/>
            </w:pPr>
            <w:r>
              <w:t>the scope of the study</w:t>
            </w:r>
          </w:p>
          <w:p w:rsidR="00D96622" w:rsidRDefault="00D96622" w:rsidP="00C62653">
            <w:pPr>
              <w:pStyle w:val="BoxListBullet"/>
            </w:pPr>
            <w:r>
              <w:t>the Commission’s procedures</w:t>
            </w:r>
          </w:p>
          <w:p w:rsidR="00D96622" w:rsidRDefault="00D96622" w:rsidP="00C62653">
            <w:pPr>
              <w:pStyle w:val="BoxListBullet"/>
            </w:pPr>
            <w:r>
              <w:t>matters about which the Commission is seeking comment and information</w:t>
            </w:r>
          </w:p>
          <w:p w:rsidR="00D96622" w:rsidRDefault="00D96622" w:rsidP="00C62653">
            <w:pPr>
              <w:pStyle w:val="BoxListBullet"/>
            </w:pPr>
            <w:r>
              <w:t>how to make a submission.</w:t>
            </w:r>
          </w:p>
          <w:p w:rsidR="00D96622" w:rsidRDefault="00D96622" w:rsidP="00C62653">
            <w:pPr>
              <w:pStyle w:val="Box"/>
            </w:pPr>
            <w:r>
              <w:t>Participants should not feel that they are restricted to comment only on matters raised in the issues paper. The Commission wishes to receive information and comment on issues which participants consider relevant to the study’s terms of reference.</w:t>
            </w:r>
          </w:p>
          <w:p w:rsidR="00D96622" w:rsidRDefault="00D96622" w:rsidP="00C62653">
            <w:pPr>
              <w:pStyle w:val="BoxHeading1"/>
            </w:pPr>
            <w:r>
              <w:t>Key study dates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D96622" w:rsidTr="00C62653">
              <w:trPr>
                <w:tblHeader/>
              </w:trPr>
              <w:tc>
                <w:tcPr>
                  <w:tcW w:w="3522" w:type="dxa"/>
                  <w:tcMar>
                    <w:left w:w="0" w:type="dxa"/>
                  </w:tcMar>
                </w:tcPr>
                <w:p w:rsidR="00D96622" w:rsidRDefault="00D96622" w:rsidP="00C62653">
                  <w:pPr>
                    <w:pStyle w:val="Box"/>
                  </w:pPr>
                  <w:r>
                    <w:t>Receipt of terms of reference</w:t>
                  </w:r>
                </w:p>
              </w:tc>
              <w:tc>
                <w:tcPr>
                  <w:tcW w:w="4950" w:type="dxa"/>
                </w:tcPr>
                <w:p w:rsidR="00D96622" w:rsidRDefault="008432D8" w:rsidP="00C62653">
                  <w:pPr>
                    <w:pStyle w:val="Box"/>
                  </w:pPr>
                  <w:r>
                    <w:t>25 May 2018</w:t>
                  </w:r>
                </w:p>
              </w:tc>
            </w:tr>
            <w:tr w:rsidR="00D96622" w:rsidTr="00C62653">
              <w:tc>
                <w:tcPr>
                  <w:tcW w:w="3522" w:type="dxa"/>
                  <w:tcMar>
                    <w:left w:w="0" w:type="dxa"/>
                  </w:tcMar>
                </w:tcPr>
                <w:p w:rsidR="00D96622" w:rsidRDefault="00D96622" w:rsidP="00C62653">
                  <w:pPr>
                    <w:pStyle w:val="Box"/>
                    <w:spacing w:before="60"/>
                  </w:pPr>
                  <w:r>
                    <w:t>Due date for submissions</w:t>
                  </w:r>
                </w:p>
              </w:tc>
              <w:tc>
                <w:tcPr>
                  <w:tcW w:w="4950" w:type="dxa"/>
                </w:tcPr>
                <w:p w:rsidR="00D96622" w:rsidRDefault="008432D8" w:rsidP="00C62653">
                  <w:pPr>
                    <w:pStyle w:val="Box"/>
                    <w:spacing w:before="60"/>
                  </w:pPr>
                  <w:r>
                    <w:t>24 August</w:t>
                  </w:r>
                  <w:r w:rsidR="00C34C86">
                    <w:t xml:space="preserve"> 2018</w:t>
                  </w:r>
                </w:p>
              </w:tc>
            </w:tr>
            <w:tr w:rsidR="00D96622" w:rsidTr="00C62653">
              <w:tc>
                <w:tcPr>
                  <w:tcW w:w="3522" w:type="dxa"/>
                  <w:tcMar>
                    <w:left w:w="0" w:type="dxa"/>
                  </w:tcMar>
                </w:tcPr>
                <w:p w:rsidR="00D96622" w:rsidRDefault="00D96622" w:rsidP="00C62653">
                  <w:pPr>
                    <w:pStyle w:val="Box"/>
                    <w:spacing w:before="60"/>
                  </w:pPr>
                  <w:r>
                    <w:t>Final report to Government</w:t>
                  </w:r>
                </w:p>
              </w:tc>
              <w:tc>
                <w:tcPr>
                  <w:tcW w:w="4950" w:type="dxa"/>
                </w:tcPr>
                <w:p w:rsidR="00D96622" w:rsidRDefault="008432D8" w:rsidP="00C62653">
                  <w:pPr>
                    <w:pStyle w:val="Box"/>
                    <w:spacing w:before="60"/>
                  </w:pPr>
                  <w:r>
                    <w:t>25 January 2019</w:t>
                  </w:r>
                </w:p>
              </w:tc>
            </w:tr>
          </w:tbl>
          <w:p w:rsidR="00D96622" w:rsidRDefault="00D96622" w:rsidP="00C62653">
            <w:pPr>
              <w:pStyle w:val="BoxHeading1"/>
            </w:pPr>
            <w:r>
              <w:t>Submissions can be 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D96622" w:rsidTr="00C62653">
              <w:trPr>
                <w:tblHeader/>
              </w:trPr>
              <w:tc>
                <w:tcPr>
                  <w:tcW w:w="3522" w:type="dxa"/>
                  <w:tcMar>
                    <w:left w:w="0" w:type="dxa"/>
                  </w:tcMar>
                </w:tcPr>
                <w:p w:rsidR="00D96622" w:rsidRDefault="00D96622" w:rsidP="00C62653">
                  <w:pPr>
                    <w:pStyle w:val="Box"/>
                  </w:pPr>
                  <w:r>
                    <w:t>Online:</w:t>
                  </w:r>
                </w:p>
              </w:tc>
              <w:tc>
                <w:tcPr>
                  <w:tcW w:w="4950" w:type="dxa"/>
                </w:tcPr>
                <w:p w:rsidR="00D96622" w:rsidRDefault="006A2083" w:rsidP="00C62653">
                  <w:pPr>
                    <w:pStyle w:val="Box"/>
                  </w:pPr>
                  <w:r w:rsidRPr="006A2083">
                    <w:t>http://www.pc.gov.au/inquiries/current/disability-agreement</w:t>
                  </w:r>
                </w:p>
              </w:tc>
            </w:tr>
            <w:tr w:rsidR="00D96622" w:rsidTr="00C62653">
              <w:tc>
                <w:tcPr>
                  <w:tcW w:w="3522" w:type="dxa"/>
                  <w:tcMar>
                    <w:left w:w="0" w:type="dxa"/>
                  </w:tcMar>
                </w:tcPr>
                <w:p w:rsidR="00D96622" w:rsidRDefault="00D96622" w:rsidP="00C62653">
                  <w:pPr>
                    <w:pStyle w:val="Box"/>
                    <w:spacing w:before="60"/>
                    <w:jc w:val="left"/>
                  </w:pPr>
                  <w:r>
                    <w:t>By post:</w:t>
                  </w:r>
                </w:p>
              </w:tc>
              <w:tc>
                <w:tcPr>
                  <w:tcW w:w="4950" w:type="dxa"/>
                </w:tcPr>
                <w:p w:rsidR="00D96622" w:rsidRDefault="006A2083" w:rsidP="006A2083">
                  <w:pPr>
                    <w:pStyle w:val="Box"/>
                    <w:spacing w:before="60"/>
                    <w:jc w:val="left"/>
                  </w:pPr>
                  <w:r>
                    <w:t>National Disability Agreement Review</w:t>
                  </w:r>
                  <w:r w:rsidR="00D96622">
                    <w:br/>
                    <w:t>Productivity Commission</w:t>
                  </w:r>
                  <w:r w:rsidR="00D96622">
                    <w:br/>
                  </w:r>
                  <w:r w:rsidRPr="006A2083">
                    <w:t>Locked Bag 2, Collins St East</w:t>
                  </w:r>
                  <w:r w:rsidRPr="006A2083">
                    <w:br/>
                    <w:t>Melbourne VIC 8003</w:t>
                  </w:r>
                </w:p>
              </w:tc>
            </w:tr>
          </w:tbl>
          <w:p w:rsidR="00D96622" w:rsidRDefault="00D96622" w:rsidP="00C62653">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2268"/>
              <w:gridCol w:w="2682"/>
            </w:tblGrid>
            <w:tr w:rsidR="00D96622" w:rsidTr="00C62653">
              <w:trPr>
                <w:tblHeader/>
              </w:trPr>
              <w:tc>
                <w:tcPr>
                  <w:tcW w:w="3522" w:type="dxa"/>
                  <w:tcMar>
                    <w:left w:w="0" w:type="dxa"/>
                  </w:tcMar>
                </w:tcPr>
                <w:p w:rsidR="00D96622" w:rsidRDefault="00D96622" w:rsidP="00C62653">
                  <w:pPr>
                    <w:pStyle w:val="Box"/>
                  </w:pPr>
                  <w:r>
                    <w:t xml:space="preserve">Administrative </w:t>
                  </w:r>
                  <w:r w:rsidR="00064E8C">
                    <w:t xml:space="preserve">and other </w:t>
                  </w:r>
                  <w:r>
                    <w:t>matters:</w:t>
                  </w:r>
                </w:p>
              </w:tc>
              <w:tc>
                <w:tcPr>
                  <w:tcW w:w="2268" w:type="dxa"/>
                </w:tcPr>
                <w:p w:rsidR="00D96622" w:rsidRDefault="008432D8" w:rsidP="00C62653">
                  <w:pPr>
                    <w:pStyle w:val="Box"/>
                  </w:pPr>
                  <w:r>
                    <w:t xml:space="preserve">Yvette </w:t>
                  </w:r>
                  <w:r w:rsidR="006A2083">
                    <w:t>Goss</w:t>
                  </w:r>
                </w:p>
              </w:tc>
              <w:tc>
                <w:tcPr>
                  <w:tcW w:w="2682" w:type="dxa"/>
                </w:tcPr>
                <w:p w:rsidR="00D96622" w:rsidRDefault="00D96622" w:rsidP="006A2083">
                  <w:pPr>
                    <w:pStyle w:val="Box"/>
                  </w:pPr>
                  <w:r>
                    <w:t>Ph:</w:t>
                  </w:r>
                  <w:r w:rsidR="00876D2A">
                    <w:t xml:space="preserve"> </w:t>
                  </w:r>
                  <w:r w:rsidR="006A2083">
                    <w:t>03 9653 2253</w:t>
                  </w:r>
                </w:p>
              </w:tc>
            </w:tr>
            <w:tr w:rsidR="00D96622" w:rsidTr="00C62653">
              <w:tc>
                <w:tcPr>
                  <w:tcW w:w="3522" w:type="dxa"/>
                  <w:tcMar>
                    <w:left w:w="0" w:type="dxa"/>
                  </w:tcMar>
                </w:tcPr>
                <w:p w:rsidR="00D96622" w:rsidRDefault="00D96622" w:rsidP="00C62653">
                  <w:pPr>
                    <w:pStyle w:val="Box"/>
                    <w:spacing w:before="60"/>
                  </w:pPr>
                  <w:r>
                    <w:t>Freecall number for regional areas:</w:t>
                  </w:r>
                </w:p>
              </w:tc>
              <w:tc>
                <w:tcPr>
                  <w:tcW w:w="2268" w:type="dxa"/>
                </w:tcPr>
                <w:p w:rsidR="00D96622" w:rsidRDefault="00D96622" w:rsidP="00C62653">
                  <w:pPr>
                    <w:pStyle w:val="Box"/>
                    <w:spacing w:before="60"/>
                  </w:pPr>
                  <w:r>
                    <w:t>1800 020 083</w:t>
                  </w:r>
                </w:p>
              </w:tc>
              <w:tc>
                <w:tcPr>
                  <w:tcW w:w="2682" w:type="dxa"/>
                </w:tcPr>
                <w:p w:rsidR="00D96622" w:rsidRDefault="00D96622" w:rsidP="00C62653">
                  <w:pPr>
                    <w:pStyle w:val="Box"/>
                    <w:spacing w:before="60"/>
                  </w:pPr>
                </w:p>
              </w:tc>
            </w:tr>
            <w:tr w:rsidR="00D96622" w:rsidTr="00C62653">
              <w:tc>
                <w:tcPr>
                  <w:tcW w:w="3522" w:type="dxa"/>
                  <w:tcMar>
                    <w:left w:w="0" w:type="dxa"/>
                  </w:tcMar>
                </w:tcPr>
                <w:p w:rsidR="00D96622" w:rsidRDefault="00D96622" w:rsidP="00C62653">
                  <w:pPr>
                    <w:pStyle w:val="Box"/>
                    <w:spacing w:before="60"/>
                  </w:pPr>
                  <w:r>
                    <w:t>Website:</w:t>
                  </w:r>
                </w:p>
              </w:tc>
              <w:tc>
                <w:tcPr>
                  <w:tcW w:w="2268" w:type="dxa"/>
                </w:tcPr>
                <w:p w:rsidR="00D96622" w:rsidRPr="009F3E26" w:rsidRDefault="00D96622" w:rsidP="00C62653">
                  <w:pPr>
                    <w:pStyle w:val="Box"/>
                    <w:spacing w:before="60"/>
                    <w:rPr>
                      <w:b/>
                    </w:rPr>
                  </w:pPr>
                  <w:r w:rsidRPr="009F3E26">
                    <w:rPr>
                      <w:b/>
                    </w:rPr>
                    <w:t>www.pc.gov.au</w:t>
                  </w:r>
                </w:p>
              </w:tc>
              <w:tc>
                <w:tcPr>
                  <w:tcW w:w="2682" w:type="dxa"/>
                </w:tcPr>
                <w:p w:rsidR="00D96622" w:rsidRDefault="00D96622" w:rsidP="00C62653">
                  <w:pPr>
                    <w:pStyle w:val="Box"/>
                    <w:spacing w:before="60"/>
                  </w:pPr>
                </w:p>
              </w:tc>
            </w:tr>
          </w:tbl>
          <w:p w:rsidR="00D96622" w:rsidRDefault="00D96622" w:rsidP="00C62653">
            <w:pPr>
              <w:pStyle w:val="Box"/>
            </w:pPr>
          </w:p>
        </w:tc>
      </w:tr>
      <w:tr w:rsidR="00D96622" w:rsidTr="00C62653">
        <w:tc>
          <w:tcPr>
            <w:tcW w:w="8771" w:type="dxa"/>
            <w:tcBorders>
              <w:top w:val="nil"/>
              <w:left w:val="nil"/>
              <w:bottom w:val="single" w:sz="6" w:space="0" w:color="78A22F"/>
              <w:right w:val="nil"/>
            </w:tcBorders>
            <w:shd w:val="clear" w:color="auto" w:fill="F2F2F2" w:themeFill="background1" w:themeFillShade="F2"/>
          </w:tcPr>
          <w:p w:rsidR="00D96622" w:rsidRDefault="00D96622" w:rsidP="00C62653">
            <w:pPr>
              <w:pStyle w:val="Box"/>
              <w:spacing w:before="0" w:line="120" w:lineRule="exact"/>
            </w:pPr>
          </w:p>
        </w:tc>
      </w:tr>
    </w:tbl>
    <w:p w:rsidR="00D96622" w:rsidRDefault="00D96622" w:rsidP="00D9662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96622" w:rsidTr="00C62653">
        <w:trPr>
          <w:tblHeader/>
        </w:trPr>
        <w:tc>
          <w:tcPr>
            <w:tcW w:w="8771" w:type="dxa"/>
            <w:tcBorders>
              <w:top w:val="single" w:sz="6" w:space="0" w:color="78A22F"/>
              <w:left w:val="nil"/>
              <w:bottom w:val="nil"/>
              <w:right w:val="nil"/>
            </w:tcBorders>
            <w:shd w:val="clear" w:color="auto" w:fill="F2F2F2" w:themeFill="background1" w:themeFillShade="F2"/>
          </w:tcPr>
          <w:p w:rsidR="00D96622" w:rsidRPr="008A3857" w:rsidRDefault="00D96622" w:rsidP="00C62653">
            <w:pPr>
              <w:pStyle w:val="BoxTitle"/>
              <w:rPr>
                <w:sz w:val="22"/>
                <w:szCs w:val="22"/>
              </w:rPr>
            </w:pPr>
            <w:r w:rsidRPr="008A3857">
              <w:rPr>
                <w:sz w:val="22"/>
                <w:szCs w:val="22"/>
              </w:rPr>
              <w:t>The Productivity Commission</w:t>
            </w:r>
          </w:p>
        </w:tc>
      </w:tr>
      <w:tr w:rsidR="00D96622" w:rsidTr="00C62653">
        <w:trPr>
          <w:cantSplit/>
        </w:trPr>
        <w:tc>
          <w:tcPr>
            <w:tcW w:w="8771" w:type="dxa"/>
            <w:tcBorders>
              <w:top w:val="nil"/>
              <w:left w:val="nil"/>
              <w:bottom w:val="nil"/>
              <w:right w:val="nil"/>
            </w:tcBorders>
            <w:shd w:val="clear" w:color="auto" w:fill="F2F2F2" w:themeFill="background1" w:themeFillShade="F2"/>
          </w:tcPr>
          <w:p w:rsidR="00D96622" w:rsidRDefault="00D96622" w:rsidP="00C62653">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D96622" w:rsidRDefault="00D96622" w:rsidP="00C62653">
            <w:pPr>
              <w:pStyle w:val="Box"/>
            </w:pPr>
            <w:r w:rsidRPr="00BB5DCF">
              <w:t>The Commission’s independence is underpinned by an Act of Parliament. Its processes and outputs are open to public scrutiny and are driven by concern for the wellbeing of the community as a whole.</w:t>
            </w:r>
          </w:p>
          <w:p w:rsidR="00D96622" w:rsidRDefault="00D96622" w:rsidP="00C62653">
            <w:pPr>
              <w:pStyle w:val="Box"/>
            </w:pPr>
            <w:r w:rsidRPr="00BB5DCF">
              <w:rPr>
                <w:szCs w:val="24"/>
              </w:rPr>
              <w:t>Further information on the Productivity Commission can be obtained from the Commission’s website (www.pc.gov.au)</w:t>
            </w:r>
            <w:r>
              <w:rPr>
                <w:szCs w:val="24"/>
              </w:rPr>
              <w:t>.</w:t>
            </w:r>
          </w:p>
        </w:tc>
      </w:tr>
      <w:tr w:rsidR="00D96622" w:rsidTr="00C62653">
        <w:trPr>
          <w:cantSplit/>
        </w:trPr>
        <w:tc>
          <w:tcPr>
            <w:tcW w:w="8771" w:type="dxa"/>
            <w:tcBorders>
              <w:top w:val="nil"/>
              <w:left w:val="nil"/>
              <w:bottom w:val="single" w:sz="6" w:space="0" w:color="78A22F"/>
              <w:right w:val="nil"/>
            </w:tcBorders>
            <w:shd w:val="clear" w:color="auto" w:fill="F2F2F2" w:themeFill="background1" w:themeFillShade="F2"/>
          </w:tcPr>
          <w:p w:rsidR="00D96622" w:rsidRDefault="00D96622" w:rsidP="00C62653">
            <w:pPr>
              <w:pStyle w:val="Box"/>
              <w:spacing w:before="0" w:line="120" w:lineRule="exact"/>
            </w:pPr>
          </w:p>
        </w:tc>
      </w:tr>
    </w:tbl>
    <w:p w:rsidR="00D96622" w:rsidRDefault="00D96622" w:rsidP="00D96622">
      <w:pPr>
        <w:pStyle w:val="BodyText"/>
      </w:pPr>
    </w:p>
    <w:p w:rsidR="00D96622" w:rsidRPr="00415F39" w:rsidRDefault="00D96622" w:rsidP="00D96622">
      <w:pPr>
        <w:pStyle w:val="BodyText"/>
        <w:sectPr w:rsidR="00D96622" w:rsidRPr="00415F39" w:rsidSect="00D96622">
          <w:headerReference w:type="even" r:id="rId8"/>
          <w:headerReference w:type="default" r:id="rId9"/>
          <w:footerReference w:type="even" r:id="rId10"/>
          <w:footerReference w:type="default" r:id="rId11"/>
          <w:headerReference w:type="first" r:id="rId12"/>
          <w:footerReference w:type="first" r:id="rId13"/>
          <w:pgSz w:w="11907" w:h="16840" w:code="9"/>
          <w:pgMar w:top="1560" w:right="1304" w:bottom="851" w:left="1814" w:header="1276" w:footer="397" w:gutter="0"/>
          <w:pgNumType w:fmt="lowerRoman" w:chapSep="period"/>
          <w:cols w:space="720"/>
          <w:titlePg/>
        </w:sectPr>
      </w:pPr>
    </w:p>
    <w:p w:rsidR="00D96622" w:rsidRDefault="00D96622" w:rsidP="00D96622">
      <w:pPr>
        <w:pStyle w:val="Heading2"/>
      </w:pPr>
      <w:bookmarkStart w:id="1" w:name="_Toc519846116"/>
      <w:r>
        <w:lastRenderedPageBreak/>
        <w:t>Terms of reference</w:t>
      </w:r>
      <w:bookmarkEnd w:id="1"/>
    </w:p>
    <w:p w:rsidR="00693650" w:rsidRPr="006A2083" w:rsidRDefault="00693650" w:rsidP="006A2083">
      <w:pPr>
        <w:pStyle w:val="BodyText"/>
      </w:pPr>
      <w:r w:rsidRPr="006A2083">
        <w:t xml:space="preserve">I, Scott Morrison, Treasurer, pursuant to Parts 2 and 4 of the </w:t>
      </w:r>
      <w:r w:rsidRPr="00AE1E3B">
        <w:rPr>
          <w:i/>
        </w:rPr>
        <w:t>Productivity Commission Act 1998</w:t>
      </w:r>
      <w:r w:rsidRPr="006A2083">
        <w:t>, hereby request that the Commission undertake a review into the National Disability Agreement (NDA).</w:t>
      </w:r>
    </w:p>
    <w:p w:rsidR="00693650" w:rsidRPr="00570D3E" w:rsidRDefault="00693650" w:rsidP="006A2083">
      <w:pPr>
        <w:pStyle w:val="Heading3"/>
        <w:rPr>
          <w:rFonts w:ascii="Times New Roman" w:hAnsi="Times New Roman"/>
          <w:b w:val="0"/>
          <w:sz w:val="22"/>
          <w:szCs w:val="22"/>
        </w:rPr>
      </w:pPr>
      <w:r w:rsidRPr="00570D3E">
        <w:t>Background</w:t>
      </w:r>
    </w:p>
    <w:p w:rsidR="00693650" w:rsidRPr="00570D3E" w:rsidRDefault="00693650" w:rsidP="006A2083">
      <w:pPr>
        <w:pStyle w:val="BodyText"/>
        <w:rPr>
          <w:lang w:val="en"/>
        </w:rPr>
      </w:pPr>
      <w:r w:rsidRPr="00570D3E">
        <w:t>T</w:t>
      </w:r>
      <w:r w:rsidRPr="00570D3E">
        <w:rPr>
          <w:lang w:val="en"/>
        </w:rPr>
        <w:t>he NDA is a high</w:t>
      </w:r>
      <w:r w:rsidR="00CF75FC">
        <w:rPr>
          <w:lang w:val="en"/>
        </w:rPr>
        <w:noBreakHyphen/>
      </w:r>
      <w:r w:rsidRPr="00570D3E">
        <w:rPr>
          <w:lang w:val="en"/>
        </w:rPr>
        <w:t>level agreement between the Commonwealth and state and territory governments relating to the provision of disability services for people with disability. It is a key accountability mechanism for the achievement of outcomes in the disability services sector, supported by Commonwealth and state own source funding provided separate to the agreement. It contains roles and responsibilities for each level of government and joins these efforts together through nationally agreed objectives and outcomes to measure performance in the delivery of services to people with disability, their families and carers.</w:t>
      </w:r>
    </w:p>
    <w:p w:rsidR="00693650" w:rsidRPr="00570D3E" w:rsidRDefault="00693650" w:rsidP="006A2083">
      <w:pPr>
        <w:pStyle w:val="Heading3"/>
        <w:rPr>
          <w:rFonts w:ascii="Times New Roman" w:hAnsi="Times New Roman"/>
          <w:b w:val="0"/>
          <w:sz w:val="22"/>
          <w:szCs w:val="22"/>
        </w:rPr>
      </w:pPr>
      <w:r w:rsidRPr="00570D3E">
        <w:t xml:space="preserve">Scope </w:t>
      </w:r>
    </w:p>
    <w:p w:rsidR="00693650" w:rsidRPr="00570D3E" w:rsidRDefault="00693650" w:rsidP="006A2083">
      <w:pPr>
        <w:pStyle w:val="BodyText"/>
        <w:rPr>
          <w:sz w:val="22"/>
          <w:szCs w:val="22"/>
        </w:rPr>
      </w:pPr>
      <w:r w:rsidRPr="00570D3E">
        <w:t>The intent of this review is to consider:</w:t>
      </w:r>
    </w:p>
    <w:p w:rsidR="00693650" w:rsidRPr="00570D3E" w:rsidRDefault="00693650" w:rsidP="006A2083">
      <w:pPr>
        <w:pStyle w:val="ListBullet"/>
        <w:rPr>
          <w:sz w:val="22"/>
          <w:szCs w:val="22"/>
        </w:rPr>
      </w:pPr>
      <w:bookmarkStart w:id="2" w:name="tempbookmark"/>
      <w:bookmarkEnd w:id="2"/>
      <w:r w:rsidRPr="00570D3E">
        <w:t>the relevance of the objectives, outcomes and outputs of the NDA in the context of contemporary policy settings;</w:t>
      </w:r>
    </w:p>
    <w:p w:rsidR="00693650" w:rsidRPr="00570D3E" w:rsidRDefault="00693650" w:rsidP="006A2083">
      <w:pPr>
        <w:pStyle w:val="ListBullet"/>
        <w:rPr>
          <w:sz w:val="22"/>
          <w:szCs w:val="22"/>
        </w:rPr>
      </w:pPr>
      <w:r w:rsidRPr="00570D3E">
        <w:t>progress against the performance framework of the NDA and the extent to which it has supported improved outcomes for people with disability, their families and carers including performance benchmarks and indicators, and associated timeframes and reporting responsibilities;</w:t>
      </w:r>
    </w:p>
    <w:p w:rsidR="00693650" w:rsidRPr="00570D3E" w:rsidRDefault="00693650" w:rsidP="006A2083">
      <w:pPr>
        <w:pStyle w:val="ListBullet"/>
        <w:rPr>
          <w:sz w:val="22"/>
          <w:szCs w:val="22"/>
        </w:rPr>
      </w:pPr>
      <w:r w:rsidRPr="00570D3E">
        <w:t>the roles and responsibilities of the Commonwealth, and state and territory governments under the NDA; and</w:t>
      </w:r>
    </w:p>
    <w:p w:rsidR="00693650" w:rsidRPr="00570D3E" w:rsidRDefault="00693650" w:rsidP="006A2083">
      <w:pPr>
        <w:pStyle w:val="ListBullet"/>
        <w:rPr>
          <w:sz w:val="22"/>
          <w:szCs w:val="22"/>
        </w:rPr>
      </w:pPr>
      <w:r w:rsidRPr="00570D3E">
        <w:t>whether the NDA needs updating in light of these considerations, to reflect the changing policy landscape, including the introduction of the National Disability Insurance Scheme (NDIS) and the National Disability Strategy (NDS).</w:t>
      </w:r>
    </w:p>
    <w:p w:rsidR="00693650" w:rsidRPr="00570D3E" w:rsidRDefault="00693650" w:rsidP="006A2083">
      <w:pPr>
        <w:pStyle w:val="BodyText"/>
        <w:rPr>
          <w:sz w:val="22"/>
          <w:szCs w:val="22"/>
        </w:rPr>
      </w:pPr>
      <w:r w:rsidRPr="00570D3E">
        <w:t>In undertaking this review, the Commission should have regard to:</w:t>
      </w:r>
    </w:p>
    <w:p w:rsidR="00693650" w:rsidRPr="00570D3E" w:rsidRDefault="00693650" w:rsidP="006A2083">
      <w:pPr>
        <w:pStyle w:val="ListBullet"/>
        <w:rPr>
          <w:sz w:val="22"/>
          <w:szCs w:val="22"/>
        </w:rPr>
      </w:pPr>
      <w:r w:rsidRPr="00570D3E">
        <w:t>Current reform priorities including:</w:t>
      </w:r>
    </w:p>
    <w:p w:rsidR="00693650" w:rsidRPr="00570D3E" w:rsidRDefault="00693650" w:rsidP="008D6F93">
      <w:pPr>
        <w:pStyle w:val="ListBullet2"/>
        <w:rPr>
          <w:sz w:val="22"/>
          <w:szCs w:val="22"/>
        </w:rPr>
      </w:pPr>
      <w:r w:rsidRPr="00570D3E">
        <w:t>the NDIS rollout including the progressive transition of disability services to full</w:t>
      </w:r>
      <w:r w:rsidR="00CF75FC">
        <w:noBreakHyphen/>
      </w:r>
      <w:r w:rsidRPr="00570D3E">
        <w:t>scheme arrangements (noting that not all jurisdictions are at the same point in transition); and</w:t>
      </w:r>
    </w:p>
    <w:p w:rsidR="00693650" w:rsidRPr="00570D3E" w:rsidRDefault="00693650" w:rsidP="006A2083">
      <w:pPr>
        <w:pStyle w:val="ListBullet2"/>
        <w:rPr>
          <w:sz w:val="22"/>
          <w:szCs w:val="22"/>
        </w:rPr>
      </w:pPr>
      <w:r w:rsidRPr="00570D3E">
        <w:t>implementation of the NDS.</w:t>
      </w:r>
    </w:p>
    <w:p w:rsidR="00693650" w:rsidRPr="00570D3E" w:rsidRDefault="00693650" w:rsidP="006A2083">
      <w:pPr>
        <w:pStyle w:val="ListBullet"/>
        <w:rPr>
          <w:sz w:val="22"/>
          <w:szCs w:val="22"/>
        </w:rPr>
      </w:pPr>
      <w:r w:rsidRPr="00570D3E">
        <w:t>The interface between the NDIS and mainstream service systems, noting that many people who are unable to directly access the NDIS may access support through alternative service providers, mainstream services, and their communities.</w:t>
      </w:r>
    </w:p>
    <w:p w:rsidR="00693650" w:rsidRPr="00570D3E" w:rsidRDefault="00693650" w:rsidP="006A2083">
      <w:pPr>
        <w:pStyle w:val="ListBullet"/>
        <w:rPr>
          <w:sz w:val="22"/>
          <w:szCs w:val="22"/>
        </w:rPr>
      </w:pPr>
      <w:r w:rsidRPr="00570D3E">
        <w:t>Responsibility for ensuring that people with disability have access to government services, provided by the Commonwealth and state and territory governments, together with development of agreed performance measures.</w:t>
      </w:r>
    </w:p>
    <w:p w:rsidR="00693650" w:rsidRPr="00570D3E" w:rsidRDefault="00693650" w:rsidP="006A2083">
      <w:pPr>
        <w:pStyle w:val="Heading3"/>
        <w:rPr>
          <w:rFonts w:ascii="Times New Roman" w:hAnsi="Times New Roman"/>
          <w:b w:val="0"/>
          <w:sz w:val="22"/>
          <w:szCs w:val="22"/>
        </w:rPr>
      </w:pPr>
      <w:r w:rsidRPr="00570D3E">
        <w:t>Process</w:t>
      </w:r>
    </w:p>
    <w:p w:rsidR="00693650" w:rsidRPr="006A2083" w:rsidRDefault="00693650" w:rsidP="006A2083">
      <w:pPr>
        <w:pStyle w:val="BodyText"/>
      </w:pPr>
      <w:r w:rsidRPr="006A2083">
        <w:t>The Commission is to consult broadly, including with people with disability, their families and carers, other stakeholders and the Commonwealth and state and territory governments, and report within eight months of receipt of the terms of reference.</w:t>
      </w:r>
    </w:p>
    <w:p w:rsidR="00693650" w:rsidRPr="006A2083" w:rsidRDefault="00693650" w:rsidP="00E645A4">
      <w:pPr>
        <w:pStyle w:val="BodyText"/>
        <w:spacing w:before="360"/>
        <w:jc w:val="left"/>
        <w:rPr>
          <w:b/>
        </w:rPr>
      </w:pPr>
      <w:r w:rsidRPr="006A2083">
        <w:rPr>
          <w:b/>
        </w:rPr>
        <w:t>The Hon Scott Morrison MP</w:t>
      </w:r>
      <w:r w:rsidRPr="006A2083">
        <w:rPr>
          <w:b/>
        </w:rPr>
        <w:br/>
        <w:t>Treasurer</w:t>
      </w:r>
    </w:p>
    <w:p w:rsidR="00D96622" w:rsidRDefault="00693650" w:rsidP="00693650">
      <w:r w:rsidRPr="00E645A4">
        <w:t>[Received 25 May 2018]</w:t>
      </w:r>
    </w:p>
    <w:p w:rsidR="00A32202" w:rsidRPr="00AC6836" w:rsidRDefault="00A32202" w:rsidP="00693650">
      <w:pPr>
        <w:sectPr w:rsidR="00A32202" w:rsidRPr="00AC6836" w:rsidSect="00C62653">
          <w:headerReference w:type="even" r:id="rId14"/>
          <w:headerReference w:type="default" r:id="rId15"/>
          <w:footerReference w:type="even" r:id="rId16"/>
          <w:footerReference w:type="default" r:id="rId17"/>
          <w:type w:val="continuous"/>
          <w:pgSz w:w="11907" w:h="16840" w:code="9"/>
          <w:pgMar w:top="1985" w:right="1304" w:bottom="1247" w:left="1814" w:header="1701" w:footer="397" w:gutter="0"/>
          <w:pgNumType w:fmt="lowerRoman" w:start="3" w:chapSep="period"/>
          <w:cols w:space="720"/>
        </w:sectPr>
      </w:pPr>
    </w:p>
    <w:p w:rsidR="00A32202" w:rsidRDefault="00A32202" w:rsidP="00DC7CC7">
      <w:pPr>
        <w:pStyle w:val="Heading2"/>
        <w:spacing w:after="360"/>
      </w:pPr>
      <w:bookmarkStart w:id="3" w:name="_Toc519846067"/>
      <w:bookmarkStart w:id="4" w:name="_Toc519846117"/>
      <w:r w:rsidRPr="003934A9">
        <w:t>Contents</w:t>
      </w:r>
      <w:bookmarkEnd w:id="3"/>
      <w:bookmarkEnd w:id="4"/>
    </w:p>
    <w:p w:rsidR="00DC7CC7" w:rsidRDefault="00DC7CC7" w:rsidP="00886FD5">
      <w:pPr>
        <w:pStyle w:val="TOC1"/>
        <w:spacing w:before="720"/>
      </w:pPr>
      <w:r>
        <w:t>Terms of reference</w:t>
      </w:r>
      <w:r>
        <w:tab/>
        <w:t>iii</w:t>
      </w:r>
    </w:p>
    <w:p w:rsidR="00DC7CC7" w:rsidRDefault="00DC7CC7" w:rsidP="00DC7CC7">
      <w:pPr>
        <w:pStyle w:val="TOC1"/>
      </w:pPr>
      <w:r>
        <w:t>1</w:t>
      </w:r>
      <w:r>
        <w:tab/>
        <w:t>How you can contribute to this study</w:t>
      </w:r>
      <w:r>
        <w:tab/>
        <w:t>2</w:t>
      </w:r>
    </w:p>
    <w:p w:rsidR="00DC7CC7" w:rsidRDefault="00DC7CC7" w:rsidP="00DC7CC7">
      <w:pPr>
        <w:pStyle w:val="TOC1"/>
      </w:pPr>
      <w:r>
        <w:t>2</w:t>
      </w:r>
      <w:r>
        <w:tab/>
        <w:t>Background to the study</w:t>
      </w:r>
      <w:r>
        <w:tab/>
        <w:t>2</w:t>
      </w:r>
    </w:p>
    <w:p w:rsidR="00DC7CC7" w:rsidRDefault="00DC7CC7" w:rsidP="00DC7CC7">
      <w:pPr>
        <w:pStyle w:val="TOC1"/>
      </w:pPr>
      <w:r>
        <w:t>3</w:t>
      </w:r>
      <w:r>
        <w:tab/>
        <w:t>The Commission’s task and approach</w:t>
      </w:r>
      <w:r>
        <w:tab/>
        <w:t>6</w:t>
      </w:r>
    </w:p>
    <w:p w:rsidR="00DC7CC7" w:rsidRDefault="00DC7CC7" w:rsidP="00DC7CC7">
      <w:pPr>
        <w:pStyle w:val="TOC1"/>
      </w:pPr>
      <w:r>
        <w:t>4</w:t>
      </w:r>
      <w:r>
        <w:tab/>
        <w:t>Assessing the National Disability Agreement</w:t>
      </w:r>
      <w:r>
        <w:tab/>
        <w:t>8</w:t>
      </w:r>
    </w:p>
    <w:p w:rsidR="00DC7CC7" w:rsidRDefault="00DC7CC7" w:rsidP="00DC7CC7">
      <w:pPr>
        <w:pStyle w:val="TOC1"/>
      </w:pPr>
      <w:r>
        <w:t>References</w:t>
      </w:r>
      <w:r>
        <w:tab/>
        <w:t>21</w:t>
      </w:r>
    </w:p>
    <w:p w:rsidR="00F54F29" w:rsidRDefault="00886FD5" w:rsidP="00DC7CC7">
      <w:pPr>
        <w:pStyle w:val="TOC1"/>
      </w:pPr>
      <w:r>
        <w:t xml:space="preserve">Attachment </w:t>
      </w:r>
      <w:r w:rsidR="00DC7CC7">
        <w:t>A: How to make a submission</w:t>
      </w:r>
      <w:r w:rsidR="00DC7CC7">
        <w:tab/>
        <w:t>22</w:t>
      </w:r>
    </w:p>
    <w:p w:rsidR="00A32202" w:rsidRDefault="00A32202" w:rsidP="00A32202">
      <w:pPr>
        <w:pStyle w:val="BodyText"/>
        <w:rPr>
          <w:rFonts w:ascii="Arial" w:hAnsi="Arial"/>
          <w:sz w:val="32"/>
        </w:rPr>
      </w:pPr>
      <w:r>
        <w:br w:type="page"/>
      </w:r>
    </w:p>
    <w:p w:rsidR="004642DE" w:rsidRDefault="00B909A6" w:rsidP="00F55A78">
      <w:pPr>
        <w:pStyle w:val="Heading2"/>
      </w:pPr>
      <w:bookmarkStart w:id="5" w:name="_Toc519846118"/>
      <w:r>
        <w:rPr>
          <w:noProof/>
        </w:rPr>
        <w:t>1</w:t>
      </w:r>
      <w:r w:rsidR="004642DE">
        <w:tab/>
        <w:t>How you can contribute to this study</w:t>
      </w:r>
      <w:bookmarkEnd w:id="5"/>
    </w:p>
    <w:p w:rsidR="00635105" w:rsidRPr="00E35C37" w:rsidRDefault="00635105" w:rsidP="00635105">
      <w:pPr>
        <w:pStyle w:val="BodyText"/>
      </w:pPr>
      <w:r w:rsidRPr="004F7799">
        <w:t xml:space="preserve">This issues paper is intended to assist you </w:t>
      </w:r>
      <w:r w:rsidRPr="00E35C37">
        <w:t xml:space="preserve">to prepare a submission to this study. It sets out some of the issues and questions the Commission has identified as relevant at this early stage of the </w:t>
      </w:r>
      <w:r>
        <w:t>study</w:t>
      </w:r>
      <w:r w:rsidRPr="00E35C37">
        <w:t>. You do not need to comment on every issue raised in this paper and you are free to raise any other issues or ideas that are relevant to the terms of reference. Attachment</w:t>
      </w:r>
      <w:r w:rsidR="00AE1E3B">
        <w:t> </w:t>
      </w:r>
      <w:r w:rsidRPr="00E35C37">
        <w:t>A provides further details on how you can make a submission or brief comment.</w:t>
      </w:r>
    </w:p>
    <w:p w:rsidR="00635105" w:rsidRPr="00D05107" w:rsidRDefault="00635105" w:rsidP="00635105">
      <w:pPr>
        <w:pStyle w:val="BodyText"/>
        <w:rPr>
          <w:b/>
        </w:rPr>
      </w:pPr>
      <w:r w:rsidRPr="00D05107">
        <w:rPr>
          <w:b/>
        </w:rPr>
        <w:t>Submissions should be provided to the Commission by 24</w:t>
      </w:r>
      <w:r w:rsidR="00CF75FC">
        <w:rPr>
          <w:b/>
        </w:rPr>
        <w:t> </w:t>
      </w:r>
      <w:r w:rsidRPr="00D05107">
        <w:rPr>
          <w:b/>
        </w:rPr>
        <w:t>August 2018.</w:t>
      </w:r>
    </w:p>
    <w:p w:rsidR="00635105" w:rsidRPr="007C5B7E" w:rsidRDefault="00635105" w:rsidP="00635105">
      <w:pPr>
        <w:pStyle w:val="BodyText"/>
      </w:pPr>
      <w:r>
        <w:t>The Commission will consult with interested parties throughout this study, and there will be further opportunity for stakeholders to provide feedback on the review as well as the Commission’s preliminary thinking through roundtable discussions. The final report will be submitted to the Australian Government by 25</w:t>
      </w:r>
      <w:r w:rsidR="00CF75FC">
        <w:t> </w:t>
      </w:r>
      <w:r>
        <w:t xml:space="preserve">January </w:t>
      </w:r>
      <w:r w:rsidRPr="00FF6F7F">
        <w:t>2019.</w:t>
      </w:r>
      <w:r>
        <w:t xml:space="preserve"> </w:t>
      </w:r>
    </w:p>
    <w:p w:rsidR="00D96622" w:rsidRDefault="00B909A6" w:rsidP="00C27852">
      <w:pPr>
        <w:pStyle w:val="Heading2"/>
      </w:pPr>
      <w:bookmarkStart w:id="6" w:name="_Toc519846119"/>
      <w:r>
        <w:rPr>
          <w:noProof/>
        </w:rPr>
        <w:t>2</w:t>
      </w:r>
      <w:r w:rsidR="00A32202">
        <w:tab/>
        <w:t>Background to the s</w:t>
      </w:r>
      <w:r w:rsidR="00C27852">
        <w:t>tudy</w:t>
      </w:r>
      <w:bookmarkEnd w:id="6"/>
    </w:p>
    <w:p w:rsidR="00F61EAD" w:rsidRDefault="007D6407" w:rsidP="00F61EAD">
      <w:pPr>
        <w:pStyle w:val="BodyText"/>
      </w:pPr>
      <w:r>
        <w:t>In t</w:t>
      </w:r>
      <w:r w:rsidR="00F61EAD">
        <w:t>he 2017</w:t>
      </w:r>
      <w:r w:rsidR="00CF75FC">
        <w:noBreakHyphen/>
      </w:r>
      <w:r w:rsidR="00F61EAD">
        <w:t>18 Budget</w:t>
      </w:r>
      <w:r>
        <w:t>, the Commonwealth</w:t>
      </w:r>
      <w:r w:rsidR="00F61EAD">
        <w:t xml:space="preserve"> announced funding for the </w:t>
      </w:r>
      <w:r>
        <w:t xml:space="preserve">Productivity </w:t>
      </w:r>
      <w:r w:rsidR="00F61EAD">
        <w:t>Commission to undertake ‘independent reviews of nationally significant sector</w:t>
      </w:r>
      <w:r w:rsidR="00CF75FC">
        <w:noBreakHyphen/>
      </w:r>
      <w:r w:rsidR="00F61EAD">
        <w:t>wide agreements with the States and Territories’</w:t>
      </w:r>
      <w:r>
        <w:t>, and to operate the COAG performance dashboard which tracks progress against outcomes specified in the national agreements</w:t>
      </w:r>
      <w:r w:rsidR="005C6015">
        <w:t xml:space="preserve"> </w:t>
      </w:r>
      <w:r w:rsidR="005C6015" w:rsidRPr="005C6015">
        <w:rPr>
          <w:szCs w:val="24"/>
        </w:rPr>
        <w:t>(Commonwealth of Australia 2017, p. 169)</w:t>
      </w:r>
      <w:r>
        <w:t>.</w:t>
      </w:r>
    </w:p>
    <w:p w:rsidR="003A4E32" w:rsidRDefault="00F61EAD" w:rsidP="003A4E32">
      <w:pPr>
        <w:pStyle w:val="BodyText"/>
      </w:pPr>
      <w:r>
        <w:t>There are currently six national agreements covering health, education, disability services, skills and workforce development, affordable housing and Indigenous reform sectors</w:t>
      </w:r>
      <w:r w:rsidR="00BB35D5">
        <w:t xml:space="preserve">. </w:t>
      </w:r>
      <w:r w:rsidR="003A4E32">
        <w:t>T</w:t>
      </w:r>
      <w:r w:rsidR="003A4E32" w:rsidRPr="00C92B24">
        <w:t>he</w:t>
      </w:r>
      <w:r w:rsidR="003A4E32">
        <w:t xml:space="preserve"> national agreements were established under the</w:t>
      </w:r>
      <w:r w:rsidR="003A4E32" w:rsidRPr="00C92B24">
        <w:t> </w:t>
      </w:r>
      <w:r w:rsidR="003A4E32" w:rsidRPr="003A4E32">
        <w:rPr>
          <w:i/>
        </w:rPr>
        <w:t>Intergovernmental Agreement on Federal Financial Relations</w:t>
      </w:r>
      <w:r w:rsidR="003A4E32" w:rsidRPr="00C92B24">
        <w:t> (IGA FFR)</w:t>
      </w:r>
      <w:r w:rsidR="009B01BA">
        <w:t xml:space="preserve"> (</w:t>
      </w:r>
      <w:r w:rsidR="003A4E32" w:rsidRPr="00C92B24">
        <w:t>2008</w:t>
      </w:r>
      <w:r w:rsidR="009B01BA">
        <w:t xml:space="preserve">), which </w:t>
      </w:r>
      <w:r w:rsidR="003A4E32" w:rsidRPr="00073AD0">
        <w:t xml:space="preserve">recognises that the </w:t>
      </w:r>
      <w:r w:rsidR="009B01BA">
        <w:t>S</w:t>
      </w:r>
      <w:r w:rsidR="003A4E32" w:rsidRPr="00073AD0">
        <w:t xml:space="preserve">tates have primary responsibility for many areas of service delivery but that coordinated action </w:t>
      </w:r>
      <w:r w:rsidR="005B1C06">
        <w:t xml:space="preserve">with the Commonwealth </w:t>
      </w:r>
      <w:r w:rsidR="003A4E32" w:rsidRPr="00073AD0">
        <w:t>is necessary to respond to Australia’s economic and social challenges.</w:t>
      </w:r>
      <w:r w:rsidR="003A4E32">
        <w:t xml:space="preserve"> </w:t>
      </w:r>
    </w:p>
    <w:p w:rsidR="00F61EAD" w:rsidDel="00E77781" w:rsidRDefault="00F61EAD" w:rsidP="00F61EAD">
      <w:pPr>
        <w:pStyle w:val="BodyText"/>
      </w:pPr>
      <w:r w:rsidDel="00E77781">
        <w:t xml:space="preserve">The </w:t>
      </w:r>
      <w:r w:rsidRPr="00B77DAA" w:rsidDel="00E77781">
        <w:rPr>
          <w:i/>
        </w:rPr>
        <w:t>National Disability Agreement</w:t>
      </w:r>
      <w:r w:rsidDel="00E77781">
        <w:t xml:space="preserve"> (NDA) is the first of the national agreements </w:t>
      </w:r>
      <w:r w:rsidR="00BC156F" w:rsidDel="00E77781">
        <w:t xml:space="preserve">the </w:t>
      </w:r>
      <w:r w:rsidDel="00E77781">
        <w:t>Commission</w:t>
      </w:r>
      <w:r w:rsidR="00BC156F" w:rsidDel="00E77781">
        <w:t xml:space="preserve"> has been asked to review</w:t>
      </w:r>
      <w:r w:rsidDel="00E77781">
        <w:t>.</w:t>
      </w:r>
    </w:p>
    <w:p w:rsidR="009C592E" w:rsidRDefault="009B01BA" w:rsidP="00691E40">
      <w:pPr>
        <w:pStyle w:val="Heading3"/>
      </w:pPr>
      <w:r>
        <w:t>About t</w:t>
      </w:r>
      <w:r w:rsidR="009C592E">
        <w:t>he National Disability Agreement</w:t>
      </w:r>
    </w:p>
    <w:p w:rsidR="009B01BA" w:rsidRDefault="00F61EAD" w:rsidP="00F61EAD">
      <w:pPr>
        <w:pStyle w:val="BodyText"/>
      </w:pPr>
      <w:r>
        <w:t>The NDA is a high level agreement between the Commonwealth and State and Territory Governments, signed by all Australian Governments in 2008 (with a 2009 commencement)</w:t>
      </w:r>
      <w:r w:rsidR="00456218">
        <w:t xml:space="preserve"> and then updated in 2012</w:t>
      </w:r>
      <w:r>
        <w:t xml:space="preserve">. </w:t>
      </w:r>
      <w:r w:rsidR="002F350C">
        <w:t>It spans many aspects of disability policy, service provision, performance assessment</w:t>
      </w:r>
      <w:r w:rsidR="002F350C" w:rsidRPr="002455CA">
        <w:t xml:space="preserve"> </w:t>
      </w:r>
      <w:r w:rsidR="002F350C">
        <w:t xml:space="preserve">and reporting. </w:t>
      </w:r>
    </w:p>
    <w:p w:rsidR="009B01BA" w:rsidRDefault="009C592E" w:rsidP="00EF0DF4">
      <w:pPr>
        <w:pStyle w:val="BodyText"/>
        <w:keepNext/>
      </w:pPr>
      <w:r>
        <w:t>The key elements of the NDA (</w:t>
      </w:r>
      <w:r w:rsidR="00C91DB3">
        <w:t xml:space="preserve">which </w:t>
      </w:r>
      <w:r>
        <w:t xml:space="preserve">are </w:t>
      </w:r>
      <w:r w:rsidR="003C1D88">
        <w:t xml:space="preserve">largely </w:t>
      </w:r>
      <w:r>
        <w:t>the same across all national agreements)</w:t>
      </w:r>
      <w:r w:rsidR="00815160">
        <w:t>, set out</w:t>
      </w:r>
      <w:r w:rsidR="006C6205">
        <w:t>:</w:t>
      </w:r>
      <w:r>
        <w:t xml:space="preserve"> </w:t>
      </w:r>
    </w:p>
    <w:p w:rsidR="009B01BA" w:rsidRDefault="006C6205" w:rsidP="009D3339">
      <w:pPr>
        <w:pStyle w:val="ListBullet"/>
      </w:pPr>
      <w:r>
        <w:t>n</w:t>
      </w:r>
      <w:r w:rsidR="00AB1CD1">
        <w:t xml:space="preserve">ationally agreed objectives, </w:t>
      </w:r>
      <w:r w:rsidR="00F61EAD">
        <w:t xml:space="preserve">outcomes </w:t>
      </w:r>
      <w:r w:rsidR="00AB1CD1">
        <w:t xml:space="preserve">and outputs </w:t>
      </w:r>
      <w:r w:rsidR="00F61EAD">
        <w:t>for people with disability, their families and carers</w:t>
      </w:r>
    </w:p>
    <w:p w:rsidR="009B01BA" w:rsidRDefault="006C6205" w:rsidP="009D3339">
      <w:pPr>
        <w:pStyle w:val="ListBullet"/>
      </w:pPr>
      <w:r>
        <w:t>r</w:t>
      </w:r>
      <w:r w:rsidR="00F61EAD">
        <w:t>oles and responsibilities of each level of government in the provision and funding of disability services</w:t>
      </w:r>
    </w:p>
    <w:p w:rsidR="009B01BA" w:rsidRDefault="006C6205" w:rsidP="009D3339">
      <w:pPr>
        <w:pStyle w:val="ListBullet"/>
      </w:pPr>
      <w:r>
        <w:t>p</w:t>
      </w:r>
      <w:r w:rsidR="00F61EAD">
        <w:t>erformance indicators and benchmarks</w:t>
      </w:r>
      <w:r w:rsidR="0047181E">
        <w:t xml:space="preserve"> that can be used to track progress towards the </w:t>
      </w:r>
      <w:r w:rsidR="00AB1CD1">
        <w:t xml:space="preserve">stated objective, </w:t>
      </w:r>
      <w:r w:rsidR="0047181E">
        <w:t>outcomes</w:t>
      </w:r>
      <w:r w:rsidR="00AB1CD1">
        <w:t xml:space="preserve"> and outputs</w:t>
      </w:r>
    </w:p>
    <w:p w:rsidR="006C5384" w:rsidRDefault="006C6205" w:rsidP="009D3339">
      <w:pPr>
        <w:pStyle w:val="ListBullet"/>
      </w:pPr>
      <w:r>
        <w:t>a</w:t>
      </w:r>
      <w:r w:rsidR="00F61EAD">
        <w:t>greed areas of reform and policy directions.</w:t>
      </w:r>
    </w:p>
    <w:p w:rsidR="00AB1CD1" w:rsidRDefault="00D05107" w:rsidP="006C5384">
      <w:pPr>
        <w:pStyle w:val="BodyText"/>
      </w:pPr>
      <w:r>
        <w:t>Each of t</w:t>
      </w:r>
      <w:r w:rsidR="00F66792">
        <w:t xml:space="preserve">hese elements are covered in greater detail in the remainder of this </w:t>
      </w:r>
      <w:r w:rsidR="00174758">
        <w:t>i</w:t>
      </w:r>
      <w:r w:rsidR="00F66792">
        <w:t xml:space="preserve">ssues </w:t>
      </w:r>
      <w:r w:rsidR="00174758">
        <w:t>p</w:t>
      </w:r>
      <w:r w:rsidR="00F66792">
        <w:t>aper</w:t>
      </w:r>
      <w:r w:rsidR="006C5384">
        <w:t>.</w:t>
      </w:r>
    </w:p>
    <w:p w:rsidR="009B01BA" w:rsidRDefault="009B01BA" w:rsidP="009D3339">
      <w:pPr>
        <w:pStyle w:val="Heading3"/>
      </w:pPr>
      <w:r>
        <w:t>The broader policy landscape</w:t>
      </w:r>
    </w:p>
    <w:p w:rsidR="00EF0DF4" w:rsidRDefault="00D91631" w:rsidP="00DC4174">
      <w:pPr>
        <w:pStyle w:val="BodyText"/>
      </w:pPr>
      <w:r>
        <w:t xml:space="preserve">The NDA is </w:t>
      </w:r>
      <w:r w:rsidR="00C159E1">
        <w:t xml:space="preserve">part of a broader set of </w:t>
      </w:r>
      <w:r w:rsidR="00607AF0">
        <w:t xml:space="preserve">policies and </w:t>
      </w:r>
      <w:r w:rsidR="00C159E1">
        <w:t>agreements that seek to enhance the quality of life of people with disability, their families, and carers</w:t>
      </w:r>
      <w:r w:rsidR="0047181E">
        <w:t xml:space="preserve"> (</w:t>
      </w:r>
      <w:r w:rsidR="00CF75FC">
        <w:t>f</w:t>
      </w:r>
      <w:r w:rsidR="0047181E">
        <w:t>igure</w:t>
      </w:r>
      <w:r w:rsidR="00CF75FC">
        <w:t> </w:t>
      </w:r>
      <w:r w:rsidR="00D34303">
        <w:t>1</w:t>
      </w:r>
      <w:r>
        <w:t>).</w:t>
      </w:r>
    </w:p>
    <w:p w:rsidR="00EF0DF4" w:rsidRDefault="00EF0DF4" w:rsidP="00EF0DF4">
      <w:pPr>
        <w:pStyle w:val="BodyText"/>
      </w:pPr>
      <w:r>
        <w:t xml:space="preserve">This broader policy landscape </w:t>
      </w:r>
      <w:r w:rsidRPr="008E3C97">
        <w:t>has undergone significant change</w:t>
      </w:r>
      <w:r>
        <w:t xml:space="preserve"> in recent years. The most notable developments </w:t>
      </w:r>
      <w:r w:rsidR="00B77184">
        <w:t>include</w:t>
      </w:r>
      <w:r>
        <w:t xml:space="preserve"> </w:t>
      </w:r>
      <w:r w:rsidRPr="008E3C97">
        <w:t xml:space="preserve">the endorsement </w:t>
      </w:r>
      <w:r>
        <w:t xml:space="preserve">by the Commonwealth and State and Territory Governments, and the Australian Local Government Association, </w:t>
      </w:r>
      <w:r w:rsidRPr="008E3C97">
        <w:t xml:space="preserve">of </w:t>
      </w:r>
      <w:r>
        <w:t xml:space="preserve">the </w:t>
      </w:r>
      <w:r w:rsidRPr="008E3C97">
        <w:t>National Disability Strategy</w:t>
      </w:r>
      <w:r>
        <w:t xml:space="preserve"> </w:t>
      </w:r>
      <w:r w:rsidRPr="008E3C97">
        <w:t>2010–2020</w:t>
      </w:r>
      <w:r>
        <w:t xml:space="preserve"> (NDS)</w:t>
      </w:r>
      <w:r w:rsidRPr="008E3C97">
        <w:t xml:space="preserve"> in February 2011</w:t>
      </w:r>
      <w:r>
        <w:t>. It includes</w:t>
      </w:r>
      <w:r w:rsidRPr="008E3C97">
        <w:t xml:space="preserve"> the introduction and staged implementation of the National Disability Insurance Scheme (NDIS) from 1</w:t>
      </w:r>
      <w:r>
        <w:t> </w:t>
      </w:r>
      <w:r w:rsidRPr="008E3C97">
        <w:t>July</w:t>
      </w:r>
      <w:r w:rsidR="00AE1E3B">
        <w:t> </w:t>
      </w:r>
      <w:r w:rsidRPr="008E3C97">
        <w:t>2013</w:t>
      </w:r>
      <w:r>
        <w:t>, agreed to by Commonwealth and State and Territory Governments</w:t>
      </w:r>
      <w:r w:rsidRPr="008E3C97">
        <w:t>.</w:t>
      </w:r>
      <w:r>
        <w:t xml:space="preserve"> Change continues apace as transitional issues with the NDIS are worked through, and States progressively implement the full scheme from 1</w:t>
      </w:r>
      <w:r w:rsidR="00CF75FC">
        <w:t> </w:t>
      </w:r>
      <w:r>
        <w:t>July 2018.</w:t>
      </w:r>
    </w:p>
    <w:p w:rsidR="00EF0DF4" w:rsidRDefault="00EF0DF4" w:rsidP="00EF0DF4">
      <w:pPr>
        <w:pStyle w:val="BodyText"/>
      </w:pPr>
      <w:r>
        <w:t>In addition to the cross</w:t>
      </w:r>
      <w:r w:rsidR="00CF75FC">
        <w:noBreakHyphen/>
      </w:r>
      <w:r>
        <w:t>jurisdictional agreements outlined in figure</w:t>
      </w:r>
      <w:r w:rsidR="00CF75FC">
        <w:t> </w:t>
      </w:r>
      <w:r>
        <w:t>1, State and Territory Governments and some Local Governments also have their own disability legislation, as well as disability action plans.</w:t>
      </w:r>
    </w:p>
    <w:p w:rsidR="00EF0DF4" w:rsidRDefault="00EF0DF4" w:rsidP="00EF0DF4">
      <w:pPr>
        <w:pStyle w:val="Heading4"/>
      </w:pPr>
      <w:r>
        <w:t>The National Disability Strategy</w:t>
      </w:r>
    </w:p>
    <w:p w:rsidR="00EF0DF4" w:rsidRDefault="00EF0DF4" w:rsidP="00EF0DF4">
      <w:pPr>
        <w:pStyle w:val="BodyText"/>
      </w:pPr>
      <w:r>
        <w:t>The</w:t>
      </w:r>
      <w:r w:rsidRPr="00432A41">
        <w:t xml:space="preserve"> </w:t>
      </w:r>
      <w:r>
        <w:t>NDS establishes a high level policy framework to guide government activity across mainstream and disability specific areas of public policy over its ten year timeframe (box 1). The NDS operates in conjunction with the NDA and other Commonwealth–State and Territory agreements</w:t>
      </w:r>
      <w:r w:rsidDel="00366C85">
        <w:t xml:space="preserve"> </w:t>
      </w:r>
      <w:r>
        <w:t>but is broader in scope than the specialist disability support system under the NDA and the NDIS. It aims to ensure that all mainstream services and programs across the country — including healthcare, education, Indigenous reform and housing — address the needs of people with disability.</w:t>
      </w:r>
    </w:p>
    <w:p w:rsidR="00D91631" w:rsidRDefault="00D91631" w:rsidP="0047181E">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91631" w:rsidTr="0047181E">
        <w:trPr>
          <w:tblHeader/>
        </w:trPr>
        <w:tc>
          <w:tcPr>
            <w:tcW w:w="5000" w:type="pct"/>
            <w:tcBorders>
              <w:top w:val="single" w:sz="6" w:space="0" w:color="78A22F"/>
              <w:left w:val="nil"/>
              <w:bottom w:val="nil"/>
              <w:right w:val="nil"/>
            </w:tcBorders>
            <w:shd w:val="clear" w:color="auto" w:fill="auto"/>
          </w:tcPr>
          <w:p w:rsidR="00D91631" w:rsidRPr="00176D3F" w:rsidRDefault="00D91631" w:rsidP="00526A59">
            <w:pPr>
              <w:pStyle w:val="FigureTitle"/>
            </w:pPr>
            <w:r w:rsidRPr="00784A05">
              <w:rPr>
                <w:b w:val="0"/>
              </w:rPr>
              <w:t xml:space="preserve">Figure </w:t>
            </w:r>
            <w:r w:rsidR="00D34303">
              <w:rPr>
                <w:b w:val="0"/>
              </w:rPr>
              <w:t>1</w:t>
            </w:r>
            <w:r>
              <w:tab/>
              <w:t>The policy architecture supporting the NDA</w:t>
            </w:r>
          </w:p>
        </w:tc>
      </w:tr>
      <w:tr w:rsidR="00D91631" w:rsidTr="0047181E">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D91631" w:rsidRPr="00B1465D" w:rsidTr="0047181E">
              <w:trPr>
                <w:tblHeader/>
                <w:jc w:val="center"/>
              </w:trPr>
              <w:tc>
                <w:tcPr>
                  <w:tcW w:w="5000" w:type="pct"/>
                  <w:tcBorders>
                    <w:top w:val="nil"/>
                    <w:bottom w:val="nil"/>
                  </w:tcBorders>
                </w:tcPr>
                <w:p w:rsidR="00D91631" w:rsidRPr="00B1465D" w:rsidRDefault="00E85F03" w:rsidP="0047181E">
                  <w:pPr>
                    <w:pStyle w:val="Figure"/>
                    <w:spacing w:before="60" w:after="60"/>
                    <w:rPr>
                      <w:rFonts w:ascii="Arial" w:hAnsi="Arial" w:cs="Arial"/>
                      <w:sz w:val="18"/>
                      <w:szCs w:val="18"/>
                    </w:rPr>
                  </w:pPr>
                  <w:r w:rsidRPr="00E85F03">
                    <w:rPr>
                      <w:rFonts w:ascii="Arial" w:hAnsi="Arial" w:cs="Arial"/>
                      <w:noProof/>
                      <w:sz w:val="18"/>
                      <w:szCs w:val="18"/>
                    </w:rPr>
                    <w:drawing>
                      <wp:inline distT="0" distB="0" distL="0" distR="0" wp14:anchorId="7C987C4E" wp14:editId="00E5B99F">
                        <wp:extent cx="5191125" cy="4762500"/>
                        <wp:effectExtent l="0" t="0" r="9525" b="0"/>
                        <wp:docPr id="8" name="Picture 8" descr="The policy architecture supporting the National Disability Agreement is  provided by the Council of Australian Governments, COAG.&#10;&#10;The Council on Federal Financial Relations (CFFR) is one of the eight councils established to support COAG to improve the current and future well-being of all Australians. The CFFR oversees the financial relationship between the Commonwealth and the States and Territories, including the Intergovernmental Agreement on Federal Financial Relations (IGA FFR). The CFFR is comprised of the Commonwealth Treasurer as Chair and the State and Territory Treasurers.&#10;&#10;National Agreements define the objectives, outcomes, outputs and performance indicators, and clarify the roles and responsibilities that guide the Commonwealth and the States in the delivery of services in key sectors. There are currently six National Agreements in the health, education, skills and workforce development, disability services, affordable housing and Indigenous reform sectors, and a National Health Reform Agreement:&#10;&#10;The National Disability Agreement is associated with a Specific Purpose Payment through which the Commonwealth supports States' efforts in delivering disability services.&#10;&#10;The COAG Disability Reform Council oversees the trial and implementation of the NDIS and will make recommendations to COAG on the transition to NDIS full scheme. The Disability Reform Council also ensures a broad range of reforms are implemented through the National Disability Agreement and the National Disability Strategy to support people with disability, their families and carers. The Disability Reform Council is chaired by the Commonwealth Minister responsible for disability and consists of Commonwealth, State and Territory Ministers within disability and treasury portfolio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91125" cy="4762500"/>
                                </a:xfrm>
                                <a:prstGeom prst="rect">
                                  <a:avLst/>
                                </a:prstGeom>
                                <a:noFill/>
                                <a:ln>
                                  <a:noFill/>
                                </a:ln>
                              </pic:spPr>
                            </pic:pic>
                          </a:graphicData>
                        </a:graphic>
                      </wp:inline>
                    </w:drawing>
                  </w:r>
                </w:p>
              </w:tc>
            </w:tr>
          </w:tbl>
          <w:p w:rsidR="00D91631" w:rsidRDefault="00D91631" w:rsidP="0047181E">
            <w:pPr>
              <w:pStyle w:val="Figure"/>
            </w:pPr>
          </w:p>
        </w:tc>
      </w:tr>
      <w:tr w:rsidR="00D91631" w:rsidTr="0047181E">
        <w:tc>
          <w:tcPr>
            <w:tcW w:w="5000" w:type="pct"/>
            <w:tcBorders>
              <w:top w:val="nil"/>
              <w:left w:val="nil"/>
              <w:bottom w:val="single" w:sz="6" w:space="0" w:color="78A22F"/>
              <w:right w:val="nil"/>
            </w:tcBorders>
            <w:shd w:val="clear" w:color="auto" w:fill="auto"/>
          </w:tcPr>
          <w:p w:rsidR="00D91631" w:rsidRDefault="00D91631" w:rsidP="0047181E">
            <w:pPr>
              <w:pStyle w:val="Figurespace"/>
            </w:pPr>
          </w:p>
        </w:tc>
      </w:tr>
      <w:tr w:rsidR="00D91631" w:rsidRPr="000863A5" w:rsidTr="0047181E">
        <w:tc>
          <w:tcPr>
            <w:tcW w:w="5000" w:type="pct"/>
            <w:tcBorders>
              <w:top w:val="single" w:sz="6" w:space="0" w:color="78A22F"/>
              <w:left w:val="nil"/>
              <w:bottom w:val="nil"/>
              <w:right w:val="nil"/>
            </w:tcBorders>
          </w:tcPr>
          <w:p w:rsidR="00D91631" w:rsidRPr="00626D32" w:rsidRDefault="00D91631" w:rsidP="0047181E">
            <w:pPr>
              <w:pStyle w:val="BoxSpaceBelow"/>
            </w:pPr>
          </w:p>
        </w:tc>
      </w:tr>
    </w:tbl>
    <w:p w:rsidR="00B77184" w:rsidRDefault="00B77184" w:rsidP="00B77184">
      <w:pPr>
        <w:pStyle w:val="BodyText"/>
      </w:pPr>
      <w:r w:rsidRPr="00A93B1A">
        <w:t>On 20</w:t>
      </w:r>
      <w:r>
        <w:t> </w:t>
      </w:r>
      <w:r w:rsidRPr="00A93B1A">
        <w:t>November 2017, the COAG Disability Reform Council agreed to commence work on disability reform post</w:t>
      </w:r>
      <w:r>
        <w:noBreakHyphen/>
      </w:r>
      <w:r w:rsidRPr="00A93B1A">
        <w:t>2020 and the development of a new national disability framework. This includes bringing forward the formal evaluation of the NDS from 2021 to 2018</w:t>
      </w:r>
      <w:r>
        <w:t xml:space="preserve"> </w:t>
      </w:r>
      <w:r w:rsidRPr="00ED2463">
        <w:rPr>
          <w:szCs w:val="24"/>
        </w:rPr>
        <w:t>(COAG Disability Reform Council 2017)</w:t>
      </w:r>
      <w:r w:rsidRPr="00A93B1A">
        <w:t>.</w:t>
      </w:r>
    </w:p>
    <w:p w:rsidR="00025AF4" w:rsidRDefault="00025AF4">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025AF4" w:rsidTr="004F7472">
        <w:trPr>
          <w:tblHeader/>
        </w:trPr>
        <w:tc>
          <w:tcPr>
            <w:tcW w:w="5000" w:type="pct"/>
            <w:tcBorders>
              <w:top w:val="single" w:sz="6" w:space="0" w:color="78A22F"/>
              <w:left w:val="nil"/>
              <w:bottom w:val="nil"/>
              <w:right w:val="nil"/>
            </w:tcBorders>
            <w:shd w:val="clear" w:color="auto" w:fill="F2F2F2"/>
          </w:tcPr>
          <w:p w:rsidR="00025AF4" w:rsidRDefault="00025AF4">
            <w:pPr>
              <w:pStyle w:val="BoxTitle"/>
            </w:pPr>
            <w:r>
              <w:rPr>
                <w:b w:val="0"/>
              </w:rPr>
              <w:t xml:space="preserve">Box </w:t>
            </w:r>
            <w:r w:rsidR="00B909A6">
              <w:rPr>
                <w:b w:val="0"/>
                <w:noProof/>
              </w:rPr>
              <w:t>1</w:t>
            </w:r>
            <w:r>
              <w:tab/>
              <w:t>The National Disability Strategy</w:t>
            </w:r>
          </w:p>
        </w:tc>
      </w:tr>
      <w:tr w:rsidR="00025AF4" w:rsidTr="004F7472">
        <w:tc>
          <w:tcPr>
            <w:tcW w:w="5000" w:type="pct"/>
            <w:tcBorders>
              <w:top w:val="nil"/>
              <w:left w:val="nil"/>
              <w:bottom w:val="nil"/>
              <w:right w:val="nil"/>
            </w:tcBorders>
            <w:shd w:val="clear" w:color="auto" w:fill="F2F2F2"/>
          </w:tcPr>
          <w:p w:rsidR="00025AF4" w:rsidRDefault="00713799" w:rsidP="00D201B3">
            <w:pPr>
              <w:pStyle w:val="Box"/>
            </w:pPr>
            <w:r>
              <w:t xml:space="preserve">The </w:t>
            </w:r>
            <w:r w:rsidR="000E42C7">
              <w:t>National Disability Strategy (</w:t>
            </w:r>
            <w:r>
              <w:t>NDS</w:t>
            </w:r>
            <w:r w:rsidR="000E42C7">
              <w:t>)</w:t>
            </w:r>
            <w:r>
              <w:t xml:space="preserve"> </w:t>
            </w:r>
            <w:r w:rsidR="00E02AF0">
              <w:t xml:space="preserve">was signed by </w:t>
            </w:r>
            <w:r w:rsidR="005F48E3">
              <w:t>the Commonwealth</w:t>
            </w:r>
            <w:r w:rsidR="00893393">
              <w:t xml:space="preserve"> and</w:t>
            </w:r>
            <w:r w:rsidR="005F48E3">
              <w:t xml:space="preserve"> State and Territory </w:t>
            </w:r>
            <w:r w:rsidR="00893393">
              <w:t>G</w:t>
            </w:r>
            <w:r w:rsidR="00E02AF0">
              <w:t>overnments</w:t>
            </w:r>
            <w:r w:rsidR="00893393">
              <w:t xml:space="preserve"> and the Australian Local Government Association</w:t>
            </w:r>
            <w:r w:rsidR="00E02AF0">
              <w:t xml:space="preserve"> to deliver a unified, national approach to improving the lives of people with disability, their families and carers, and to provid</w:t>
            </w:r>
            <w:r w:rsidR="00C86828">
              <w:t>e</w:t>
            </w:r>
            <w:r w:rsidR="00E02AF0">
              <w:t xml:space="preserve"> leadership for a community</w:t>
            </w:r>
            <w:r w:rsidR="00CF75FC">
              <w:noBreakHyphen/>
            </w:r>
            <w:r w:rsidR="00E02AF0">
              <w:t>wide shift in attitudes.</w:t>
            </w:r>
            <w:r>
              <w:t xml:space="preserve"> </w:t>
            </w:r>
            <w:r w:rsidR="008F6241">
              <w:t>Its purpose is to</w:t>
            </w:r>
            <w:r w:rsidR="00025AF4">
              <w:t>:</w:t>
            </w:r>
          </w:p>
          <w:p w:rsidR="00025AF4" w:rsidRDefault="00025AF4" w:rsidP="002D3FEA">
            <w:pPr>
              <w:pStyle w:val="BoxListBullet"/>
            </w:pPr>
            <w:r>
              <w:t>establish a high level policy framework to give coherence to, and guide government activity across mainstream and disability</w:t>
            </w:r>
            <w:r w:rsidR="00CF75FC">
              <w:noBreakHyphen/>
            </w:r>
            <w:r>
              <w:t xml:space="preserve">specific areas of public policy </w:t>
            </w:r>
          </w:p>
          <w:p w:rsidR="00025AF4" w:rsidRDefault="00025AF4" w:rsidP="002D3FEA">
            <w:pPr>
              <w:pStyle w:val="BoxListBullet"/>
            </w:pPr>
            <w:r>
              <w:t xml:space="preserve">improve performance of mainstream services in delivering outcomes for people with disability </w:t>
            </w:r>
          </w:p>
          <w:p w:rsidR="00025AF4" w:rsidRDefault="00025AF4" w:rsidP="002D3FEA">
            <w:pPr>
              <w:pStyle w:val="BoxListBullet"/>
            </w:pPr>
            <w:r>
              <w:t>give visibility to disability issues and ensure they are included in the development and implementation of all public policy that impacts on people with disability</w:t>
            </w:r>
          </w:p>
          <w:p w:rsidR="00025AF4" w:rsidRDefault="00025AF4" w:rsidP="002D3FEA">
            <w:pPr>
              <w:pStyle w:val="BoxListBullet"/>
            </w:pPr>
            <w:r>
              <w:t>provide national leadership toward greater inclusion of people with disability</w:t>
            </w:r>
            <w:r w:rsidR="002B7380">
              <w:t>.</w:t>
            </w:r>
            <w:r w:rsidRPr="00456218">
              <w:t xml:space="preserve"> </w:t>
            </w:r>
          </w:p>
          <w:p w:rsidR="00025AF4" w:rsidRDefault="00025AF4" w:rsidP="001604A5">
            <w:pPr>
              <w:pStyle w:val="Box"/>
            </w:pPr>
            <w:r w:rsidRPr="00456218">
              <w:t>The</w:t>
            </w:r>
            <w:r w:rsidR="006834D6">
              <w:t xml:space="preserve"> NDS has been supported by two implementation plans. The</w:t>
            </w:r>
            <w:r w:rsidR="001604A5">
              <w:t xml:space="preserve"> first</w:t>
            </w:r>
            <w:r w:rsidRPr="00456218">
              <w:t xml:space="preserve"> plan, </w:t>
            </w:r>
            <w:r w:rsidRPr="001604A5">
              <w:rPr>
                <w:i/>
              </w:rPr>
              <w:t>Laying the Groundwork 2011</w:t>
            </w:r>
            <w:r w:rsidR="00CF75FC">
              <w:rPr>
                <w:i/>
              </w:rPr>
              <w:noBreakHyphen/>
            </w:r>
            <w:r w:rsidRPr="001604A5">
              <w:rPr>
                <w:i/>
              </w:rPr>
              <w:t>2014</w:t>
            </w:r>
            <w:r w:rsidRPr="00456218">
              <w:t xml:space="preserve">, established the foundations to bring about reform in the planning and delivery of both mainstream and disability specific programs and services. The Strategy’s second implementation plan, </w:t>
            </w:r>
            <w:r w:rsidRPr="001604A5">
              <w:rPr>
                <w:i/>
              </w:rPr>
              <w:t>Driving Action 2015</w:t>
            </w:r>
            <w:r w:rsidR="00CF75FC">
              <w:rPr>
                <w:i/>
              </w:rPr>
              <w:noBreakHyphen/>
            </w:r>
            <w:r w:rsidRPr="001604A5">
              <w:rPr>
                <w:i/>
              </w:rPr>
              <w:t>2018</w:t>
            </w:r>
            <w:r w:rsidRPr="00456218">
              <w:t>, outlines new priority actions and builds on ongoing commitments to improving outcomes for people with disability across the Strategy’s six policy outcome areas</w:t>
            </w:r>
            <w:r w:rsidR="008C1AEC">
              <w:t>:</w:t>
            </w:r>
            <w:r w:rsidR="004A015E">
              <w:t xml:space="preserve"> i</w:t>
            </w:r>
            <w:r w:rsidR="003E5419" w:rsidRPr="00A555C4">
              <w:t>nclusive and accessible communities</w:t>
            </w:r>
            <w:r w:rsidR="004A015E">
              <w:t>; ri</w:t>
            </w:r>
            <w:r w:rsidR="003E5419" w:rsidRPr="00A555C4">
              <w:t>ghts prot</w:t>
            </w:r>
            <w:r w:rsidR="004A015E">
              <w:t>ection, justice and legislation; e</w:t>
            </w:r>
            <w:r w:rsidR="003E5419" w:rsidRPr="00A555C4">
              <w:t>conomic security</w:t>
            </w:r>
            <w:r w:rsidR="004A015E">
              <w:t>; p</w:t>
            </w:r>
            <w:r w:rsidR="003E5419" w:rsidRPr="00A555C4">
              <w:t>ersonal and community support</w:t>
            </w:r>
            <w:r w:rsidR="004A015E">
              <w:t>; l</w:t>
            </w:r>
            <w:r w:rsidR="003E5419" w:rsidRPr="00A555C4">
              <w:t>earning and skills</w:t>
            </w:r>
            <w:r w:rsidR="004A015E">
              <w:t>; and he</w:t>
            </w:r>
            <w:r w:rsidR="003E5419" w:rsidRPr="00A555C4">
              <w:t>alth and wellbeing</w:t>
            </w:r>
            <w:r w:rsidR="00E35C37">
              <w:t>.</w:t>
            </w:r>
          </w:p>
        </w:tc>
      </w:tr>
      <w:tr w:rsidR="00025AF4" w:rsidTr="004F7472">
        <w:tc>
          <w:tcPr>
            <w:tcW w:w="5000" w:type="pct"/>
            <w:tcBorders>
              <w:top w:val="nil"/>
              <w:left w:val="nil"/>
              <w:bottom w:val="nil"/>
              <w:right w:val="nil"/>
            </w:tcBorders>
            <w:shd w:val="clear" w:color="auto" w:fill="F2F2F2"/>
          </w:tcPr>
          <w:p w:rsidR="00025AF4" w:rsidRDefault="00025AF4" w:rsidP="00CF07D1">
            <w:pPr>
              <w:pStyle w:val="BoxSource"/>
            </w:pPr>
            <w:r>
              <w:rPr>
                <w:i/>
              </w:rPr>
              <w:t>Source</w:t>
            </w:r>
            <w:r w:rsidRPr="00167F06">
              <w:t>:</w:t>
            </w:r>
            <w:r w:rsidR="00CF07D1">
              <w:t xml:space="preserve"> </w:t>
            </w:r>
            <w:r w:rsidR="006A7CBC">
              <w:t xml:space="preserve">COAG </w:t>
            </w:r>
            <w:r w:rsidR="006A7CBC" w:rsidRPr="006A7CBC">
              <w:rPr>
                <w:rFonts w:cs="Arial"/>
              </w:rPr>
              <w:t>(2011)</w:t>
            </w:r>
            <w:r w:rsidR="007B5C6A">
              <w:t xml:space="preserve">. </w:t>
            </w:r>
          </w:p>
        </w:tc>
      </w:tr>
      <w:tr w:rsidR="00025AF4" w:rsidTr="004F7472">
        <w:tc>
          <w:tcPr>
            <w:tcW w:w="5000" w:type="pct"/>
            <w:tcBorders>
              <w:top w:val="nil"/>
              <w:left w:val="nil"/>
              <w:bottom w:val="single" w:sz="6" w:space="0" w:color="78A22F"/>
              <w:right w:val="nil"/>
            </w:tcBorders>
            <w:shd w:val="clear" w:color="auto" w:fill="F2F2F2"/>
          </w:tcPr>
          <w:p w:rsidR="00025AF4" w:rsidRDefault="00025AF4">
            <w:pPr>
              <w:pStyle w:val="Box"/>
              <w:spacing w:before="0" w:line="120" w:lineRule="exact"/>
            </w:pPr>
          </w:p>
        </w:tc>
      </w:tr>
      <w:tr w:rsidR="00025AF4" w:rsidRPr="000863A5" w:rsidTr="004F7472">
        <w:tc>
          <w:tcPr>
            <w:tcW w:w="5000" w:type="pct"/>
            <w:tcBorders>
              <w:top w:val="single" w:sz="6" w:space="0" w:color="78A22F"/>
              <w:left w:val="nil"/>
              <w:bottom w:val="nil"/>
              <w:right w:val="nil"/>
            </w:tcBorders>
          </w:tcPr>
          <w:p w:rsidR="00025AF4" w:rsidRPr="00626D32" w:rsidRDefault="00025AF4" w:rsidP="004F7472">
            <w:pPr>
              <w:pStyle w:val="BoxSpaceBelow"/>
            </w:pPr>
          </w:p>
        </w:tc>
      </w:tr>
    </w:tbl>
    <w:p w:rsidR="00AA15A6" w:rsidRDefault="00AA15A6" w:rsidP="00AA15A6">
      <w:pPr>
        <w:pStyle w:val="Heading4"/>
      </w:pPr>
      <w:r>
        <w:t>N</w:t>
      </w:r>
      <w:r w:rsidR="00815160">
        <w:t xml:space="preserve">ation </w:t>
      </w:r>
      <w:r>
        <w:t>D</w:t>
      </w:r>
      <w:r w:rsidR="00815160">
        <w:t xml:space="preserve">isability </w:t>
      </w:r>
      <w:r>
        <w:t>I</w:t>
      </w:r>
      <w:r w:rsidR="00815160">
        <w:t xml:space="preserve">nsurance </w:t>
      </w:r>
      <w:r>
        <w:t>S</w:t>
      </w:r>
      <w:r w:rsidR="00815160">
        <w:t xml:space="preserve">cheme </w:t>
      </w:r>
    </w:p>
    <w:p w:rsidR="0039483C" w:rsidRDefault="00AA15A6" w:rsidP="00AA15A6">
      <w:pPr>
        <w:pStyle w:val="BodyText"/>
      </w:pPr>
      <w:r w:rsidRPr="00E25FFC">
        <w:t xml:space="preserve">The </w:t>
      </w:r>
      <w:r w:rsidR="0039483C">
        <w:t xml:space="preserve">introduction of the </w:t>
      </w:r>
      <w:r w:rsidRPr="00E25FFC">
        <w:t>NDIS represents a fundamental shift in the disability policy and service delivery environment</w:t>
      </w:r>
      <w:r w:rsidR="0039483C">
        <w:t>. At full scheme, the NDIS is expected to cover 475 000 people with disability, compared with around 270</w:t>
      </w:r>
      <w:r w:rsidR="00CF75FC">
        <w:t> </w:t>
      </w:r>
      <w:r w:rsidR="0039483C">
        <w:t>000 prior to its introduction</w:t>
      </w:r>
      <w:r w:rsidR="00C86828">
        <w:t>.</w:t>
      </w:r>
      <w:r w:rsidR="00160588">
        <w:t xml:space="preserve"> </w:t>
      </w:r>
      <w:r w:rsidR="00C86828">
        <w:t>D</w:t>
      </w:r>
      <w:r w:rsidR="00160588">
        <w:t>isability funding is expected to almost triple</w:t>
      </w:r>
      <w:r w:rsidR="00C86828">
        <w:t xml:space="preserve"> under the NDIS</w:t>
      </w:r>
      <w:r w:rsidR="00DF20DE">
        <w:t xml:space="preserve"> </w:t>
      </w:r>
      <w:r w:rsidR="006A7CBC" w:rsidRPr="006A7CBC">
        <w:rPr>
          <w:szCs w:val="24"/>
        </w:rPr>
        <w:t>(PC 2017)</w:t>
      </w:r>
      <w:r w:rsidR="0039483C">
        <w:t xml:space="preserve">. </w:t>
      </w:r>
    </w:p>
    <w:p w:rsidR="00AA15A6" w:rsidRDefault="0039483C" w:rsidP="00AA15A6">
      <w:pPr>
        <w:pStyle w:val="BodyText"/>
      </w:pPr>
      <w:r>
        <w:t>O</w:t>
      </w:r>
      <w:r w:rsidR="00AA15A6" w:rsidRPr="00E25FFC">
        <w:t xml:space="preserve">ver time, </w:t>
      </w:r>
      <w:r>
        <w:t xml:space="preserve">the NDIS </w:t>
      </w:r>
      <w:r w:rsidR="00AA15A6" w:rsidRPr="00E25FFC">
        <w:t xml:space="preserve">will largely replace the current provision of </w:t>
      </w:r>
      <w:r w:rsidR="00C86828">
        <w:t xml:space="preserve">specialist </w:t>
      </w:r>
      <w:r w:rsidR="00AA15A6" w:rsidRPr="00E25FFC">
        <w:t xml:space="preserve">services to people with disability under the NDA. </w:t>
      </w:r>
      <w:r>
        <w:t>However, n</w:t>
      </w:r>
      <w:r w:rsidR="00AA15A6" w:rsidRPr="008366A5">
        <w:t>ot all NDA service users will be eligible for the NDIS</w:t>
      </w:r>
      <w:r>
        <w:t xml:space="preserve"> — only those with a permanent and significant disability will be eligible for </w:t>
      </w:r>
      <w:r w:rsidR="00CC762B">
        <w:t xml:space="preserve">individualised support packages under </w:t>
      </w:r>
      <w:r>
        <w:t>the scheme.</w:t>
      </w:r>
      <w:r w:rsidR="00B77184">
        <w:t xml:space="preserve"> The NDIS is </w:t>
      </w:r>
      <w:r w:rsidR="00CC762B">
        <w:t xml:space="preserve">broader than just supports for eligible participants. </w:t>
      </w:r>
      <w:r w:rsidR="00CC762B" w:rsidRPr="00CC762B">
        <w:t>Information, linkages and capacity building (ILC) services are also provided under the NDIS</w:t>
      </w:r>
      <w:r w:rsidR="0010152D">
        <w:t>. ILC services</w:t>
      </w:r>
      <w:r w:rsidR="00CC762B">
        <w:t xml:space="preserve"> are designed </w:t>
      </w:r>
      <w:r w:rsidR="00CC762B" w:rsidRPr="00CC762B">
        <w:t xml:space="preserve">to </w:t>
      </w:r>
      <w:r w:rsidR="0010152D">
        <w:t>provide</w:t>
      </w:r>
      <w:r w:rsidR="00CC762B" w:rsidRPr="00CC762B">
        <w:t xml:space="preserve"> all people with disability, and their families and carers, with information and referrals to community and mainstream service</w:t>
      </w:r>
      <w:r w:rsidR="00CC762B">
        <w:t>s, and promote</w:t>
      </w:r>
      <w:r w:rsidR="00CC762B" w:rsidRPr="00CC762B">
        <w:t xml:space="preserve"> awareness and acceptance of disability in the wider community. </w:t>
      </w:r>
    </w:p>
    <w:p w:rsidR="00AA15A6" w:rsidRDefault="00AA15A6" w:rsidP="00AA15A6">
      <w:pPr>
        <w:pStyle w:val="BodyText"/>
      </w:pPr>
      <w:r>
        <w:t>T</w:t>
      </w:r>
      <w:r w:rsidRPr="007429B1">
        <w:t xml:space="preserve">he bilateral agreements supporting the NDIS delineate responsibilities for services </w:t>
      </w:r>
      <w:r w:rsidR="00596C23">
        <w:t xml:space="preserve">to those found eligible for the NDIS </w:t>
      </w:r>
      <w:r w:rsidRPr="007429B1">
        <w:t xml:space="preserve">to be provided </w:t>
      </w:r>
      <w:r w:rsidR="00C207A9">
        <w:t xml:space="preserve">within the scheme </w:t>
      </w:r>
      <w:r w:rsidRPr="007429B1">
        <w:t xml:space="preserve">and </w:t>
      </w:r>
      <w:r w:rsidR="00C207A9">
        <w:t xml:space="preserve">in </w:t>
      </w:r>
      <w:r w:rsidRPr="007429B1">
        <w:t>mainstream services</w:t>
      </w:r>
      <w:r w:rsidR="005668F9">
        <w:t xml:space="preserve">, and </w:t>
      </w:r>
      <w:r w:rsidRPr="007429B1">
        <w:t xml:space="preserve">set out requirements for continuity of supports for those </w:t>
      </w:r>
      <w:r w:rsidR="005668F9">
        <w:t xml:space="preserve">currently receiving specialist disability services who are </w:t>
      </w:r>
      <w:r w:rsidRPr="007429B1">
        <w:t xml:space="preserve">not eligible for the NDIS. The bilateral agreements also state that, unless otherwise agreed, the responsibility of governments to provide services </w:t>
      </w:r>
      <w:r w:rsidR="0084017F">
        <w:t xml:space="preserve">to people not covered by the NDIS </w:t>
      </w:r>
      <w:r w:rsidRPr="007429B1">
        <w:t>remains.</w:t>
      </w:r>
      <w:r>
        <w:t xml:space="preserve"> </w:t>
      </w:r>
    </w:p>
    <w:p w:rsidR="000D185D" w:rsidRDefault="00916F8C" w:rsidP="00691E40">
      <w:pPr>
        <w:pStyle w:val="Heading4"/>
      </w:pPr>
      <w:r>
        <w:t>Disability f</w:t>
      </w:r>
      <w:r w:rsidR="000D185D">
        <w:t>unding arrangements</w:t>
      </w:r>
    </w:p>
    <w:p w:rsidR="00B601C4" w:rsidRDefault="000D185D" w:rsidP="00AA15A6">
      <w:pPr>
        <w:pStyle w:val="BodyText"/>
      </w:pPr>
      <w:r>
        <w:t xml:space="preserve">The NDA is supported by Commonwealth and </w:t>
      </w:r>
      <w:r w:rsidR="00916F8C">
        <w:t>S</w:t>
      </w:r>
      <w:r>
        <w:t xml:space="preserve">tate own source funding provided separate from the agreement. </w:t>
      </w:r>
      <w:r w:rsidR="00B601C4">
        <w:t>Since 2008</w:t>
      </w:r>
      <w:r w:rsidR="00B601C4">
        <w:noBreakHyphen/>
        <w:t xml:space="preserve">09, total expenditure on </w:t>
      </w:r>
      <w:r w:rsidR="00B601C4" w:rsidRPr="00B601C4">
        <w:t xml:space="preserve">specialist disability services provided under the NDA </w:t>
      </w:r>
      <w:r w:rsidR="00B601C4">
        <w:t>averaged</w:t>
      </w:r>
      <w:r w:rsidR="005A5180">
        <w:t xml:space="preserve"> around</w:t>
      </w:r>
      <w:r w:rsidR="00B601C4">
        <w:t xml:space="preserve"> </w:t>
      </w:r>
      <w:r w:rsidR="00B601C4" w:rsidRPr="00B601C4">
        <w:t>$7.</w:t>
      </w:r>
      <w:r w:rsidR="00B601C4">
        <w:t>5</w:t>
      </w:r>
      <w:r w:rsidR="00B601C4" w:rsidRPr="00B601C4">
        <w:t xml:space="preserve"> billion </w:t>
      </w:r>
      <w:r w:rsidR="00B601C4">
        <w:t>per annum until 2016</w:t>
      </w:r>
      <w:r w:rsidR="00B601C4">
        <w:noBreakHyphen/>
        <w:t>17</w:t>
      </w:r>
      <w:r w:rsidR="00A87DDB">
        <w:t xml:space="preserve"> </w:t>
      </w:r>
      <w:r w:rsidR="00841E71" w:rsidRPr="00841E71">
        <w:t>(SCRGSP 2018)</w:t>
      </w:r>
      <w:r w:rsidR="00B601C4">
        <w:t>.</w:t>
      </w:r>
    </w:p>
    <w:p w:rsidR="004A5087" w:rsidRDefault="000D185D" w:rsidP="00AA15A6">
      <w:pPr>
        <w:pStyle w:val="BodyText"/>
      </w:pPr>
      <w:r>
        <w:t xml:space="preserve">At present, the Commonwealth provides funding for disability services to the States and Territories through a National Specific Purpose Payment </w:t>
      </w:r>
      <w:r w:rsidR="0010152D">
        <w:t>(SPP)</w:t>
      </w:r>
      <w:r>
        <w:t xml:space="preserve"> and various </w:t>
      </w:r>
      <w:r w:rsidRPr="003B20DB">
        <w:t>National Partnerships</w:t>
      </w:r>
      <w:r>
        <w:t xml:space="preserve">. </w:t>
      </w:r>
      <w:r w:rsidR="009A717B">
        <w:t>This</w:t>
      </w:r>
      <w:r>
        <w:t xml:space="preserve"> funding</w:t>
      </w:r>
      <w:r w:rsidR="009A717B">
        <w:t xml:space="preserve"> is not</w:t>
      </w:r>
      <w:r>
        <w:t xml:space="preserve"> tied to the </w:t>
      </w:r>
      <w:r w:rsidR="00916F8C">
        <w:t>NDA</w:t>
      </w:r>
      <w:r w:rsidR="009A717B">
        <w:t xml:space="preserve"> and </w:t>
      </w:r>
      <w:r>
        <w:t xml:space="preserve">there is no provision for funding to be withheld </w:t>
      </w:r>
      <w:r w:rsidR="009A717B">
        <w:t>if a State or Territory does not</w:t>
      </w:r>
      <w:r>
        <w:t xml:space="preserve"> meet a performance benchmark specified in a National Agreement. </w:t>
      </w:r>
    </w:p>
    <w:p w:rsidR="000D185D" w:rsidRDefault="004A5087" w:rsidP="00AA15A6">
      <w:pPr>
        <w:pStyle w:val="BodyText"/>
      </w:pPr>
      <w:r>
        <w:t>Funding arrangements are changing with the implementation of the NDIS. For example, o</w:t>
      </w:r>
      <w:r w:rsidR="000D185D">
        <w:t xml:space="preserve">nce the NDIS reaches full scheme </w:t>
      </w:r>
      <w:r>
        <w:t xml:space="preserve">in a </w:t>
      </w:r>
      <w:r w:rsidR="00916F8C">
        <w:t>S</w:t>
      </w:r>
      <w:r>
        <w:t xml:space="preserve">tate or </w:t>
      </w:r>
      <w:r w:rsidR="00916F8C">
        <w:t>T</w:t>
      </w:r>
      <w:r>
        <w:t xml:space="preserve">erritory, </w:t>
      </w:r>
      <w:r w:rsidR="000D185D">
        <w:t xml:space="preserve">the SPP </w:t>
      </w:r>
      <w:r w:rsidR="00AE1E3B">
        <w:t xml:space="preserve">allocated to each jurisdiction </w:t>
      </w:r>
      <w:r w:rsidR="000D185D">
        <w:t>will</w:t>
      </w:r>
      <w:r>
        <w:t xml:space="preserve"> be fully redirected to the NDIS</w:t>
      </w:r>
      <w:r w:rsidR="000D185D">
        <w:t xml:space="preserve">. </w:t>
      </w:r>
      <w:r w:rsidR="00F55108">
        <w:t>Spending under the NDIS at full scheme is expected to be $22 billion a year</w:t>
      </w:r>
      <w:r w:rsidR="001B6CC7">
        <w:t xml:space="preserve"> </w:t>
      </w:r>
      <w:r w:rsidR="006A7CBC" w:rsidRPr="006A7CBC">
        <w:rPr>
          <w:szCs w:val="24"/>
        </w:rPr>
        <w:t>(PC 2017)</w:t>
      </w:r>
      <w:r w:rsidR="00F55108">
        <w:t>.</w:t>
      </w:r>
    </w:p>
    <w:p w:rsidR="00C27852" w:rsidRDefault="00B909A6" w:rsidP="00C27852">
      <w:pPr>
        <w:pStyle w:val="Heading2"/>
      </w:pPr>
      <w:bookmarkStart w:id="7" w:name="_Toc519846120"/>
      <w:r>
        <w:rPr>
          <w:noProof/>
        </w:rPr>
        <w:t>3</w:t>
      </w:r>
      <w:r w:rsidR="00FC0E1C">
        <w:tab/>
      </w:r>
      <w:r w:rsidR="00C27852">
        <w:t>The Commission’s task and approach</w:t>
      </w:r>
      <w:bookmarkEnd w:id="7"/>
    </w:p>
    <w:p w:rsidR="003434BC" w:rsidRDefault="007C5B7E" w:rsidP="007C5B7E">
      <w:pPr>
        <w:pStyle w:val="Heading3"/>
        <w:spacing w:before="280"/>
      </w:pPr>
      <w:r>
        <w:t>What has the Commission been asked to do?</w:t>
      </w:r>
    </w:p>
    <w:p w:rsidR="00C62653" w:rsidRDefault="00C62653" w:rsidP="00C62653">
      <w:pPr>
        <w:pStyle w:val="BodyText"/>
      </w:pPr>
      <w:r>
        <w:t>The terms of reference for this study were received on 25</w:t>
      </w:r>
      <w:r w:rsidR="00CF75FC">
        <w:t> </w:t>
      </w:r>
      <w:r>
        <w:t>May 2018. The Commission has been asked to review the NDA, focusing on:</w:t>
      </w:r>
    </w:p>
    <w:p w:rsidR="00C62653" w:rsidRDefault="00C62653" w:rsidP="00C62653">
      <w:pPr>
        <w:pStyle w:val="ListBullet"/>
      </w:pPr>
      <w:r>
        <w:t>the relevance of its objectives, outcomes and outputs in the current policy context</w:t>
      </w:r>
    </w:p>
    <w:p w:rsidR="00C62653" w:rsidRDefault="00C62653" w:rsidP="00C62653">
      <w:pPr>
        <w:pStyle w:val="ListBullet"/>
      </w:pPr>
      <w:r>
        <w:t>the roles and responsibilities of Governments under the agreement</w:t>
      </w:r>
    </w:p>
    <w:p w:rsidR="00C62653" w:rsidRDefault="00C62653" w:rsidP="00C62653">
      <w:pPr>
        <w:pStyle w:val="ListBullet"/>
      </w:pPr>
      <w:r>
        <w:t xml:space="preserve">progress against the performance framework of the NDA, and the extent to which it has improved outcomes for people, including the performance benchmarks and indicators, and associated timeframes and reporting responsibilities </w:t>
      </w:r>
    </w:p>
    <w:p w:rsidR="00C62653" w:rsidRDefault="00C62653" w:rsidP="00C62653">
      <w:pPr>
        <w:pStyle w:val="ListBullet"/>
      </w:pPr>
      <w:r>
        <w:t xml:space="preserve">whether the agreement needs updating in light of these considerations and the introduction of the </w:t>
      </w:r>
      <w:r w:rsidR="008E4E71">
        <w:t>NDIS and</w:t>
      </w:r>
      <w:r>
        <w:t xml:space="preserve"> NDS. </w:t>
      </w:r>
    </w:p>
    <w:p w:rsidR="00C62653" w:rsidRDefault="00C62653" w:rsidP="00C62653">
      <w:pPr>
        <w:pStyle w:val="BodyText"/>
      </w:pPr>
      <w:r>
        <w:t xml:space="preserve">The Commission is to have regard to current reform priorities, including the NDIS rollout and its interface with mainstream services, and the implementation of the NDS. It </w:t>
      </w:r>
      <w:r w:rsidR="008E4E71">
        <w:t>is</w:t>
      </w:r>
      <w:r>
        <w:t xml:space="preserve"> also to have regard to the r</w:t>
      </w:r>
      <w:r w:rsidRPr="00F11004">
        <w:t xml:space="preserve">esponsibility for ensuring that people with disability have access to government services, </w:t>
      </w:r>
      <w:r>
        <w:t>and the</w:t>
      </w:r>
      <w:r w:rsidRPr="00F11004">
        <w:t xml:space="preserve"> development of agreed performance measures.</w:t>
      </w:r>
    </w:p>
    <w:p w:rsidR="007C5B7E" w:rsidRDefault="007C5B7E" w:rsidP="007C5B7E">
      <w:pPr>
        <w:pStyle w:val="Heading3"/>
        <w:spacing w:before="280"/>
      </w:pPr>
      <w:r>
        <w:t xml:space="preserve">The Commission’s approach </w:t>
      </w:r>
    </w:p>
    <w:p w:rsidR="00D05107" w:rsidRDefault="00D05107" w:rsidP="00272606">
      <w:pPr>
        <w:pStyle w:val="BodyText"/>
      </w:pPr>
      <w:r>
        <w:t>T</w:t>
      </w:r>
      <w:r w:rsidR="000C0B89">
        <w:t>he disability services sector is changing rapidly, particularly with the introduction of the NDIS. Th</w:t>
      </w:r>
      <w:r w:rsidR="00410292">
        <w:t xml:space="preserve">e intention of this study is </w:t>
      </w:r>
      <w:r w:rsidR="000C0B89">
        <w:t xml:space="preserve">not </w:t>
      </w:r>
      <w:r w:rsidR="00410292">
        <w:t xml:space="preserve">to </w:t>
      </w:r>
      <w:r w:rsidR="000C0B89">
        <w:t>review the way that disability services</w:t>
      </w:r>
      <w:r w:rsidR="00410292">
        <w:t xml:space="preserve">, including under the NDIS, </w:t>
      </w:r>
      <w:r w:rsidR="000C0B89">
        <w:t>are delivered and funded</w:t>
      </w:r>
      <w:r w:rsidR="00410292">
        <w:t xml:space="preserve">, but rather to examine the purpose, relevance and scope of the NDA and, in light of that, </w:t>
      </w:r>
      <w:r w:rsidR="00B53179">
        <w:t xml:space="preserve">consider </w:t>
      </w:r>
      <w:r w:rsidR="00410292">
        <w:t xml:space="preserve">what elements a contemporary and enduring agreement should contain. </w:t>
      </w:r>
      <w:r w:rsidR="00160588">
        <w:t xml:space="preserve">While </w:t>
      </w:r>
      <w:r w:rsidR="00F04F0E">
        <w:t xml:space="preserve">specific </w:t>
      </w:r>
      <w:r w:rsidR="00160588">
        <w:t xml:space="preserve">funding levels and mechanisms are not part of the scope of this study, funding </w:t>
      </w:r>
      <w:r w:rsidR="00F04F0E">
        <w:t xml:space="preserve">in general </w:t>
      </w:r>
      <w:r w:rsidR="00893393">
        <w:t>is relevant a</w:t>
      </w:r>
      <w:r w:rsidR="00A371FC">
        <w:t xml:space="preserve">s </w:t>
      </w:r>
      <w:r w:rsidR="00893393">
        <w:t>a</w:t>
      </w:r>
      <w:r w:rsidR="00160588">
        <w:t xml:space="preserve"> possible tool for achieving </w:t>
      </w:r>
      <w:r w:rsidR="008E4E71">
        <w:t xml:space="preserve">greater </w:t>
      </w:r>
      <w:r w:rsidR="00160588">
        <w:t xml:space="preserve">accountability. </w:t>
      </w:r>
    </w:p>
    <w:p w:rsidR="000C0B89" w:rsidRDefault="00410292" w:rsidP="00272606">
      <w:pPr>
        <w:pStyle w:val="BodyText"/>
      </w:pPr>
      <w:r>
        <w:t>A</w:t>
      </w:r>
      <w:r w:rsidR="000C0B89">
        <w:t xml:space="preserve">ll relevant policy elements form </w:t>
      </w:r>
      <w:r w:rsidR="00AE1E3B">
        <w:t xml:space="preserve">an </w:t>
      </w:r>
      <w:r w:rsidR="000C0B89">
        <w:t>important context for this review and need to be taken into account</w:t>
      </w:r>
      <w:r w:rsidR="004A69DB">
        <w:t xml:space="preserve"> — especially the </w:t>
      </w:r>
      <w:r w:rsidR="00185960">
        <w:t xml:space="preserve">concurrent </w:t>
      </w:r>
      <w:r w:rsidR="004A69DB">
        <w:t xml:space="preserve">review of the NDS and ongoing bilateral negotiations related to the </w:t>
      </w:r>
      <w:r w:rsidR="00185960">
        <w:t xml:space="preserve">full scheme implementation of the </w:t>
      </w:r>
      <w:r w:rsidR="004A69DB">
        <w:t>NDIS</w:t>
      </w:r>
      <w:r w:rsidR="00185960">
        <w:t xml:space="preserve"> </w:t>
      </w:r>
      <w:r w:rsidR="004A69DB">
        <w:t xml:space="preserve">— </w:t>
      </w:r>
      <w:r w:rsidR="000C0B89">
        <w:t xml:space="preserve">but they are not the subject of this review. </w:t>
      </w:r>
    </w:p>
    <w:p w:rsidR="00EA304A" w:rsidRDefault="00EA304A" w:rsidP="00EA304A">
      <w:pPr>
        <w:pStyle w:val="BodyText"/>
      </w:pPr>
      <w:r>
        <w:t xml:space="preserve">As this is the first of potentially six Commission reviews of national agreements, the framework and approach for </w:t>
      </w:r>
      <w:r w:rsidR="00D05107">
        <w:t xml:space="preserve">reviewing </w:t>
      </w:r>
      <w:r>
        <w:t xml:space="preserve">the NDA </w:t>
      </w:r>
      <w:r w:rsidR="00D05107">
        <w:t>could provide a foundation for</w:t>
      </w:r>
      <w:r>
        <w:t xml:space="preserve"> future reviews. But given the unique attributes of each of the agreements, this </w:t>
      </w:r>
      <w:r w:rsidR="00D05107">
        <w:t>need not</w:t>
      </w:r>
      <w:r>
        <w:t xml:space="preserve"> necessarily be the case.</w:t>
      </w:r>
    </w:p>
    <w:p w:rsidR="006B2362" w:rsidRDefault="00D05107" w:rsidP="00691E40">
      <w:pPr>
        <w:pStyle w:val="Heading4"/>
      </w:pPr>
      <w:r>
        <w:t>A possible f</w:t>
      </w:r>
      <w:r w:rsidR="00C35A36">
        <w:t>ramework for assessment</w:t>
      </w:r>
    </w:p>
    <w:p w:rsidR="00EA304A" w:rsidRDefault="00EA304A" w:rsidP="00EA304A">
      <w:pPr>
        <w:pStyle w:val="BodyText"/>
      </w:pPr>
      <w:r>
        <w:t xml:space="preserve">At the heart of this study is the aim to promote the wellbeing of people with disability, their families and carers, and (as with all Commission work) the </w:t>
      </w:r>
      <w:r w:rsidR="00582B3D">
        <w:t xml:space="preserve">broader </w:t>
      </w:r>
      <w:r>
        <w:t>Australian community.</w:t>
      </w:r>
    </w:p>
    <w:p w:rsidR="00F55150" w:rsidRDefault="00EA304A" w:rsidP="00677713">
      <w:pPr>
        <w:pStyle w:val="BodyText"/>
      </w:pPr>
      <w:r>
        <w:t xml:space="preserve">The </w:t>
      </w:r>
      <w:r w:rsidR="00D05107">
        <w:t xml:space="preserve">key elements of the </w:t>
      </w:r>
      <w:r>
        <w:t>Commission’s</w:t>
      </w:r>
      <w:r w:rsidR="00D05107">
        <w:t xml:space="preserve"> early thinking on a possible</w:t>
      </w:r>
      <w:r>
        <w:t xml:space="preserve"> framework for </w:t>
      </w:r>
      <w:r w:rsidR="00185960">
        <w:t xml:space="preserve">reviewing </w:t>
      </w:r>
      <w:r>
        <w:t>the NDA is outlined in figure</w:t>
      </w:r>
      <w:r w:rsidR="00CF75FC">
        <w:t> </w:t>
      </w:r>
      <w:r w:rsidR="00377842">
        <w:t>2</w:t>
      </w:r>
      <w:r>
        <w:t xml:space="preserve">. </w:t>
      </w:r>
      <w:r w:rsidR="00F55150">
        <w:t>The intention of the framework is to clearly link government policy actions with the overall objective of disability policy</w:t>
      </w:r>
      <w:r w:rsidR="009A3B0B">
        <w:t>, using performance reporting to enhance</w:t>
      </w:r>
      <w:r w:rsidR="00F55150">
        <w:t xml:space="preserve"> </w:t>
      </w:r>
      <w:r w:rsidR="000D2B80">
        <w:t>government accountability</w:t>
      </w:r>
      <w:r w:rsidR="009A3B0B">
        <w:t xml:space="preserve">. </w:t>
      </w:r>
    </w:p>
    <w:p w:rsidR="00677713" w:rsidRDefault="00C84EC9" w:rsidP="00677713">
      <w:pPr>
        <w:pStyle w:val="BodyText"/>
      </w:pPr>
      <w:r>
        <w:t xml:space="preserve">The agreement can </w:t>
      </w:r>
      <w:r w:rsidR="00677713">
        <w:t>enhance accountability of governments for achieving the objectives of disability policy when there are clear and agreed outcomes for people with disability, measured by a transparent performance reporting framework, and supported by clearly defined roles and responsibilities of governments.</w:t>
      </w:r>
      <w:r w:rsidR="00677713" w:rsidDel="007D60CF">
        <w:t xml:space="preserve"> </w:t>
      </w:r>
    </w:p>
    <w:p w:rsidR="00EF0DF4" w:rsidRDefault="00EF0DF4" w:rsidP="00EF0DF4">
      <w:pPr>
        <w:pStyle w:val="BodyText"/>
        <w:keepNext/>
      </w:pPr>
      <w:r>
        <w:t>The proposed framework involves:</w:t>
      </w:r>
    </w:p>
    <w:p w:rsidR="00EF0DF4" w:rsidRDefault="00EF0DF4" w:rsidP="00EF0DF4">
      <w:pPr>
        <w:pStyle w:val="ListBullet"/>
        <w:numPr>
          <w:ilvl w:val="0"/>
          <w:numId w:val="2"/>
        </w:numPr>
      </w:pPr>
      <w:r w:rsidRPr="00691E40">
        <w:t>separating</w:t>
      </w:r>
      <w:r>
        <w:t xml:space="preserve"> the agreement into its component parts — objectives, outcomes, performance indicators, roles and responsibilities, and policy actions — and adding an additional component — the scope and purpose of the NDA. </w:t>
      </w:r>
    </w:p>
    <w:p w:rsidR="00EF0DF4" w:rsidRDefault="00EF0DF4" w:rsidP="00EF0DF4">
      <w:pPr>
        <w:pStyle w:val="ListBullet"/>
        <w:numPr>
          <w:ilvl w:val="0"/>
          <w:numId w:val="2"/>
        </w:numPr>
      </w:pPr>
      <w:r>
        <w:t>evaluating the agreement through the assessment lenses of clarity, effectiveness and accountability. Some parts of the agreement may also require more targeted assessment criteria. For example, performance indicators could be assessed using a range of criteria, including whether they can be clearly interpreted and are</w:t>
      </w:r>
      <w:r w:rsidDel="008E4E71">
        <w:t xml:space="preserve"> </w:t>
      </w:r>
      <w:r>
        <w:t xml:space="preserve">responsive to policy actions. </w:t>
      </w:r>
    </w:p>
    <w:p w:rsidR="00EF0DF4" w:rsidRDefault="00EF0DF4" w:rsidP="00EF0DF4">
      <w:pPr>
        <w:pStyle w:val="ListBullet"/>
        <w:numPr>
          <w:ilvl w:val="0"/>
          <w:numId w:val="2"/>
        </w:numPr>
      </w:pPr>
      <w:r>
        <w:t xml:space="preserve">considering the </w:t>
      </w:r>
      <w:r w:rsidRPr="00691E40">
        <w:t>context</w:t>
      </w:r>
      <w:r w:rsidRPr="009F35B5">
        <w:t xml:space="preserve"> of the</w:t>
      </w:r>
      <w:r>
        <w:t xml:space="preserve"> NDA in relation to other policies and agreements, such as the NDIS Bilateral Agreements, the NDS and other National Agreements.</w:t>
      </w:r>
      <w:r w:rsidR="00CF75FC">
        <w:t xml:space="preserve"> </w:t>
      </w:r>
    </w:p>
    <w:p w:rsidR="009206EF" w:rsidRDefault="009206EF" w:rsidP="00FB5ECD">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206EF" w:rsidTr="00FB5ECD">
        <w:trPr>
          <w:tblHeader/>
        </w:trPr>
        <w:tc>
          <w:tcPr>
            <w:tcW w:w="5000" w:type="pct"/>
            <w:tcBorders>
              <w:top w:val="single" w:sz="6" w:space="0" w:color="78A22F"/>
              <w:left w:val="nil"/>
              <w:bottom w:val="nil"/>
              <w:right w:val="nil"/>
            </w:tcBorders>
            <w:shd w:val="clear" w:color="auto" w:fill="auto"/>
          </w:tcPr>
          <w:p w:rsidR="009206EF" w:rsidRPr="00176D3F" w:rsidRDefault="009206EF" w:rsidP="0092231B">
            <w:pPr>
              <w:pStyle w:val="FigureTitle"/>
            </w:pPr>
            <w:r>
              <w:rPr>
                <w:b w:val="0"/>
              </w:rPr>
              <w:t>F</w:t>
            </w:r>
            <w:r w:rsidRPr="00784A05">
              <w:rPr>
                <w:b w:val="0"/>
              </w:rPr>
              <w:t xml:space="preserve">igure </w:t>
            </w:r>
            <w:r w:rsidR="00377842">
              <w:rPr>
                <w:b w:val="0"/>
              </w:rPr>
              <w:t>2</w:t>
            </w:r>
            <w:r>
              <w:tab/>
            </w:r>
            <w:r w:rsidR="0092231B">
              <w:t>A possible f</w:t>
            </w:r>
            <w:r>
              <w:t xml:space="preserve">ramework for assessing the NDA </w:t>
            </w:r>
          </w:p>
        </w:tc>
      </w:tr>
      <w:tr w:rsidR="009206EF" w:rsidTr="00FB5ECD">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9206EF" w:rsidRPr="00B1465D" w:rsidTr="00FB5ECD">
              <w:trPr>
                <w:tblHeader/>
                <w:jc w:val="center"/>
              </w:trPr>
              <w:tc>
                <w:tcPr>
                  <w:tcW w:w="5000" w:type="pct"/>
                  <w:tcBorders>
                    <w:top w:val="nil"/>
                    <w:bottom w:val="nil"/>
                  </w:tcBorders>
                </w:tcPr>
                <w:p w:rsidR="009206EF" w:rsidRPr="00B1465D" w:rsidRDefault="00120FDE" w:rsidP="00FB5ECD">
                  <w:pPr>
                    <w:pStyle w:val="Figure"/>
                    <w:spacing w:before="60" w:after="60"/>
                    <w:rPr>
                      <w:rFonts w:ascii="Arial" w:hAnsi="Arial" w:cs="Arial"/>
                      <w:sz w:val="18"/>
                      <w:szCs w:val="18"/>
                    </w:rPr>
                  </w:pPr>
                  <w:r w:rsidRPr="00120FDE">
                    <w:rPr>
                      <w:rFonts w:ascii="Arial" w:hAnsi="Arial" w:cs="Arial"/>
                      <w:noProof/>
                      <w:sz w:val="18"/>
                      <w:szCs w:val="18"/>
                    </w:rPr>
                    <w:drawing>
                      <wp:inline distT="0" distB="0" distL="0" distR="0" wp14:anchorId="3EAC821B" wp14:editId="7B081933">
                        <wp:extent cx="5374792" cy="3429000"/>
                        <wp:effectExtent l="0" t="0" r="0" b="0"/>
                        <wp:docPr id="4" name="Picture 4" descr="The proposed framework for assessing the NDA is shown as a flow diagram with the overall objective of disability policy at the top, followed by the following elements: purpose and scope of the NDA; the NDA objective; outcomes for people with disability (which include participation and social inclusion; choice, wellbeing and independence; and support for families and carers); performance indicators; roles and responsibilities; and policy developments and actions. &#10;It also shows that context is part of a framework and affects all elements of the framework. Context includes other policies and agreements including the NDIS bilateral, the NDS and the IGA FFR.&#10;It shows that the assessment lenses of clarity, effectiveness and accountability are used to assess all elements of the framewor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78902" cy="3431622"/>
                                </a:xfrm>
                                <a:prstGeom prst="rect">
                                  <a:avLst/>
                                </a:prstGeom>
                                <a:noFill/>
                                <a:ln>
                                  <a:noFill/>
                                </a:ln>
                              </pic:spPr>
                            </pic:pic>
                          </a:graphicData>
                        </a:graphic>
                      </wp:inline>
                    </w:drawing>
                  </w:r>
                  <w:r w:rsidRPr="00120FDE">
                    <w:rPr>
                      <w:rStyle w:val="CommentReference"/>
                      <w:rFonts w:ascii="Arial" w:hAnsi="Arial" w:cs="Arial"/>
                      <w:b w:val="0"/>
                      <w:vanish w:val="0"/>
                      <w:color w:val="auto"/>
                      <w:sz w:val="18"/>
                      <w:szCs w:val="18"/>
                    </w:rPr>
                    <w:t xml:space="preserve"> </w:t>
                  </w:r>
                </w:p>
              </w:tc>
            </w:tr>
          </w:tbl>
          <w:p w:rsidR="009206EF" w:rsidRDefault="009206EF" w:rsidP="00FB5ECD">
            <w:pPr>
              <w:pStyle w:val="Figure"/>
            </w:pPr>
          </w:p>
        </w:tc>
      </w:tr>
      <w:tr w:rsidR="009206EF" w:rsidTr="00FB5ECD">
        <w:tc>
          <w:tcPr>
            <w:tcW w:w="5000" w:type="pct"/>
            <w:tcBorders>
              <w:top w:val="nil"/>
              <w:left w:val="nil"/>
              <w:bottom w:val="single" w:sz="6" w:space="0" w:color="78A22F"/>
              <w:right w:val="nil"/>
            </w:tcBorders>
            <w:shd w:val="clear" w:color="auto" w:fill="auto"/>
          </w:tcPr>
          <w:p w:rsidR="009206EF" w:rsidRDefault="009206EF" w:rsidP="00FB5ECD">
            <w:pPr>
              <w:pStyle w:val="Figurespace"/>
            </w:pPr>
          </w:p>
        </w:tc>
      </w:tr>
      <w:tr w:rsidR="009206EF" w:rsidRPr="000863A5" w:rsidTr="00FB5ECD">
        <w:tc>
          <w:tcPr>
            <w:tcW w:w="5000" w:type="pct"/>
            <w:tcBorders>
              <w:top w:val="single" w:sz="6" w:space="0" w:color="78A22F"/>
              <w:left w:val="nil"/>
              <w:bottom w:val="nil"/>
              <w:right w:val="nil"/>
            </w:tcBorders>
          </w:tcPr>
          <w:p w:rsidR="009206EF" w:rsidRPr="00626D32" w:rsidRDefault="009206EF" w:rsidP="00FB5ECD">
            <w:pPr>
              <w:pStyle w:val="BoxSpaceBelow"/>
            </w:pPr>
          </w:p>
        </w:tc>
      </w:tr>
    </w:tbl>
    <w:p w:rsidR="00D8290D" w:rsidRPr="00513831" w:rsidRDefault="00D8290D" w:rsidP="00DC4174">
      <w:pPr>
        <w:pStyle w:val="BoxSpaceAboveElement"/>
        <w:keepLines/>
        <w:rPr>
          <w:vanish w:val="0"/>
          <w:color w:val="auto"/>
          <w:sz w:val="24"/>
          <w:szCs w:val="2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D8290D" w:rsidTr="00FB5ECD">
        <w:trPr>
          <w:tblHeader/>
        </w:trPr>
        <w:tc>
          <w:tcPr>
            <w:tcW w:w="5000" w:type="pct"/>
            <w:tcBorders>
              <w:top w:val="single" w:sz="6" w:space="0" w:color="78A22F"/>
              <w:left w:val="nil"/>
              <w:bottom w:val="nil"/>
              <w:right w:val="nil"/>
            </w:tcBorders>
            <w:shd w:val="clear" w:color="auto" w:fill="auto"/>
          </w:tcPr>
          <w:p w:rsidR="00D8290D" w:rsidRPr="00CE4C64" w:rsidRDefault="00D8290D" w:rsidP="00FB5ECD">
            <w:pPr>
              <w:pStyle w:val="InformationRequestTitle"/>
              <w:spacing w:before="120"/>
            </w:pPr>
            <w:r>
              <w:t>questions</w:t>
            </w:r>
          </w:p>
        </w:tc>
      </w:tr>
      <w:tr w:rsidR="00D8290D" w:rsidRPr="007A65E6" w:rsidTr="00FB5ECD">
        <w:tc>
          <w:tcPr>
            <w:tcW w:w="5000" w:type="pct"/>
            <w:tcBorders>
              <w:top w:val="nil"/>
              <w:left w:val="nil"/>
              <w:bottom w:val="nil"/>
              <w:right w:val="nil"/>
            </w:tcBorders>
            <w:shd w:val="clear" w:color="auto" w:fill="auto"/>
          </w:tcPr>
          <w:p w:rsidR="00880CE3" w:rsidRDefault="00880CE3" w:rsidP="00693A6E">
            <w:pPr>
              <w:pStyle w:val="InformationRequestBullet"/>
              <w:numPr>
                <w:ilvl w:val="0"/>
                <w:numId w:val="10"/>
              </w:numPr>
            </w:pPr>
            <w:r>
              <w:t>Does the Commission’s representation of the policy architecture supporting the NDA in figure</w:t>
            </w:r>
            <w:r w:rsidR="00CF75FC">
              <w:t> </w:t>
            </w:r>
            <w:r>
              <w:t xml:space="preserve">1 adequately capture all relevant policy areas? Is anything missing? </w:t>
            </w:r>
          </w:p>
          <w:p w:rsidR="00000D44" w:rsidRPr="007A65E6" w:rsidRDefault="00DD7A51" w:rsidP="007A65E6">
            <w:pPr>
              <w:pStyle w:val="InformationRequestBullet"/>
            </w:pPr>
            <w:r w:rsidRPr="007A65E6">
              <w:t>What framework and assessment criteria should be used to review the NDA? Is there anything missing from the proposed framework and criteria</w:t>
            </w:r>
            <w:r w:rsidR="00116D56">
              <w:t xml:space="preserve"> (</w:t>
            </w:r>
            <w:r w:rsidR="003636E8">
              <w:t xml:space="preserve">in </w:t>
            </w:r>
            <w:r w:rsidR="00116D56">
              <w:t>figure</w:t>
            </w:r>
            <w:r w:rsidR="00CF75FC">
              <w:t> </w:t>
            </w:r>
            <w:r w:rsidR="00116D56">
              <w:t>2)</w:t>
            </w:r>
            <w:r w:rsidRPr="007A65E6">
              <w:t xml:space="preserve">? </w:t>
            </w:r>
            <w:r w:rsidR="00116D56">
              <w:t>What</w:t>
            </w:r>
            <w:r w:rsidR="00F53A14" w:rsidRPr="007A65E6">
              <w:t xml:space="preserve"> other frameworks could be used?</w:t>
            </w:r>
          </w:p>
          <w:p w:rsidR="00D8290D" w:rsidRPr="007A65E6" w:rsidRDefault="00B844E9" w:rsidP="007A65E6">
            <w:pPr>
              <w:pStyle w:val="InformationRequestBullet"/>
            </w:pPr>
            <w:r w:rsidRPr="007A65E6">
              <w:t>Should the Commission aim to apply the same framework across all review</w:t>
            </w:r>
            <w:r w:rsidR="00DD7A51" w:rsidRPr="007A65E6">
              <w:t>s</w:t>
            </w:r>
            <w:r w:rsidR="00AC589A" w:rsidRPr="007A65E6">
              <w:t xml:space="preserve"> of national agreements</w:t>
            </w:r>
            <w:r w:rsidRPr="007A65E6">
              <w:t>?</w:t>
            </w:r>
            <w:r w:rsidR="00000D44" w:rsidRPr="007A65E6">
              <w:t xml:space="preserve"> If so, could th</w:t>
            </w:r>
            <w:r w:rsidR="00185960" w:rsidRPr="007A65E6">
              <w:t xml:space="preserve">e framework </w:t>
            </w:r>
            <w:r w:rsidR="00000D44" w:rsidRPr="007A65E6">
              <w:t xml:space="preserve">proposed </w:t>
            </w:r>
            <w:r w:rsidR="00185960" w:rsidRPr="007A65E6">
              <w:t xml:space="preserve">above </w:t>
            </w:r>
            <w:r w:rsidR="00000D44" w:rsidRPr="007A65E6">
              <w:t xml:space="preserve">be applied more generally? </w:t>
            </w:r>
          </w:p>
        </w:tc>
      </w:tr>
      <w:tr w:rsidR="00D8290D" w:rsidTr="00FB5ECD">
        <w:tc>
          <w:tcPr>
            <w:tcW w:w="5000" w:type="pct"/>
            <w:tcBorders>
              <w:top w:val="nil"/>
              <w:left w:val="nil"/>
              <w:bottom w:val="single" w:sz="6" w:space="0" w:color="78A22F"/>
              <w:right w:val="nil"/>
            </w:tcBorders>
            <w:shd w:val="clear" w:color="auto" w:fill="auto"/>
          </w:tcPr>
          <w:p w:rsidR="00D8290D" w:rsidRDefault="00D8290D" w:rsidP="00FB5ECD">
            <w:pPr>
              <w:pStyle w:val="Space"/>
              <w:keepLines/>
            </w:pPr>
          </w:p>
        </w:tc>
      </w:tr>
      <w:tr w:rsidR="00D8290D" w:rsidRPr="000863A5" w:rsidTr="00FB5ECD">
        <w:tc>
          <w:tcPr>
            <w:tcW w:w="5000" w:type="pct"/>
            <w:tcBorders>
              <w:top w:val="single" w:sz="6" w:space="0" w:color="78A22F"/>
              <w:left w:val="nil"/>
              <w:bottom w:val="nil"/>
              <w:right w:val="nil"/>
            </w:tcBorders>
          </w:tcPr>
          <w:p w:rsidR="00D8290D" w:rsidRPr="00626D32" w:rsidRDefault="00D8290D" w:rsidP="00FB5ECD">
            <w:pPr>
              <w:pStyle w:val="BoxSpaceBelow"/>
              <w:keepLines/>
            </w:pPr>
          </w:p>
        </w:tc>
      </w:tr>
    </w:tbl>
    <w:p w:rsidR="00C27852" w:rsidRDefault="00B909A6" w:rsidP="00C27852">
      <w:pPr>
        <w:pStyle w:val="Heading2"/>
      </w:pPr>
      <w:bookmarkStart w:id="8" w:name="_Toc519846121"/>
      <w:r>
        <w:rPr>
          <w:noProof/>
        </w:rPr>
        <w:t>4</w:t>
      </w:r>
      <w:r w:rsidR="00C27852">
        <w:tab/>
        <w:t>Assessing the National Disability Agreement</w:t>
      </w:r>
      <w:bookmarkEnd w:id="8"/>
    </w:p>
    <w:p w:rsidR="00C27852" w:rsidRPr="00C27852" w:rsidRDefault="003434BC" w:rsidP="003434BC">
      <w:pPr>
        <w:pStyle w:val="Heading3"/>
      </w:pPr>
      <w:r>
        <w:t>Purpose</w:t>
      </w:r>
      <w:r w:rsidR="00C701B9">
        <w:t xml:space="preserve"> and </w:t>
      </w:r>
      <w:r w:rsidR="003E7DCD">
        <w:t xml:space="preserve">scope of the </w:t>
      </w:r>
      <w:r>
        <w:t>NDA</w:t>
      </w:r>
    </w:p>
    <w:p w:rsidR="0090063D" w:rsidRPr="0090063D" w:rsidRDefault="0090063D" w:rsidP="0090063D">
      <w:pPr>
        <w:pStyle w:val="BodyText"/>
      </w:pPr>
      <w:r>
        <w:t>Understanding the purpose of the NDA is important for assessing the relevance of the agreement</w:t>
      </w:r>
      <w:r w:rsidR="008B415A">
        <w:t xml:space="preserve">, </w:t>
      </w:r>
      <w:r>
        <w:t xml:space="preserve">the extent to which </w:t>
      </w:r>
      <w:r w:rsidR="008B415A">
        <w:t xml:space="preserve">the agreement </w:t>
      </w:r>
      <w:r>
        <w:t>needs updating</w:t>
      </w:r>
      <w:r w:rsidR="008B415A">
        <w:t xml:space="preserve">, and </w:t>
      </w:r>
      <w:r w:rsidR="00A31F90">
        <w:t>whether each element of the agreement supports its purpose</w:t>
      </w:r>
      <w:r>
        <w:t>.</w:t>
      </w:r>
      <w:r w:rsidR="005A72D3">
        <w:t xml:space="preserve"> A key consideration for this review is whether an agreement is still required under contemporary policy settings and, if so, what its purpose should be.</w:t>
      </w:r>
    </w:p>
    <w:p w:rsidR="005A72D3" w:rsidRDefault="005A72D3" w:rsidP="005A72D3">
      <w:pPr>
        <w:pStyle w:val="BodyText"/>
      </w:pPr>
      <w:r>
        <w:t xml:space="preserve">All agreements under the IGA FFR, including the NDA, are designed to ‘clarify the responsibilities and accountabilities of the Commonwealth and States and Territories’ (Part 3 Clause 7). </w:t>
      </w:r>
      <w:r w:rsidRPr="001529E1">
        <w:t xml:space="preserve">The IGA FFR provides the accountability framework that applies to all National Agreements. </w:t>
      </w:r>
      <w:r>
        <w:t>The framework</w:t>
      </w:r>
      <w:r w:rsidRPr="001529E1">
        <w:t xml:space="preserve"> aims to enhance accountability of governments through simpler, standardised and more transparent performance reporting (such as indicators and benchmarks), underpinned by clear</w:t>
      </w:r>
      <w:r w:rsidR="00150D26">
        <w:t>er</w:t>
      </w:r>
      <w:r w:rsidRPr="001529E1">
        <w:t xml:space="preserve"> roles and responsibilities</w:t>
      </w:r>
      <w:r w:rsidR="008939A6">
        <w:t xml:space="preserve"> </w:t>
      </w:r>
      <w:r w:rsidR="008939A6" w:rsidRPr="008939A6">
        <w:rPr>
          <w:szCs w:val="24"/>
        </w:rPr>
        <w:t>(COAG 2008, p. 9)</w:t>
      </w:r>
      <w:r w:rsidRPr="001529E1">
        <w:t>.</w:t>
      </w:r>
      <w:r>
        <w:t xml:space="preserve"> </w:t>
      </w:r>
    </w:p>
    <w:p w:rsidR="001D6319" w:rsidRDefault="002B1449" w:rsidP="005A72D3">
      <w:pPr>
        <w:pStyle w:val="BodyText"/>
      </w:pPr>
      <w:r>
        <w:t xml:space="preserve">The NDA </w:t>
      </w:r>
      <w:r w:rsidR="005A72D3">
        <w:t xml:space="preserve">itself </w:t>
      </w:r>
      <w:r>
        <w:t xml:space="preserve">does not contain an explicit purpose, </w:t>
      </w:r>
      <w:r w:rsidR="00A0119A">
        <w:t xml:space="preserve">although </w:t>
      </w:r>
      <w:r w:rsidR="00AE1E3B">
        <w:t>Governments</w:t>
      </w:r>
      <w:r w:rsidR="00A0119A">
        <w:t xml:space="preserve"> agreed to</w:t>
      </w:r>
      <w:r w:rsidR="007E3731">
        <w:t xml:space="preserve"> its</w:t>
      </w:r>
      <w:r w:rsidR="00A0119A">
        <w:t xml:space="preserve"> </w:t>
      </w:r>
      <w:r>
        <w:t>establish</w:t>
      </w:r>
      <w:r w:rsidR="007E3731">
        <w:t>ment</w:t>
      </w:r>
      <w:r>
        <w:t xml:space="preserve"> to</w:t>
      </w:r>
      <w:r w:rsidR="001D6319">
        <w:t>:</w:t>
      </w:r>
    </w:p>
    <w:p w:rsidR="001D6319" w:rsidRDefault="00A31F90" w:rsidP="00E829B0">
      <w:pPr>
        <w:pStyle w:val="Quote"/>
      </w:pPr>
      <w:r>
        <w:t>A</w:t>
      </w:r>
      <w:r w:rsidR="002B1449">
        <w:t>ffirm the commitment of all governments to work in partnership, and with stakeholders including people with disability their families and carers, to improve outcomes for people with disability and to clarify roles and responsibilities</w:t>
      </w:r>
      <w:r w:rsidR="00127577">
        <w:t xml:space="preserve"> </w:t>
      </w:r>
      <w:r w:rsidR="006A7CBC" w:rsidRPr="006A1D53">
        <w:rPr>
          <w:szCs w:val="24"/>
        </w:rPr>
        <w:t>(COAG 2009, p. 2)</w:t>
      </w:r>
      <w:r w:rsidR="002B1449">
        <w:t xml:space="preserve">. </w:t>
      </w:r>
    </w:p>
    <w:p w:rsidR="009D59FB" w:rsidRDefault="009D59FB" w:rsidP="009D59FB">
      <w:pPr>
        <w:pStyle w:val="BodyText"/>
      </w:pPr>
      <w:r w:rsidRPr="00441EF5">
        <w:t xml:space="preserve">The </w:t>
      </w:r>
      <w:r w:rsidR="005C2EEF" w:rsidRPr="00441EF5">
        <w:t xml:space="preserve">scope of the </w:t>
      </w:r>
      <w:r w:rsidRPr="00441EF5">
        <w:t>NDA</w:t>
      </w:r>
      <w:r w:rsidR="005C2EEF" w:rsidRPr="00441EF5">
        <w:t>, in terms of who it covers, is broad</w:t>
      </w:r>
      <w:r w:rsidR="00951306">
        <w:t>.</w:t>
      </w:r>
      <w:r w:rsidR="005C2EEF" w:rsidRPr="00441EF5" w:rsidDel="00951306">
        <w:t xml:space="preserve"> </w:t>
      </w:r>
      <w:r w:rsidR="00951306">
        <w:t>I</w:t>
      </w:r>
      <w:r w:rsidR="005C2EEF" w:rsidRPr="00441EF5">
        <w:t>t</w:t>
      </w:r>
      <w:r w:rsidRPr="00441EF5">
        <w:t xml:space="preserve"> covers all people with disability in Australia</w:t>
      </w:r>
      <w:r w:rsidR="00951306">
        <w:t xml:space="preserve"> </w:t>
      </w:r>
      <w:r w:rsidR="007D190D">
        <w:t xml:space="preserve">– </w:t>
      </w:r>
      <w:r w:rsidR="00951306">
        <w:t>about</w:t>
      </w:r>
      <w:r w:rsidR="00527578" w:rsidRPr="00596EFF">
        <w:t xml:space="preserve"> 4.3 million people, of which around 2.4 million require</w:t>
      </w:r>
      <w:r w:rsidR="00527578" w:rsidRPr="003F01BB">
        <w:t xml:space="preserve"> assistance with at least one daily activity</w:t>
      </w:r>
      <w:r w:rsidR="007D190D">
        <w:t xml:space="preserve"> </w:t>
      </w:r>
      <w:r w:rsidR="006A7CBC" w:rsidRPr="006A7CBC">
        <w:t>(ABS 2016)</w:t>
      </w:r>
      <w:r w:rsidR="00527578" w:rsidRPr="003F01BB">
        <w:t xml:space="preserve">. </w:t>
      </w:r>
      <w:r>
        <w:t>In terms of services, the NDA covers specialist disability services.</w:t>
      </w:r>
    </w:p>
    <w:p w:rsidR="0051231E" w:rsidRPr="00513831" w:rsidRDefault="0051231E" w:rsidP="00376941">
      <w:pPr>
        <w:pStyle w:val="BoxSpaceAboveElement"/>
        <w:keepLines/>
        <w:rPr>
          <w:vanish w:val="0"/>
          <w:color w:val="auto"/>
          <w:sz w:val="2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9D59FB" w:rsidTr="00FB5ECD">
        <w:trPr>
          <w:tblHeader/>
        </w:trPr>
        <w:tc>
          <w:tcPr>
            <w:tcW w:w="5000" w:type="pct"/>
            <w:tcBorders>
              <w:top w:val="single" w:sz="6" w:space="0" w:color="78A22F"/>
              <w:left w:val="nil"/>
              <w:bottom w:val="nil"/>
              <w:right w:val="nil"/>
            </w:tcBorders>
            <w:shd w:val="clear" w:color="auto" w:fill="auto"/>
          </w:tcPr>
          <w:p w:rsidR="009D59FB" w:rsidRPr="00CE4C64" w:rsidRDefault="009D59FB" w:rsidP="00FB5ECD">
            <w:pPr>
              <w:pStyle w:val="InformationRequestTitle"/>
              <w:spacing w:before="120"/>
            </w:pPr>
            <w:r>
              <w:t>questions</w:t>
            </w:r>
          </w:p>
        </w:tc>
      </w:tr>
      <w:tr w:rsidR="009D59FB" w:rsidRPr="00750BE2" w:rsidTr="00FB5ECD">
        <w:tc>
          <w:tcPr>
            <w:tcW w:w="5000" w:type="pct"/>
            <w:tcBorders>
              <w:top w:val="nil"/>
              <w:left w:val="nil"/>
              <w:bottom w:val="nil"/>
              <w:right w:val="nil"/>
            </w:tcBorders>
            <w:shd w:val="clear" w:color="auto" w:fill="auto"/>
          </w:tcPr>
          <w:p w:rsidR="004B52F5" w:rsidRDefault="004B52F5" w:rsidP="00D6030F">
            <w:pPr>
              <w:pStyle w:val="InformationRequestBullet"/>
            </w:pPr>
            <w:r>
              <w:t xml:space="preserve">In light of developments in the disability policy </w:t>
            </w:r>
            <w:r w:rsidR="00FD2733">
              <w:t>landscape</w:t>
            </w:r>
            <w:r w:rsidR="00F97A15">
              <w:t xml:space="preserve"> and intergovernmental funding arrangements</w:t>
            </w:r>
            <w:r>
              <w:t xml:space="preserve">, is an NDA still required? </w:t>
            </w:r>
          </w:p>
          <w:p w:rsidR="00BE6076" w:rsidRPr="003576B2" w:rsidRDefault="004B52F5" w:rsidP="00A02EF8">
            <w:pPr>
              <w:pStyle w:val="ListBullet2"/>
              <w:numPr>
                <w:ilvl w:val="0"/>
                <w:numId w:val="14"/>
              </w:numPr>
              <w:rPr>
                <w:rFonts w:asciiTheme="minorHAnsi" w:hAnsiTheme="minorHAnsi" w:cstheme="minorHAnsi"/>
                <w:i/>
                <w:sz w:val="22"/>
                <w:szCs w:val="22"/>
              </w:rPr>
            </w:pPr>
            <w:r w:rsidRPr="00E86332">
              <w:rPr>
                <w:rFonts w:asciiTheme="minorHAnsi" w:hAnsiTheme="minorHAnsi" w:cstheme="minorHAnsi"/>
                <w:i/>
                <w:sz w:val="22"/>
                <w:szCs w:val="22"/>
              </w:rPr>
              <w:t xml:space="preserve">If not, by what mechanism would outcomes for people with disability not covered by the NDIS (or related continuity of support arrangements) be </w:t>
            </w:r>
            <w:r w:rsidR="00FD2733" w:rsidRPr="00E86332">
              <w:rPr>
                <w:rFonts w:asciiTheme="minorHAnsi" w:hAnsiTheme="minorHAnsi" w:cstheme="minorHAnsi"/>
                <w:i/>
                <w:sz w:val="22"/>
                <w:szCs w:val="22"/>
              </w:rPr>
              <w:t>achieved</w:t>
            </w:r>
            <w:r w:rsidRPr="00FA7FA4">
              <w:rPr>
                <w:rFonts w:asciiTheme="minorHAnsi" w:hAnsiTheme="minorHAnsi" w:cstheme="minorHAnsi"/>
                <w:i/>
                <w:sz w:val="22"/>
                <w:szCs w:val="22"/>
              </w:rPr>
              <w:t>?</w:t>
            </w:r>
            <w:r w:rsidR="00E86332">
              <w:rPr>
                <w:rFonts w:asciiTheme="minorHAnsi" w:hAnsiTheme="minorHAnsi" w:cstheme="minorHAnsi"/>
                <w:i/>
                <w:sz w:val="22"/>
                <w:szCs w:val="22"/>
              </w:rPr>
              <w:t xml:space="preserve"> </w:t>
            </w:r>
          </w:p>
          <w:p w:rsidR="00E86332" w:rsidRDefault="004B52F5" w:rsidP="00A02EF8">
            <w:pPr>
              <w:pStyle w:val="ListBullet2"/>
              <w:numPr>
                <w:ilvl w:val="0"/>
                <w:numId w:val="14"/>
              </w:numPr>
            </w:pPr>
            <w:r w:rsidRPr="007A574F">
              <w:rPr>
                <w:rFonts w:asciiTheme="minorHAnsi" w:hAnsiTheme="minorHAnsi" w:cstheme="minorHAnsi"/>
                <w:i/>
                <w:sz w:val="22"/>
                <w:szCs w:val="22"/>
              </w:rPr>
              <w:t xml:space="preserve">If so, how can the NDA remain policy relevant </w:t>
            </w:r>
            <w:r w:rsidRPr="00A0119A">
              <w:rPr>
                <w:rFonts w:asciiTheme="minorHAnsi" w:hAnsiTheme="minorHAnsi" w:cstheme="minorHAnsi"/>
                <w:i/>
                <w:sz w:val="22"/>
                <w:szCs w:val="22"/>
              </w:rPr>
              <w:t xml:space="preserve">in </w:t>
            </w:r>
            <w:r w:rsidRPr="005C4521">
              <w:rPr>
                <w:rFonts w:asciiTheme="minorHAnsi" w:hAnsiTheme="minorHAnsi" w:cstheme="minorHAnsi"/>
                <w:i/>
                <w:sz w:val="22"/>
                <w:szCs w:val="22"/>
              </w:rPr>
              <w:t>a</w:t>
            </w:r>
            <w:r w:rsidR="00CD1DAD">
              <w:rPr>
                <w:rFonts w:asciiTheme="minorHAnsi" w:hAnsiTheme="minorHAnsi" w:cstheme="minorHAnsi"/>
                <w:i/>
                <w:sz w:val="22"/>
                <w:szCs w:val="22"/>
              </w:rPr>
              <w:t xml:space="preserve">n </w:t>
            </w:r>
            <w:r w:rsidRPr="00FA7FA4">
              <w:rPr>
                <w:rFonts w:asciiTheme="minorHAnsi" w:hAnsiTheme="minorHAnsi" w:cstheme="minorHAnsi"/>
                <w:i/>
                <w:sz w:val="22"/>
                <w:szCs w:val="22"/>
              </w:rPr>
              <w:t>evolving policy environment?</w:t>
            </w:r>
          </w:p>
          <w:p w:rsidR="00634760" w:rsidRDefault="00FD2733" w:rsidP="00FA7FA4">
            <w:pPr>
              <w:pStyle w:val="InformationRequestBullet"/>
            </w:pPr>
            <w:r>
              <w:t>What should be the purpose of the NDA</w:t>
            </w:r>
            <w:r w:rsidR="00073B5E">
              <w:t xml:space="preserve">? </w:t>
            </w:r>
            <w:r w:rsidR="00F553CD">
              <w:t>Is it</w:t>
            </w:r>
            <w:r w:rsidR="00FE01FB">
              <w:t xml:space="preserve"> an </w:t>
            </w:r>
            <w:r>
              <w:t xml:space="preserve">effective accountability mechanism for government </w:t>
            </w:r>
            <w:r w:rsidR="00D300F9">
              <w:t xml:space="preserve">actions relating to disability? If not, </w:t>
            </w:r>
            <w:r w:rsidR="00CD1DAD">
              <w:t>what are the</w:t>
            </w:r>
            <w:r w:rsidR="00D300F9">
              <w:t xml:space="preserve"> more effective mechanisms that could be used?</w:t>
            </w:r>
          </w:p>
          <w:p w:rsidR="00F23873" w:rsidRDefault="00F9743C" w:rsidP="00F9743C">
            <w:pPr>
              <w:pStyle w:val="InformationRequestBullet"/>
            </w:pPr>
            <w:r>
              <w:t xml:space="preserve">What should </w:t>
            </w:r>
            <w:r w:rsidR="00FD2733">
              <w:t xml:space="preserve">be </w:t>
            </w:r>
            <w:r>
              <w:t xml:space="preserve">the scope of the NDA? Should it continue to cover all people with disability? </w:t>
            </w:r>
            <w:r w:rsidR="005A72D3">
              <w:t>What services should it cover (such as specialist disability services and/or mainstream services</w:t>
            </w:r>
            <w:r w:rsidR="00CD1DAD">
              <w:t>,</w:t>
            </w:r>
            <w:r w:rsidR="005A72D3">
              <w:t xml:space="preserve"> </w:t>
            </w:r>
            <w:r w:rsidR="00477E57">
              <w:t>including</w:t>
            </w:r>
            <w:r w:rsidR="006B3268" w:rsidDel="00477E57">
              <w:t xml:space="preserve"> </w:t>
            </w:r>
            <w:r w:rsidR="006B3268">
              <w:t xml:space="preserve">mental </w:t>
            </w:r>
            <w:r w:rsidR="006B3268" w:rsidRPr="006B3268">
              <w:t xml:space="preserve">health, </w:t>
            </w:r>
            <w:r w:rsidR="00254B3C">
              <w:t>health</w:t>
            </w:r>
            <w:r w:rsidR="00477E57">
              <w:t>care</w:t>
            </w:r>
            <w:r w:rsidR="00254B3C">
              <w:t xml:space="preserve">, </w:t>
            </w:r>
            <w:r w:rsidR="006B3268" w:rsidRPr="006B3268">
              <w:t>aged care, education, transport, housing and justice</w:t>
            </w:r>
            <w:r w:rsidR="005A72D3">
              <w:t>)</w:t>
            </w:r>
            <w:r w:rsidR="005C2EEF">
              <w:t xml:space="preserve">? </w:t>
            </w:r>
          </w:p>
          <w:p w:rsidR="00F9743C" w:rsidRDefault="00FD2733" w:rsidP="00F9743C">
            <w:pPr>
              <w:pStyle w:val="InformationRequestBullet"/>
            </w:pPr>
            <w:r>
              <w:t xml:space="preserve">Is there a coherent link between the NDA and </w:t>
            </w:r>
            <w:r w:rsidR="002B37D2">
              <w:t xml:space="preserve">other </w:t>
            </w:r>
            <w:r w:rsidR="00F9743C">
              <w:t>relate</w:t>
            </w:r>
            <w:r w:rsidR="002B37D2">
              <w:t>d</w:t>
            </w:r>
            <w:r w:rsidR="00F9743C">
              <w:t xml:space="preserve"> </w:t>
            </w:r>
            <w:r>
              <w:t xml:space="preserve">agreements, strategies and </w:t>
            </w:r>
            <w:r w:rsidR="002B37D2">
              <w:t>policies</w:t>
            </w:r>
            <w:r w:rsidR="00634760">
              <w:t xml:space="preserve">, </w:t>
            </w:r>
            <w:r w:rsidR="00F9743C">
              <w:t>such as the NDS</w:t>
            </w:r>
            <w:r w:rsidR="0007213D">
              <w:t xml:space="preserve">, </w:t>
            </w:r>
            <w:r w:rsidR="00F9743C">
              <w:t>the NDIS</w:t>
            </w:r>
            <w:r w:rsidR="0007213D">
              <w:t xml:space="preserve"> and State and Territory disability strategies?</w:t>
            </w:r>
          </w:p>
          <w:p w:rsidR="009D59FB" w:rsidRPr="00F9743C" w:rsidRDefault="00894208" w:rsidP="00A02EF8">
            <w:pPr>
              <w:pStyle w:val="ListBullet2"/>
              <w:numPr>
                <w:ilvl w:val="0"/>
                <w:numId w:val="14"/>
              </w:numPr>
            </w:pPr>
            <w:r>
              <w:rPr>
                <w:rFonts w:asciiTheme="minorHAnsi" w:hAnsiTheme="minorHAnsi" w:cstheme="minorHAnsi"/>
                <w:i/>
                <w:sz w:val="22"/>
                <w:szCs w:val="22"/>
              </w:rPr>
              <w:t>If not, what should be the relationship between each of these strategies and agreements</w:t>
            </w:r>
            <w:r w:rsidR="00F9743C" w:rsidRPr="00FA7FA4">
              <w:rPr>
                <w:rFonts w:asciiTheme="minorHAnsi" w:hAnsiTheme="minorHAnsi" w:cstheme="minorHAnsi"/>
                <w:i/>
                <w:sz w:val="22"/>
                <w:szCs w:val="22"/>
              </w:rPr>
              <w:t>?</w:t>
            </w:r>
            <w:r w:rsidR="003636E8" w:rsidRPr="003636E8">
              <w:rPr>
                <w:rFonts w:asciiTheme="minorHAnsi" w:hAnsiTheme="minorHAnsi" w:cstheme="minorHAnsi"/>
                <w:i/>
                <w:sz w:val="22"/>
                <w:szCs w:val="22"/>
              </w:rPr>
              <w:t xml:space="preserve"> Is it necessary to have both an NDA and an NDS, and if so, why?</w:t>
            </w:r>
          </w:p>
        </w:tc>
      </w:tr>
      <w:tr w:rsidR="009D59FB" w:rsidTr="00FB5ECD">
        <w:tc>
          <w:tcPr>
            <w:tcW w:w="5000" w:type="pct"/>
            <w:tcBorders>
              <w:top w:val="nil"/>
              <w:left w:val="nil"/>
              <w:bottom w:val="single" w:sz="6" w:space="0" w:color="78A22F"/>
              <w:right w:val="nil"/>
            </w:tcBorders>
            <w:shd w:val="clear" w:color="auto" w:fill="auto"/>
          </w:tcPr>
          <w:p w:rsidR="009D59FB" w:rsidRDefault="009D59FB" w:rsidP="00FB5ECD">
            <w:pPr>
              <w:pStyle w:val="Space"/>
              <w:keepLines/>
            </w:pPr>
          </w:p>
        </w:tc>
      </w:tr>
      <w:tr w:rsidR="009D59FB" w:rsidRPr="000863A5" w:rsidTr="00FB5ECD">
        <w:tc>
          <w:tcPr>
            <w:tcW w:w="5000" w:type="pct"/>
            <w:tcBorders>
              <w:top w:val="single" w:sz="6" w:space="0" w:color="78A22F"/>
              <w:left w:val="nil"/>
              <w:bottom w:val="nil"/>
              <w:right w:val="nil"/>
            </w:tcBorders>
          </w:tcPr>
          <w:p w:rsidR="009D59FB" w:rsidRPr="00626D32" w:rsidRDefault="009D59FB" w:rsidP="00FB5ECD">
            <w:pPr>
              <w:pStyle w:val="BoxSpaceBelow"/>
              <w:keepLines/>
            </w:pPr>
          </w:p>
        </w:tc>
      </w:tr>
    </w:tbl>
    <w:p w:rsidR="003E7DCD" w:rsidRDefault="003E7DCD" w:rsidP="003434BC">
      <w:pPr>
        <w:pStyle w:val="Heading3"/>
      </w:pPr>
      <w:r>
        <w:t>Objectives</w:t>
      </w:r>
      <w:r w:rsidR="00D147ED">
        <w:t xml:space="preserve">, </w:t>
      </w:r>
      <w:r>
        <w:t xml:space="preserve">outcomes </w:t>
      </w:r>
      <w:r w:rsidR="00D147ED">
        <w:t xml:space="preserve">and outputs </w:t>
      </w:r>
      <w:r>
        <w:t>of the NDA</w:t>
      </w:r>
    </w:p>
    <w:p w:rsidR="00380E36" w:rsidRDefault="00380E36" w:rsidP="00C15421">
      <w:pPr>
        <w:pStyle w:val="BodyText"/>
      </w:pPr>
      <w:r>
        <w:t>All National Agreements detail the mutually agreed objectives, outcomes and outputs being pursued by the Commonwealth and States and Territories</w:t>
      </w:r>
      <w:r w:rsidR="008B5913">
        <w:t xml:space="preserve"> — that is, what they expect to achieve from their joint involveme</w:t>
      </w:r>
      <w:r w:rsidR="00433EEE">
        <w:t>nt</w:t>
      </w:r>
      <w:r w:rsidR="00D462AD">
        <w:t>.</w:t>
      </w:r>
    </w:p>
    <w:p w:rsidR="003E7DCD" w:rsidRPr="00C15421" w:rsidRDefault="001B026D" w:rsidP="00C15421">
      <w:pPr>
        <w:pStyle w:val="BodyText"/>
      </w:pPr>
      <w:r>
        <w:t xml:space="preserve">The </w:t>
      </w:r>
      <w:r w:rsidRPr="00771177">
        <w:rPr>
          <w:i/>
        </w:rPr>
        <w:t>objective</w:t>
      </w:r>
      <w:r w:rsidR="00771177">
        <w:t xml:space="preserve">, which </w:t>
      </w:r>
      <w:r>
        <w:t xml:space="preserve">defines the overarching aspiration for the </w:t>
      </w:r>
      <w:r w:rsidR="00771177">
        <w:t>NDA</w:t>
      </w:r>
      <w:r>
        <w:t xml:space="preserve"> </w:t>
      </w:r>
      <w:r w:rsidR="00C15421">
        <w:t>is that</w:t>
      </w:r>
      <w:r w:rsidR="00C15421" w:rsidRPr="009C618A">
        <w:t xml:space="preserve"> ‘</w:t>
      </w:r>
      <w:r w:rsidR="003E7DCD" w:rsidRPr="009C618A">
        <w:t xml:space="preserve">People with disability and their carers have an enhanced quality of life and participate as valued members of the </w:t>
      </w:r>
      <w:r w:rsidR="00C15421" w:rsidRPr="009C618A">
        <w:t>community’</w:t>
      </w:r>
      <w:r w:rsidR="006A7CBC" w:rsidRPr="006A7CBC">
        <w:rPr>
          <w:szCs w:val="24"/>
        </w:rPr>
        <w:t>(COAG 2009, p. 3)</w:t>
      </w:r>
      <w:r w:rsidR="00072F8E">
        <w:t>.</w:t>
      </w:r>
    </w:p>
    <w:p w:rsidR="003E7DCD" w:rsidRDefault="003E7DCD" w:rsidP="00433EEE">
      <w:pPr>
        <w:pStyle w:val="BodyText"/>
      </w:pPr>
      <w:r>
        <w:t xml:space="preserve">The </w:t>
      </w:r>
      <w:r w:rsidRPr="00771177">
        <w:rPr>
          <w:i/>
        </w:rPr>
        <w:t>outcomes</w:t>
      </w:r>
      <w:r>
        <w:t xml:space="preserve"> </w:t>
      </w:r>
      <w:r w:rsidR="001B026D">
        <w:t xml:space="preserve">describe the impact that government activity is expected to have on community wellbeing. They are designed to be strategic, high level and observable goals expressed in clear, measurable and achievable terms </w:t>
      </w:r>
      <w:r w:rsidR="006A7CBC" w:rsidRPr="006A7CBC">
        <w:rPr>
          <w:szCs w:val="24"/>
        </w:rPr>
        <w:t>(COAG 2009, p. A1)</w:t>
      </w:r>
      <w:r w:rsidR="001B026D">
        <w:t xml:space="preserve">. The outcomes </w:t>
      </w:r>
      <w:r>
        <w:t>of the NDA are</w:t>
      </w:r>
      <w:r w:rsidR="00CB709C">
        <w:t xml:space="preserve"> that</w:t>
      </w:r>
      <w:r>
        <w:t>:</w:t>
      </w:r>
    </w:p>
    <w:p w:rsidR="003E7DCD" w:rsidRDefault="003E7DCD" w:rsidP="00691E40">
      <w:pPr>
        <w:pStyle w:val="ListBullet"/>
      </w:pPr>
      <w:r>
        <w:t>people with disability achieve economic participation and social inclusion</w:t>
      </w:r>
    </w:p>
    <w:p w:rsidR="003E7DCD" w:rsidRDefault="003E7DCD" w:rsidP="00691E40">
      <w:pPr>
        <w:pStyle w:val="ListBullet"/>
      </w:pPr>
      <w:r>
        <w:t>people with disability enjoy choice, wellbeing and the opportunity to live as independently as possible</w:t>
      </w:r>
    </w:p>
    <w:p w:rsidR="003E7DCD" w:rsidRDefault="003E7DCD" w:rsidP="00691E40">
      <w:pPr>
        <w:pStyle w:val="ListBullet"/>
      </w:pPr>
      <w:r>
        <w:t>families and carers are well supported.</w:t>
      </w:r>
    </w:p>
    <w:p w:rsidR="00E05D71" w:rsidRDefault="00CB709C" w:rsidP="00F77E62">
      <w:pPr>
        <w:pStyle w:val="BodyText"/>
      </w:pPr>
      <w:r>
        <w:t>P</w:t>
      </w:r>
      <w:r w:rsidR="00E05D71">
        <w:t xml:space="preserve">rogress against these outcomes are tracked by the performance indicators and benchmarks </w:t>
      </w:r>
      <w:r>
        <w:t xml:space="preserve">outlined </w:t>
      </w:r>
      <w:r w:rsidR="00E05D71">
        <w:t>in the agreements (see below).</w:t>
      </w:r>
    </w:p>
    <w:p w:rsidR="00F77E62" w:rsidRDefault="00A324BA" w:rsidP="00F77E62">
      <w:pPr>
        <w:pStyle w:val="BodyText"/>
      </w:pPr>
      <w:r>
        <w:t>The</w:t>
      </w:r>
      <w:r w:rsidRPr="00771177">
        <w:t xml:space="preserve"> </w:t>
      </w:r>
      <w:r w:rsidRPr="00771177">
        <w:rPr>
          <w:i/>
        </w:rPr>
        <w:t>outputs</w:t>
      </w:r>
      <w:r>
        <w:t xml:space="preserve"> describe the services being delivered to achieve outcomes, as a way to broadly define roles and responsibilities, and to capture contributions to outcomes, particularly where outcomes themselves are difficult to measure or isolate </w:t>
      </w:r>
      <w:r w:rsidR="006A7CBC" w:rsidRPr="006A7CBC">
        <w:rPr>
          <w:szCs w:val="24"/>
        </w:rPr>
        <w:t>(COAG 2008, p. E9)</w:t>
      </w:r>
      <w:r w:rsidR="00984205">
        <w:t>.</w:t>
      </w:r>
      <w:r>
        <w:t xml:space="preserve"> </w:t>
      </w:r>
      <w:r w:rsidR="009041CE" w:rsidRPr="00BA0700">
        <w:t>The outputs of the NDA are</w:t>
      </w:r>
      <w:r w:rsidR="009041CE">
        <w:t xml:space="preserve">: </w:t>
      </w:r>
    </w:p>
    <w:p w:rsidR="00127ACC" w:rsidRDefault="008D0534" w:rsidP="00691E40">
      <w:pPr>
        <w:pStyle w:val="ListBullet"/>
      </w:pPr>
      <w:r>
        <w:t>s</w:t>
      </w:r>
      <w:r w:rsidR="00127ACC">
        <w:t>ervices that provide skills and supports to people with disability to enable them to live as independently as possible</w:t>
      </w:r>
    </w:p>
    <w:p w:rsidR="00127ACC" w:rsidRDefault="008D0534" w:rsidP="00691E40">
      <w:pPr>
        <w:pStyle w:val="ListBullet"/>
      </w:pPr>
      <w:r>
        <w:t>s</w:t>
      </w:r>
      <w:r w:rsidR="00127ACC">
        <w:t xml:space="preserve">ervices that assist people with disability to live in stable and sustainable living arrangements </w:t>
      </w:r>
    </w:p>
    <w:p w:rsidR="00127ACC" w:rsidRDefault="008D0534" w:rsidP="00691E40">
      <w:pPr>
        <w:pStyle w:val="ListBullet"/>
      </w:pPr>
      <w:r>
        <w:t>i</w:t>
      </w:r>
      <w:r w:rsidR="00127ACC">
        <w:t xml:space="preserve">ncome support for people with disability and their carers </w:t>
      </w:r>
    </w:p>
    <w:p w:rsidR="0017262F" w:rsidRPr="003E7DCD" w:rsidRDefault="008D0534" w:rsidP="00691E40">
      <w:pPr>
        <w:pStyle w:val="ListBullet"/>
      </w:pPr>
      <w:r>
        <w:t>s</w:t>
      </w:r>
      <w:r w:rsidR="00127ACC">
        <w:t>ervices that assist families and carers in their caring role</w:t>
      </w:r>
      <w:r w:rsidR="00072F8E">
        <w:t xml:space="preserve"> </w:t>
      </w:r>
      <w:r w:rsidR="006A7CBC" w:rsidRPr="006A7CBC">
        <w:rPr>
          <w:szCs w:val="24"/>
        </w:rPr>
        <w:t>(COAG 2009, p. 3)</w:t>
      </w:r>
      <w:r w:rsidR="00127ACC">
        <w:t>.</w:t>
      </w:r>
    </w:p>
    <w:p w:rsidR="00710B29" w:rsidRDefault="00A324BA" w:rsidP="00691E40">
      <w:pPr>
        <w:pStyle w:val="BodyText"/>
      </w:pPr>
      <w:r>
        <w:t>T</w:t>
      </w:r>
      <w:r w:rsidR="00E05D71">
        <w:t xml:space="preserve">he outputs are not directly linked to any performance measures. </w:t>
      </w:r>
    </w:p>
    <w:p w:rsidR="00710B29" w:rsidRDefault="00710B29">
      <w:pPr>
        <w:rPr>
          <w:szCs w:val="20"/>
        </w:rPr>
      </w:pPr>
      <w:r>
        <w:br w:type="page"/>
      </w:r>
    </w:p>
    <w:p w:rsidR="00D31281" w:rsidRPr="00513831" w:rsidRDefault="00D31281" w:rsidP="00D31281">
      <w:pPr>
        <w:pStyle w:val="BoxSpaceAboveElement"/>
        <w:keepLines/>
        <w:rPr>
          <w:vanish w:val="0"/>
          <w:color w:val="auto"/>
          <w:sz w:val="24"/>
          <w:szCs w:val="2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D31281" w:rsidTr="00D31281">
        <w:trPr>
          <w:tblHeader/>
        </w:trPr>
        <w:tc>
          <w:tcPr>
            <w:tcW w:w="5000" w:type="pct"/>
            <w:tcBorders>
              <w:top w:val="single" w:sz="6" w:space="0" w:color="78A22F"/>
              <w:left w:val="nil"/>
              <w:bottom w:val="nil"/>
              <w:right w:val="nil"/>
            </w:tcBorders>
            <w:shd w:val="clear" w:color="auto" w:fill="auto"/>
          </w:tcPr>
          <w:p w:rsidR="00D31281" w:rsidRPr="00CE4C64" w:rsidRDefault="00D31281" w:rsidP="00D31281">
            <w:pPr>
              <w:pStyle w:val="InformationRequestTitle"/>
              <w:spacing w:before="120"/>
            </w:pPr>
            <w:r>
              <w:t>questions</w:t>
            </w:r>
          </w:p>
        </w:tc>
      </w:tr>
      <w:tr w:rsidR="00D31281" w:rsidRPr="00750BE2" w:rsidTr="00D31281">
        <w:tc>
          <w:tcPr>
            <w:tcW w:w="5000" w:type="pct"/>
            <w:tcBorders>
              <w:top w:val="nil"/>
              <w:left w:val="nil"/>
              <w:bottom w:val="nil"/>
              <w:right w:val="nil"/>
            </w:tcBorders>
            <w:shd w:val="clear" w:color="auto" w:fill="auto"/>
          </w:tcPr>
          <w:p w:rsidR="00162769" w:rsidRDefault="00CB7C48" w:rsidP="00691E40">
            <w:pPr>
              <w:pStyle w:val="InformationRequestBullet"/>
            </w:pPr>
            <w:r>
              <w:t>Are the objectives, outcomes and outputs of the NDA relevant in the context of contemporary policy settings?</w:t>
            </w:r>
            <w:r w:rsidR="00E05D71">
              <w:t xml:space="preserve"> </w:t>
            </w:r>
            <w:r w:rsidR="00141C52">
              <w:t xml:space="preserve">Are they </w:t>
            </w:r>
            <w:r w:rsidR="00771177">
              <w:t xml:space="preserve">clear and </w:t>
            </w:r>
            <w:r w:rsidR="00141C52">
              <w:t xml:space="preserve">consistent? </w:t>
            </w:r>
          </w:p>
          <w:p w:rsidR="00F07645" w:rsidRPr="00EF0DF4" w:rsidRDefault="00F07645" w:rsidP="00EA556C">
            <w:pPr>
              <w:pStyle w:val="ListBullet2"/>
              <w:numPr>
                <w:ilvl w:val="0"/>
                <w:numId w:val="13"/>
              </w:numPr>
              <w:spacing w:line="260" w:lineRule="atLeast"/>
              <w:ind w:left="714" w:hanging="357"/>
              <w:rPr>
                <w:rFonts w:asciiTheme="minorHAnsi" w:hAnsiTheme="minorHAnsi" w:cstheme="minorHAnsi"/>
                <w:i/>
                <w:sz w:val="22"/>
                <w:szCs w:val="22"/>
              </w:rPr>
            </w:pPr>
            <w:r w:rsidRPr="00771177">
              <w:rPr>
                <w:rFonts w:asciiTheme="minorHAnsi" w:hAnsiTheme="minorHAnsi" w:cstheme="minorHAnsi"/>
                <w:i/>
                <w:sz w:val="22"/>
                <w:szCs w:val="22"/>
              </w:rPr>
              <w:t xml:space="preserve">How </w:t>
            </w:r>
            <w:r w:rsidR="00F2346A" w:rsidRPr="00771177">
              <w:rPr>
                <w:rFonts w:asciiTheme="minorHAnsi" w:hAnsiTheme="minorHAnsi" w:cstheme="minorHAnsi"/>
                <w:i/>
                <w:sz w:val="22"/>
                <w:szCs w:val="22"/>
              </w:rPr>
              <w:t>do they, or should they, relate</w:t>
            </w:r>
            <w:r w:rsidRPr="00771177">
              <w:rPr>
                <w:rFonts w:asciiTheme="minorHAnsi" w:hAnsiTheme="minorHAnsi" w:cstheme="minorHAnsi"/>
                <w:i/>
                <w:sz w:val="22"/>
                <w:szCs w:val="22"/>
              </w:rPr>
              <w:t xml:space="preserve"> to the six outcomes articulated in the NDS</w:t>
            </w:r>
            <w:r w:rsidR="009C2632">
              <w:rPr>
                <w:rFonts w:asciiTheme="minorHAnsi" w:hAnsiTheme="minorHAnsi" w:cstheme="minorHAnsi"/>
                <w:i/>
                <w:sz w:val="22"/>
                <w:szCs w:val="22"/>
              </w:rPr>
              <w:t xml:space="preserve"> and the outcomes of the NDIS</w:t>
            </w:r>
            <w:r w:rsidRPr="00771177">
              <w:rPr>
                <w:rFonts w:asciiTheme="minorHAnsi" w:hAnsiTheme="minorHAnsi" w:cstheme="minorHAnsi"/>
                <w:i/>
                <w:sz w:val="22"/>
                <w:szCs w:val="22"/>
              </w:rPr>
              <w:t>?</w:t>
            </w:r>
          </w:p>
          <w:p w:rsidR="00D31281" w:rsidRDefault="00162769" w:rsidP="00693A6E">
            <w:pPr>
              <w:pStyle w:val="InformationRequestBullet"/>
              <w:numPr>
                <w:ilvl w:val="0"/>
                <w:numId w:val="10"/>
              </w:numPr>
            </w:pPr>
            <w:r>
              <w:t>To what extent should the</w:t>
            </w:r>
            <w:r w:rsidR="00646B26">
              <w:t xml:space="preserve"> outcomes</w:t>
            </w:r>
            <w:r>
              <w:t xml:space="preserve"> be aspirational </w:t>
            </w:r>
            <w:r w:rsidR="002D747A">
              <w:t>(worked towards but not necessarily achieved</w:t>
            </w:r>
            <w:r w:rsidR="00776CE0">
              <w:t xml:space="preserve"> within a specified time period</w:t>
            </w:r>
            <w:r w:rsidR="002D747A">
              <w:t xml:space="preserve">), versus </w:t>
            </w:r>
            <w:r w:rsidR="00141C52">
              <w:t>achievable</w:t>
            </w:r>
            <w:r w:rsidR="002D747A">
              <w:t xml:space="preserve"> </w:t>
            </w:r>
            <w:r w:rsidR="00646B26">
              <w:t>within a defined period</w:t>
            </w:r>
            <w:r w:rsidR="00776CE0">
              <w:t>?</w:t>
            </w:r>
          </w:p>
          <w:p w:rsidR="00D31281" w:rsidRPr="006E7EE2" w:rsidRDefault="00F063FB" w:rsidP="00AA3A94">
            <w:pPr>
              <w:pStyle w:val="InformationRequestBullet"/>
            </w:pPr>
            <w:r>
              <w:t>Should there be specific performance measures linked to the outputs and if so, what should they be?</w:t>
            </w:r>
          </w:p>
        </w:tc>
      </w:tr>
      <w:tr w:rsidR="00D31281" w:rsidTr="00D31281">
        <w:tc>
          <w:tcPr>
            <w:tcW w:w="5000" w:type="pct"/>
            <w:tcBorders>
              <w:top w:val="nil"/>
              <w:left w:val="nil"/>
              <w:bottom w:val="single" w:sz="6" w:space="0" w:color="78A22F"/>
              <w:right w:val="nil"/>
            </w:tcBorders>
            <w:shd w:val="clear" w:color="auto" w:fill="auto"/>
          </w:tcPr>
          <w:p w:rsidR="00D31281" w:rsidRDefault="00D31281" w:rsidP="00D31281">
            <w:pPr>
              <w:pStyle w:val="Space"/>
              <w:keepLines/>
            </w:pPr>
          </w:p>
        </w:tc>
      </w:tr>
      <w:tr w:rsidR="00D31281" w:rsidRPr="000863A5" w:rsidTr="00D31281">
        <w:tc>
          <w:tcPr>
            <w:tcW w:w="5000" w:type="pct"/>
            <w:tcBorders>
              <w:top w:val="single" w:sz="6" w:space="0" w:color="78A22F"/>
              <w:left w:val="nil"/>
              <w:bottom w:val="nil"/>
              <w:right w:val="nil"/>
            </w:tcBorders>
          </w:tcPr>
          <w:p w:rsidR="00D31281" w:rsidRPr="00626D32" w:rsidRDefault="00D31281" w:rsidP="00D31281">
            <w:pPr>
              <w:pStyle w:val="BoxSpaceBelow"/>
              <w:keepLines/>
            </w:pPr>
          </w:p>
        </w:tc>
      </w:tr>
    </w:tbl>
    <w:p w:rsidR="00183A4B" w:rsidRDefault="00FF48D4" w:rsidP="004D43F2">
      <w:pPr>
        <w:pStyle w:val="Heading3"/>
      </w:pPr>
      <w:r>
        <w:t>Roles and r</w:t>
      </w:r>
      <w:r w:rsidR="003434BC">
        <w:t>esponsibilities</w:t>
      </w:r>
      <w:r w:rsidR="00357F40">
        <w:t xml:space="preserve"> of Governments</w:t>
      </w:r>
      <w:r w:rsidR="00CF75FC">
        <w:t xml:space="preserve"> </w:t>
      </w:r>
    </w:p>
    <w:p w:rsidR="007E3216" w:rsidRDefault="0028562F" w:rsidP="007E3216">
      <w:pPr>
        <w:pStyle w:val="BodyText"/>
      </w:pPr>
      <w:r>
        <w:t>The NDA sets out the high</w:t>
      </w:r>
      <w:r w:rsidR="00CF75FC">
        <w:noBreakHyphen/>
      </w:r>
      <w:r>
        <w:t xml:space="preserve">level roles and responsibilities of the Commonwealth and State and Territory Governments, as well as </w:t>
      </w:r>
      <w:r w:rsidR="00FC25EB">
        <w:t>the</w:t>
      </w:r>
      <w:r w:rsidR="00931AF1">
        <w:t>ir</w:t>
      </w:r>
      <w:r w:rsidR="00FC25EB">
        <w:t xml:space="preserve"> </w:t>
      </w:r>
      <w:r>
        <w:t>shared roles and responsibilities</w:t>
      </w:r>
      <w:r w:rsidR="00943ED5">
        <w:t xml:space="preserve">, in a range of areas affecting people with disability and their carers </w:t>
      </w:r>
      <w:r w:rsidR="0014325A">
        <w:t>(figure</w:t>
      </w:r>
      <w:r w:rsidR="00CF75FC">
        <w:t> </w:t>
      </w:r>
      <w:r w:rsidR="00377842">
        <w:t>3</w:t>
      </w:r>
      <w:r w:rsidR="0014325A">
        <w:t>)</w:t>
      </w:r>
      <w:r>
        <w:t>.</w:t>
      </w:r>
      <w:r w:rsidR="00190506" w:rsidDel="00B02C92">
        <w:t xml:space="preserve"> </w:t>
      </w:r>
      <w:r w:rsidR="007E3216">
        <w:t>In conducting this review of the NDA, the Commission will examine whether the roles and responsibilities are articulated in a clear and transparent manner, and whether they are allocated effectively.</w:t>
      </w:r>
    </w:p>
    <w:p w:rsidR="007B2C70" w:rsidRDefault="007B2C70" w:rsidP="007B2C70">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7B2C70" w:rsidTr="007B2C70">
        <w:trPr>
          <w:tblHeader/>
        </w:trPr>
        <w:tc>
          <w:tcPr>
            <w:tcW w:w="5000" w:type="pct"/>
            <w:tcBorders>
              <w:top w:val="single" w:sz="6" w:space="0" w:color="78A22F"/>
              <w:left w:val="nil"/>
              <w:bottom w:val="nil"/>
              <w:right w:val="nil"/>
            </w:tcBorders>
            <w:shd w:val="clear" w:color="auto" w:fill="auto"/>
          </w:tcPr>
          <w:p w:rsidR="007B2C70" w:rsidRPr="00176D3F" w:rsidRDefault="007B2C70" w:rsidP="00911830">
            <w:pPr>
              <w:pStyle w:val="FigureTitle"/>
            </w:pPr>
            <w:r w:rsidRPr="00784A05">
              <w:rPr>
                <w:b w:val="0"/>
              </w:rPr>
              <w:t xml:space="preserve">Figure </w:t>
            </w:r>
            <w:r w:rsidR="00377842">
              <w:rPr>
                <w:b w:val="0"/>
              </w:rPr>
              <w:t>3</w:t>
            </w:r>
            <w:r>
              <w:tab/>
            </w:r>
            <w:r w:rsidR="0028562F">
              <w:t xml:space="preserve">Summary of roles and responsibilities </w:t>
            </w:r>
            <w:r w:rsidR="00911830">
              <w:t xml:space="preserve">in </w:t>
            </w:r>
            <w:r w:rsidR="0028562F">
              <w:t xml:space="preserve">the </w:t>
            </w:r>
            <w:r w:rsidR="00911830">
              <w:t xml:space="preserve">current </w:t>
            </w:r>
            <w:r w:rsidR="0028562F">
              <w:t>NDA</w:t>
            </w:r>
          </w:p>
        </w:tc>
      </w:tr>
      <w:tr w:rsidR="007B2C70" w:rsidTr="007B2C70">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7B2C70" w:rsidRPr="00B1465D" w:rsidTr="007B2C70">
              <w:trPr>
                <w:tblHeader/>
                <w:jc w:val="center"/>
              </w:trPr>
              <w:tc>
                <w:tcPr>
                  <w:tcW w:w="5000" w:type="pct"/>
                  <w:tcBorders>
                    <w:top w:val="nil"/>
                    <w:bottom w:val="nil"/>
                  </w:tcBorders>
                </w:tcPr>
                <w:p w:rsidR="007B2C70" w:rsidRPr="00B1465D" w:rsidRDefault="00D70BAF" w:rsidP="007B2C70">
                  <w:pPr>
                    <w:pStyle w:val="Figure"/>
                    <w:spacing w:before="60" w:after="60"/>
                    <w:rPr>
                      <w:rFonts w:ascii="Arial" w:hAnsi="Arial" w:cs="Arial"/>
                      <w:sz w:val="18"/>
                      <w:szCs w:val="18"/>
                    </w:rPr>
                  </w:pPr>
                  <w:r w:rsidRPr="00D70BAF">
                    <w:rPr>
                      <w:rFonts w:ascii="Arial" w:hAnsi="Arial" w:cs="Arial"/>
                      <w:noProof/>
                      <w:sz w:val="18"/>
                      <w:szCs w:val="18"/>
                    </w:rPr>
                    <w:drawing>
                      <wp:inline distT="0" distB="0" distL="0" distR="0" wp14:anchorId="3D84F1F2" wp14:editId="30429E2B">
                        <wp:extent cx="5324475" cy="2733675"/>
                        <wp:effectExtent l="0" t="0" r="9525" b="9525"/>
                        <wp:docPr id="6" name="Picture 6" descr="Roles and responsibilities in the NDA either sit with the Commonwealth, the States and Territories or are shared between them. Roles and responsibilities that sit with the Commonwealth include the provision of employment services, incomes support and providing some funds to the States and Territories; funding disability services delivered by the States for the aged; investing in initiatives to support policy priorities; and developing policy and reform directions. &#10;&#10;Roles and responsibilities that sit with the States and Territories include the provision of disability services; funding and regulating community care services for people under 65 (50 for Indigenous Australians); funding packaged community and residential aged care delivered under Commonwealth programs to people under the age of 65 (50 for indigenous Australians); and delivering policy and reform directions. &#10;&#10;Shared roles and responsibilities include funding and pursuing research; improving continuity of care improving outcomes for Indigenous people with a disability; the provision of data; meeting commitments under  the National Partnership Agreement on Transitioning Responsibilities for Aged Care and Disability Services; and aligning legisl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24475" cy="2733675"/>
                                </a:xfrm>
                                <a:prstGeom prst="rect">
                                  <a:avLst/>
                                </a:prstGeom>
                                <a:noFill/>
                                <a:ln>
                                  <a:noFill/>
                                </a:ln>
                              </pic:spPr>
                            </pic:pic>
                          </a:graphicData>
                        </a:graphic>
                      </wp:inline>
                    </w:drawing>
                  </w:r>
                </w:p>
              </w:tc>
            </w:tr>
          </w:tbl>
          <w:p w:rsidR="007B2C70" w:rsidRDefault="007B2C70" w:rsidP="007B2C70">
            <w:pPr>
              <w:pStyle w:val="Figure"/>
            </w:pPr>
          </w:p>
        </w:tc>
      </w:tr>
      <w:tr w:rsidR="007B2C70" w:rsidRPr="00176D3F" w:rsidTr="007B2C70">
        <w:tc>
          <w:tcPr>
            <w:tcW w:w="5000" w:type="pct"/>
            <w:tcBorders>
              <w:top w:val="nil"/>
              <w:left w:val="nil"/>
              <w:bottom w:val="nil"/>
              <w:right w:val="nil"/>
            </w:tcBorders>
            <w:shd w:val="clear" w:color="auto" w:fill="auto"/>
          </w:tcPr>
          <w:p w:rsidR="007B2C70" w:rsidRPr="00F50AD6" w:rsidRDefault="002F7E44" w:rsidP="0028562F">
            <w:pPr>
              <w:pStyle w:val="Note"/>
              <w:rPr>
                <w:b/>
                <w:position w:val="6"/>
              </w:rPr>
            </w:pPr>
            <w:r>
              <w:rPr>
                <w:rStyle w:val="NoteLabel"/>
              </w:rPr>
              <w:t>a</w:t>
            </w:r>
            <w:r w:rsidRPr="00A60D55">
              <w:t xml:space="preserve"> National Partnership Agreement on Transitioning Responsibilities for Aged Care and Disability Services</w:t>
            </w:r>
            <w:r>
              <w:rPr>
                <w:rStyle w:val="NoteLabel"/>
              </w:rPr>
              <w:t xml:space="preserve"> b</w:t>
            </w:r>
            <w:r w:rsidR="007B2C70">
              <w:t xml:space="preserve"> </w:t>
            </w:r>
            <w:r w:rsidR="0028562F">
              <w:t>Except for Victoria and Western Australia</w:t>
            </w:r>
            <w:r w:rsidR="007B2C70">
              <w:t>.</w:t>
            </w:r>
            <w:r w:rsidR="00A60D55">
              <w:t xml:space="preserve"> </w:t>
            </w:r>
          </w:p>
        </w:tc>
      </w:tr>
      <w:tr w:rsidR="007B2C70" w:rsidRPr="00176D3F" w:rsidTr="007B2C70">
        <w:tc>
          <w:tcPr>
            <w:tcW w:w="5000" w:type="pct"/>
            <w:tcBorders>
              <w:top w:val="nil"/>
              <w:left w:val="nil"/>
              <w:bottom w:val="nil"/>
              <w:right w:val="nil"/>
            </w:tcBorders>
            <w:shd w:val="clear" w:color="auto" w:fill="auto"/>
          </w:tcPr>
          <w:p w:rsidR="007B2C70" w:rsidRPr="00176D3F" w:rsidRDefault="007B2C70" w:rsidP="007B2C70">
            <w:pPr>
              <w:pStyle w:val="Source"/>
            </w:pPr>
            <w:r w:rsidRPr="00784A05">
              <w:rPr>
                <w:i/>
              </w:rPr>
              <w:t>Data source</w:t>
            </w:r>
            <w:r w:rsidRPr="00176D3F">
              <w:t xml:space="preserve">: </w:t>
            </w:r>
            <w:r w:rsidR="0028562F">
              <w:t>COAG (2012).</w:t>
            </w:r>
          </w:p>
        </w:tc>
      </w:tr>
      <w:tr w:rsidR="007B2C70" w:rsidTr="007B2C70">
        <w:tc>
          <w:tcPr>
            <w:tcW w:w="5000" w:type="pct"/>
            <w:tcBorders>
              <w:top w:val="nil"/>
              <w:left w:val="nil"/>
              <w:bottom w:val="single" w:sz="6" w:space="0" w:color="78A22F"/>
              <w:right w:val="nil"/>
            </w:tcBorders>
            <w:shd w:val="clear" w:color="auto" w:fill="auto"/>
          </w:tcPr>
          <w:p w:rsidR="007B2C70" w:rsidRDefault="007B2C70" w:rsidP="007B2C70">
            <w:pPr>
              <w:pStyle w:val="Figurespace"/>
            </w:pPr>
          </w:p>
        </w:tc>
      </w:tr>
      <w:tr w:rsidR="007B2C70" w:rsidRPr="000863A5" w:rsidTr="007B2C70">
        <w:tc>
          <w:tcPr>
            <w:tcW w:w="5000" w:type="pct"/>
            <w:tcBorders>
              <w:top w:val="single" w:sz="6" w:space="0" w:color="78A22F"/>
              <w:left w:val="nil"/>
              <w:bottom w:val="nil"/>
              <w:right w:val="nil"/>
            </w:tcBorders>
          </w:tcPr>
          <w:p w:rsidR="007B2C70" w:rsidRPr="00626D32" w:rsidRDefault="007B2C70" w:rsidP="007B2C70">
            <w:pPr>
              <w:pStyle w:val="BoxSpaceBelow"/>
            </w:pPr>
          </w:p>
        </w:tc>
      </w:tr>
    </w:tbl>
    <w:p w:rsidR="00F50AD6" w:rsidRDefault="00F50AD6" w:rsidP="00F50AD6">
      <w:pPr>
        <w:pStyle w:val="BodyText"/>
      </w:pPr>
      <w:r>
        <w:t xml:space="preserve">The focus of the disability services referred to in the NDA are those that are specifically designed to meet the needs of people with disabilities (specialist disability services). But as noted in the agreement, these are complemented by mainstream services such as education, primary health care, and justice. Responsibilities for mainstream services are outlined outside the NDA and are shared by Commonwealth and State and Territory </w:t>
      </w:r>
      <w:r w:rsidR="00AE1E3B">
        <w:t>G</w:t>
      </w:r>
      <w:r>
        <w:t xml:space="preserve">overnments. </w:t>
      </w:r>
    </w:p>
    <w:p w:rsidR="00F50AD6" w:rsidRDefault="00F50AD6" w:rsidP="00F50AD6">
      <w:pPr>
        <w:pStyle w:val="BodyText"/>
      </w:pPr>
      <w:r>
        <w:t>How disability services and mainstream services will work together is the subject of ongoing consideration. The</w:t>
      </w:r>
      <w:r w:rsidDel="008B3AB6">
        <w:t xml:space="preserve"> </w:t>
      </w:r>
      <w:r>
        <w:t>NDIS has changed the</w:t>
      </w:r>
      <w:r w:rsidR="00B77184">
        <w:t xml:space="preserve"> roles and responsibilities of g</w:t>
      </w:r>
      <w:r>
        <w:t>overnments since the updated NDA was agreed in 2012, most notably with the Commonwealth now sharing responsibility with the States for the provision of disability services</w:t>
      </w:r>
      <w:r w:rsidRPr="00AE693E">
        <w:rPr>
          <w:rStyle w:val="FootnoteReference"/>
        </w:rPr>
        <w:footnoteReference w:id="2"/>
      </w:r>
      <w:r>
        <w:t xml:space="preserve">. This sharing of responsibilities </w:t>
      </w:r>
      <w:r w:rsidR="00A371FC">
        <w:t>is</w:t>
      </w:r>
      <w:r>
        <w:t xml:space="preserve"> creating confusion about who exactly is responsible for which services and user cohorts. The balance of some other shared responsibilities, such as data collection and research, have also changed.</w:t>
      </w:r>
    </w:p>
    <w:p w:rsidR="00D404A8" w:rsidRDefault="00D404A8" w:rsidP="00D404A8">
      <w:pPr>
        <w:pStyle w:val="BodyText"/>
      </w:pPr>
      <w:r>
        <w:t>In its review of NDIS Costs (2017), the Productivity Commission identified a lack of clarity in the roles and responsibilities of governments related to:</w:t>
      </w:r>
    </w:p>
    <w:p w:rsidR="00D404A8" w:rsidRDefault="00D404A8" w:rsidP="00D404A8">
      <w:pPr>
        <w:pStyle w:val="ListBullet"/>
      </w:pPr>
      <w:r>
        <w:t>market stewardship, which means facilitating the timely creation and development of the disability support market and ensuring that it develops in a way that meets objectives</w:t>
      </w:r>
    </w:p>
    <w:p w:rsidR="00D404A8" w:rsidRDefault="00D404A8" w:rsidP="00D404A8">
      <w:pPr>
        <w:pStyle w:val="ListBullet"/>
      </w:pPr>
      <w:r>
        <w:t>workforce development, including ensuring there are enough qualified workers to deliver high quality supports</w:t>
      </w:r>
      <w:r w:rsidR="00CF75FC">
        <w:t xml:space="preserve"> </w:t>
      </w:r>
    </w:p>
    <w:p w:rsidR="00D404A8" w:rsidRDefault="00D404A8" w:rsidP="00D404A8">
      <w:pPr>
        <w:pStyle w:val="ListBullet"/>
      </w:pPr>
      <w:r>
        <w:t>the funding of advocacy services (which includes systemic advocacy, individual advocacy and self</w:t>
      </w:r>
      <w:r w:rsidR="00CF75FC">
        <w:noBreakHyphen/>
      </w:r>
      <w:r>
        <w:t xml:space="preserve">advocacy) </w:t>
      </w:r>
    </w:p>
    <w:p w:rsidR="00D404A8" w:rsidRDefault="00D404A8" w:rsidP="00D404A8">
      <w:pPr>
        <w:pStyle w:val="ListBullet"/>
      </w:pPr>
      <w:r>
        <w:t xml:space="preserve">the provision of disability services to people who are not eligible for the NDIS and not covered by continuity of support arrangements </w:t>
      </w:r>
    </w:p>
    <w:p w:rsidR="00D404A8" w:rsidRDefault="00D404A8" w:rsidP="00D404A8">
      <w:pPr>
        <w:pStyle w:val="ListBullet2"/>
      </w:pPr>
      <w:r>
        <w:t>some States have signalled that they will not provide any specialist disability services and that all services to people with disability outside the NDIS will be provided through mainstream service</w:t>
      </w:r>
      <w:r w:rsidR="00A371FC">
        <w:t>s</w:t>
      </w:r>
      <w:r>
        <w:t xml:space="preserve">, whereas others have stated that they will continue to provide specialist disability services in addition to mainstream services. </w:t>
      </w:r>
    </w:p>
    <w:p w:rsidR="00D404A8" w:rsidRDefault="00D404A8" w:rsidP="00F7028E">
      <w:pPr>
        <w:pStyle w:val="ListBullet"/>
      </w:pPr>
      <w:r>
        <w:t>the way the NDIS interfaces with mainstream services.</w:t>
      </w:r>
    </w:p>
    <w:p w:rsidR="009B00EE" w:rsidRDefault="009B00EE" w:rsidP="00D404A8">
      <w:pPr>
        <w:pStyle w:val="BodyText"/>
      </w:pPr>
      <w:r>
        <w:t xml:space="preserve">The Commission also found that </w:t>
      </w:r>
      <w:r w:rsidR="0056530E">
        <w:t xml:space="preserve">there was </w:t>
      </w:r>
      <w:r w:rsidR="00F50AD6">
        <w:t>significant</w:t>
      </w:r>
      <w:r w:rsidR="0056530E">
        <w:t xml:space="preserve"> confusion about the role of Local Area Coordinators in the NDIS, and that </w:t>
      </w:r>
      <w:r>
        <w:t>funding for ILC activities was too low</w:t>
      </w:r>
      <w:r w:rsidR="0056530E">
        <w:t xml:space="preserve"> </w:t>
      </w:r>
      <w:r w:rsidR="0056530E" w:rsidRPr="0056530E">
        <w:rPr>
          <w:szCs w:val="24"/>
        </w:rPr>
        <w:t>(PC 2017)</w:t>
      </w:r>
      <w:r w:rsidR="0056530E">
        <w:t>.</w:t>
      </w:r>
      <w:r>
        <w:t xml:space="preserve"> </w:t>
      </w:r>
    </w:p>
    <w:p w:rsidR="003E2CAA" w:rsidRDefault="00D404A8" w:rsidP="00D404A8">
      <w:pPr>
        <w:pStyle w:val="BodyText"/>
      </w:pPr>
      <w:r>
        <w:t xml:space="preserve">This lack of clarity </w:t>
      </w:r>
      <w:r w:rsidR="00BC4E9A">
        <w:t xml:space="preserve">could </w:t>
      </w:r>
      <w:r>
        <w:t xml:space="preserve">be contributing to gaps and duplication in the provision of disability services, </w:t>
      </w:r>
      <w:r w:rsidR="00BC4E9A">
        <w:t xml:space="preserve">and could be an impediment to </w:t>
      </w:r>
      <w:r>
        <w:t>accountability.</w:t>
      </w:r>
      <w:r w:rsidR="003E2CAA">
        <w:t xml:space="preserve"> </w:t>
      </w:r>
      <w:r w:rsidR="0028380A">
        <w:t>Insufficient resourcing of ILC activities could also disadvantage those found ineligible for the NDIS.</w:t>
      </w:r>
    </w:p>
    <w:p w:rsidR="00D31281" w:rsidRPr="00513831" w:rsidRDefault="00D31281" w:rsidP="00D31281">
      <w:pPr>
        <w:pStyle w:val="BoxSpaceAboveElement"/>
        <w:keepLines/>
        <w:rPr>
          <w:vanish w:val="0"/>
          <w:color w:val="auto"/>
          <w:sz w:val="24"/>
          <w:szCs w:val="2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D31281" w:rsidTr="00D31281">
        <w:trPr>
          <w:tblHeader/>
        </w:trPr>
        <w:tc>
          <w:tcPr>
            <w:tcW w:w="5000" w:type="pct"/>
            <w:tcBorders>
              <w:top w:val="single" w:sz="6" w:space="0" w:color="78A22F"/>
              <w:left w:val="nil"/>
              <w:bottom w:val="nil"/>
              <w:right w:val="nil"/>
            </w:tcBorders>
            <w:shd w:val="clear" w:color="auto" w:fill="auto"/>
          </w:tcPr>
          <w:p w:rsidR="00D31281" w:rsidRPr="00CE4C64" w:rsidRDefault="00D31281" w:rsidP="00D31281">
            <w:pPr>
              <w:pStyle w:val="InformationRequestTitle"/>
              <w:spacing w:before="120"/>
            </w:pPr>
            <w:r>
              <w:t>questions</w:t>
            </w:r>
          </w:p>
        </w:tc>
      </w:tr>
      <w:tr w:rsidR="00D31281" w:rsidRPr="00750BE2" w:rsidTr="00D31281">
        <w:tc>
          <w:tcPr>
            <w:tcW w:w="5000" w:type="pct"/>
            <w:tcBorders>
              <w:top w:val="nil"/>
              <w:left w:val="nil"/>
              <w:bottom w:val="nil"/>
              <w:right w:val="nil"/>
            </w:tcBorders>
            <w:shd w:val="clear" w:color="auto" w:fill="auto"/>
          </w:tcPr>
          <w:p w:rsidR="00C466FB" w:rsidRPr="00C466FB" w:rsidRDefault="003D0F44" w:rsidP="00E442E8">
            <w:pPr>
              <w:pStyle w:val="InformationRequestBullet"/>
            </w:pPr>
            <w:r>
              <w:t>How have the roles and responsibilities of Governments changed since the NDA was</w:t>
            </w:r>
            <w:r w:rsidR="007A0EA3">
              <w:t xml:space="preserve"> </w:t>
            </w:r>
            <w:r>
              <w:t>updated in 2012?</w:t>
            </w:r>
            <w:r w:rsidR="007C1E0C">
              <w:t xml:space="preserve"> Are roles and responsibilities clear</w:t>
            </w:r>
            <w:r w:rsidR="007C1E0C" w:rsidDel="00103213">
              <w:t>?</w:t>
            </w:r>
            <w:r w:rsidR="00555F18">
              <w:t xml:space="preserve"> </w:t>
            </w:r>
          </w:p>
          <w:p w:rsidR="00C466FB" w:rsidRPr="00C466FB" w:rsidRDefault="003D0F44" w:rsidP="005D5DDE">
            <w:pPr>
              <w:pStyle w:val="InformationRequestBullet"/>
            </w:pPr>
            <w:r w:rsidRPr="00C92573">
              <w:t>What criteria should be used to assess roles and responsibilities</w:t>
            </w:r>
            <w:r>
              <w:t xml:space="preserve"> of Governments under the NDA</w:t>
            </w:r>
            <w:r w:rsidRPr="00C92573">
              <w:t>?</w:t>
            </w:r>
          </w:p>
          <w:p w:rsidR="00765502" w:rsidRDefault="003A356C" w:rsidP="005D5DDE">
            <w:pPr>
              <w:pStyle w:val="InformationRequestBullet"/>
            </w:pPr>
            <w:r>
              <w:t>In light of the changing policy landscape</w:t>
            </w:r>
            <w:r w:rsidR="00580ACA">
              <w:t xml:space="preserve"> (particularly with respect to the NDIS)</w:t>
            </w:r>
            <w:r>
              <w:t xml:space="preserve">, do the roles and responsibilities of </w:t>
            </w:r>
            <w:r w:rsidR="00555F18">
              <w:t>Governments</w:t>
            </w:r>
            <w:r>
              <w:t xml:space="preserve"> in the NDA need to change?</w:t>
            </w:r>
            <w:r w:rsidR="006B6013">
              <w:t xml:space="preserve"> </w:t>
            </w:r>
            <w:r w:rsidR="00B04503">
              <w:t>H</w:t>
            </w:r>
            <w:r w:rsidR="006B6013">
              <w:t>ow?</w:t>
            </w:r>
          </w:p>
          <w:p w:rsidR="00B04503" w:rsidRPr="00AD69D1" w:rsidRDefault="00B04503" w:rsidP="00A02EF8">
            <w:pPr>
              <w:pStyle w:val="ListBullet2"/>
              <w:numPr>
                <w:ilvl w:val="0"/>
                <w:numId w:val="13"/>
              </w:numPr>
              <w:spacing w:line="260" w:lineRule="atLeast"/>
              <w:ind w:left="714" w:hanging="357"/>
              <w:rPr>
                <w:rFonts w:asciiTheme="minorHAnsi" w:hAnsiTheme="minorHAnsi" w:cstheme="minorHAnsi"/>
                <w:szCs w:val="22"/>
              </w:rPr>
            </w:pPr>
            <w:r>
              <w:rPr>
                <w:rFonts w:asciiTheme="minorHAnsi" w:hAnsiTheme="minorHAnsi" w:cstheme="minorHAnsi"/>
                <w:i/>
                <w:sz w:val="22"/>
                <w:szCs w:val="22"/>
              </w:rPr>
              <w:t>What role should the NDA play in assigning responsibilities for all disability services between governments? How should this relate to the responsibilities set out in the NDIS bilateral agreements?</w:t>
            </w:r>
          </w:p>
          <w:p w:rsidR="00765502" w:rsidRPr="00254B3C" w:rsidRDefault="00765502" w:rsidP="00A02EF8">
            <w:pPr>
              <w:pStyle w:val="ListBullet2"/>
              <w:numPr>
                <w:ilvl w:val="0"/>
                <w:numId w:val="13"/>
              </w:numPr>
              <w:spacing w:line="260" w:lineRule="atLeast"/>
              <w:ind w:left="714" w:hanging="357"/>
              <w:rPr>
                <w:rFonts w:asciiTheme="minorHAnsi" w:hAnsiTheme="minorHAnsi" w:cstheme="minorHAnsi"/>
                <w:szCs w:val="22"/>
              </w:rPr>
            </w:pPr>
            <w:r w:rsidRPr="00254B3C">
              <w:rPr>
                <w:rFonts w:asciiTheme="minorHAnsi" w:hAnsiTheme="minorHAnsi" w:cstheme="minorHAnsi"/>
                <w:i/>
                <w:sz w:val="22"/>
                <w:szCs w:val="22"/>
              </w:rPr>
              <w:t xml:space="preserve">Should the roles and responsibilities of mainstream services to people with a disability be </w:t>
            </w:r>
            <w:r w:rsidR="00DA1285" w:rsidRPr="00254B3C">
              <w:rPr>
                <w:rFonts w:asciiTheme="minorHAnsi" w:hAnsiTheme="minorHAnsi" w:cstheme="minorHAnsi"/>
                <w:i/>
                <w:sz w:val="22"/>
                <w:szCs w:val="22"/>
              </w:rPr>
              <w:t xml:space="preserve">more clearly </w:t>
            </w:r>
            <w:r w:rsidRPr="00254B3C">
              <w:rPr>
                <w:rFonts w:asciiTheme="minorHAnsi" w:hAnsiTheme="minorHAnsi" w:cstheme="minorHAnsi"/>
                <w:i/>
                <w:sz w:val="22"/>
                <w:szCs w:val="22"/>
              </w:rPr>
              <w:t>outlined in a national agreement?</w:t>
            </w:r>
          </w:p>
          <w:p w:rsidR="009041CE" w:rsidRDefault="00F7028E" w:rsidP="00E442E8">
            <w:pPr>
              <w:pStyle w:val="InformationRequestBullet"/>
            </w:pPr>
            <w:r>
              <w:t xml:space="preserve">Should the agreement </w:t>
            </w:r>
            <w:r w:rsidR="00F50AD6">
              <w:t>set out responsibility for</w:t>
            </w:r>
            <w:r>
              <w:t xml:space="preserve"> </w:t>
            </w:r>
            <w:r w:rsidR="009041CE">
              <w:t xml:space="preserve">reforms to </w:t>
            </w:r>
            <w:r>
              <w:t>broader regulation that affect people with disability (such as building standards)?</w:t>
            </w:r>
          </w:p>
          <w:p w:rsidR="000359F5" w:rsidRDefault="00DA4F77" w:rsidP="000359F5">
            <w:pPr>
              <w:pStyle w:val="InformationRequestBullet"/>
            </w:pPr>
            <w:r>
              <w:t>How has</w:t>
            </w:r>
            <w:r w:rsidR="000359F5">
              <w:t xml:space="preserve"> the introduction of the NDIS impacted on access to services for people not eligible for the NDIS?</w:t>
            </w:r>
          </w:p>
          <w:p w:rsidR="00977537" w:rsidRPr="0044097F" w:rsidRDefault="00DA4F77" w:rsidP="00A02EF8">
            <w:pPr>
              <w:pStyle w:val="ListBullet2"/>
              <w:numPr>
                <w:ilvl w:val="0"/>
                <w:numId w:val="13"/>
              </w:numPr>
              <w:spacing w:line="260" w:lineRule="atLeast"/>
              <w:ind w:left="714" w:hanging="357"/>
            </w:pPr>
            <w:r>
              <w:rPr>
                <w:rFonts w:asciiTheme="minorHAnsi" w:hAnsiTheme="minorHAnsi" w:cstheme="minorHAnsi"/>
                <w:i/>
                <w:sz w:val="22"/>
                <w:szCs w:val="22"/>
              </w:rPr>
              <w:t>Wh</w:t>
            </w:r>
            <w:r w:rsidR="00A371FC">
              <w:rPr>
                <w:rFonts w:asciiTheme="minorHAnsi" w:hAnsiTheme="minorHAnsi" w:cstheme="minorHAnsi"/>
                <w:i/>
                <w:sz w:val="22"/>
                <w:szCs w:val="22"/>
              </w:rPr>
              <w:t>ere</w:t>
            </w:r>
            <w:r>
              <w:rPr>
                <w:rFonts w:asciiTheme="minorHAnsi" w:hAnsiTheme="minorHAnsi" w:cstheme="minorHAnsi"/>
                <w:i/>
                <w:sz w:val="22"/>
                <w:szCs w:val="22"/>
              </w:rPr>
              <w:t xml:space="preserve"> a</w:t>
            </w:r>
            <w:r w:rsidR="00AA700C" w:rsidRPr="007C1E0C">
              <w:rPr>
                <w:rFonts w:asciiTheme="minorHAnsi" w:hAnsiTheme="minorHAnsi" w:cstheme="minorHAnsi"/>
                <w:i/>
                <w:sz w:val="22"/>
                <w:szCs w:val="22"/>
              </w:rPr>
              <w:t>re the</w:t>
            </w:r>
            <w:r>
              <w:rPr>
                <w:rFonts w:asciiTheme="minorHAnsi" w:hAnsiTheme="minorHAnsi" w:cstheme="minorHAnsi"/>
                <w:i/>
                <w:sz w:val="22"/>
                <w:szCs w:val="22"/>
              </w:rPr>
              <w:t xml:space="preserve"> main</w:t>
            </w:r>
            <w:r w:rsidR="00AA700C" w:rsidRPr="007C1E0C">
              <w:rPr>
                <w:rFonts w:asciiTheme="minorHAnsi" w:hAnsiTheme="minorHAnsi" w:cstheme="minorHAnsi"/>
                <w:i/>
                <w:sz w:val="22"/>
                <w:szCs w:val="22"/>
              </w:rPr>
              <w:t xml:space="preserve"> gaps in service</w:t>
            </w:r>
            <w:r w:rsidR="00BC4C80">
              <w:rPr>
                <w:rFonts w:asciiTheme="minorHAnsi" w:hAnsiTheme="minorHAnsi" w:cstheme="minorHAnsi"/>
                <w:i/>
                <w:sz w:val="22"/>
                <w:szCs w:val="22"/>
              </w:rPr>
              <w:t>s</w:t>
            </w:r>
            <w:r w:rsidR="00AA700C" w:rsidRPr="007C1E0C">
              <w:rPr>
                <w:rFonts w:asciiTheme="minorHAnsi" w:hAnsiTheme="minorHAnsi" w:cstheme="minorHAnsi"/>
                <w:i/>
                <w:sz w:val="22"/>
                <w:szCs w:val="22"/>
              </w:rPr>
              <w:t xml:space="preserve"> outside the NDIS? </w:t>
            </w:r>
            <w:r w:rsidR="00E442E8">
              <w:rPr>
                <w:rFonts w:asciiTheme="minorHAnsi" w:hAnsiTheme="minorHAnsi" w:cstheme="minorHAnsi"/>
                <w:i/>
                <w:sz w:val="22"/>
                <w:szCs w:val="22"/>
              </w:rPr>
              <w:t>W</w:t>
            </w:r>
            <w:r w:rsidR="008B5404" w:rsidRPr="007C1E0C">
              <w:rPr>
                <w:rFonts w:asciiTheme="minorHAnsi" w:hAnsiTheme="minorHAnsi" w:cstheme="minorHAnsi"/>
                <w:i/>
                <w:sz w:val="22"/>
                <w:szCs w:val="22"/>
              </w:rPr>
              <w:t>hat are the problem areas?</w:t>
            </w:r>
            <w:r w:rsidR="00543AC0">
              <w:rPr>
                <w:rFonts w:asciiTheme="minorHAnsi" w:hAnsiTheme="minorHAnsi" w:cstheme="minorHAnsi"/>
                <w:i/>
                <w:sz w:val="22"/>
                <w:szCs w:val="22"/>
              </w:rPr>
              <w:t xml:space="preserve"> </w:t>
            </w:r>
          </w:p>
          <w:p w:rsidR="00814623" w:rsidRPr="00201D43" w:rsidRDefault="00814623" w:rsidP="00A02EF8">
            <w:pPr>
              <w:pStyle w:val="ListBullet2"/>
              <w:numPr>
                <w:ilvl w:val="0"/>
                <w:numId w:val="13"/>
              </w:numPr>
              <w:spacing w:line="260" w:lineRule="atLeast"/>
              <w:ind w:left="714" w:hanging="357"/>
            </w:pPr>
            <w:r>
              <w:rPr>
                <w:rFonts w:asciiTheme="minorHAnsi" w:hAnsiTheme="minorHAnsi" w:cstheme="minorHAnsi"/>
                <w:i/>
                <w:sz w:val="22"/>
                <w:szCs w:val="22"/>
              </w:rPr>
              <w:t xml:space="preserve">To what extent does the NDIS (for example, through the provision of ILC activities and Local Area Coordinators) cater to people outside the NDIS? </w:t>
            </w:r>
          </w:p>
          <w:p w:rsidR="00B04503" w:rsidRPr="00B04503" w:rsidRDefault="002A17C4" w:rsidP="00B04503">
            <w:pPr>
              <w:pStyle w:val="ListBullet2"/>
              <w:numPr>
                <w:ilvl w:val="0"/>
                <w:numId w:val="13"/>
              </w:numPr>
              <w:spacing w:line="260" w:lineRule="atLeast"/>
              <w:ind w:left="714" w:hanging="357"/>
              <w:rPr>
                <w:rFonts w:asciiTheme="minorHAnsi" w:hAnsiTheme="minorHAnsi" w:cstheme="minorHAnsi"/>
                <w:i/>
                <w:sz w:val="22"/>
                <w:szCs w:val="22"/>
              </w:rPr>
            </w:pPr>
            <w:r>
              <w:rPr>
                <w:rFonts w:asciiTheme="minorHAnsi" w:hAnsiTheme="minorHAnsi" w:cstheme="minorHAnsi"/>
                <w:i/>
                <w:sz w:val="22"/>
                <w:szCs w:val="22"/>
              </w:rPr>
              <w:t xml:space="preserve">What role could the NDA play in </w:t>
            </w:r>
            <w:r w:rsidR="009C7486">
              <w:rPr>
                <w:rFonts w:asciiTheme="minorHAnsi" w:hAnsiTheme="minorHAnsi" w:cstheme="minorHAnsi"/>
                <w:i/>
                <w:sz w:val="22"/>
                <w:szCs w:val="22"/>
              </w:rPr>
              <w:t xml:space="preserve">assigning responsibilities for </w:t>
            </w:r>
            <w:r>
              <w:rPr>
                <w:rFonts w:asciiTheme="minorHAnsi" w:hAnsiTheme="minorHAnsi" w:cstheme="minorHAnsi"/>
                <w:i/>
                <w:sz w:val="22"/>
                <w:szCs w:val="22"/>
              </w:rPr>
              <w:t>addressing service gaps identified in the current arrangements?</w:t>
            </w:r>
          </w:p>
          <w:p w:rsidR="00814623" w:rsidRPr="002A17C4" w:rsidRDefault="00B04503" w:rsidP="00B04503">
            <w:pPr>
              <w:pStyle w:val="InformationRequestBullet"/>
            </w:pPr>
            <w:r>
              <w:t>Should the agreement have regard to the way States and Territories are delivering services to people with a disability outside the NDIS (for example, through mainstream services or through specialist disability services)? If so, why?</w:t>
            </w:r>
            <w:r w:rsidR="00CF75FC">
              <w:t xml:space="preserve"> </w:t>
            </w:r>
          </w:p>
        </w:tc>
      </w:tr>
      <w:tr w:rsidR="00D31281" w:rsidTr="00D31281">
        <w:tc>
          <w:tcPr>
            <w:tcW w:w="5000" w:type="pct"/>
            <w:tcBorders>
              <w:top w:val="nil"/>
              <w:left w:val="nil"/>
              <w:bottom w:val="single" w:sz="6" w:space="0" w:color="78A22F"/>
              <w:right w:val="nil"/>
            </w:tcBorders>
            <w:shd w:val="clear" w:color="auto" w:fill="auto"/>
          </w:tcPr>
          <w:p w:rsidR="00D31281" w:rsidRDefault="00D31281" w:rsidP="00D31281">
            <w:pPr>
              <w:pStyle w:val="Space"/>
              <w:keepLines/>
            </w:pPr>
          </w:p>
        </w:tc>
      </w:tr>
      <w:tr w:rsidR="00D31281" w:rsidRPr="000863A5" w:rsidTr="00D31281">
        <w:tc>
          <w:tcPr>
            <w:tcW w:w="5000" w:type="pct"/>
            <w:tcBorders>
              <w:top w:val="single" w:sz="6" w:space="0" w:color="78A22F"/>
              <w:left w:val="nil"/>
              <w:bottom w:val="nil"/>
              <w:right w:val="nil"/>
            </w:tcBorders>
          </w:tcPr>
          <w:p w:rsidR="00D31281" w:rsidRPr="00626D32" w:rsidRDefault="00D31281" w:rsidP="00D31281">
            <w:pPr>
              <w:pStyle w:val="BoxSpaceBelow"/>
              <w:keepLines/>
            </w:pPr>
          </w:p>
        </w:tc>
      </w:tr>
    </w:tbl>
    <w:p w:rsidR="00CC5254" w:rsidRDefault="00BF69D8" w:rsidP="00CC5254">
      <w:pPr>
        <w:pStyle w:val="Heading3"/>
      </w:pPr>
      <w:r>
        <w:t>The NDA’s p</w:t>
      </w:r>
      <w:r w:rsidR="004D03AB">
        <w:t>erformance</w:t>
      </w:r>
      <w:r>
        <w:t xml:space="preserve"> framework —</w:t>
      </w:r>
      <w:r w:rsidR="004D03AB">
        <w:t xml:space="preserve"> benchmarks and indicators </w:t>
      </w:r>
    </w:p>
    <w:p w:rsidR="00EF0DF4" w:rsidRDefault="00C66430" w:rsidP="00BC4C80">
      <w:pPr>
        <w:pStyle w:val="BodyText"/>
      </w:pPr>
      <w:r>
        <w:t xml:space="preserve">The NDA </w:t>
      </w:r>
      <w:r w:rsidR="005414B3">
        <w:t xml:space="preserve">sets out </w:t>
      </w:r>
      <w:r>
        <w:t xml:space="preserve">a performance reporting framework, comprising </w:t>
      </w:r>
      <w:r w:rsidR="0089719A">
        <w:t xml:space="preserve">nine </w:t>
      </w:r>
      <w:r>
        <w:t xml:space="preserve">performance indicators and </w:t>
      </w:r>
      <w:r w:rsidR="0089719A">
        <w:t xml:space="preserve">three </w:t>
      </w:r>
      <w:r w:rsidR="00E33173">
        <w:t xml:space="preserve">performance </w:t>
      </w:r>
      <w:r>
        <w:t>benchmarks.</w:t>
      </w:r>
      <w:r w:rsidR="00E33173">
        <w:t xml:space="preserve"> </w:t>
      </w:r>
      <w:r w:rsidR="00D24D28">
        <w:t>T</w:t>
      </w:r>
      <w:r w:rsidR="0089719A">
        <w:t>hese</w:t>
      </w:r>
      <w:r w:rsidR="00B62267">
        <w:t xml:space="preserve"> </w:t>
      </w:r>
      <w:r w:rsidR="00460C39">
        <w:t>indicators exist</w:t>
      </w:r>
      <w:r w:rsidR="00B62267">
        <w:t xml:space="preserve"> to </w:t>
      </w:r>
      <w:r w:rsidR="00460C39">
        <w:t>aid public accountability by measuring</w:t>
      </w:r>
      <w:r w:rsidR="00B62267">
        <w:t xml:space="preserve"> progress towards the outcomes of the NDA</w:t>
      </w:r>
      <w:r w:rsidR="00462E5C">
        <w:t xml:space="preserve"> </w:t>
      </w:r>
      <w:r w:rsidR="002916DF">
        <w:t>(figure</w:t>
      </w:r>
      <w:r w:rsidR="00CF75FC">
        <w:t> </w:t>
      </w:r>
      <w:r w:rsidR="00E33173">
        <w:t>4</w:t>
      </w:r>
      <w:r w:rsidR="002916DF">
        <w:t>)</w:t>
      </w:r>
      <w:r w:rsidR="00B56CE4">
        <w:t>.</w:t>
      </w:r>
    </w:p>
    <w:p w:rsidR="00EF0DF4" w:rsidRDefault="00EF0DF4" w:rsidP="00EF0DF4">
      <w:pPr>
        <w:pStyle w:val="BodyText"/>
      </w:pPr>
      <w:r>
        <w:t>As outlined in figure</w:t>
      </w:r>
      <w:r w:rsidR="00CF75FC">
        <w:t> </w:t>
      </w:r>
      <w:r>
        <w:t>2 depicting the Commission’s assessment framework, performance reporting is a key element of accountability — data on the performance indicators and benchmarks are published annually to aid accountability.</w:t>
      </w:r>
    </w:p>
    <w:p w:rsidR="00EF0DF4" w:rsidRDefault="00EF0DF4" w:rsidP="00EF0DF4">
      <w:pPr>
        <w:pStyle w:val="BodyText"/>
      </w:pPr>
      <w:r>
        <w:t xml:space="preserve">The </w:t>
      </w:r>
      <w:r w:rsidR="00CF75FC">
        <w:t>t</w:t>
      </w:r>
      <w:r>
        <w:t xml:space="preserve">erms of </w:t>
      </w:r>
      <w:r w:rsidR="00CF75FC">
        <w:t>r</w:t>
      </w:r>
      <w:r>
        <w:t>eference for this review ask the Commission to consider progress against the performance framework of the NDA (including its associated timeframes and reporting responsibilities) and whether it has supported improved outcomes for people with disability, their families and carers.</w:t>
      </w:r>
    </w:p>
    <w:p w:rsidR="00EF0DF4" w:rsidRDefault="00EF0DF4" w:rsidP="00EF0DF4">
      <w:pPr>
        <w:pStyle w:val="Heading4"/>
      </w:pPr>
      <w:r>
        <w:t>Performance indicators</w:t>
      </w:r>
    </w:p>
    <w:p w:rsidR="00EF0DF4" w:rsidRDefault="00EF0DF4" w:rsidP="00EF0DF4">
      <w:pPr>
        <w:pStyle w:val="ListBullet"/>
        <w:numPr>
          <w:ilvl w:val="0"/>
          <w:numId w:val="0"/>
        </w:numPr>
      </w:pPr>
      <w:r>
        <w:t xml:space="preserve">The performance indicators largely relate to the economic, social and community participation of people with disability and their carers, as well as satisfaction with services </w:t>
      </w:r>
      <w:r w:rsidRPr="006A7CBC">
        <w:rPr>
          <w:szCs w:val="24"/>
        </w:rPr>
        <w:t>(COAG 2009, p. 6)</w:t>
      </w:r>
      <w:r>
        <w:t xml:space="preserve">. Where possible, indicators are to be broken down for key subgroups: Indigenous people with disability, people with disability who live in remote or regional areas, and older carers </w:t>
      </w:r>
      <w:r w:rsidRPr="006A7CBC">
        <w:rPr>
          <w:szCs w:val="24"/>
        </w:rPr>
        <w:t>(COAG 2009, p. 5)</w:t>
      </w:r>
      <w:r>
        <w:t xml:space="preserve">. </w:t>
      </w:r>
    </w:p>
    <w:p w:rsidR="00EF0DF4" w:rsidRDefault="00EF0DF4" w:rsidP="00EF0DF4">
      <w:pPr>
        <w:pStyle w:val="BodyText"/>
      </w:pPr>
      <w:r>
        <w:t>The Steering Committee for the Review of Government Service Provision (SCRGSP) has overall responsibility for collating performance data. The Productivity Commission, as secretariat for the SCRGSP, publishes the annual Report on Government Services (RoGS), which contains a range of performance data relevant to disability. The data published in the RoGS</w:t>
      </w:r>
      <w:r w:rsidDel="00B56CE4">
        <w:t xml:space="preserve"> </w:t>
      </w:r>
      <w:r>
        <w:t>map to a significant degree to the performance indicators of the NDA (figure 4).</w:t>
      </w:r>
    </w:p>
    <w:p w:rsidR="009F54C3" w:rsidRDefault="009F54C3" w:rsidP="009F54C3">
      <w:pPr>
        <w:pStyle w:val="BodyText"/>
      </w:pPr>
      <w:r>
        <w:t>As part of its assessment of the NDA, the Commission will consider whether the performance indicators of the NDA are suitable, and whether the indicators adequately measure progress against agreed outcomes. A set of criteria that could be used for assessing the indicators are set out in box 2.</w:t>
      </w:r>
    </w:p>
    <w:p w:rsidR="009F54C3" w:rsidRDefault="009F54C3" w:rsidP="009F54C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9F54C3" w:rsidTr="009E52F7">
        <w:trPr>
          <w:tblHeader/>
        </w:trPr>
        <w:tc>
          <w:tcPr>
            <w:tcW w:w="5000" w:type="pct"/>
            <w:tcBorders>
              <w:top w:val="single" w:sz="6" w:space="0" w:color="78A22F"/>
              <w:left w:val="nil"/>
              <w:bottom w:val="nil"/>
              <w:right w:val="nil"/>
            </w:tcBorders>
            <w:shd w:val="clear" w:color="auto" w:fill="F2F2F2"/>
          </w:tcPr>
          <w:p w:rsidR="009F54C3" w:rsidRDefault="009F54C3" w:rsidP="009E52F7">
            <w:pPr>
              <w:pStyle w:val="BoxTitle"/>
            </w:pPr>
            <w:r>
              <w:rPr>
                <w:b w:val="0"/>
              </w:rPr>
              <w:t xml:space="preserve">Box </w:t>
            </w:r>
            <w:r>
              <w:rPr>
                <w:b w:val="0"/>
                <w:noProof/>
              </w:rPr>
              <w:t>2</w:t>
            </w:r>
            <w:r>
              <w:tab/>
              <w:t>Criteria to assess performance indicators</w:t>
            </w:r>
          </w:p>
        </w:tc>
      </w:tr>
      <w:tr w:rsidR="009F54C3" w:rsidTr="009E52F7">
        <w:tc>
          <w:tcPr>
            <w:tcW w:w="5000" w:type="pct"/>
            <w:tcBorders>
              <w:top w:val="nil"/>
              <w:left w:val="nil"/>
              <w:bottom w:val="nil"/>
              <w:right w:val="nil"/>
            </w:tcBorders>
            <w:shd w:val="clear" w:color="auto" w:fill="F2F2F2"/>
          </w:tcPr>
          <w:p w:rsidR="009F54C3" w:rsidRPr="001832DE" w:rsidRDefault="009F54C3" w:rsidP="009E52F7">
            <w:pPr>
              <w:pStyle w:val="Box"/>
              <w:rPr>
                <w:vertAlign w:val="superscript"/>
              </w:rPr>
            </w:pPr>
            <w:r>
              <w:t xml:space="preserve">In its </w:t>
            </w:r>
            <w:r w:rsidRPr="00E42161">
              <w:rPr>
                <w:i/>
              </w:rPr>
              <w:t xml:space="preserve">Overcoming Indigenous </w:t>
            </w:r>
            <w:r>
              <w:rPr>
                <w:i/>
              </w:rPr>
              <w:t>D</w:t>
            </w:r>
            <w:r w:rsidRPr="00E42161">
              <w:rPr>
                <w:i/>
              </w:rPr>
              <w:t>isadvantage</w:t>
            </w:r>
            <w:r>
              <w:t xml:space="preserve"> report the Steering Committee for the Review of Government Service Provision identified several criteria to assess the suitability of the indicators used for tracking progress on overcoming Indigenous disadvantage. These criteria align to a significant degree to those set out in the Intergovernmental Agreement on Federal Financial Relations (2008). The criteria are:</w:t>
            </w:r>
          </w:p>
          <w:p w:rsidR="009F54C3" w:rsidRDefault="009F54C3" w:rsidP="009E52F7">
            <w:pPr>
              <w:pStyle w:val="BoxListBullet"/>
            </w:pPr>
            <w:r>
              <w:t>the indicator can be affected/influenced by government policy</w:t>
            </w:r>
          </w:p>
          <w:p w:rsidR="009F54C3" w:rsidRDefault="009F54C3" w:rsidP="009E52F7">
            <w:pPr>
              <w:pStyle w:val="BoxListBullet"/>
            </w:pPr>
            <w:r>
              <w:t>it is available in a timely manner</w:t>
            </w:r>
          </w:p>
          <w:p w:rsidR="009F54C3" w:rsidRDefault="009F54C3" w:rsidP="009E52F7">
            <w:pPr>
              <w:pStyle w:val="BoxListBullet"/>
            </w:pPr>
            <w:r>
              <w:t xml:space="preserve">change in the indicator affects desired outcomes over time. </w:t>
            </w:r>
          </w:p>
          <w:p w:rsidR="009F54C3" w:rsidRDefault="009F54C3" w:rsidP="009E52F7">
            <w:pPr>
              <w:pStyle w:val="BoxListBullet"/>
            </w:pPr>
            <w:r>
              <w:t xml:space="preserve">the indicator is meaningful to people with disability, their carers, and families. </w:t>
            </w:r>
          </w:p>
          <w:p w:rsidR="009F54C3" w:rsidRDefault="009F54C3" w:rsidP="009E52F7">
            <w:pPr>
              <w:pStyle w:val="BoxListBullet"/>
            </w:pPr>
            <w:r>
              <w:t xml:space="preserve">the indicators is unambiguous and clear in meaning and interpretation. </w:t>
            </w:r>
          </w:p>
          <w:p w:rsidR="009F54C3" w:rsidRDefault="009F54C3" w:rsidP="009E52F7">
            <w:pPr>
              <w:pStyle w:val="BoxListBullet"/>
            </w:pPr>
            <w:r>
              <w:t xml:space="preserve">the indicator is supported by logical or empirical evidence </w:t>
            </w:r>
          </w:p>
          <w:p w:rsidR="009F54C3" w:rsidRDefault="009F54C3" w:rsidP="009E52F7">
            <w:pPr>
              <w:pStyle w:val="BoxListBullet"/>
            </w:pPr>
            <w:r>
              <w:t xml:space="preserve">an indicator currently exists and/or ease of developing supporting datasets. </w:t>
            </w:r>
          </w:p>
        </w:tc>
      </w:tr>
      <w:tr w:rsidR="009F54C3" w:rsidTr="009E52F7">
        <w:tc>
          <w:tcPr>
            <w:tcW w:w="5000" w:type="pct"/>
            <w:tcBorders>
              <w:top w:val="nil"/>
              <w:left w:val="nil"/>
              <w:bottom w:val="nil"/>
              <w:right w:val="nil"/>
            </w:tcBorders>
            <w:shd w:val="clear" w:color="auto" w:fill="F2F2F2"/>
          </w:tcPr>
          <w:p w:rsidR="009F54C3" w:rsidRDefault="009F54C3" w:rsidP="009E52F7">
            <w:pPr>
              <w:pStyle w:val="BoxSource"/>
            </w:pPr>
            <w:r>
              <w:rPr>
                <w:i/>
              </w:rPr>
              <w:t>Source</w:t>
            </w:r>
            <w:r w:rsidRPr="00167F06">
              <w:t xml:space="preserve">: </w:t>
            </w:r>
            <w:r>
              <w:t xml:space="preserve">SCRGSP </w:t>
            </w:r>
            <w:r w:rsidRPr="001E01C3">
              <w:rPr>
                <w:rFonts w:cs="Arial"/>
                <w:szCs w:val="24"/>
              </w:rPr>
              <w:t>(2016, p. 2.7)</w:t>
            </w:r>
            <w:r>
              <w:t>.</w:t>
            </w:r>
            <w:r w:rsidDel="00A92A0F">
              <w:t xml:space="preserve"> </w:t>
            </w:r>
          </w:p>
        </w:tc>
      </w:tr>
      <w:tr w:rsidR="009F54C3" w:rsidTr="009E52F7">
        <w:tc>
          <w:tcPr>
            <w:tcW w:w="5000" w:type="pct"/>
            <w:tcBorders>
              <w:top w:val="nil"/>
              <w:left w:val="nil"/>
              <w:bottom w:val="single" w:sz="6" w:space="0" w:color="78A22F"/>
              <w:right w:val="nil"/>
            </w:tcBorders>
            <w:shd w:val="clear" w:color="auto" w:fill="F2F2F2"/>
          </w:tcPr>
          <w:p w:rsidR="009F54C3" w:rsidRDefault="009F54C3" w:rsidP="009E52F7">
            <w:pPr>
              <w:pStyle w:val="Box"/>
              <w:spacing w:before="0" w:line="120" w:lineRule="exact"/>
            </w:pPr>
          </w:p>
        </w:tc>
      </w:tr>
      <w:tr w:rsidR="009F54C3" w:rsidRPr="000863A5" w:rsidTr="009E52F7">
        <w:tc>
          <w:tcPr>
            <w:tcW w:w="5000" w:type="pct"/>
            <w:tcBorders>
              <w:top w:val="single" w:sz="6" w:space="0" w:color="78A22F"/>
              <w:left w:val="nil"/>
              <w:bottom w:val="nil"/>
              <w:right w:val="nil"/>
            </w:tcBorders>
          </w:tcPr>
          <w:p w:rsidR="009F54C3" w:rsidRPr="00626D32" w:rsidRDefault="009F54C3" w:rsidP="009E52F7">
            <w:pPr>
              <w:pStyle w:val="BoxSpaceBelow"/>
            </w:pPr>
          </w:p>
        </w:tc>
      </w:tr>
    </w:tbl>
    <w:p w:rsidR="009F54C3" w:rsidRDefault="009F54C3" w:rsidP="00EF0DF4">
      <w:pPr>
        <w:pStyle w:val="BodyText"/>
      </w:pPr>
    </w:p>
    <w:p w:rsidR="002C2D38" w:rsidRDefault="002C2D38" w:rsidP="000B00F7">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C2D38" w:rsidTr="000B00F7">
        <w:trPr>
          <w:tblHeader/>
        </w:trPr>
        <w:tc>
          <w:tcPr>
            <w:tcW w:w="5000" w:type="pct"/>
            <w:tcBorders>
              <w:top w:val="single" w:sz="6" w:space="0" w:color="78A22F"/>
              <w:left w:val="nil"/>
              <w:bottom w:val="nil"/>
              <w:right w:val="nil"/>
            </w:tcBorders>
            <w:shd w:val="clear" w:color="auto" w:fill="auto"/>
          </w:tcPr>
          <w:p w:rsidR="002C2D38" w:rsidRPr="00176D3F" w:rsidRDefault="002C2D38">
            <w:pPr>
              <w:pStyle w:val="FigureTitle"/>
            </w:pPr>
            <w:r w:rsidRPr="00784A05">
              <w:rPr>
                <w:b w:val="0"/>
              </w:rPr>
              <w:t xml:space="preserve">Figure </w:t>
            </w:r>
            <w:r w:rsidR="00E33173">
              <w:rPr>
                <w:b w:val="0"/>
              </w:rPr>
              <w:t>4</w:t>
            </w:r>
            <w:r>
              <w:tab/>
              <w:t xml:space="preserve">Mapping </w:t>
            </w:r>
            <w:r w:rsidR="00AE693E">
              <w:t>between</w:t>
            </w:r>
            <w:r>
              <w:t xml:space="preserve"> </w:t>
            </w:r>
            <w:r w:rsidR="00007A91">
              <w:t xml:space="preserve">measures </w:t>
            </w:r>
            <w:r>
              <w:t>and NDA performance indicators</w:t>
            </w:r>
          </w:p>
        </w:tc>
      </w:tr>
      <w:tr w:rsidR="002C2D38" w:rsidTr="000B00F7">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2C2D38" w:rsidRPr="00B1465D" w:rsidTr="000B00F7">
              <w:trPr>
                <w:tblHeader/>
                <w:jc w:val="center"/>
              </w:trPr>
              <w:tc>
                <w:tcPr>
                  <w:tcW w:w="5000" w:type="pct"/>
                  <w:tcBorders>
                    <w:top w:val="nil"/>
                    <w:bottom w:val="nil"/>
                  </w:tcBorders>
                </w:tcPr>
                <w:p w:rsidR="002C2D38" w:rsidRPr="00B1465D" w:rsidRDefault="00B119D5" w:rsidP="000B00F7">
                  <w:pPr>
                    <w:pStyle w:val="Figure"/>
                    <w:spacing w:before="60" w:after="60"/>
                    <w:rPr>
                      <w:rFonts w:ascii="Arial" w:hAnsi="Arial" w:cs="Arial"/>
                      <w:sz w:val="18"/>
                      <w:szCs w:val="18"/>
                    </w:rPr>
                  </w:pPr>
                  <w:r w:rsidRPr="00B119D5">
                    <w:rPr>
                      <w:rFonts w:ascii="Arial" w:hAnsi="Arial" w:cs="Arial"/>
                      <w:noProof/>
                      <w:sz w:val="18"/>
                      <w:szCs w:val="18"/>
                    </w:rPr>
                    <w:drawing>
                      <wp:inline distT="0" distB="0" distL="0" distR="0" wp14:anchorId="5DD2B15C" wp14:editId="76EB04A3">
                        <wp:extent cx="5429250" cy="6886575"/>
                        <wp:effectExtent l="0" t="0" r="0" b="9525"/>
                        <wp:docPr id="2" name="Picture 2" descr="The performance framework of the NDA is arranged as a hierarchy, with the three outcomes at the top, which are broken down into indicators, which are then broken down into measures. &#10;&#10;The first outcome – people with a disability achieve economic participation and social inclusion – is broken down into three indicators. These are: the proportion of people with disability participating in the labour force; the proportion participating in social and community activities; and the proportion of income support recipients reporting earnings. These three indicators are then supported by six sources of data in the RoGS.&#10;&#10;The second outcome – people with a disability enjoy choice, wellbeing and the opportunity to live as independently as possible – is represented by three indicators. These are: the proportion of people with disability accessing disability services; the proportion who are satisfied with the range, adequacy and quality of services; and the proportion of younger people entering, living in, and exiting, permanent residential aged care. These three indicators are then supported by five sources of data in the RoGS.&#10;&#10;The third outcome – families and carers are well supported – is broken down into three indicators. These are: the proportion of carers participating in the labour force; the proportion of carers reporting their health and wellbeing as positive; and the proportion of carers satisfied with the range, adequacy and quality of services. These three indicators are then supported by eight sources of data in the RoGS.&#10;&#10;Of all the indicators in the framework, only one indicator does not have  supporting data sources in the RoGS. This is the indicator measuring the proportion of income support recipients with disability reporting earnings. &#10;&#10;In addition to the outcomes, performance indicators and measures, there are three benchmarks. The first targets a five per cent increase in the proportion of people with disability participating in the labour force, which supports the outcome of people with a disability achieve economic participation and social inclusion. the second targets a five per cent decrease in in the proportion of people with disability who report a need for more formal assistance, which supports the outcome of people with disability enjoy choice, wellbeing and the opportunity to live as independently as possible. The third targets the proportion of people with disability who participate in social and community activities, which supports the outcome of people with a disability achieve economic participation and social inclusion. This measure does not have an associated target increase or decrease. &#10;&#10;The last outcome – families and carers are well supported – is the only outcome which is not supported by a linked benchmar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29250" cy="6886575"/>
                                </a:xfrm>
                                <a:prstGeom prst="rect">
                                  <a:avLst/>
                                </a:prstGeom>
                                <a:noFill/>
                                <a:ln>
                                  <a:noFill/>
                                </a:ln>
                              </pic:spPr>
                            </pic:pic>
                          </a:graphicData>
                        </a:graphic>
                      </wp:inline>
                    </w:drawing>
                  </w:r>
                </w:p>
              </w:tc>
            </w:tr>
          </w:tbl>
          <w:p w:rsidR="002C2D38" w:rsidRDefault="002C2D38" w:rsidP="000B00F7">
            <w:pPr>
              <w:pStyle w:val="Figure"/>
            </w:pPr>
          </w:p>
        </w:tc>
      </w:tr>
      <w:tr w:rsidR="00420FD8" w:rsidRPr="00176D3F" w:rsidTr="000B00F7">
        <w:tc>
          <w:tcPr>
            <w:tcW w:w="5000" w:type="pct"/>
            <w:tcBorders>
              <w:top w:val="nil"/>
              <w:left w:val="nil"/>
              <w:bottom w:val="nil"/>
              <w:right w:val="nil"/>
            </w:tcBorders>
            <w:shd w:val="clear" w:color="auto" w:fill="auto"/>
          </w:tcPr>
          <w:p w:rsidR="00420FD8" w:rsidRPr="0012245B" w:rsidRDefault="00420FD8">
            <w:pPr>
              <w:pStyle w:val="Source"/>
            </w:pPr>
            <w:r>
              <w:rPr>
                <w:rStyle w:val="NoteLabel"/>
              </w:rPr>
              <w:t>a</w:t>
            </w:r>
            <w:r>
              <w:t xml:space="preserve"> This indicator is not measured in the RoGS but is reported in the Department of Social Services’ </w:t>
            </w:r>
            <w:r w:rsidRPr="00420FD8">
              <w:t xml:space="preserve">Payment Demographic </w:t>
            </w:r>
            <w:r>
              <w:t>Data in two measures: the proportion of Newstart and Youth Allowance recipients with a disability who report income, and the proportion of Disability Support</w:t>
            </w:r>
            <w:r w:rsidR="005C4B81">
              <w:t xml:space="preserve"> P</w:t>
            </w:r>
            <w:r>
              <w:t>ension recipients with a disability who report income.</w:t>
            </w:r>
            <w:r w:rsidR="00376880">
              <w:t xml:space="preserve"> </w:t>
            </w:r>
            <w:r w:rsidR="002A309F">
              <w:rPr>
                <w:rStyle w:val="NoteLabel"/>
              </w:rPr>
              <w:t>b</w:t>
            </w:r>
            <w:r w:rsidR="002A309F" w:rsidRPr="002A309F">
              <w:t xml:space="preserve"> </w:t>
            </w:r>
            <w:r w:rsidR="00F57AE6">
              <w:t>Each NDA benchmark (BM) is listed alongside the relevant indicator it measures.</w:t>
            </w:r>
          </w:p>
        </w:tc>
      </w:tr>
      <w:tr w:rsidR="002C2D38" w:rsidRPr="00176D3F" w:rsidTr="000B00F7">
        <w:tc>
          <w:tcPr>
            <w:tcW w:w="5000" w:type="pct"/>
            <w:tcBorders>
              <w:top w:val="nil"/>
              <w:left w:val="nil"/>
              <w:bottom w:val="nil"/>
              <w:right w:val="nil"/>
            </w:tcBorders>
            <w:shd w:val="clear" w:color="auto" w:fill="auto"/>
          </w:tcPr>
          <w:p w:rsidR="002C2D38" w:rsidRPr="00176D3F" w:rsidRDefault="002C2D38" w:rsidP="000B00F7">
            <w:pPr>
              <w:pStyle w:val="Source"/>
            </w:pPr>
            <w:r>
              <w:rPr>
                <w:i/>
              </w:rPr>
              <w:t>S</w:t>
            </w:r>
            <w:r w:rsidRPr="00784A05">
              <w:rPr>
                <w:i/>
              </w:rPr>
              <w:t>ource</w:t>
            </w:r>
            <w:r>
              <w:rPr>
                <w:i/>
              </w:rPr>
              <w:t>s</w:t>
            </w:r>
            <w:r w:rsidRPr="00176D3F">
              <w:t xml:space="preserve">: </w:t>
            </w:r>
            <w:r>
              <w:t xml:space="preserve">Constructed using COAG </w:t>
            </w:r>
            <w:r w:rsidR="006A7CBC" w:rsidRPr="006A7CBC">
              <w:rPr>
                <w:rFonts w:cs="Arial"/>
              </w:rPr>
              <w:t>(2009)</w:t>
            </w:r>
            <w:r>
              <w:t xml:space="preserve"> and SCRGSP </w:t>
            </w:r>
            <w:r w:rsidR="00841E71" w:rsidRPr="00841E71">
              <w:rPr>
                <w:rFonts w:cs="Arial"/>
              </w:rPr>
              <w:t>(2018)</w:t>
            </w:r>
            <w:r>
              <w:t>.</w:t>
            </w:r>
          </w:p>
        </w:tc>
      </w:tr>
      <w:tr w:rsidR="002C2D38" w:rsidTr="000B00F7">
        <w:tc>
          <w:tcPr>
            <w:tcW w:w="5000" w:type="pct"/>
            <w:tcBorders>
              <w:top w:val="nil"/>
              <w:left w:val="nil"/>
              <w:bottom w:val="single" w:sz="6" w:space="0" w:color="78A22F"/>
              <w:right w:val="nil"/>
            </w:tcBorders>
            <w:shd w:val="clear" w:color="auto" w:fill="auto"/>
          </w:tcPr>
          <w:p w:rsidR="002C2D38" w:rsidRDefault="002C2D38" w:rsidP="000B00F7">
            <w:pPr>
              <w:pStyle w:val="Figurespace"/>
            </w:pPr>
          </w:p>
        </w:tc>
      </w:tr>
      <w:tr w:rsidR="002C2D38" w:rsidRPr="000863A5" w:rsidTr="000B00F7">
        <w:tc>
          <w:tcPr>
            <w:tcW w:w="5000" w:type="pct"/>
            <w:tcBorders>
              <w:top w:val="single" w:sz="6" w:space="0" w:color="78A22F"/>
              <w:left w:val="nil"/>
              <w:bottom w:val="nil"/>
              <w:right w:val="nil"/>
            </w:tcBorders>
          </w:tcPr>
          <w:p w:rsidR="002C2D38" w:rsidRPr="00626D32" w:rsidRDefault="002C2D38" w:rsidP="000B00F7">
            <w:pPr>
              <w:pStyle w:val="BoxSpaceBelow"/>
            </w:pPr>
          </w:p>
        </w:tc>
      </w:tr>
    </w:tbl>
    <w:p w:rsidR="004719A9" w:rsidRPr="004E3B94" w:rsidRDefault="004719A9" w:rsidP="008939A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4719A9" w:rsidTr="00FB5ECD">
        <w:trPr>
          <w:tblHeader/>
        </w:trPr>
        <w:tc>
          <w:tcPr>
            <w:tcW w:w="5000" w:type="pct"/>
            <w:tcBorders>
              <w:top w:val="single" w:sz="6" w:space="0" w:color="78A22F"/>
              <w:left w:val="nil"/>
              <w:bottom w:val="nil"/>
              <w:right w:val="nil"/>
            </w:tcBorders>
            <w:shd w:val="clear" w:color="auto" w:fill="auto"/>
          </w:tcPr>
          <w:p w:rsidR="004719A9" w:rsidRPr="00CE4C64" w:rsidRDefault="008B32EC" w:rsidP="00FB5ECD">
            <w:pPr>
              <w:pStyle w:val="InformationRequestTitle"/>
              <w:spacing w:before="120"/>
            </w:pPr>
            <w:r>
              <w:t>questions</w:t>
            </w:r>
          </w:p>
        </w:tc>
      </w:tr>
      <w:tr w:rsidR="004719A9" w:rsidRPr="00750BE2" w:rsidTr="00FB5ECD">
        <w:tc>
          <w:tcPr>
            <w:tcW w:w="5000" w:type="pct"/>
            <w:tcBorders>
              <w:top w:val="nil"/>
              <w:left w:val="nil"/>
              <w:bottom w:val="nil"/>
              <w:right w:val="nil"/>
            </w:tcBorders>
            <w:shd w:val="clear" w:color="auto" w:fill="auto"/>
          </w:tcPr>
          <w:p w:rsidR="00B32672" w:rsidRDefault="00B32672" w:rsidP="00B32672">
            <w:pPr>
              <w:pStyle w:val="InformationRequestBullet"/>
            </w:pPr>
            <w:r>
              <w:t>To what extent has the performance framework of the NDA supported improved outcomes for people with disability, their families and carers?</w:t>
            </w:r>
            <w:r w:rsidR="00254B3C">
              <w:t xml:space="preserve"> Has it influenced government policy?</w:t>
            </w:r>
          </w:p>
          <w:p w:rsidR="00B32672" w:rsidRDefault="00B32672" w:rsidP="00B32672">
            <w:pPr>
              <w:pStyle w:val="InformationRequestBullet"/>
            </w:pPr>
            <w:r>
              <w:t>Does public reporting against the indicators serve to ensure that governments are held accountable for their policies and actions relating to disability? If not, why not, and how could this be improved?</w:t>
            </w:r>
          </w:p>
          <w:p w:rsidR="003C13E4" w:rsidRDefault="00961D49" w:rsidP="00477E57">
            <w:pPr>
              <w:pStyle w:val="InformationRequestBullet"/>
            </w:pPr>
            <w:r>
              <w:t xml:space="preserve">Are the criteria for good performance indicators </w:t>
            </w:r>
            <w:r w:rsidR="00532E27">
              <w:t>listed in box</w:t>
            </w:r>
            <w:r w:rsidR="00CF75FC">
              <w:t> </w:t>
            </w:r>
            <w:r w:rsidR="00532E27">
              <w:t>2 suitable</w:t>
            </w:r>
            <w:r>
              <w:t>?</w:t>
            </w:r>
            <w:r w:rsidR="00B3011F">
              <w:t xml:space="preserve"> If not, what should be added/changed?</w:t>
            </w:r>
            <w:r w:rsidR="007A3D8D">
              <w:t xml:space="preserve"> </w:t>
            </w:r>
            <w:r w:rsidR="00B3011F">
              <w:t>How do the existing indicators perform against th</w:t>
            </w:r>
            <w:r w:rsidR="00542587">
              <w:t xml:space="preserve">ose </w:t>
            </w:r>
            <w:r w:rsidR="00B3011F">
              <w:t xml:space="preserve">criteria? </w:t>
            </w:r>
          </w:p>
          <w:p w:rsidR="00795F91" w:rsidRDefault="000A33E2" w:rsidP="003C1D88">
            <w:pPr>
              <w:pStyle w:val="InformationRequestBullet"/>
            </w:pPr>
            <w:r>
              <w:t xml:space="preserve">Are there </w:t>
            </w:r>
            <w:r w:rsidR="00B3011F">
              <w:t xml:space="preserve">other </w:t>
            </w:r>
            <w:r>
              <w:t>measures</w:t>
            </w:r>
            <w:r w:rsidR="00C461B6">
              <w:t xml:space="preserve"> relating to people with disability and/or their carers</w:t>
            </w:r>
            <w:r>
              <w:t xml:space="preserve"> that should be added as indicators in the NDA?</w:t>
            </w:r>
          </w:p>
          <w:p w:rsidR="00B3011F" w:rsidRPr="00B3011F" w:rsidRDefault="002B1BAF" w:rsidP="003C1D88">
            <w:pPr>
              <w:pStyle w:val="InformationRequestBullet"/>
            </w:pPr>
            <w:r>
              <w:t>How should the significance of changes in indicators be judged?</w:t>
            </w:r>
            <w:r w:rsidR="00B3011F">
              <w:t xml:space="preserve"> For example, what magnitude of change in the indicators should be targeted?</w:t>
            </w:r>
          </w:p>
          <w:p w:rsidR="00B3011F" w:rsidRPr="00B3011F" w:rsidRDefault="004B5F35" w:rsidP="004B7E4C">
            <w:pPr>
              <w:pStyle w:val="InformationRequestBullet"/>
            </w:pPr>
            <w:r>
              <w:t xml:space="preserve">What </w:t>
            </w:r>
            <w:r w:rsidR="00B3011F" w:rsidRPr="004B5F35">
              <w:t xml:space="preserve">level of </w:t>
            </w:r>
            <w:r w:rsidR="00B3011F" w:rsidRPr="000A0542">
              <w:t>disaggregation</w:t>
            </w:r>
            <w:r w:rsidR="00B3011F">
              <w:t xml:space="preserve"> </w:t>
            </w:r>
            <w:r w:rsidRPr="000A0542">
              <w:t>should</w:t>
            </w:r>
            <w:r>
              <w:t xml:space="preserve"> the indicators provide?</w:t>
            </w:r>
            <w:r w:rsidR="00925C90">
              <w:t xml:space="preserve"> For example, should they be articulated at the national or jurisdictional level? Should they be disaggregated by type of support</w:t>
            </w:r>
            <w:r w:rsidR="00460FE8">
              <w:t>,</w:t>
            </w:r>
            <w:r w:rsidR="00925C90">
              <w:t xml:space="preserve"> </w:t>
            </w:r>
            <w:r w:rsidR="004B7E4C">
              <w:t>nature</w:t>
            </w:r>
            <w:r w:rsidR="00460FE8">
              <w:t xml:space="preserve"> of </w:t>
            </w:r>
            <w:r w:rsidR="00925C90">
              <w:t>disability</w:t>
            </w:r>
            <w:r w:rsidR="002A17C4">
              <w:t xml:space="preserve"> (</w:t>
            </w:r>
            <w:r w:rsidR="001F64DD">
              <w:t xml:space="preserve">such as those covered by the </w:t>
            </w:r>
            <w:r w:rsidR="00460FE8">
              <w:t xml:space="preserve">NDIS </w:t>
            </w:r>
            <w:r w:rsidR="001F64DD">
              <w:t>and</w:t>
            </w:r>
            <w:r w:rsidR="00C84EC9">
              <w:t>/or</w:t>
            </w:r>
            <w:r w:rsidR="001F64DD">
              <w:t xml:space="preserve"> those outside the NDIS</w:t>
            </w:r>
            <w:r w:rsidR="00F063FB">
              <w:t>)</w:t>
            </w:r>
            <w:r w:rsidR="00925C90">
              <w:t xml:space="preserve">? </w:t>
            </w:r>
          </w:p>
        </w:tc>
      </w:tr>
      <w:tr w:rsidR="004719A9" w:rsidTr="00FB5ECD">
        <w:tc>
          <w:tcPr>
            <w:tcW w:w="5000" w:type="pct"/>
            <w:tcBorders>
              <w:top w:val="nil"/>
              <w:left w:val="nil"/>
              <w:bottom w:val="single" w:sz="6" w:space="0" w:color="78A22F"/>
              <w:right w:val="nil"/>
            </w:tcBorders>
            <w:shd w:val="clear" w:color="auto" w:fill="auto"/>
          </w:tcPr>
          <w:p w:rsidR="004719A9" w:rsidRDefault="004719A9" w:rsidP="00FB5ECD">
            <w:pPr>
              <w:pStyle w:val="Space"/>
              <w:keepLines/>
            </w:pPr>
          </w:p>
        </w:tc>
      </w:tr>
      <w:tr w:rsidR="004719A9" w:rsidRPr="000863A5" w:rsidTr="00FB5ECD">
        <w:tc>
          <w:tcPr>
            <w:tcW w:w="5000" w:type="pct"/>
            <w:tcBorders>
              <w:top w:val="single" w:sz="6" w:space="0" w:color="78A22F"/>
              <w:left w:val="nil"/>
              <w:bottom w:val="nil"/>
              <w:right w:val="nil"/>
            </w:tcBorders>
          </w:tcPr>
          <w:p w:rsidR="004719A9" w:rsidRPr="00626D32" w:rsidRDefault="004719A9" w:rsidP="00FB5ECD">
            <w:pPr>
              <w:pStyle w:val="BoxSpaceBelow"/>
              <w:keepLines/>
            </w:pPr>
          </w:p>
        </w:tc>
      </w:tr>
    </w:tbl>
    <w:p w:rsidR="00FC5971" w:rsidRPr="005A2928" w:rsidRDefault="006D792D" w:rsidP="003C1D88">
      <w:pPr>
        <w:pStyle w:val="Heading4"/>
      </w:pPr>
      <w:r>
        <w:t>Performance b</w:t>
      </w:r>
      <w:r w:rsidR="003C5892">
        <w:t>enchmarks</w:t>
      </w:r>
    </w:p>
    <w:p w:rsidR="000A0542" w:rsidRDefault="000A0542" w:rsidP="000A0542">
      <w:pPr>
        <w:pStyle w:val="BodyText"/>
      </w:pPr>
      <w:r>
        <w:t>The performance benchmarks are</w:t>
      </w:r>
      <w:r w:rsidR="00C66430">
        <w:t xml:space="preserve"> designed to demonstrate the rate of progress being made by governments at a national level</w:t>
      </w:r>
      <w:r>
        <w:t>. They are expressed as a quantifiable change in a performance indicator over a period of time. The IGA FFR states that they should be few in number, high level, and reflect the highest order, most challenging goals toward attainment of outcomes</w:t>
      </w:r>
      <w:r w:rsidR="00BE2174">
        <w:t xml:space="preserve"> </w:t>
      </w:r>
      <w:r w:rsidR="006A7CBC" w:rsidRPr="006A7CBC">
        <w:rPr>
          <w:szCs w:val="24"/>
        </w:rPr>
        <w:t>(COAG 2008, p. A2)</w:t>
      </w:r>
      <w:r>
        <w:t xml:space="preserve">. </w:t>
      </w:r>
    </w:p>
    <w:p w:rsidR="00C66430" w:rsidRDefault="00C66430" w:rsidP="00C66430">
      <w:pPr>
        <w:pStyle w:val="BodyText"/>
      </w:pPr>
      <w:r>
        <w:t xml:space="preserve">There are three performance </w:t>
      </w:r>
      <w:r w:rsidRPr="00542587">
        <w:t xml:space="preserve">benchmarks </w:t>
      </w:r>
      <w:r w:rsidR="000A0542">
        <w:t>in the NDA</w:t>
      </w:r>
      <w:r w:rsidR="00F50AD6">
        <w:t>.</w:t>
      </w:r>
      <w:r w:rsidR="000A0542">
        <w:t xml:space="preserve"> </w:t>
      </w:r>
    </w:p>
    <w:p w:rsidR="00C66430" w:rsidRDefault="00460C39" w:rsidP="00A02EF8">
      <w:pPr>
        <w:pStyle w:val="ListNumber"/>
        <w:numPr>
          <w:ilvl w:val="0"/>
          <w:numId w:val="12"/>
        </w:numPr>
      </w:pPr>
      <w:r>
        <w:t>P</w:t>
      </w:r>
      <w:r w:rsidR="00C66430">
        <w:t>eople with disability achieve economic participation and social inclusion — between 2009 and 2018 there will be a five percentage point national increase in the proportion of people with disability participating in the labour force</w:t>
      </w:r>
      <w:r w:rsidR="00AE1E3B">
        <w:t>.</w:t>
      </w:r>
    </w:p>
    <w:p w:rsidR="00C66430" w:rsidRDefault="00460C39" w:rsidP="00A02EF8">
      <w:pPr>
        <w:pStyle w:val="ListNumber"/>
        <w:numPr>
          <w:ilvl w:val="0"/>
          <w:numId w:val="12"/>
        </w:numPr>
      </w:pPr>
      <w:r>
        <w:t>P</w:t>
      </w:r>
      <w:r w:rsidR="00C66430">
        <w:t>eople with disability enjoy choice, wellbeing, and the opportunity to live as independently as possible — between 2009 and 2018, there will be a five percentage point national decrease in the proportion of people with disability who report a need for more formal assistance</w:t>
      </w:r>
      <w:r w:rsidR="00AE1E3B">
        <w:t>.</w:t>
      </w:r>
    </w:p>
    <w:p w:rsidR="00C66430" w:rsidRDefault="00460C39" w:rsidP="00A02EF8">
      <w:pPr>
        <w:pStyle w:val="ListNumber"/>
        <w:numPr>
          <w:ilvl w:val="0"/>
          <w:numId w:val="12"/>
        </w:numPr>
      </w:pPr>
      <w:r>
        <w:t>F</w:t>
      </w:r>
      <w:r w:rsidR="00C66430">
        <w:t>amilies and carers are well supported — the agreement specified that further work was to be undertaken to develop a quantifiable target for this benchmark</w:t>
      </w:r>
      <w:r w:rsidR="00B77184">
        <w:t xml:space="preserve"> </w:t>
      </w:r>
      <w:r w:rsidR="00B77184" w:rsidRPr="006A7CBC">
        <w:rPr>
          <w:szCs w:val="24"/>
        </w:rPr>
        <w:t>(COAG 2009, p. 6)</w:t>
      </w:r>
      <w:r w:rsidR="007A3D8D">
        <w:t>, although to date a target has not been established</w:t>
      </w:r>
      <w:r w:rsidR="00C66430">
        <w:t xml:space="preserve">. </w:t>
      </w:r>
    </w:p>
    <w:p w:rsidR="004315AE" w:rsidRDefault="008F1982" w:rsidP="008F1982">
      <w:pPr>
        <w:pStyle w:val="BodyText"/>
      </w:pPr>
      <w:r>
        <w:t xml:space="preserve">The Performance Dashboard publishes information on progress against the performance benchmarks specified in the NDA. Maintenance of the Performance Dashboard was recently transferred from </w:t>
      </w:r>
      <w:r w:rsidR="004315AE">
        <w:t xml:space="preserve">the </w:t>
      </w:r>
      <w:r w:rsidR="00DE72E2">
        <w:t>Department</w:t>
      </w:r>
      <w:r w:rsidR="004315AE">
        <w:t xml:space="preserve"> of </w:t>
      </w:r>
      <w:r w:rsidR="00DE72E2">
        <w:t>Prime Minister and Cabinet</w:t>
      </w:r>
      <w:r w:rsidR="004F29F1">
        <w:t xml:space="preserve"> </w:t>
      </w:r>
      <w:r w:rsidR="00986D30">
        <w:t xml:space="preserve">to </w:t>
      </w:r>
      <w:r w:rsidR="004315AE">
        <w:t xml:space="preserve">the SCRGSP. </w:t>
      </w:r>
    </w:p>
    <w:p w:rsidR="00584A27" w:rsidRDefault="008F1982" w:rsidP="008F1982">
      <w:pPr>
        <w:pStyle w:val="BodyText"/>
      </w:pPr>
      <w:r>
        <w:t xml:space="preserve">The most recent </w:t>
      </w:r>
      <w:r w:rsidR="007A6DA1">
        <w:t xml:space="preserve">Dashboard </w:t>
      </w:r>
      <w:r>
        <w:t>data (for 2015) suggest that the first two benchmarks are not on track to be achieved by 2018 (figure </w:t>
      </w:r>
      <w:r w:rsidR="004F29F1">
        <w:t>5</w:t>
      </w:r>
      <w:r>
        <w:t>).</w:t>
      </w:r>
      <w:r w:rsidR="007A6DA1">
        <w:t xml:space="preserve"> The Dashboard also reports on the proportion of people with disability who participate in social and community activities. This measure has declined, from 76.6 per cent in 2009, to 71.4 per cent in 2015 </w:t>
      </w:r>
      <w:r w:rsidR="00841E71" w:rsidRPr="00841E71">
        <w:t>(SCRGSP 2018)</w:t>
      </w:r>
      <w:r w:rsidR="007A6DA1">
        <w:t xml:space="preserve">. </w:t>
      </w:r>
      <w:r>
        <w:t>Unlike the first two benchmarks, the third does not have an associated national target</w:t>
      </w:r>
      <w:r w:rsidR="007A6DA1">
        <w:t xml:space="preserve"> and is not reported on in the Performance Dashboard</w:t>
      </w:r>
      <w:r>
        <w:t>.</w:t>
      </w:r>
    </w:p>
    <w:p w:rsidR="00584A27" w:rsidRPr="00B909A6" w:rsidRDefault="00584A27" w:rsidP="00B909A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584A27" w:rsidTr="00B04503">
        <w:trPr>
          <w:tblHeader/>
        </w:trPr>
        <w:tc>
          <w:tcPr>
            <w:tcW w:w="5000" w:type="pct"/>
            <w:tcBorders>
              <w:top w:val="single" w:sz="6" w:space="0" w:color="78A22F"/>
              <w:left w:val="nil"/>
              <w:bottom w:val="nil"/>
              <w:right w:val="nil"/>
            </w:tcBorders>
            <w:shd w:val="clear" w:color="auto" w:fill="auto"/>
          </w:tcPr>
          <w:p w:rsidR="00584A27" w:rsidRPr="00CE4C64" w:rsidRDefault="00584A27" w:rsidP="00B04503">
            <w:pPr>
              <w:pStyle w:val="InformationRequestTitle"/>
              <w:spacing w:before="120"/>
            </w:pPr>
            <w:r>
              <w:t>questions</w:t>
            </w:r>
          </w:p>
        </w:tc>
      </w:tr>
      <w:tr w:rsidR="00584A27" w:rsidRPr="00750BE2" w:rsidTr="00B04503">
        <w:tc>
          <w:tcPr>
            <w:tcW w:w="5000" w:type="pct"/>
            <w:tcBorders>
              <w:top w:val="nil"/>
              <w:left w:val="nil"/>
              <w:bottom w:val="nil"/>
              <w:right w:val="nil"/>
            </w:tcBorders>
            <w:shd w:val="clear" w:color="auto" w:fill="auto"/>
          </w:tcPr>
          <w:p w:rsidR="00584A27" w:rsidRPr="00302A6A" w:rsidRDefault="00584A27" w:rsidP="00B04503">
            <w:pPr>
              <w:pStyle w:val="InformationRequestBullet"/>
            </w:pPr>
            <w:r>
              <w:t xml:space="preserve">Are the current benchmarks of the NDA still relevant? What should they be beyond 2018? For example, what magnitude of change should be targeted and over what time period? </w:t>
            </w:r>
          </w:p>
          <w:p w:rsidR="00584A27" w:rsidRPr="00426A71" w:rsidRDefault="00584A27" w:rsidP="00B04503">
            <w:pPr>
              <w:pStyle w:val="InformationRequestBullet"/>
            </w:pPr>
            <w:r>
              <w:t>How should the benchmark of ensuring that families and carers are well supported be measured?</w:t>
            </w:r>
          </w:p>
        </w:tc>
      </w:tr>
      <w:tr w:rsidR="00584A27" w:rsidTr="00B04503">
        <w:tc>
          <w:tcPr>
            <w:tcW w:w="5000" w:type="pct"/>
            <w:tcBorders>
              <w:top w:val="nil"/>
              <w:left w:val="nil"/>
              <w:bottom w:val="single" w:sz="6" w:space="0" w:color="78A22F"/>
              <w:right w:val="nil"/>
            </w:tcBorders>
            <w:shd w:val="clear" w:color="auto" w:fill="auto"/>
          </w:tcPr>
          <w:p w:rsidR="00584A27" w:rsidRDefault="00584A27" w:rsidP="00B04503">
            <w:pPr>
              <w:pStyle w:val="Space"/>
              <w:keepLines/>
            </w:pPr>
          </w:p>
        </w:tc>
      </w:tr>
      <w:tr w:rsidR="00584A27" w:rsidRPr="000863A5" w:rsidTr="00B04503">
        <w:tc>
          <w:tcPr>
            <w:tcW w:w="5000" w:type="pct"/>
            <w:tcBorders>
              <w:top w:val="single" w:sz="6" w:space="0" w:color="78A22F"/>
              <w:left w:val="nil"/>
              <w:bottom w:val="nil"/>
              <w:right w:val="nil"/>
            </w:tcBorders>
          </w:tcPr>
          <w:p w:rsidR="00584A27" w:rsidRPr="00626D32" w:rsidRDefault="00584A27" w:rsidP="00B04503">
            <w:pPr>
              <w:pStyle w:val="BoxSpaceBelow"/>
              <w:keepLines/>
            </w:pPr>
          </w:p>
        </w:tc>
      </w:tr>
    </w:tbl>
    <w:p w:rsidR="000A783C" w:rsidRDefault="000A783C" w:rsidP="000A783C">
      <w:pPr>
        <w:pStyle w:val="Heading4"/>
      </w:pPr>
      <w:r>
        <w:t>A national performance reporting system for disability?</w:t>
      </w:r>
    </w:p>
    <w:p w:rsidR="000A783C" w:rsidRDefault="000A783C" w:rsidP="000A783C">
      <w:pPr>
        <w:pStyle w:val="BodyText"/>
      </w:pPr>
      <w:r w:rsidDel="00DD0941">
        <w:t>T</w:t>
      </w:r>
      <w:r>
        <w:t>he IGA FFR makes reference to a national performance reporting system — a single, integrated, national reporting system that will reduce collection costs and confusion in interpreting performance. Under such a system, there would be improvements in duplications, overlap, inconsistencies, data gaps, and timeliness of data collection.</w:t>
      </w:r>
    </w:p>
    <w:p w:rsidR="000A783C" w:rsidRDefault="000A783C" w:rsidP="000A783C">
      <w:pPr>
        <w:pStyle w:val="BodyText"/>
      </w:pPr>
      <w:r>
        <w:t>There are two key datasets that collect information on people with a disability, and the data from these sources are used in various performance reporting frameworks, including the RoGS. These two datasets are:</w:t>
      </w:r>
    </w:p>
    <w:p w:rsidR="000A783C" w:rsidRDefault="000A783C" w:rsidP="000A783C">
      <w:pPr>
        <w:pStyle w:val="ListBullet"/>
      </w:pPr>
      <w:r>
        <w:t>the ABS Survey of Disability, Ageing and Carers (SDAC), which collects information on the level of support needs of people with disability</w:t>
      </w:r>
    </w:p>
    <w:p w:rsidR="000A783C" w:rsidRDefault="000A783C" w:rsidP="000A783C">
      <w:pPr>
        <w:pStyle w:val="ListBullet"/>
      </w:pPr>
      <w:r>
        <w:t>the Australian Institute for Health and Welfare Disability Service National Minimum Dataset (</w:t>
      </w:r>
      <w:r w:rsidR="00640310">
        <w:t>DSNMDS)</w:t>
      </w:r>
      <w:r>
        <w:t>, which collects information on government provided or funded services for people with a disability.</w:t>
      </w:r>
    </w:p>
    <w:p w:rsidR="007C500E" w:rsidRDefault="007C500E" w:rsidP="007C500E">
      <w:pPr>
        <w:pStyle w:val="ListBullet"/>
        <w:numPr>
          <w:ilvl w:val="0"/>
          <w:numId w:val="0"/>
        </w:numPr>
      </w:pPr>
      <w:r>
        <w:t>While the NMDS is released annually, the ABS releases the SDAC every six years, with an interim three</w:t>
      </w:r>
      <w:r>
        <w:noBreakHyphen/>
        <w:t xml:space="preserve">year release if funding is secured from Commonwealth, State and Territory Governments. In its </w:t>
      </w:r>
      <w:r w:rsidRPr="00211D14">
        <w:t>NDIS Costs</w:t>
      </w:r>
      <w:r>
        <w:t xml:space="preserve"> study, the Productivity Commission expressed concern that the SDAC’s future is uncertain, noting that the survey’s frequency and representativeness were at risk without an ongoing funding commitment from jurisdictions </w:t>
      </w:r>
      <w:r w:rsidRPr="00794DE0">
        <w:rPr>
          <w:szCs w:val="24"/>
        </w:rPr>
        <w:t>(PC 2017, p. 480)</w:t>
      </w:r>
      <w:r>
        <w:t>.</w:t>
      </w:r>
    </w:p>
    <w:p w:rsidR="007C500E" w:rsidRDefault="007C500E" w:rsidP="007C500E">
      <w:pPr>
        <w:pStyle w:val="ListBullet"/>
        <w:numPr>
          <w:ilvl w:val="0"/>
          <w:numId w:val="0"/>
        </w:numPr>
        <w:ind w:left="340" w:hanging="340"/>
      </w:pPr>
    </w:p>
    <w:p w:rsidR="008F1982" w:rsidRDefault="008F1982" w:rsidP="008F198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F1982" w:rsidTr="00D57CFC">
        <w:trPr>
          <w:tblHeader/>
        </w:trPr>
        <w:tc>
          <w:tcPr>
            <w:tcW w:w="5000" w:type="pct"/>
            <w:tcBorders>
              <w:top w:val="single" w:sz="6" w:space="0" w:color="78A22F"/>
              <w:left w:val="nil"/>
              <w:bottom w:val="nil"/>
              <w:right w:val="nil"/>
            </w:tcBorders>
            <w:shd w:val="clear" w:color="auto" w:fill="auto"/>
          </w:tcPr>
          <w:p w:rsidR="008F1982" w:rsidRPr="00176D3F" w:rsidRDefault="008F1982" w:rsidP="004F29F1">
            <w:pPr>
              <w:pStyle w:val="FigureTitle"/>
            </w:pPr>
            <w:r w:rsidRPr="00784A05">
              <w:rPr>
                <w:b w:val="0"/>
              </w:rPr>
              <w:t xml:space="preserve">Figure </w:t>
            </w:r>
            <w:r w:rsidR="004F29F1">
              <w:rPr>
                <w:b w:val="0"/>
              </w:rPr>
              <w:t>5</w:t>
            </w:r>
            <w:r>
              <w:tab/>
              <w:t>Progress against performance benchmarks of the NDA</w:t>
            </w:r>
          </w:p>
        </w:tc>
      </w:tr>
      <w:tr w:rsidR="008F1982" w:rsidTr="00D57CFC">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4"/>
            </w:tblGrid>
            <w:tr w:rsidR="008F1982" w:rsidRPr="00B1465D" w:rsidTr="00D57CFC">
              <w:trPr>
                <w:tblHeader/>
                <w:jc w:val="center"/>
              </w:trPr>
              <w:tc>
                <w:tcPr>
                  <w:tcW w:w="5000" w:type="pct"/>
                  <w:tcBorders>
                    <w:top w:val="nil"/>
                    <w:bottom w:val="nil"/>
                  </w:tcBorders>
                </w:tcPr>
                <w:p w:rsidR="008F1982" w:rsidRPr="00B1465D" w:rsidRDefault="000F1788" w:rsidP="00D57CFC">
                  <w:pPr>
                    <w:pStyle w:val="Figure"/>
                    <w:spacing w:before="60" w:after="60"/>
                    <w:rPr>
                      <w:rFonts w:ascii="Arial" w:hAnsi="Arial" w:cs="Arial"/>
                      <w:sz w:val="18"/>
                      <w:szCs w:val="18"/>
                    </w:rPr>
                  </w:pPr>
                  <w:r w:rsidRPr="000F1788">
                    <w:rPr>
                      <w:rFonts w:ascii="Arial" w:hAnsi="Arial" w:cs="Arial"/>
                      <w:noProof/>
                      <w:sz w:val="18"/>
                      <w:szCs w:val="18"/>
                    </w:rPr>
                    <w:drawing>
                      <wp:inline distT="0" distB="0" distL="0" distR="0" wp14:anchorId="4C9205A5" wp14:editId="577F4C09">
                        <wp:extent cx="5370830" cy="2771775"/>
                        <wp:effectExtent l="0" t="0" r="1270" b="9525"/>
                        <wp:docPr id="11" name="Picture 11" descr="Progress against the performance benchmarks of the NDA is measured with data from 2009 to 2018 against the two benchmarks which have associated targets.&#10;The first benchmark – the labour force participation rate for people with disability – shows that performance is not on track to meet the national target. Labour force participation for all persons declined by roughly four percentage points from approximately sixty per cent from 2009 to 2012 and then increased by around two percentage points 2012 to 2015. This same trend was evident for men over the same time period. However for women, the participation rate was roughly constant at approximately forty nine per cent from 2009 to 2012 and then increase marginally from 2012 to 2015&#10;&#10;The second benchmark – the need for more formal assistance – also shows that performance is not on track to meet the national target. The need for formal assistance has increase from roughly thirty two per cent to thirty four per cent from 2009 to 2012, and then to approximately thirty five per cent in 2015.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70830" cy="2771775"/>
                                </a:xfrm>
                                <a:prstGeom prst="rect">
                                  <a:avLst/>
                                </a:prstGeom>
                                <a:noFill/>
                                <a:ln>
                                  <a:noFill/>
                                </a:ln>
                              </pic:spPr>
                            </pic:pic>
                          </a:graphicData>
                        </a:graphic>
                      </wp:inline>
                    </w:drawing>
                  </w:r>
                </w:p>
              </w:tc>
            </w:tr>
          </w:tbl>
          <w:p w:rsidR="008F1982" w:rsidRDefault="008F1982" w:rsidP="00D57CFC">
            <w:pPr>
              <w:pStyle w:val="Figure"/>
            </w:pPr>
          </w:p>
        </w:tc>
      </w:tr>
      <w:tr w:rsidR="008F1982" w:rsidRPr="00176D3F" w:rsidTr="00D57CFC">
        <w:tc>
          <w:tcPr>
            <w:tcW w:w="5000" w:type="pct"/>
            <w:tcBorders>
              <w:top w:val="nil"/>
              <w:left w:val="nil"/>
              <w:bottom w:val="nil"/>
              <w:right w:val="nil"/>
            </w:tcBorders>
            <w:shd w:val="clear" w:color="auto" w:fill="auto"/>
          </w:tcPr>
          <w:p w:rsidR="008F1982" w:rsidRPr="00176D3F" w:rsidRDefault="008F1982" w:rsidP="00D57CFC">
            <w:pPr>
              <w:pStyle w:val="Source"/>
            </w:pPr>
            <w:r>
              <w:rPr>
                <w:i/>
              </w:rPr>
              <w:t>S</w:t>
            </w:r>
            <w:r w:rsidRPr="00784A05">
              <w:rPr>
                <w:i/>
              </w:rPr>
              <w:t>ource</w:t>
            </w:r>
            <w:r w:rsidRPr="00176D3F">
              <w:t xml:space="preserve">: </w:t>
            </w:r>
            <w:r>
              <w:t xml:space="preserve">Constructed using SCRGSP </w:t>
            </w:r>
            <w:r w:rsidR="00841E71" w:rsidRPr="00841E71">
              <w:rPr>
                <w:rFonts w:cs="Arial"/>
              </w:rPr>
              <w:t>(2018)</w:t>
            </w:r>
            <w:r>
              <w:t>.</w:t>
            </w:r>
          </w:p>
        </w:tc>
      </w:tr>
      <w:tr w:rsidR="008F1982" w:rsidTr="00D57CFC">
        <w:tc>
          <w:tcPr>
            <w:tcW w:w="5000" w:type="pct"/>
            <w:tcBorders>
              <w:top w:val="nil"/>
              <w:left w:val="nil"/>
              <w:bottom w:val="single" w:sz="6" w:space="0" w:color="78A22F"/>
              <w:right w:val="nil"/>
            </w:tcBorders>
            <w:shd w:val="clear" w:color="auto" w:fill="auto"/>
          </w:tcPr>
          <w:p w:rsidR="008F1982" w:rsidRDefault="008F1982" w:rsidP="00D57CFC">
            <w:pPr>
              <w:pStyle w:val="Figurespace"/>
            </w:pPr>
          </w:p>
        </w:tc>
      </w:tr>
      <w:tr w:rsidR="008F1982" w:rsidRPr="000863A5" w:rsidTr="00D57CFC">
        <w:tc>
          <w:tcPr>
            <w:tcW w:w="5000" w:type="pct"/>
            <w:tcBorders>
              <w:top w:val="single" w:sz="6" w:space="0" w:color="78A22F"/>
              <w:left w:val="nil"/>
              <w:bottom w:val="nil"/>
              <w:right w:val="nil"/>
            </w:tcBorders>
          </w:tcPr>
          <w:p w:rsidR="008F1982" w:rsidRPr="00626D32" w:rsidRDefault="008F1982" w:rsidP="00D57CFC">
            <w:pPr>
              <w:pStyle w:val="BoxSpaceBelow"/>
            </w:pPr>
          </w:p>
        </w:tc>
      </w:tr>
    </w:tbl>
    <w:p w:rsidR="00DA6DB0" w:rsidRDefault="003A5EA0" w:rsidP="00B91108">
      <w:pPr>
        <w:pStyle w:val="BodyText"/>
      </w:pPr>
      <w:r>
        <w:t xml:space="preserve">Alongside the NDA, both the NDS and the NDIS </w:t>
      </w:r>
      <w:r w:rsidR="009D6B53">
        <w:t xml:space="preserve">report against their own performance </w:t>
      </w:r>
      <w:r>
        <w:t>frameworks</w:t>
      </w:r>
      <w:r w:rsidR="00C029D9">
        <w:t>.</w:t>
      </w:r>
      <w:r w:rsidR="00B91108">
        <w:t xml:space="preserve"> </w:t>
      </w:r>
      <w:r w:rsidR="00C521FF">
        <w:t>T</w:t>
      </w:r>
      <w:r>
        <w:t xml:space="preserve">he NDS, </w:t>
      </w:r>
      <w:r w:rsidR="00C521FF">
        <w:t>in its progress reports to COAG</w:t>
      </w:r>
      <w:r w:rsidR="009D6B53">
        <w:t xml:space="preserve">, </w:t>
      </w:r>
      <w:r>
        <w:t xml:space="preserve">reports </w:t>
      </w:r>
      <w:r w:rsidR="009D6B53">
        <w:t xml:space="preserve">against </w:t>
      </w:r>
      <w:r w:rsidR="00C521FF">
        <w:t xml:space="preserve">its </w:t>
      </w:r>
      <w:r w:rsidR="009D6B53">
        <w:t xml:space="preserve">six broad outcome areas. </w:t>
      </w:r>
      <w:r w:rsidR="00C521FF">
        <w:t xml:space="preserve">Most of the data are sourced from the ABS and RoGS. </w:t>
      </w:r>
      <w:r w:rsidR="009D6B53">
        <w:t xml:space="preserve">The </w:t>
      </w:r>
      <w:r w:rsidR="00C521FF">
        <w:t>National Disability Insurance Agency produces a quarterly report to the COAG D</w:t>
      </w:r>
      <w:r w:rsidR="00BC2DB5">
        <w:t xml:space="preserve">isability </w:t>
      </w:r>
      <w:r w:rsidR="00C521FF">
        <w:t>R</w:t>
      </w:r>
      <w:r w:rsidR="00BC2DB5">
        <w:t xml:space="preserve">eform </w:t>
      </w:r>
      <w:r w:rsidR="00C521FF">
        <w:t>C</w:t>
      </w:r>
      <w:r w:rsidR="00BC2DB5">
        <w:t>ouncil, and</w:t>
      </w:r>
      <w:r w:rsidR="00C521FF">
        <w:t xml:space="preserve"> reports </w:t>
      </w:r>
      <w:r w:rsidR="00EA473F">
        <w:t xml:space="preserve">a range of measures under three </w:t>
      </w:r>
      <w:r w:rsidR="008638BE">
        <w:t>NDIS outcomes</w:t>
      </w:r>
      <w:r w:rsidR="00A10677">
        <w:t>.</w:t>
      </w:r>
    </w:p>
    <w:p w:rsidR="00DA6DB0" w:rsidRDefault="00DA6DB0" w:rsidP="009C7486">
      <w:pPr>
        <w:pStyle w:val="BodyText"/>
        <w:numPr>
          <w:ilvl w:val="0"/>
          <w:numId w:val="32"/>
        </w:numPr>
      </w:pPr>
      <w:r>
        <w:t>P</w:t>
      </w:r>
      <w:r w:rsidR="00EA473F">
        <w:t>eople with disability achieving their goals for independence, social and economic participation</w:t>
      </w:r>
      <w:r>
        <w:t xml:space="preserve">: 15 measures ranging from </w:t>
      </w:r>
      <w:r w:rsidR="00D70834">
        <w:t>i</w:t>
      </w:r>
      <w:r w:rsidR="00D70834" w:rsidRPr="00D70834">
        <w:t>nformation about participants with approved plans</w:t>
      </w:r>
      <w:r w:rsidR="00D70834">
        <w:t xml:space="preserve"> to participant satisfaction with the </w:t>
      </w:r>
      <w:r w:rsidR="000E42C7">
        <w:t>National Disability Insurance Agency (</w:t>
      </w:r>
      <w:r w:rsidR="00D70834">
        <w:t>NDIA</w:t>
      </w:r>
      <w:r w:rsidR="000E42C7">
        <w:t>)</w:t>
      </w:r>
      <w:r w:rsidR="00D70834">
        <w:t>.</w:t>
      </w:r>
    </w:p>
    <w:p w:rsidR="00DA6DB0" w:rsidRDefault="00DA6DB0" w:rsidP="009C7486">
      <w:pPr>
        <w:pStyle w:val="BodyText"/>
        <w:numPr>
          <w:ilvl w:val="0"/>
          <w:numId w:val="32"/>
        </w:numPr>
      </w:pPr>
      <w:r>
        <w:t>F</w:t>
      </w:r>
      <w:r w:rsidR="00EA473F">
        <w:t>inancial sustainability</w:t>
      </w:r>
      <w:r w:rsidR="00F50CC4">
        <w:t xml:space="preserve"> of the scheme</w:t>
      </w:r>
      <w:r>
        <w:t>: 15 measures ranging from participant numbers</w:t>
      </w:r>
      <w:r w:rsidR="00A10677">
        <w:t xml:space="preserve"> </w:t>
      </w:r>
      <w:r>
        <w:t xml:space="preserve">to </w:t>
      </w:r>
      <w:r w:rsidR="00D70834">
        <w:t>the total cost of supports and payments to providers.</w:t>
      </w:r>
    </w:p>
    <w:p w:rsidR="00D70834" w:rsidRDefault="00DA6DB0" w:rsidP="009C7486">
      <w:pPr>
        <w:pStyle w:val="BodyText"/>
        <w:numPr>
          <w:ilvl w:val="0"/>
          <w:numId w:val="32"/>
        </w:numPr>
      </w:pPr>
      <w:r>
        <w:t>C</w:t>
      </w:r>
      <w:r w:rsidR="00EA473F">
        <w:t>ommunity inclusion</w:t>
      </w:r>
      <w:r w:rsidR="00F50CC4">
        <w:t xml:space="preserve"> of people with disability</w:t>
      </w:r>
      <w:r>
        <w:t xml:space="preserve">: 4 measures ranging from the proportion of participants accessing mainstream services, to community awareness activities undertaken by Local Area </w:t>
      </w:r>
      <w:r w:rsidR="00A10677">
        <w:t>C</w:t>
      </w:r>
      <w:r>
        <w:t>oordination</w:t>
      </w:r>
      <w:r w:rsidR="00ED35B1">
        <w:t xml:space="preserve"> </w:t>
      </w:r>
      <w:r w:rsidR="006018FA" w:rsidRPr="006018FA">
        <w:t>(NDIA 2018)</w:t>
      </w:r>
      <w:r w:rsidR="00731A63">
        <w:t>.</w:t>
      </w:r>
    </w:p>
    <w:p w:rsidR="00E62630" w:rsidRDefault="00322F2C" w:rsidP="00074E27">
      <w:pPr>
        <w:pStyle w:val="BodyText"/>
      </w:pPr>
      <w:r>
        <w:t>In addition to performance reporting, progress against outcomes require</w:t>
      </w:r>
      <w:r w:rsidR="004E58AC">
        <w:t>s</w:t>
      </w:r>
      <w:r>
        <w:t xml:space="preserve"> good quality data and research about what works for people with disability. </w:t>
      </w:r>
      <w:r w:rsidR="004E58AC">
        <w:t>T</w:t>
      </w:r>
      <w:r>
        <w:t xml:space="preserve">he </w:t>
      </w:r>
      <w:r w:rsidR="00C332D0">
        <w:t xml:space="preserve">NDA states that all Australian Governments are responsible for </w:t>
      </w:r>
      <w:r w:rsidR="00C332D0" w:rsidRPr="00BC2DB5">
        <w:t>funding and pursuing research that improves the evidence base for national policy</w:t>
      </w:r>
      <w:r w:rsidR="00C332D0">
        <w:t>. The NDS states that a key part of an effective strategy is the development of good quality data and research to highlight the most effective means of providing mainstream services for people with disability</w:t>
      </w:r>
      <w:r w:rsidR="00C332D0" w:rsidDel="00DA6DB0">
        <w:t>.</w:t>
      </w:r>
      <w:r w:rsidR="00C332D0">
        <w:t xml:space="preserve"> </w:t>
      </w:r>
      <w:r>
        <w:t>Similarly</w:t>
      </w:r>
      <w:r w:rsidR="0004560B">
        <w:t>,</w:t>
      </w:r>
      <w:r>
        <w:t xml:space="preserve"> the NDIS will rely on good quality data and evidence to inform its approach to disability support, and to understand emerging risks to the financial sustainability of the scheme </w:t>
      </w:r>
      <w:r>
        <w:rPr>
          <w:szCs w:val="24"/>
        </w:rPr>
        <w:t>(PC 2017, p. 470)</w:t>
      </w:r>
      <w:r>
        <w:t xml:space="preserve">. </w:t>
      </w:r>
    </w:p>
    <w:p w:rsidR="003C5892" w:rsidRPr="00513831" w:rsidRDefault="003C5892" w:rsidP="003C5892">
      <w:pPr>
        <w:pStyle w:val="BoxSpaceAboveElement"/>
        <w:keepLines/>
        <w:rPr>
          <w:vanish w:val="0"/>
          <w:color w:val="auto"/>
          <w:sz w:val="24"/>
          <w:szCs w:val="2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3C5892" w:rsidTr="00FA635A">
        <w:trPr>
          <w:tblHeader/>
        </w:trPr>
        <w:tc>
          <w:tcPr>
            <w:tcW w:w="5000" w:type="pct"/>
            <w:tcBorders>
              <w:top w:val="single" w:sz="6" w:space="0" w:color="78A22F"/>
              <w:left w:val="nil"/>
              <w:bottom w:val="nil"/>
              <w:right w:val="nil"/>
            </w:tcBorders>
            <w:shd w:val="clear" w:color="auto" w:fill="auto"/>
          </w:tcPr>
          <w:p w:rsidR="003C5892" w:rsidRPr="00CE4C64" w:rsidRDefault="003C5892" w:rsidP="00FA635A">
            <w:pPr>
              <w:pStyle w:val="InformationRequestTitle"/>
              <w:spacing w:before="120"/>
            </w:pPr>
            <w:r>
              <w:t>questions</w:t>
            </w:r>
          </w:p>
        </w:tc>
      </w:tr>
      <w:tr w:rsidR="003C5892" w:rsidRPr="00750BE2" w:rsidTr="00FA635A">
        <w:tc>
          <w:tcPr>
            <w:tcW w:w="5000" w:type="pct"/>
            <w:tcBorders>
              <w:top w:val="nil"/>
              <w:left w:val="nil"/>
              <w:bottom w:val="nil"/>
              <w:right w:val="nil"/>
            </w:tcBorders>
            <w:shd w:val="clear" w:color="auto" w:fill="auto"/>
          </w:tcPr>
          <w:p w:rsidR="00F92DEF" w:rsidRDefault="003C5892" w:rsidP="003C1D88">
            <w:pPr>
              <w:pStyle w:val="InformationRequestBullet"/>
            </w:pPr>
            <w:r>
              <w:t>To what extent has a coherent national performance reporting system be</w:t>
            </w:r>
            <w:r w:rsidR="0063717F">
              <w:t>en</w:t>
            </w:r>
            <w:r>
              <w:t xml:space="preserve"> achieved?</w:t>
            </w:r>
          </w:p>
          <w:p w:rsidR="00F92DEF" w:rsidRPr="005A7A22" w:rsidRDefault="003C5892" w:rsidP="00B04503">
            <w:pPr>
              <w:pStyle w:val="ListBullet2"/>
              <w:numPr>
                <w:ilvl w:val="0"/>
                <w:numId w:val="13"/>
              </w:numPr>
              <w:rPr>
                <w:rFonts w:asciiTheme="minorHAnsi" w:hAnsiTheme="minorHAnsi" w:cstheme="minorHAnsi"/>
                <w:i/>
                <w:sz w:val="22"/>
                <w:szCs w:val="22"/>
              </w:rPr>
            </w:pPr>
            <w:r w:rsidRPr="005A7A22">
              <w:rPr>
                <w:rFonts w:asciiTheme="minorHAnsi" w:hAnsiTheme="minorHAnsi" w:cstheme="minorHAnsi"/>
                <w:i/>
                <w:sz w:val="22"/>
                <w:szCs w:val="22"/>
              </w:rPr>
              <w:t xml:space="preserve">What needs to be improved? </w:t>
            </w:r>
            <w:r w:rsidR="00F92DEF" w:rsidRPr="005A7A22">
              <w:rPr>
                <w:rFonts w:asciiTheme="minorHAnsi" w:hAnsiTheme="minorHAnsi" w:cstheme="minorHAnsi"/>
                <w:i/>
                <w:sz w:val="22"/>
                <w:szCs w:val="22"/>
              </w:rPr>
              <w:t xml:space="preserve">For example, are there duplications, overlaps, inconsistencies and data gaps? Are data provided in a timely manner? </w:t>
            </w:r>
          </w:p>
          <w:p w:rsidR="003C5892" w:rsidRPr="005A7A22" w:rsidRDefault="003C5892" w:rsidP="00AD69D1">
            <w:pPr>
              <w:pStyle w:val="ListBullet2"/>
              <w:numPr>
                <w:ilvl w:val="0"/>
                <w:numId w:val="13"/>
              </w:numPr>
              <w:rPr>
                <w:rFonts w:asciiTheme="minorHAnsi" w:hAnsiTheme="minorHAnsi" w:cstheme="minorHAnsi"/>
                <w:i/>
                <w:sz w:val="22"/>
                <w:szCs w:val="22"/>
              </w:rPr>
            </w:pPr>
            <w:r w:rsidRPr="005A7A22">
              <w:rPr>
                <w:rFonts w:asciiTheme="minorHAnsi" w:hAnsiTheme="minorHAnsi" w:cstheme="minorHAnsi"/>
                <w:i/>
                <w:sz w:val="22"/>
                <w:szCs w:val="22"/>
              </w:rPr>
              <w:t xml:space="preserve">How </w:t>
            </w:r>
            <w:r w:rsidR="00F92DEF" w:rsidRPr="005A7A22">
              <w:rPr>
                <w:rFonts w:asciiTheme="minorHAnsi" w:hAnsiTheme="minorHAnsi" w:cstheme="minorHAnsi"/>
                <w:i/>
                <w:sz w:val="22"/>
                <w:szCs w:val="22"/>
              </w:rPr>
              <w:t xml:space="preserve">are improvements </w:t>
            </w:r>
            <w:r w:rsidRPr="005A7A22">
              <w:rPr>
                <w:rFonts w:asciiTheme="minorHAnsi" w:hAnsiTheme="minorHAnsi" w:cstheme="minorHAnsi"/>
                <w:i/>
                <w:sz w:val="22"/>
                <w:szCs w:val="22"/>
              </w:rPr>
              <w:t>best achieved?</w:t>
            </w:r>
          </w:p>
          <w:p w:rsidR="00C746F3" w:rsidRDefault="00C746F3" w:rsidP="00C746F3">
            <w:pPr>
              <w:pStyle w:val="InformationRequestBullet"/>
            </w:pPr>
            <w:r>
              <w:t>How relevant is the current performance reporting framework of the NDA in light of the implementation of the NDIS?</w:t>
            </w:r>
            <w:r w:rsidR="002F4DE0">
              <w:t xml:space="preserve"> How can outcomes for people outside the NDIS be adequately monitored?</w:t>
            </w:r>
          </w:p>
          <w:p w:rsidR="00AE1E3B" w:rsidRPr="00AE1E3B" w:rsidRDefault="00AE1E3B" w:rsidP="00AE1E3B">
            <w:pPr>
              <w:pStyle w:val="InformationRequestBullet"/>
            </w:pPr>
            <w:r>
              <w:t>Is it possible to effectively separate out performance against NDA objectives and outcomes from those of the NDS and NDIS?</w:t>
            </w:r>
          </w:p>
          <w:p w:rsidR="00637B36" w:rsidRDefault="00F92DEF" w:rsidP="00693A6E">
            <w:pPr>
              <w:pStyle w:val="InformationRequestBullet"/>
              <w:numPr>
                <w:ilvl w:val="0"/>
                <w:numId w:val="10"/>
              </w:numPr>
            </w:pPr>
            <w:r>
              <w:t xml:space="preserve">Is the relationship between outcomes, outputs, benchmarks and indicators clear? If not, what changes to the structure of the agreement should be made? </w:t>
            </w:r>
          </w:p>
          <w:p w:rsidR="00C84EC9" w:rsidRDefault="0058724E" w:rsidP="00C84EC9">
            <w:pPr>
              <w:pStyle w:val="InformationRequestBullet"/>
            </w:pPr>
            <w:r>
              <w:t>Is</w:t>
            </w:r>
            <w:r w:rsidR="00637B36" w:rsidRPr="00637B36">
              <w:t xml:space="preserve"> the collection and publishing of data, </w:t>
            </w:r>
            <w:r>
              <w:t>and</w:t>
            </w:r>
            <w:r w:rsidR="00637B36" w:rsidRPr="00637B36">
              <w:t xml:space="preserve"> funding of this</w:t>
            </w:r>
            <w:r>
              <w:t>, adequately dealt with in the NDA</w:t>
            </w:r>
            <w:r w:rsidR="00637B36">
              <w:t>?</w:t>
            </w:r>
            <w:r w:rsidR="00D513AE">
              <w:t xml:space="preserve"> </w:t>
            </w:r>
          </w:p>
          <w:p w:rsidR="00C84EC9" w:rsidRPr="00C84EC9" w:rsidRDefault="00D513AE" w:rsidP="00C84EC9">
            <w:pPr>
              <w:pStyle w:val="ListBullet2"/>
              <w:numPr>
                <w:ilvl w:val="0"/>
                <w:numId w:val="13"/>
              </w:numPr>
            </w:pPr>
            <w:r w:rsidRPr="00C84EC9">
              <w:rPr>
                <w:rFonts w:asciiTheme="minorHAnsi" w:hAnsiTheme="minorHAnsi" w:cstheme="minorHAnsi"/>
                <w:i/>
                <w:sz w:val="22"/>
                <w:szCs w:val="22"/>
              </w:rPr>
              <w:t>Are existing datasets</w:t>
            </w:r>
            <w:r w:rsidR="00AC5B86" w:rsidRPr="00C84EC9">
              <w:rPr>
                <w:rFonts w:asciiTheme="minorHAnsi" w:hAnsiTheme="minorHAnsi" w:cstheme="minorHAnsi"/>
                <w:i/>
                <w:sz w:val="22"/>
                <w:szCs w:val="22"/>
              </w:rPr>
              <w:t xml:space="preserve"> </w:t>
            </w:r>
            <w:r w:rsidRPr="00C84EC9">
              <w:rPr>
                <w:rFonts w:asciiTheme="minorHAnsi" w:hAnsiTheme="minorHAnsi" w:cstheme="minorHAnsi"/>
                <w:i/>
                <w:sz w:val="22"/>
                <w:szCs w:val="22"/>
              </w:rPr>
              <w:t>adequately resourced to provide the necessary evidence base for</w:t>
            </w:r>
            <w:r w:rsidR="00AC5B86" w:rsidRPr="00C84EC9">
              <w:rPr>
                <w:rFonts w:asciiTheme="minorHAnsi" w:hAnsiTheme="minorHAnsi" w:cstheme="minorHAnsi"/>
                <w:i/>
                <w:sz w:val="22"/>
                <w:szCs w:val="22"/>
              </w:rPr>
              <w:t xml:space="preserve"> performance reporting under </w:t>
            </w:r>
            <w:r w:rsidRPr="00C84EC9">
              <w:rPr>
                <w:rFonts w:asciiTheme="minorHAnsi" w:hAnsiTheme="minorHAnsi" w:cstheme="minorHAnsi"/>
                <w:i/>
                <w:sz w:val="22"/>
                <w:szCs w:val="22"/>
              </w:rPr>
              <w:t>the NDA</w:t>
            </w:r>
            <w:r w:rsidR="00AC5B86" w:rsidRPr="00C84EC9">
              <w:rPr>
                <w:rFonts w:asciiTheme="minorHAnsi" w:hAnsiTheme="minorHAnsi" w:cstheme="minorHAnsi"/>
                <w:i/>
                <w:sz w:val="22"/>
                <w:szCs w:val="22"/>
              </w:rPr>
              <w:t>,</w:t>
            </w:r>
            <w:r w:rsidR="001304DC" w:rsidRPr="00C84EC9">
              <w:rPr>
                <w:rFonts w:asciiTheme="minorHAnsi" w:hAnsiTheme="minorHAnsi" w:cstheme="minorHAnsi"/>
                <w:i/>
                <w:sz w:val="22"/>
                <w:szCs w:val="22"/>
              </w:rPr>
              <w:t xml:space="preserve"> NDS and NDIS</w:t>
            </w:r>
            <w:r w:rsidR="00AC5B86" w:rsidRPr="00C84EC9">
              <w:rPr>
                <w:rFonts w:asciiTheme="minorHAnsi" w:hAnsiTheme="minorHAnsi" w:cstheme="minorHAnsi"/>
                <w:i/>
                <w:sz w:val="22"/>
                <w:szCs w:val="22"/>
              </w:rPr>
              <w:t>?</w:t>
            </w:r>
            <w:r w:rsidR="001304DC" w:rsidRPr="00C84EC9">
              <w:rPr>
                <w:rFonts w:asciiTheme="minorHAnsi" w:hAnsiTheme="minorHAnsi" w:cstheme="minorHAnsi"/>
                <w:i/>
                <w:sz w:val="22"/>
                <w:szCs w:val="22"/>
              </w:rPr>
              <w:t xml:space="preserve"> </w:t>
            </w:r>
          </w:p>
          <w:p w:rsidR="007911EC" w:rsidRPr="00C746F3" w:rsidRDefault="00AC5B86" w:rsidP="007911EC">
            <w:pPr>
              <w:pStyle w:val="ListBullet2"/>
              <w:numPr>
                <w:ilvl w:val="0"/>
                <w:numId w:val="13"/>
              </w:numPr>
            </w:pPr>
            <w:r w:rsidRPr="00C84EC9">
              <w:rPr>
                <w:rFonts w:asciiTheme="minorHAnsi" w:hAnsiTheme="minorHAnsi" w:cstheme="minorHAnsi"/>
                <w:i/>
                <w:sz w:val="22"/>
                <w:szCs w:val="22"/>
              </w:rPr>
              <w:t xml:space="preserve">Are there gaps in what data </w:t>
            </w:r>
            <w:r w:rsidR="00C84EC9" w:rsidRPr="00C84EC9">
              <w:rPr>
                <w:rFonts w:asciiTheme="minorHAnsi" w:hAnsiTheme="minorHAnsi" w:cstheme="minorHAnsi"/>
                <w:i/>
                <w:sz w:val="22"/>
                <w:szCs w:val="22"/>
              </w:rPr>
              <w:t>are</w:t>
            </w:r>
            <w:r w:rsidRPr="00C84EC9">
              <w:rPr>
                <w:rFonts w:asciiTheme="minorHAnsi" w:hAnsiTheme="minorHAnsi" w:cstheme="minorHAnsi"/>
                <w:i/>
                <w:sz w:val="22"/>
                <w:szCs w:val="22"/>
              </w:rPr>
              <w:t xml:space="preserve"> collected (for example, in relation to the disability workforce)? H</w:t>
            </w:r>
            <w:r w:rsidR="00322F2C" w:rsidRPr="00C84EC9">
              <w:rPr>
                <w:rFonts w:asciiTheme="minorHAnsi" w:hAnsiTheme="minorHAnsi" w:cstheme="minorHAnsi"/>
                <w:i/>
                <w:sz w:val="22"/>
                <w:szCs w:val="22"/>
              </w:rPr>
              <w:t>ow could data collection and publication be improved?</w:t>
            </w:r>
          </w:p>
        </w:tc>
      </w:tr>
      <w:tr w:rsidR="003C5892" w:rsidTr="00FA635A">
        <w:tc>
          <w:tcPr>
            <w:tcW w:w="5000" w:type="pct"/>
            <w:tcBorders>
              <w:top w:val="nil"/>
              <w:left w:val="nil"/>
              <w:bottom w:val="single" w:sz="6" w:space="0" w:color="78A22F"/>
              <w:right w:val="nil"/>
            </w:tcBorders>
            <w:shd w:val="clear" w:color="auto" w:fill="auto"/>
          </w:tcPr>
          <w:p w:rsidR="003C5892" w:rsidRDefault="003C5892" w:rsidP="00FA635A">
            <w:pPr>
              <w:pStyle w:val="Space"/>
              <w:keepLines/>
            </w:pPr>
          </w:p>
        </w:tc>
      </w:tr>
      <w:tr w:rsidR="003C5892" w:rsidRPr="000863A5" w:rsidTr="00FA635A">
        <w:tc>
          <w:tcPr>
            <w:tcW w:w="5000" w:type="pct"/>
            <w:tcBorders>
              <w:top w:val="single" w:sz="6" w:space="0" w:color="78A22F"/>
              <w:left w:val="nil"/>
              <w:bottom w:val="nil"/>
              <w:right w:val="nil"/>
            </w:tcBorders>
          </w:tcPr>
          <w:p w:rsidR="003C5892" w:rsidRPr="00626D32" w:rsidRDefault="003C5892" w:rsidP="00FA635A">
            <w:pPr>
              <w:pStyle w:val="BoxSpaceBelow"/>
              <w:keepLines/>
            </w:pPr>
          </w:p>
        </w:tc>
      </w:tr>
    </w:tbl>
    <w:p w:rsidR="00F64F77" w:rsidRDefault="007C14A7" w:rsidP="00D63FB2">
      <w:pPr>
        <w:pStyle w:val="Heading3"/>
      </w:pPr>
      <w:r>
        <w:t xml:space="preserve">Reform and </w:t>
      </w:r>
      <w:r w:rsidR="00D63FB2">
        <w:t>policy directions</w:t>
      </w:r>
    </w:p>
    <w:p w:rsidR="000D55C3" w:rsidRDefault="000D55C3" w:rsidP="00CA60BD">
      <w:pPr>
        <w:pStyle w:val="BodyText"/>
      </w:pPr>
      <w:r>
        <w:t xml:space="preserve">The NDA contains a list of reform and policy directions. </w:t>
      </w:r>
      <w:r w:rsidR="00593546">
        <w:t xml:space="preserve">They provide further guidance on the policy parameters that would achieve the objectives and outcomes of the Agreement. They </w:t>
      </w:r>
      <w:r>
        <w:t xml:space="preserve">are largely general in nature, and tend to express the commitment of governments to broad policy goals, rather than specific actions. </w:t>
      </w:r>
      <w:r w:rsidR="00A410D4">
        <w:t>For example,</w:t>
      </w:r>
      <w:r w:rsidR="00DD6ED6">
        <w:t xml:space="preserve"> Governments agreed to</w:t>
      </w:r>
      <w:r w:rsidR="00A410D4">
        <w:t xml:space="preserve"> </w:t>
      </w:r>
      <w:r w:rsidR="00DD6ED6">
        <w:t xml:space="preserve">ensure that ‘services are person centred’ </w:t>
      </w:r>
      <w:r w:rsidR="004C3CED">
        <w:t>and ‘support the role of families and carers …</w:t>
      </w:r>
      <w:r w:rsidR="00CF75FC">
        <w:t xml:space="preserve"> </w:t>
      </w:r>
      <w:r w:rsidR="004C3CED">
        <w:t>’</w:t>
      </w:r>
      <w:r w:rsidR="000668B8">
        <w:t xml:space="preserve"> </w:t>
      </w:r>
      <w:r w:rsidR="006A7CBC" w:rsidRPr="006A7CBC">
        <w:rPr>
          <w:szCs w:val="24"/>
        </w:rPr>
        <w:t>(COAG 2009, p. 7)</w:t>
      </w:r>
      <w:r w:rsidR="00DD6ED6">
        <w:t>.</w:t>
      </w:r>
      <w:r w:rsidR="00DD6ED6" w:rsidDel="00DD6ED6">
        <w:t xml:space="preserve"> </w:t>
      </w:r>
    </w:p>
    <w:p w:rsidR="004028DE" w:rsidRDefault="000D55C3" w:rsidP="00CA60BD">
      <w:pPr>
        <w:pStyle w:val="BodyText"/>
      </w:pPr>
      <w:r>
        <w:t>With the development of the NDIS</w:t>
      </w:r>
      <w:r w:rsidR="00F07645">
        <w:t xml:space="preserve"> and the NDS</w:t>
      </w:r>
      <w:r w:rsidR="00F62F80">
        <w:t xml:space="preserve"> (which itself contains policy directions and areas for f</w:t>
      </w:r>
      <w:r w:rsidR="00F06AB2">
        <w:t>uture action under each of its six</w:t>
      </w:r>
      <w:r w:rsidR="00F62F80">
        <w:t xml:space="preserve"> outcomes)</w:t>
      </w:r>
      <w:r>
        <w:t xml:space="preserve">, </w:t>
      </w:r>
      <w:r w:rsidR="00F62F80">
        <w:t xml:space="preserve">many of the </w:t>
      </w:r>
      <w:r>
        <w:t xml:space="preserve">NDA’s reform and policy directions </w:t>
      </w:r>
      <w:r w:rsidR="00F62F80">
        <w:t>are now outdated</w:t>
      </w:r>
      <w:r>
        <w:t>.</w:t>
      </w:r>
      <w:r w:rsidR="00F07645">
        <w:t xml:space="preserve"> </w:t>
      </w:r>
    </w:p>
    <w:p w:rsidR="00A92C13" w:rsidRDefault="00A92C13">
      <w:pPr>
        <w:rPr>
          <w:szCs w:val="20"/>
        </w:rPr>
      </w:pPr>
      <w:r>
        <w:br w:type="page"/>
      </w:r>
    </w:p>
    <w:p w:rsidR="00D31281" w:rsidRPr="00513831" w:rsidRDefault="00D31281" w:rsidP="00D31281">
      <w:pPr>
        <w:pStyle w:val="BoxSpaceAboveElement"/>
        <w:keepLines/>
        <w:rPr>
          <w:vanish w:val="0"/>
          <w:color w:val="auto"/>
          <w:sz w:val="24"/>
          <w:szCs w:val="2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D31281" w:rsidTr="00D31281">
        <w:trPr>
          <w:tblHeader/>
        </w:trPr>
        <w:tc>
          <w:tcPr>
            <w:tcW w:w="5000" w:type="pct"/>
            <w:tcBorders>
              <w:top w:val="single" w:sz="6" w:space="0" w:color="78A22F"/>
              <w:left w:val="nil"/>
              <w:bottom w:val="nil"/>
              <w:right w:val="nil"/>
            </w:tcBorders>
            <w:shd w:val="clear" w:color="auto" w:fill="auto"/>
          </w:tcPr>
          <w:p w:rsidR="00D31281" w:rsidRPr="00CE4C64" w:rsidRDefault="00D31281" w:rsidP="00D31281">
            <w:pPr>
              <w:pStyle w:val="InformationRequestTitle"/>
              <w:spacing w:before="120"/>
            </w:pPr>
            <w:r>
              <w:t>questions</w:t>
            </w:r>
          </w:p>
        </w:tc>
      </w:tr>
      <w:tr w:rsidR="00D31281" w:rsidRPr="00750BE2" w:rsidTr="00D31281">
        <w:tc>
          <w:tcPr>
            <w:tcW w:w="5000" w:type="pct"/>
            <w:tcBorders>
              <w:top w:val="nil"/>
              <w:left w:val="nil"/>
              <w:bottom w:val="nil"/>
              <w:right w:val="nil"/>
            </w:tcBorders>
            <w:shd w:val="clear" w:color="auto" w:fill="auto"/>
          </w:tcPr>
          <w:p w:rsidR="008040F8" w:rsidRDefault="00073C2E" w:rsidP="005A2928">
            <w:pPr>
              <w:pStyle w:val="InformationRequestBullet"/>
            </w:pPr>
            <w:r>
              <w:t xml:space="preserve">Is the NDA </w:t>
            </w:r>
            <w:r w:rsidR="008D2D9A">
              <w:t>an effective</w:t>
            </w:r>
            <w:r>
              <w:t xml:space="preserve"> vehicle for articulating reform and policy directions? If so</w:t>
            </w:r>
            <w:r w:rsidR="008040F8">
              <w:t>:</w:t>
            </w:r>
            <w:r>
              <w:t xml:space="preserve"> </w:t>
            </w:r>
          </w:p>
          <w:p w:rsidR="00073C2E" w:rsidRPr="00212F1B" w:rsidRDefault="008D2D9A" w:rsidP="00B04503">
            <w:pPr>
              <w:pStyle w:val="ListBullet2"/>
              <w:numPr>
                <w:ilvl w:val="0"/>
                <w:numId w:val="13"/>
              </w:numPr>
              <w:rPr>
                <w:rFonts w:asciiTheme="minorHAnsi" w:hAnsiTheme="minorHAnsi" w:cstheme="minorHAnsi"/>
                <w:szCs w:val="22"/>
              </w:rPr>
            </w:pPr>
            <w:r>
              <w:rPr>
                <w:rFonts w:asciiTheme="minorHAnsi" w:hAnsiTheme="minorHAnsi" w:cstheme="minorHAnsi"/>
                <w:i/>
                <w:sz w:val="22"/>
                <w:szCs w:val="22"/>
              </w:rPr>
              <w:t>H</w:t>
            </w:r>
            <w:r w:rsidR="00073C2E" w:rsidRPr="00DD6ED6">
              <w:rPr>
                <w:rFonts w:asciiTheme="minorHAnsi" w:hAnsiTheme="minorHAnsi" w:cstheme="minorHAnsi"/>
                <w:i/>
                <w:sz w:val="22"/>
                <w:szCs w:val="22"/>
              </w:rPr>
              <w:t>ow</w:t>
            </w:r>
            <w:r w:rsidR="00073C2E" w:rsidRPr="004F6DD6">
              <w:rPr>
                <w:rFonts w:asciiTheme="minorHAnsi" w:hAnsiTheme="minorHAnsi" w:cstheme="minorHAnsi"/>
                <w:i/>
                <w:sz w:val="22"/>
                <w:szCs w:val="22"/>
              </w:rPr>
              <w:t xml:space="preserve"> </w:t>
            </w:r>
            <w:r w:rsidR="00DD0941">
              <w:rPr>
                <w:rFonts w:asciiTheme="minorHAnsi" w:hAnsiTheme="minorHAnsi" w:cstheme="minorHAnsi"/>
                <w:i/>
                <w:sz w:val="22"/>
                <w:szCs w:val="22"/>
              </w:rPr>
              <w:t xml:space="preserve">should they </w:t>
            </w:r>
            <w:r w:rsidR="00073C2E" w:rsidRPr="004F6DD6">
              <w:rPr>
                <w:rFonts w:asciiTheme="minorHAnsi" w:hAnsiTheme="minorHAnsi" w:cstheme="minorHAnsi"/>
                <w:i/>
                <w:sz w:val="22"/>
                <w:szCs w:val="22"/>
              </w:rPr>
              <w:t xml:space="preserve">relate to or interact with the </w:t>
            </w:r>
            <w:r w:rsidR="00D933D4" w:rsidRPr="004F6DD6">
              <w:rPr>
                <w:rFonts w:asciiTheme="minorHAnsi" w:hAnsiTheme="minorHAnsi" w:cstheme="minorHAnsi"/>
                <w:i/>
                <w:sz w:val="22"/>
                <w:szCs w:val="22"/>
              </w:rPr>
              <w:t xml:space="preserve">policy directions and future actions articulated in the </w:t>
            </w:r>
            <w:r w:rsidR="00073C2E" w:rsidRPr="00212F1B">
              <w:rPr>
                <w:rFonts w:asciiTheme="minorHAnsi" w:hAnsiTheme="minorHAnsi" w:cstheme="minorHAnsi"/>
                <w:i/>
                <w:sz w:val="22"/>
                <w:szCs w:val="22"/>
              </w:rPr>
              <w:t>NDS</w:t>
            </w:r>
            <w:r w:rsidR="00322F2C">
              <w:rPr>
                <w:rFonts w:asciiTheme="minorHAnsi" w:hAnsiTheme="minorHAnsi" w:cstheme="minorHAnsi"/>
                <w:i/>
                <w:sz w:val="22"/>
                <w:szCs w:val="22"/>
              </w:rPr>
              <w:t xml:space="preserve"> and NDIS</w:t>
            </w:r>
            <w:r w:rsidR="00073C2E" w:rsidRPr="00212F1B">
              <w:rPr>
                <w:rFonts w:asciiTheme="minorHAnsi" w:hAnsiTheme="minorHAnsi" w:cstheme="minorHAnsi"/>
                <w:i/>
                <w:sz w:val="22"/>
                <w:szCs w:val="22"/>
              </w:rPr>
              <w:t>?</w:t>
            </w:r>
            <w:r w:rsidR="00ED6C53" w:rsidRPr="00212F1B">
              <w:rPr>
                <w:rFonts w:asciiTheme="minorHAnsi" w:hAnsiTheme="minorHAnsi" w:cstheme="minorHAnsi"/>
                <w:i/>
                <w:sz w:val="22"/>
                <w:szCs w:val="22"/>
              </w:rPr>
              <w:t xml:space="preserve"> </w:t>
            </w:r>
          </w:p>
          <w:p w:rsidR="008040F8" w:rsidRPr="00212F1B" w:rsidRDefault="008D2D9A" w:rsidP="00AD69D1">
            <w:pPr>
              <w:pStyle w:val="ListBullet2"/>
              <w:numPr>
                <w:ilvl w:val="0"/>
                <w:numId w:val="13"/>
              </w:numPr>
              <w:rPr>
                <w:rFonts w:asciiTheme="minorHAnsi" w:hAnsiTheme="minorHAnsi" w:cstheme="minorHAnsi"/>
                <w:szCs w:val="22"/>
              </w:rPr>
            </w:pPr>
            <w:r>
              <w:rPr>
                <w:rFonts w:asciiTheme="minorHAnsi" w:hAnsiTheme="minorHAnsi" w:cstheme="minorHAnsi"/>
                <w:i/>
                <w:sz w:val="22"/>
                <w:szCs w:val="22"/>
              </w:rPr>
              <w:t>H</w:t>
            </w:r>
            <w:r w:rsidR="00073C2E" w:rsidRPr="00DD6ED6">
              <w:rPr>
                <w:rFonts w:asciiTheme="minorHAnsi" w:hAnsiTheme="minorHAnsi" w:cstheme="minorHAnsi"/>
                <w:i/>
                <w:sz w:val="22"/>
                <w:szCs w:val="22"/>
              </w:rPr>
              <w:t>ow</w:t>
            </w:r>
            <w:r w:rsidR="00073C2E" w:rsidRPr="004F6DD6">
              <w:rPr>
                <w:rFonts w:asciiTheme="minorHAnsi" w:hAnsiTheme="minorHAnsi" w:cstheme="minorHAnsi"/>
                <w:i/>
                <w:sz w:val="22"/>
                <w:szCs w:val="22"/>
              </w:rPr>
              <w:t xml:space="preserve"> should these be determined and what should they be? </w:t>
            </w:r>
          </w:p>
          <w:p w:rsidR="00073C2E" w:rsidRDefault="00073C2E" w:rsidP="00AD69D1">
            <w:pPr>
              <w:pStyle w:val="ListBullet2"/>
              <w:numPr>
                <w:ilvl w:val="0"/>
                <w:numId w:val="13"/>
              </w:numPr>
            </w:pPr>
            <w:r w:rsidRPr="00212F1B">
              <w:rPr>
                <w:rFonts w:asciiTheme="minorHAnsi" w:hAnsiTheme="minorHAnsi" w:cstheme="minorHAnsi"/>
                <w:i/>
                <w:sz w:val="22"/>
                <w:szCs w:val="22"/>
              </w:rPr>
              <w:t>How should progress be assessed</w:t>
            </w:r>
            <w:r>
              <w:t>?</w:t>
            </w:r>
          </w:p>
          <w:p w:rsidR="00C332D0" w:rsidRDefault="00073C2E" w:rsidP="00693A6E">
            <w:pPr>
              <w:pStyle w:val="InformationRequestBullet"/>
              <w:numPr>
                <w:ilvl w:val="0"/>
                <w:numId w:val="10"/>
              </w:numPr>
            </w:pPr>
            <w:r w:rsidRPr="00073C2E">
              <w:t xml:space="preserve">How relevant are the existing reform and policy directions of the NDA and </w:t>
            </w:r>
            <w:r w:rsidR="009F6406">
              <w:t xml:space="preserve">should </w:t>
            </w:r>
            <w:r w:rsidRPr="00073C2E">
              <w:t xml:space="preserve">they </w:t>
            </w:r>
            <w:r w:rsidR="009F6406">
              <w:t>be</w:t>
            </w:r>
            <w:r w:rsidRPr="00073C2E">
              <w:t xml:space="preserve"> clearly linked to measurable outcomes</w:t>
            </w:r>
            <w:r w:rsidR="00C029D9">
              <w:t xml:space="preserve"> in the NDA</w:t>
            </w:r>
            <w:r w:rsidRPr="00073C2E">
              <w:t>?</w:t>
            </w:r>
            <w:r w:rsidR="00C332D0">
              <w:t xml:space="preserve"> </w:t>
            </w:r>
          </w:p>
          <w:p w:rsidR="00322F2C" w:rsidRDefault="00322F2C" w:rsidP="00693A6E">
            <w:pPr>
              <w:pStyle w:val="InformationRequestBullet"/>
              <w:numPr>
                <w:ilvl w:val="0"/>
                <w:numId w:val="10"/>
              </w:numPr>
            </w:pPr>
            <w:r>
              <w:t>Does it make sense to separate them, or should the NDA and NDS be merged into a single agreement?</w:t>
            </w:r>
          </w:p>
          <w:p w:rsidR="00D31281" w:rsidRPr="006E7EE2" w:rsidRDefault="008D0132" w:rsidP="005A2928">
            <w:pPr>
              <w:pStyle w:val="InformationRequestBullet"/>
            </w:pPr>
            <w:r w:rsidRPr="006A7D9E">
              <w:t>Has the NDA been effective in shaping</w:t>
            </w:r>
            <w:r w:rsidR="001D0985">
              <w:t xml:space="preserve"> and driving</w:t>
            </w:r>
            <w:r w:rsidRPr="006A7D9E">
              <w:t xml:space="preserve"> </w:t>
            </w:r>
            <w:r w:rsidR="001D0985">
              <w:t xml:space="preserve">policy directions and </w:t>
            </w:r>
            <w:r w:rsidRPr="006A7D9E">
              <w:t>reform for disability? W</w:t>
            </w:r>
            <w:r w:rsidR="007911EC">
              <w:t>hat are the examples of succes</w:t>
            </w:r>
            <w:r w:rsidR="007D52FF">
              <w:t>s?</w:t>
            </w:r>
            <w:r w:rsidRPr="006A7D9E">
              <w:t xml:space="preserve"> </w:t>
            </w:r>
          </w:p>
        </w:tc>
      </w:tr>
      <w:tr w:rsidR="00D31281" w:rsidTr="00D31281">
        <w:tc>
          <w:tcPr>
            <w:tcW w:w="5000" w:type="pct"/>
            <w:tcBorders>
              <w:top w:val="nil"/>
              <w:left w:val="nil"/>
              <w:bottom w:val="single" w:sz="6" w:space="0" w:color="78A22F"/>
              <w:right w:val="nil"/>
            </w:tcBorders>
            <w:shd w:val="clear" w:color="auto" w:fill="auto"/>
          </w:tcPr>
          <w:p w:rsidR="00D31281" w:rsidRDefault="00D31281" w:rsidP="00D31281">
            <w:pPr>
              <w:pStyle w:val="Space"/>
              <w:keepLines/>
            </w:pPr>
          </w:p>
        </w:tc>
      </w:tr>
      <w:tr w:rsidR="00D31281" w:rsidRPr="000863A5" w:rsidTr="00D31281">
        <w:tc>
          <w:tcPr>
            <w:tcW w:w="5000" w:type="pct"/>
            <w:tcBorders>
              <w:top w:val="single" w:sz="6" w:space="0" w:color="78A22F"/>
              <w:left w:val="nil"/>
              <w:bottom w:val="nil"/>
              <w:right w:val="nil"/>
            </w:tcBorders>
          </w:tcPr>
          <w:p w:rsidR="00D31281" w:rsidRPr="00626D32" w:rsidRDefault="00D31281" w:rsidP="00D31281">
            <w:pPr>
              <w:pStyle w:val="BoxSpaceBelow"/>
              <w:keepLines/>
            </w:pPr>
          </w:p>
        </w:tc>
      </w:tr>
    </w:tbl>
    <w:p w:rsidR="009B1330" w:rsidRDefault="009B1330" w:rsidP="009B1330">
      <w:pPr>
        <w:pStyle w:val="BodyText"/>
        <w:rPr>
          <w:rFonts w:ascii="Arial" w:hAnsi="Arial"/>
          <w:sz w:val="26"/>
        </w:rPr>
      </w:pPr>
      <w:r>
        <w:br w:type="page"/>
      </w:r>
    </w:p>
    <w:p w:rsidR="00731A63" w:rsidRDefault="00731A63" w:rsidP="00A32202">
      <w:pPr>
        <w:pStyle w:val="Heading2"/>
      </w:pPr>
      <w:bookmarkStart w:id="9" w:name="_Toc519846122"/>
      <w:r>
        <w:t>References</w:t>
      </w:r>
      <w:bookmarkEnd w:id="9"/>
      <w:r>
        <w:t xml:space="preserve"> </w:t>
      </w:r>
    </w:p>
    <w:p w:rsidR="007976B8" w:rsidRPr="007976B8" w:rsidRDefault="007976B8" w:rsidP="00791CEA">
      <w:pPr>
        <w:pStyle w:val="Reference"/>
      </w:pPr>
      <w:r w:rsidRPr="007976B8">
        <w:t xml:space="preserve">ABS (Australian Bureau of Statistics) 2016, </w:t>
      </w:r>
      <w:r w:rsidRPr="007976B8">
        <w:rPr>
          <w:i/>
          <w:iCs/>
        </w:rPr>
        <w:t>Disability, Ageing and Carers, Australia: Summary of Findings, 2015</w:t>
      </w:r>
      <w:r w:rsidRPr="007976B8">
        <w:t>, Cat. no. 4430.0, Canberra.</w:t>
      </w:r>
    </w:p>
    <w:p w:rsidR="007976B8" w:rsidRPr="007976B8" w:rsidRDefault="007976B8" w:rsidP="00791CEA">
      <w:pPr>
        <w:pStyle w:val="Reference"/>
      </w:pPr>
      <w:r w:rsidRPr="007976B8">
        <w:t xml:space="preserve">COAG (Council of Australian Governments) 2008, </w:t>
      </w:r>
      <w:r w:rsidRPr="007976B8">
        <w:rPr>
          <w:i/>
          <w:iCs/>
        </w:rPr>
        <w:t>Intergovernmental Agreement on Federal Financial Relations</w:t>
      </w:r>
      <w:r w:rsidRPr="007976B8">
        <w:t>, Canberra.</w:t>
      </w:r>
    </w:p>
    <w:p w:rsidR="007976B8" w:rsidRPr="007976B8" w:rsidRDefault="00F25574" w:rsidP="00791CEA">
      <w:pPr>
        <w:pStyle w:val="Reference"/>
      </w:pPr>
      <w:r>
        <w:t>———</w:t>
      </w:r>
      <w:r w:rsidR="007976B8" w:rsidRPr="007976B8">
        <w:t xml:space="preserve"> 2009, </w:t>
      </w:r>
      <w:r w:rsidR="007976B8" w:rsidRPr="007976B8">
        <w:rPr>
          <w:i/>
          <w:iCs/>
        </w:rPr>
        <w:t>National Disability Agreement</w:t>
      </w:r>
      <w:r w:rsidR="007976B8" w:rsidRPr="007976B8">
        <w:t>, Canberra.</w:t>
      </w:r>
    </w:p>
    <w:p w:rsidR="007976B8" w:rsidRPr="007976B8" w:rsidRDefault="00F25574" w:rsidP="00791CEA">
      <w:pPr>
        <w:pStyle w:val="Reference"/>
      </w:pPr>
      <w:r>
        <w:t xml:space="preserve">——— </w:t>
      </w:r>
      <w:r w:rsidR="007976B8" w:rsidRPr="007976B8">
        <w:t xml:space="preserve">2011, </w:t>
      </w:r>
      <w:r w:rsidR="007976B8" w:rsidRPr="007976B8">
        <w:rPr>
          <w:i/>
          <w:iCs/>
        </w:rPr>
        <w:t>2010–2020 National Disability Strategy</w:t>
      </w:r>
      <w:r w:rsidR="007976B8" w:rsidRPr="007976B8">
        <w:t xml:space="preserve">, </w:t>
      </w:r>
      <w:r>
        <w:t>Canberra</w:t>
      </w:r>
      <w:r w:rsidR="007976B8" w:rsidRPr="007976B8">
        <w:t>.</w:t>
      </w:r>
    </w:p>
    <w:p w:rsidR="007976B8" w:rsidRPr="007976B8" w:rsidRDefault="007976B8" w:rsidP="00791CEA">
      <w:pPr>
        <w:pStyle w:val="Reference"/>
      </w:pPr>
      <w:r w:rsidRPr="007976B8">
        <w:t xml:space="preserve">COAG Disability Reform Council 2017, </w:t>
      </w:r>
      <w:r w:rsidRPr="007976B8">
        <w:rPr>
          <w:i/>
          <w:iCs/>
        </w:rPr>
        <w:t xml:space="preserve">COAG </w:t>
      </w:r>
      <w:r w:rsidR="003849B0" w:rsidRPr="007976B8">
        <w:rPr>
          <w:i/>
          <w:iCs/>
        </w:rPr>
        <w:t>Disability</w:t>
      </w:r>
      <w:r w:rsidRPr="007976B8">
        <w:rPr>
          <w:i/>
          <w:iCs/>
        </w:rPr>
        <w:t xml:space="preserve"> Reform Council Communiqu</w:t>
      </w:r>
      <w:r w:rsidR="00F25574">
        <w:rPr>
          <w:i/>
          <w:iCs/>
        </w:rPr>
        <w:t>é</w:t>
      </w:r>
      <w:r w:rsidRPr="007976B8">
        <w:rPr>
          <w:i/>
          <w:iCs/>
        </w:rPr>
        <w:t xml:space="preserve"> November 2017</w:t>
      </w:r>
      <w:r w:rsidRPr="007976B8">
        <w:t>.</w:t>
      </w:r>
    </w:p>
    <w:p w:rsidR="007976B8" w:rsidRPr="007976B8" w:rsidRDefault="007976B8" w:rsidP="00791CEA">
      <w:pPr>
        <w:pStyle w:val="Reference"/>
      </w:pPr>
      <w:r w:rsidRPr="007976B8">
        <w:t xml:space="preserve">Commonwealth of Australia 2017, </w:t>
      </w:r>
      <w:r w:rsidRPr="007976B8">
        <w:rPr>
          <w:i/>
          <w:iCs/>
        </w:rPr>
        <w:t>Budget Paper no. 2 2017-18</w:t>
      </w:r>
      <w:r w:rsidRPr="007976B8">
        <w:t>, p. 169.</w:t>
      </w:r>
    </w:p>
    <w:p w:rsidR="007976B8" w:rsidRPr="007976B8" w:rsidRDefault="007976B8" w:rsidP="00791CEA">
      <w:pPr>
        <w:pStyle w:val="Reference"/>
      </w:pPr>
      <w:r w:rsidRPr="007976B8">
        <w:t xml:space="preserve">National Disability Insurance Agency 2018, </w:t>
      </w:r>
      <w:r w:rsidRPr="007976B8">
        <w:rPr>
          <w:i/>
          <w:iCs/>
        </w:rPr>
        <w:t>Report under the Integrated NDIS Performance Reporting Framework</w:t>
      </w:r>
      <w:r w:rsidRPr="007976B8">
        <w:t>, https://www.ndis.gov.au/part3-index (accessed 12 July 2018).</w:t>
      </w:r>
    </w:p>
    <w:p w:rsidR="007976B8" w:rsidRPr="007976B8" w:rsidRDefault="007976B8" w:rsidP="00791CEA">
      <w:pPr>
        <w:pStyle w:val="Reference"/>
      </w:pPr>
      <w:r w:rsidRPr="007976B8">
        <w:t xml:space="preserve">PC (Productivity Commission) 2017, </w:t>
      </w:r>
      <w:r w:rsidRPr="007976B8">
        <w:rPr>
          <w:i/>
          <w:iCs/>
        </w:rPr>
        <w:t>National Disability Insurance Scheme (NDIS) Costs</w:t>
      </w:r>
      <w:r w:rsidRPr="007976B8">
        <w:t>, Study Report, Canberra.</w:t>
      </w:r>
    </w:p>
    <w:p w:rsidR="007976B8" w:rsidRPr="007976B8" w:rsidRDefault="007976B8" w:rsidP="00791CEA">
      <w:pPr>
        <w:pStyle w:val="Reference"/>
      </w:pPr>
      <w:r w:rsidRPr="007976B8">
        <w:t xml:space="preserve">SCRGSP (Steering Committee for the Review of Government Service Provision) 2016, </w:t>
      </w:r>
      <w:r w:rsidRPr="007976B8">
        <w:rPr>
          <w:i/>
          <w:iCs/>
        </w:rPr>
        <w:t>Overcoming Indigenous Disadvantage: Key Indicators 2016</w:t>
      </w:r>
      <w:r w:rsidRPr="007976B8">
        <w:t>, Overcoming Indigenous Disadvantage, Canberra.</w:t>
      </w:r>
    </w:p>
    <w:p w:rsidR="007976B8" w:rsidRPr="007976B8" w:rsidRDefault="00F25574" w:rsidP="00791CEA">
      <w:pPr>
        <w:pStyle w:val="Reference"/>
      </w:pPr>
      <w:r>
        <w:t>———</w:t>
      </w:r>
      <w:r w:rsidR="007976B8" w:rsidRPr="007976B8">
        <w:t xml:space="preserve"> 2018, </w:t>
      </w:r>
      <w:r w:rsidR="007976B8" w:rsidRPr="007976B8">
        <w:rPr>
          <w:i/>
          <w:iCs/>
        </w:rPr>
        <w:t>Report on Government Services</w:t>
      </w:r>
      <w:r w:rsidR="007976B8" w:rsidRPr="007976B8">
        <w:t xml:space="preserve">, </w:t>
      </w:r>
      <w:r>
        <w:t>Canberra</w:t>
      </w:r>
      <w:r w:rsidR="007976B8" w:rsidRPr="007976B8">
        <w:t>.</w:t>
      </w:r>
    </w:p>
    <w:p w:rsidR="006B43D8" w:rsidRDefault="006B43D8">
      <w:pPr>
        <w:rPr>
          <w:rFonts w:ascii="Arial" w:hAnsi="Arial"/>
          <w:b/>
          <w:sz w:val="32"/>
          <w:szCs w:val="20"/>
        </w:rPr>
      </w:pPr>
      <w:r>
        <w:br w:type="page"/>
      </w:r>
    </w:p>
    <w:p w:rsidR="00D96622" w:rsidRPr="00391500" w:rsidRDefault="00D96622" w:rsidP="00D96622">
      <w:pPr>
        <w:pStyle w:val="Heading2"/>
      </w:pPr>
      <w:bookmarkStart w:id="10" w:name="_Toc519846123"/>
      <w:r>
        <w:t xml:space="preserve">Attachment A: How to </w:t>
      </w:r>
      <w:r w:rsidRPr="00391500">
        <w:t>make a submission</w:t>
      </w:r>
      <w:bookmarkEnd w:id="10"/>
    </w:p>
    <w:p w:rsidR="00D96622" w:rsidRDefault="00D96622" w:rsidP="00D96622">
      <w:pPr>
        <w:pStyle w:val="Heading3"/>
      </w:pPr>
      <w:r>
        <w:t>How to prepare a submission</w:t>
      </w:r>
    </w:p>
    <w:p w:rsidR="00D96622" w:rsidRDefault="00D96622" w:rsidP="00D96622">
      <w:pPr>
        <w:pStyle w:val="BodyText"/>
      </w:pPr>
      <w:r>
        <w:t>Submissions may range from a short letter outlining your views on a particular topic to a much more s</w:t>
      </w:r>
      <w:smartTag w:uri="urn:schemas-microsoft-com:office:smarttags" w:element="PersonName">
        <w:r>
          <w:t>ubs</w:t>
        </w:r>
      </w:smartTag>
      <w:r>
        <w:t>ta</w:t>
      </w:r>
      <w:smartTag w:uri="urn:schemas-microsoft-com:office:smarttags" w:element="PersonName">
        <w:r>
          <w:t>nt</w:t>
        </w:r>
      </w:smartTag>
      <w:r>
        <w:t>ial docume</w:t>
      </w:r>
      <w:smartTag w:uri="urn:schemas-microsoft-com:office:smarttags" w:element="PersonName">
        <w:r>
          <w:t>nt</w:t>
        </w:r>
      </w:smartTag>
      <w:r>
        <w:t xml:space="preserve"> covering a range of issues. Where possible, you should provide evidence, such as releva</w:t>
      </w:r>
      <w:smartTag w:uri="urn:schemas-microsoft-com:office:smarttags" w:element="PersonName">
        <w:r>
          <w:t>nt</w:t>
        </w:r>
      </w:smartTag>
      <w:r>
        <w:t xml:space="preserve"> data and docume</w:t>
      </w:r>
      <w:smartTag w:uri="urn:schemas-microsoft-com:office:smarttags" w:element="PersonName">
        <w:r>
          <w:t>nt</w:t>
        </w:r>
      </w:smartTag>
      <w:r>
        <w:t>ation, to support your views.</w:t>
      </w:r>
    </w:p>
    <w:p w:rsidR="007E3BED" w:rsidRDefault="007E3BED" w:rsidP="007E3BED">
      <w:pPr>
        <w:pStyle w:val="BodyText"/>
      </w:pPr>
      <w:r>
        <w:t xml:space="preserve">Please send submissions to the Commission by </w:t>
      </w:r>
      <w:r w:rsidRPr="007E3BED">
        <w:rPr>
          <w:b/>
        </w:rPr>
        <w:t>24</w:t>
      </w:r>
      <w:r w:rsidR="00CF75FC">
        <w:rPr>
          <w:b/>
        </w:rPr>
        <w:t> </w:t>
      </w:r>
      <w:r w:rsidRPr="007E3BED">
        <w:rPr>
          <w:b/>
        </w:rPr>
        <w:t>August 2018</w:t>
      </w:r>
      <w:r w:rsidRPr="00A516A2">
        <w:t>.</w:t>
      </w:r>
    </w:p>
    <w:p w:rsidR="00D96622" w:rsidRDefault="00D96622" w:rsidP="00D96622">
      <w:pPr>
        <w:pStyle w:val="Heading4"/>
      </w:pPr>
      <w:r>
        <w:t>Generally</w:t>
      </w:r>
    </w:p>
    <w:p w:rsidR="00D96622" w:rsidRDefault="00D96622" w:rsidP="00D96622">
      <w:pPr>
        <w:pStyle w:val="ListBullet"/>
      </w:pPr>
      <w:r>
        <w:t>Each submission, except for any attachment supplied in confidence , will be published on the Commission’s website shortly after receipt, and will remain there indefinitely as a public document.</w:t>
      </w:r>
    </w:p>
    <w:p w:rsidR="00D96622" w:rsidRDefault="00D96622" w:rsidP="00D96622">
      <w:pPr>
        <w:pStyle w:val="ListBullet"/>
      </w:pPr>
      <w:r>
        <w:t>The Commission reserves the right to not publish material on its website that is offensive, potentially defamatory, or clearly out of scope for the inquiry or study in question.</w:t>
      </w:r>
    </w:p>
    <w:p w:rsidR="00D96622" w:rsidRDefault="00D96622" w:rsidP="00D96622">
      <w:pPr>
        <w:pStyle w:val="Heading4"/>
      </w:pPr>
      <w:r>
        <w:t>Copyright</w:t>
      </w:r>
    </w:p>
    <w:p w:rsidR="00D96622" w:rsidRDefault="00D96622" w:rsidP="00D96622">
      <w:pPr>
        <w:pStyle w:val="ListBullet"/>
      </w:pPr>
      <w:r>
        <w:t>Copyright in submissions sent to the Commission resides with the author(s), not with the Commission.</w:t>
      </w:r>
    </w:p>
    <w:p w:rsidR="00D96622" w:rsidRDefault="00D96622" w:rsidP="00D96622">
      <w:pPr>
        <w:pStyle w:val="ListBullet"/>
      </w:pPr>
      <w:r>
        <w:t>Do not send us material for which you are not the copyright owner — such as newspaper articles — you should just reference or link to this material in your submission.</w:t>
      </w:r>
    </w:p>
    <w:p w:rsidR="00D96622" w:rsidRDefault="00D96622" w:rsidP="00D96622">
      <w:pPr>
        <w:pStyle w:val="Heading4"/>
      </w:pPr>
      <w:r>
        <w:t>In confidence material</w:t>
      </w:r>
    </w:p>
    <w:p w:rsidR="00D96622" w:rsidRPr="009D6440" w:rsidRDefault="00D96622" w:rsidP="00D96622">
      <w:pPr>
        <w:pStyle w:val="ListBullet"/>
      </w:pPr>
      <w:r w:rsidRPr="009D6440">
        <w:t>This is a public review and all submissions should be provided as public documents that can be placed on the Commission</w:t>
      </w:r>
      <w:r>
        <w:t>’</w:t>
      </w:r>
      <w:r w:rsidRPr="009D6440">
        <w:t>s website for others to read and comment on. However, information which is of a confidential nature or which is submitted in confidence can be treated as such by the Commission, provided the cause for such treatment is shown.</w:t>
      </w:r>
    </w:p>
    <w:p w:rsidR="00D96622" w:rsidRDefault="00D96622" w:rsidP="00D96622">
      <w:pPr>
        <w:pStyle w:val="ListBullet"/>
      </w:pPr>
      <w:r w:rsidRPr="009D6440">
        <w:t>The Commission may also request a non</w:t>
      </w:r>
      <w:r>
        <w:noBreakHyphen/>
      </w:r>
      <w:r w:rsidRPr="009D6440">
        <w:t>confidential summary of the confidential material it is given, or the reasons why a summary cannot be provided.</w:t>
      </w:r>
    </w:p>
    <w:p w:rsidR="00D96622" w:rsidRDefault="00D96622" w:rsidP="00D96622">
      <w:pPr>
        <w:pStyle w:val="ListBullet"/>
      </w:pPr>
      <w:r w:rsidRPr="009D6440">
        <w:t xml:space="preserve">Material supplied in confidence should be clearly marked </w:t>
      </w:r>
      <w:r>
        <w:t>‘</w:t>
      </w:r>
      <w:r w:rsidRPr="009D6440">
        <w:t>IN CONFIDENCE</w:t>
      </w:r>
      <w:r>
        <w:t>’</w:t>
      </w:r>
      <w:r w:rsidRPr="009D6440">
        <w:t xml:space="preserve"> and be in a separate attachment to non</w:t>
      </w:r>
      <w:r>
        <w:noBreakHyphen/>
      </w:r>
      <w:r w:rsidRPr="009D6440">
        <w:t>confidential material.</w:t>
      </w:r>
    </w:p>
    <w:p w:rsidR="00D96622" w:rsidRPr="009D6440" w:rsidRDefault="00D96622" w:rsidP="00D96622">
      <w:pPr>
        <w:pStyle w:val="ListBullet"/>
      </w:pPr>
      <w:r w:rsidRPr="009D6440">
        <w:t>You are encouraged to contact the Commission for further information and advice before submitting such material.</w:t>
      </w:r>
    </w:p>
    <w:p w:rsidR="00D96622" w:rsidRDefault="00D96622" w:rsidP="00D96622">
      <w:pPr>
        <w:pStyle w:val="Heading4"/>
      </w:pPr>
      <w:r>
        <w:t>Privacy</w:t>
      </w:r>
    </w:p>
    <w:p w:rsidR="00D96622" w:rsidRDefault="00D96622" w:rsidP="00D96622">
      <w:pPr>
        <w:pStyle w:val="ListBullet"/>
      </w:pPr>
      <w:r>
        <w:t xml:space="preserve">For privacy reasons, all </w:t>
      </w:r>
      <w:r w:rsidRPr="009D6440">
        <w:rPr>
          <w:b/>
        </w:rPr>
        <w:t>personal</w:t>
      </w:r>
      <w:r>
        <w:t xml:space="preserve"> details (e.g. home and email address, signatures, phone, mobile and fax numbers) will be removed before they are published on the website. Please do not provide a these details unless necessary.</w:t>
      </w:r>
    </w:p>
    <w:p w:rsidR="00D96622" w:rsidRDefault="00D96622" w:rsidP="00D96622">
      <w:pPr>
        <w:pStyle w:val="ListBullet"/>
      </w:pPr>
      <w:r>
        <w:t>You may wish to remain anonymous or use a pseudonym. Please note that, if you choose to remain anonymous or use a pseudonym, the Commission may place less weight on your submission.</w:t>
      </w:r>
    </w:p>
    <w:p w:rsidR="00D96622" w:rsidRDefault="00D96622" w:rsidP="00D96622">
      <w:pPr>
        <w:pStyle w:val="Heading4"/>
      </w:pPr>
      <w:r>
        <w:t>Technical tips</w:t>
      </w:r>
    </w:p>
    <w:p w:rsidR="00D96622" w:rsidRPr="009D6440" w:rsidRDefault="00D96622" w:rsidP="00D96622">
      <w:pPr>
        <w:pStyle w:val="ListBullet"/>
      </w:pPr>
      <w:r w:rsidRPr="009D6440">
        <w:t>The Commission prefers to receive submissions as a Microsoft Word (.docx) files. PDF files are acceptable if produced from a Word document or similar text based software. You may wish to research the Internet on how to make your documents more accessible or for the more technical, follow advice from Web Content Accessibility Guidelines (WCAG) 2.0</w:t>
      </w:r>
      <w:r>
        <w:t>&lt;</w:t>
      </w:r>
      <w:r w:rsidRPr="00C738C7">
        <w:t>http://www.w3.org/TR/WCAG20/</w:t>
      </w:r>
      <w:r>
        <w:t>&gt;.</w:t>
      </w:r>
    </w:p>
    <w:p w:rsidR="00D96622" w:rsidRPr="009D6440" w:rsidRDefault="00D96622" w:rsidP="00D96622">
      <w:pPr>
        <w:pStyle w:val="ListBullet"/>
      </w:pPr>
      <w:r w:rsidRPr="009D6440">
        <w:t>Do not send password protected files.</w:t>
      </w:r>
    </w:p>
    <w:p w:rsidR="00D96622" w:rsidRPr="009D6440" w:rsidRDefault="00D96622" w:rsidP="00D96622">
      <w:pPr>
        <w:pStyle w:val="ListBullet"/>
      </w:pPr>
      <w:r w:rsidRPr="009D6440">
        <w:t>Track changes, editing marks, hidden text and internal links should be removed from submissions.</w:t>
      </w:r>
    </w:p>
    <w:p w:rsidR="00D96622" w:rsidRDefault="00D96622" w:rsidP="00D96622">
      <w:pPr>
        <w:pStyle w:val="ListBullet"/>
      </w:pPr>
      <w:r w:rsidRPr="009D6440">
        <w:t>To minimise linking problems, type the full web address (for example, http://www.referred</w:t>
      </w:r>
      <w:r>
        <w:noBreakHyphen/>
      </w:r>
      <w:r w:rsidRPr="009D6440">
        <w:t>website.com/folder/file</w:t>
      </w:r>
      <w:r>
        <w:noBreakHyphen/>
      </w:r>
      <w:r w:rsidRPr="009D6440">
        <w:t>name.html).</w:t>
      </w:r>
    </w:p>
    <w:p w:rsidR="00D96622" w:rsidRDefault="00D96622" w:rsidP="00D96622">
      <w:pPr>
        <w:pStyle w:val="Heading3"/>
      </w:pPr>
      <w:r>
        <w:t>How to lodge a submission</w:t>
      </w:r>
    </w:p>
    <w:p w:rsidR="00D96622" w:rsidRDefault="00D96622" w:rsidP="00D96622">
      <w:pPr>
        <w:pStyle w:val="BodyText"/>
        <w:spacing w:after="240"/>
      </w:pPr>
      <w:r w:rsidRPr="008960C8">
        <w:t>Submissions should be lodged using the online form on the Commission’s website. Submissions lodged by post should be accompanied by a submission cover 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1"/>
        <w:gridCol w:w="7438"/>
      </w:tblGrid>
      <w:tr w:rsidR="00D96622" w:rsidTr="00C62653">
        <w:trPr>
          <w:tblHeader/>
        </w:trPr>
        <w:tc>
          <w:tcPr>
            <w:tcW w:w="1384" w:type="dxa"/>
          </w:tcPr>
          <w:p w:rsidR="00D96622" w:rsidRDefault="00D96622" w:rsidP="00C62653">
            <w:pPr>
              <w:pStyle w:val="BodyText"/>
              <w:tabs>
                <w:tab w:val="left" w:pos="1701"/>
              </w:tabs>
              <w:spacing w:before="120"/>
            </w:pPr>
            <w:r>
              <w:t>Online*</w:t>
            </w:r>
          </w:p>
        </w:tc>
        <w:tc>
          <w:tcPr>
            <w:tcW w:w="7621" w:type="dxa"/>
          </w:tcPr>
          <w:p w:rsidR="00D96622" w:rsidRDefault="00C34C86" w:rsidP="00C62653">
            <w:pPr>
              <w:pStyle w:val="BodyText"/>
              <w:tabs>
                <w:tab w:val="left" w:pos="1701"/>
              </w:tabs>
              <w:spacing w:before="120"/>
            </w:pPr>
            <w:r w:rsidRPr="00C34C86">
              <w:t>www.pc.gov.au/inquiries/current/disability</w:t>
            </w:r>
            <w:r w:rsidR="00CF75FC">
              <w:noBreakHyphen/>
            </w:r>
            <w:r w:rsidRPr="00C34C86">
              <w:t>agreement</w:t>
            </w:r>
          </w:p>
        </w:tc>
      </w:tr>
      <w:tr w:rsidR="00D96622" w:rsidTr="00C62653">
        <w:tc>
          <w:tcPr>
            <w:tcW w:w="1384" w:type="dxa"/>
          </w:tcPr>
          <w:p w:rsidR="00D96622" w:rsidRDefault="00D96622" w:rsidP="00C62653">
            <w:pPr>
              <w:pStyle w:val="BodyText"/>
              <w:tabs>
                <w:tab w:val="left" w:pos="1701"/>
              </w:tabs>
              <w:spacing w:before="120"/>
            </w:pPr>
            <w:r>
              <w:t>Post*</w:t>
            </w:r>
          </w:p>
        </w:tc>
        <w:tc>
          <w:tcPr>
            <w:tcW w:w="7621" w:type="dxa"/>
          </w:tcPr>
          <w:p w:rsidR="00C34C86" w:rsidRDefault="00C34C86" w:rsidP="00C34C86">
            <w:pPr>
              <w:pStyle w:val="BodyText"/>
              <w:tabs>
                <w:tab w:val="left" w:pos="1701"/>
              </w:tabs>
              <w:spacing w:before="120"/>
              <w:jc w:val="left"/>
            </w:pPr>
            <w:r>
              <w:t>National Disability Agreement Review</w:t>
            </w:r>
            <w:r w:rsidR="00D96622">
              <w:br/>
              <w:t>Productivity Commission</w:t>
            </w:r>
            <w:r w:rsidR="00D96622">
              <w:br/>
            </w:r>
            <w:r>
              <w:t>Locked Bag 2, Collins Street East</w:t>
            </w:r>
          </w:p>
          <w:p w:rsidR="00D96622" w:rsidRDefault="00C34C86" w:rsidP="00C34C86">
            <w:pPr>
              <w:pStyle w:val="BodyText"/>
              <w:tabs>
                <w:tab w:val="left" w:pos="1701"/>
              </w:tabs>
              <w:spacing w:before="0"/>
              <w:jc w:val="left"/>
            </w:pPr>
            <w:r>
              <w:t>Melbourne VIC 8003</w:t>
            </w:r>
          </w:p>
        </w:tc>
      </w:tr>
    </w:tbl>
    <w:p w:rsidR="00D434A0" w:rsidRDefault="00D96622" w:rsidP="00120072">
      <w:pPr>
        <w:pStyle w:val="BodyText"/>
      </w:pPr>
      <w:r>
        <w:t>*</w:t>
      </w:r>
      <w:r w:rsidRPr="007354B8">
        <w:t xml:space="preserve"> </w:t>
      </w:r>
      <w:r>
        <w:t>If you do not receive notification of receipt of your submission to the Commission, please contact the Administrative Officer.</w:t>
      </w:r>
    </w:p>
    <w:sectPr w:rsidR="00D434A0" w:rsidSect="008A57F3">
      <w:headerReference w:type="even" r:id="rId23"/>
      <w:headerReference w:type="default" r:id="rId24"/>
      <w:footerReference w:type="even" r:id="rId25"/>
      <w:footerReference w:type="default" r:id="rId26"/>
      <w:headerReference w:type="first" r:id="rId27"/>
      <w:footerReference w:type="first" r:id="rId28"/>
      <w:pgSz w:w="11907" w:h="16840" w:code="9"/>
      <w:pgMar w:top="1985" w:right="1304" w:bottom="1247" w:left="1814" w:header="1701" w:footer="39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4A9" w:rsidRDefault="003934A9">
      <w:r>
        <w:separator/>
      </w:r>
    </w:p>
  </w:endnote>
  <w:endnote w:type="continuationSeparator" w:id="0">
    <w:p w:rsidR="003934A9" w:rsidRDefault="003934A9">
      <w:r>
        <w:continuationSeparator/>
      </w:r>
    </w:p>
  </w:endnote>
  <w:endnote w:type="continuationNotice" w:id="1">
    <w:p w:rsidR="003934A9" w:rsidRDefault="00393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F03" w:rsidRDefault="00E85F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4A9" w:rsidRPr="00450D42" w:rsidRDefault="003934A9" w:rsidP="00450D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F03" w:rsidRDefault="00E85F0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4A9" w:rsidRPr="00450D42" w:rsidRDefault="003934A9" w:rsidP="00450D4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4A9" w:rsidRPr="00450D42" w:rsidRDefault="003934A9" w:rsidP="00450D4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4A9" w:rsidRPr="00450D42" w:rsidRDefault="003934A9" w:rsidP="00450D4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4A9" w:rsidRPr="00450D42" w:rsidRDefault="003934A9" w:rsidP="00450D42">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4A9" w:rsidRDefault="003934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4A9" w:rsidRDefault="003934A9">
      <w:r>
        <w:separator/>
      </w:r>
    </w:p>
  </w:footnote>
  <w:footnote w:type="continuationSeparator" w:id="0">
    <w:p w:rsidR="003934A9" w:rsidRDefault="003934A9">
      <w:r>
        <w:continuationSeparator/>
      </w:r>
    </w:p>
  </w:footnote>
  <w:footnote w:type="continuationNotice" w:id="1">
    <w:p w:rsidR="003934A9" w:rsidRDefault="003934A9"/>
  </w:footnote>
  <w:footnote w:id="2">
    <w:p w:rsidR="003934A9" w:rsidRPr="001F3687" w:rsidRDefault="003934A9" w:rsidP="00F50AD6">
      <w:pPr>
        <w:pStyle w:val="FootnoteText"/>
        <w:ind w:hanging="142"/>
      </w:pPr>
      <w:r w:rsidRPr="00AE693E">
        <w:rPr>
          <w:rStyle w:val="FootnoteReference"/>
        </w:rPr>
        <w:footnoteRef/>
      </w:r>
      <w:r>
        <w:t xml:space="preserve"> Other agreements are also relevant. For example, the </w:t>
      </w:r>
      <w:r w:rsidRPr="005D5DDE">
        <w:rPr>
          <w:i/>
        </w:rPr>
        <w:t>Transitioning Responsibilities for Aged Care and Disability Services in Victoria</w:t>
      </w:r>
      <w:r>
        <w:rPr>
          <w:i/>
        </w:rPr>
        <w:t xml:space="preserve"> </w:t>
      </w:r>
      <w:r>
        <w:t xml:space="preserve">agreement aligned Victoria’s responsibilities to older Australians with those of other States (except WA) under the NDA.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F03" w:rsidRDefault="00E85F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4A9" w:rsidRPr="00450D42" w:rsidRDefault="003934A9" w:rsidP="00450D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5F03" w:rsidRDefault="00E85F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4A9" w:rsidRPr="00450D42" w:rsidRDefault="003934A9" w:rsidP="00450D4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4A9" w:rsidRPr="00450D42" w:rsidRDefault="003934A9" w:rsidP="00450D4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4A9" w:rsidRPr="00450D42" w:rsidRDefault="003934A9" w:rsidP="00450D4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4A9" w:rsidRPr="00450D42" w:rsidRDefault="003934A9" w:rsidP="00450D4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4A9" w:rsidRDefault="003934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5C0936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2B6E4C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16AEFA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002B2760"/>
    <w:multiLevelType w:val="hybridMultilevel"/>
    <w:tmpl w:val="1EB45E8E"/>
    <w:lvl w:ilvl="0" w:tplc="E598A61C">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4"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7A0A0C"/>
    <w:multiLevelType w:val="hybridMultilevel"/>
    <w:tmpl w:val="4202AD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7"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8"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1" w15:restartNumberingAfterBreak="0">
    <w:nsid w:val="20300BE5"/>
    <w:multiLevelType w:val="hybridMultilevel"/>
    <w:tmpl w:val="1EB45E8E"/>
    <w:lvl w:ilvl="0" w:tplc="E598A61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3"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5" w15:restartNumberingAfterBreak="0">
    <w:nsid w:val="4C2B5347"/>
    <w:multiLevelType w:val="hybridMultilevel"/>
    <w:tmpl w:val="65A035BC"/>
    <w:lvl w:ilvl="0" w:tplc="720CA4D2">
      <w:start w:val="1"/>
      <w:numFmt w:val="bullet"/>
      <w:pStyle w:val="InformationRequestBullet"/>
      <w:lvlText w:val=""/>
      <w:lvlJc w:val="left"/>
      <w:pPr>
        <w:ind w:left="36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7"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8" w15:restartNumberingAfterBreak="0">
    <w:nsid w:val="56040E85"/>
    <w:multiLevelType w:val="hybridMultilevel"/>
    <w:tmpl w:val="60422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15:restartNumberingAfterBreak="0">
    <w:nsid w:val="59126265"/>
    <w:multiLevelType w:val="hybridMultilevel"/>
    <w:tmpl w:val="FDC04A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B6F0A36"/>
    <w:multiLevelType w:val="hybridMultilevel"/>
    <w:tmpl w:val="99968C8A"/>
    <w:lvl w:ilvl="0" w:tplc="1C203D86">
      <w:numFmt w:val="bullet"/>
      <w:lvlText w:val="-"/>
      <w:lvlJc w:val="left"/>
      <w:pPr>
        <w:ind w:left="700" w:hanging="360"/>
      </w:pPr>
      <w:rPr>
        <w:rFonts w:ascii="Arial" w:eastAsia="Times New Roman" w:hAnsi="Arial" w:cs="Arial" w:hint="default"/>
        <w:i/>
        <w:sz w:val="22"/>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3"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5"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num w:numId="1">
    <w:abstractNumId w:val="4"/>
  </w:num>
  <w:num w:numId="2">
    <w:abstractNumId w:val="16"/>
  </w:num>
  <w:num w:numId="3">
    <w:abstractNumId w:val="19"/>
  </w:num>
  <w:num w:numId="4">
    <w:abstractNumId w:val="10"/>
  </w:num>
  <w:num w:numId="5">
    <w:abstractNumId w:val="17"/>
  </w:num>
  <w:num w:numId="6">
    <w:abstractNumId w:val="8"/>
  </w:num>
  <w:num w:numId="7">
    <w:abstractNumId w:val="12"/>
  </w:num>
  <w:num w:numId="8">
    <w:abstractNumId w:val="13"/>
  </w:num>
  <w:num w:numId="9">
    <w:abstractNumId w:val="25"/>
  </w:num>
  <w:num w:numId="10">
    <w:abstractNumId w:val="15"/>
  </w:num>
  <w:num w:numId="11">
    <w:abstractNumId w:val="2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2"/>
  </w:num>
  <w:num w:numId="15">
    <w:abstractNumId w:val="7"/>
  </w:num>
  <w:num w:numId="16">
    <w:abstractNumId w:val="21"/>
  </w:num>
  <w:num w:numId="17">
    <w:abstractNumId w:val="15"/>
  </w:num>
  <w:num w:numId="18">
    <w:abstractNumId w:val="2"/>
  </w:num>
  <w:num w:numId="19">
    <w:abstractNumId w:val="18"/>
  </w:num>
  <w:num w:numId="20">
    <w:abstractNumId w:val="5"/>
  </w:num>
  <w:num w:numId="21">
    <w:abstractNumId w:val="0"/>
  </w:num>
  <w:num w:numId="22">
    <w:abstractNumId w:val="1"/>
  </w:num>
  <w:num w:numId="23">
    <w:abstractNumId w:val="16"/>
  </w:num>
  <w:num w:numId="24">
    <w:abstractNumId w:val="6"/>
  </w:num>
  <w:num w:numId="25">
    <w:abstractNumId w:val="24"/>
  </w:num>
  <w:num w:numId="26">
    <w:abstractNumId w:val="9"/>
  </w:num>
  <w:num w:numId="27">
    <w:abstractNumId w:val="9"/>
  </w:num>
  <w:num w:numId="28">
    <w:abstractNumId w:val="9"/>
  </w:num>
  <w:num w:numId="29">
    <w:abstractNumId w:val="9"/>
  </w:num>
  <w:num w:numId="30">
    <w:abstractNumId w:val="9"/>
  </w:num>
  <w:num w:numId="31">
    <w:abstractNumId w:val="9"/>
  </w:num>
  <w:num w:numId="32">
    <w:abstractNumId w:val="20"/>
  </w:num>
  <w:num w:numId="33">
    <w:abstractNumId w:val="7"/>
  </w:num>
  <w:num w:numId="34">
    <w:abstractNumId w:val="21"/>
  </w:num>
  <w:num w:numId="35">
    <w:abstractNumId w:val="14"/>
  </w:num>
  <w:num w:numId="36">
    <w:abstractNumId w:val="7"/>
  </w:num>
  <w:num w:numId="37">
    <w:abstractNumId w:val="21"/>
  </w:num>
  <w:num w:numId="38">
    <w:abstractNumId w:val="3"/>
  </w:num>
  <w:num w:numId="39">
    <w:abstractNumId w:val="6"/>
  </w:num>
  <w:num w:numId="4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C27852"/>
    <w:rsid w:val="000005A1"/>
    <w:rsid w:val="00000D44"/>
    <w:rsid w:val="00002371"/>
    <w:rsid w:val="000043BA"/>
    <w:rsid w:val="00007A91"/>
    <w:rsid w:val="000111E9"/>
    <w:rsid w:val="0001740A"/>
    <w:rsid w:val="00017631"/>
    <w:rsid w:val="00020A2F"/>
    <w:rsid w:val="000214E3"/>
    <w:rsid w:val="00021BFE"/>
    <w:rsid w:val="000227D5"/>
    <w:rsid w:val="000227E7"/>
    <w:rsid w:val="000245AA"/>
    <w:rsid w:val="00025AF4"/>
    <w:rsid w:val="00031061"/>
    <w:rsid w:val="000320F5"/>
    <w:rsid w:val="00032787"/>
    <w:rsid w:val="00034142"/>
    <w:rsid w:val="00034458"/>
    <w:rsid w:val="000359F5"/>
    <w:rsid w:val="00035B27"/>
    <w:rsid w:val="00036376"/>
    <w:rsid w:val="0003664B"/>
    <w:rsid w:val="00037BA2"/>
    <w:rsid w:val="00040D19"/>
    <w:rsid w:val="0004111F"/>
    <w:rsid w:val="000411EE"/>
    <w:rsid w:val="00043DED"/>
    <w:rsid w:val="00043FFE"/>
    <w:rsid w:val="00044CD0"/>
    <w:rsid w:val="0004560B"/>
    <w:rsid w:val="00046654"/>
    <w:rsid w:val="00046EB9"/>
    <w:rsid w:val="00051880"/>
    <w:rsid w:val="00052BC8"/>
    <w:rsid w:val="00054939"/>
    <w:rsid w:val="00055077"/>
    <w:rsid w:val="000565B3"/>
    <w:rsid w:val="00056CBD"/>
    <w:rsid w:val="00063101"/>
    <w:rsid w:val="00063133"/>
    <w:rsid w:val="000646C6"/>
    <w:rsid w:val="00064E8C"/>
    <w:rsid w:val="00066210"/>
    <w:rsid w:val="000668B8"/>
    <w:rsid w:val="0007150B"/>
    <w:rsid w:val="0007213D"/>
    <w:rsid w:val="000724CB"/>
    <w:rsid w:val="00072F8E"/>
    <w:rsid w:val="00073B5E"/>
    <w:rsid w:val="00073C2E"/>
    <w:rsid w:val="00074E27"/>
    <w:rsid w:val="00077090"/>
    <w:rsid w:val="000801F6"/>
    <w:rsid w:val="00081CA6"/>
    <w:rsid w:val="000828DD"/>
    <w:rsid w:val="00082B2E"/>
    <w:rsid w:val="00085BC2"/>
    <w:rsid w:val="00092745"/>
    <w:rsid w:val="000938F5"/>
    <w:rsid w:val="00093E07"/>
    <w:rsid w:val="00093E5B"/>
    <w:rsid w:val="0009439F"/>
    <w:rsid w:val="00094BF2"/>
    <w:rsid w:val="00095663"/>
    <w:rsid w:val="000965B8"/>
    <w:rsid w:val="00096B6D"/>
    <w:rsid w:val="00096E55"/>
    <w:rsid w:val="0009783E"/>
    <w:rsid w:val="000A0542"/>
    <w:rsid w:val="000A098A"/>
    <w:rsid w:val="000A1680"/>
    <w:rsid w:val="000A1A13"/>
    <w:rsid w:val="000A2181"/>
    <w:rsid w:val="000A298F"/>
    <w:rsid w:val="000A33E2"/>
    <w:rsid w:val="000A3BF4"/>
    <w:rsid w:val="000A3F3C"/>
    <w:rsid w:val="000A783C"/>
    <w:rsid w:val="000A7DEA"/>
    <w:rsid w:val="000B00F7"/>
    <w:rsid w:val="000B1022"/>
    <w:rsid w:val="000B115D"/>
    <w:rsid w:val="000B25BD"/>
    <w:rsid w:val="000B46B7"/>
    <w:rsid w:val="000B4DA9"/>
    <w:rsid w:val="000B594D"/>
    <w:rsid w:val="000B5D1F"/>
    <w:rsid w:val="000B601B"/>
    <w:rsid w:val="000B718B"/>
    <w:rsid w:val="000B71CA"/>
    <w:rsid w:val="000B733D"/>
    <w:rsid w:val="000B77E9"/>
    <w:rsid w:val="000B780E"/>
    <w:rsid w:val="000C0B89"/>
    <w:rsid w:val="000C1DCA"/>
    <w:rsid w:val="000C207E"/>
    <w:rsid w:val="000C3C6D"/>
    <w:rsid w:val="000C513C"/>
    <w:rsid w:val="000C52D2"/>
    <w:rsid w:val="000C5C5D"/>
    <w:rsid w:val="000C78F7"/>
    <w:rsid w:val="000D085C"/>
    <w:rsid w:val="000D13D5"/>
    <w:rsid w:val="000D185D"/>
    <w:rsid w:val="000D197B"/>
    <w:rsid w:val="000D2B80"/>
    <w:rsid w:val="000D41E9"/>
    <w:rsid w:val="000D4791"/>
    <w:rsid w:val="000D55C3"/>
    <w:rsid w:val="000D6D43"/>
    <w:rsid w:val="000E031F"/>
    <w:rsid w:val="000E157F"/>
    <w:rsid w:val="000E3E60"/>
    <w:rsid w:val="000E42C7"/>
    <w:rsid w:val="000E6ABF"/>
    <w:rsid w:val="000E7D38"/>
    <w:rsid w:val="000F0035"/>
    <w:rsid w:val="000F01AF"/>
    <w:rsid w:val="000F04E7"/>
    <w:rsid w:val="000F060A"/>
    <w:rsid w:val="000F1788"/>
    <w:rsid w:val="000F3AC8"/>
    <w:rsid w:val="000F3CB9"/>
    <w:rsid w:val="000F420B"/>
    <w:rsid w:val="000F4F6B"/>
    <w:rsid w:val="000F539C"/>
    <w:rsid w:val="000F5967"/>
    <w:rsid w:val="000F67E4"/>
    <w:rsid w:val="00100027"/>
    <w:rsid w:val="001014BF"/>
    <w:rsid w:val="0010152D"/>
    <w:rsid w:val="00101748"/>
    <w:rsid w:val="0010222E"/>
    <w:rsid w:val="00103213"/>
    <w:rsid w:val="00104E7F"/>
    <w:rsid w:val="0010574F"/>
    <w:rsid w:val="00106271"/>
    <w:rsid w:val="001062EC"/>
    <w:rsid w:val="00110116"/>
    <w:rsid w:val="00110EFA"/>
    <w:rsid w:val="00111D72"/>
    <w:rsid w:val="00111DC7"/>
    <w:rsid w:val="00113763"/>
    <w:rsid w:val="00115C4F"/>
    <w:rsid w:val="00115E31"/>
    <w:rsid w:val="00116D56"/>
    <w:rsid w:val="00120072"/>
    <w:rsid w:val="00120FDE"/>
    <w:rsid w:val="0012245B"/>
    <w:rsid w:val="0012270C"/>
    <w:rsid w:val="00123489"/>
    <w:rsid w:val="00125ED7"/>
    <w:rsid w:val="001268D8"/>
    <w:rsid w:val="00126EB8"/>
    <w:rsid w:val="001274D4"/>
    <w:rsid w:val="00127577"/>
    <w:rsid w:val="00127ACC"/>
    <w:rsid w:val="00127CEC"/>
    <w:rsid w:val="001304DC"/>
    <w:rsid w:val="00131066"/>
    <w:rsid w:val="0013211D"/>
    <w:rsid w:val="00133158"/>
    <w:rsid w:val="001363AA"/>
    <w:rsid w:val="0013739A"/>
    <w:rsid w:val="001408F1"/>
    <w:rsid w:val="00141C52"/>
    <w:rsid w:val="0014215B"/>
    <w:rsid w:val="00142165"/>
    <w:rsid w:val="001425BA"/>
    <w:rsid w:val="001427C1"/>
    <w:rsid w:val="0014312A"/>
    <w:rsid w:val="0014325A"/>
    <w:rsid w:val="00144CE8"/>
    <w:rsid w:val="00144E23"/>
    <w:rsid w:val="00145246"/>
    <w:rsid w:val="00145F5F"/>
    <w:rsid w:val="00150D26"/>
    <w:rsid w:val="00150F45"/>
    <w:rsid w:val="00151E64"/>
    <w:rsid w:val="001528EE"/>
    <w:rsid w:val="001529E1"/>
    <w:rsid w:val="001557F0"/>
    <w:rsid w:val="0015669E"/>
    <w:rsid w:val="00157A32"/>
    <w:rsid w:val="001604A5"/>
    <w:rsid w:val="00160588"/>
    <w:rsid w:val="001605DE"/>
    <w:rsid w:val="00161497"/>
    <w:rsid w:val="00162434"/>
    <w:rsid w:val="0016254C"/>
    <w:rsid w:val="00162769"/>
    <w:rsid w:val="00163879"/>
    <w:rsid w:val="001640D3"/>
    <w:rsid w:val="00167880"/>
    <w:rsid w:val="001709B4"/>
    <w:rsid w:val="0017129D"/>
    <w:rsid w:val="0017262F"/>
    <w:rsid w:val="00174758"/>
    <w:rsid w:val="00176482"/>
    <w:rsid w:val="00176FA9"/>
    <w:rsid w:val="001801C6"/>
    <w:rsid w:val="00181824"/>
    <w:rsid w:val="00181D40"/>
    <w:rsid w:val="001832DE"/>
    <w:rsid w:val="00183A4B"/>
    <w:rsid w:val="00183E82"/>
    <w:rsid w:val="00184BEB"/>
    <w:rsid w:val="00184F4E"/>
    <w:rsid w:val="00185960"/>
    <w:rsid w:val="001878BB"/>
    <w:rsid w:val="00190506"/>
    <w:rsid w:val="00191AE0"/>
    <w:rsid w:val="0019293B"/>
    <w:rsid w:val="0019426B"/>
    <w:rsid w:val="00194594"/>
    <w:rsid w:val="001948C3"/>
    <w:rsid w:val="00196781"/>
    <w:rsid w:val="001A13E6"/>
    <w:rsid w:val="001A6A4B"/>
    <w:rsid w:val="001A6C15"/>
    <w:rsid w:val="001A7EAF"/>
    <w:rsid w:val="001B026D"/>
    <w:rsid w:val="001B225C"/>
    <w:rsid w:val="001B44C4"/>
    <w:rsid w:val="001B67F6"/>
    <w:rsid w:val="001B6CC7"/>
    <w:rsid w:val="001B6D3C"/>
    <w:rsid w:val="001C0865"/>
    <w:rsid w:val="001C0AED"/>
    <w:rsid w:val="001C3ABA"/>
    <w:rsid w:val="001C5111"/>
    <w:rsid w:val="001C598C"/>
    <w:rsid w:val="001C6818"/>
    <w:rsid w:val="001C79B1"/>
    <w:rsid w:val="001C7B19"/>
    <w:rsid w:val="001D0985"/>
    <w:rsid w:val="001D0F4F"/>
    <w:rsid w:val="001D19C1"/>
    <w:rsid w:val="001D3DC2"/>
    <w:rsid w:val="001D4DB7"/>
    <w:rsid w:val="001D6319"/>
    <w:rsid w:val="001D64C3"/>
    <w:rsid w:val="001E01C3"/>
    <w:rsid w:val="001E05BC"/>
    <w:rsid w:val="001E1282"/>
    <w:rsid w:val="001E310E"/>
    <w:rsid w:val="001E5C1D"/>
    <w:rsid w:val="001E7BE8"/>
    <w:rsid w:val="001E7C3E"/>
    <w:rsid w:val="001F0248"/>
    <w:rsid w:val="001F12C8"/>
    <w:rsid w:val="001F3687"/>
    <w:rsid w:val="001F3EB3"/>
    <w:rsid w:val="001F4F86"/>
    <w:rsid w:val="001F610A"/>
    <w:rsid w:val="001F64DD"/>
    <w:rsid w:val="001F6DFC"/>
    <w:rsid w:val="00201D43"/>
    <w:rsid w:val="00202C2C"/>
    <w:rsid w:val="00203050"/>
    <w:rsid w:val="00205119"/>
    <w:rsid w:val="00206103"/>
    <w:rsid w:val="002063E4"/>
    <w:rsid w:val="00206427"/>
    <w:rsid w:val="00206D08"/>
    <w:rsid w:val="00206ECA"/>
    <w:rsid w:val="00211D14"/>
    <w:rsid w:val="0021224E"/>
    <w:rsid w:val="002126A8"/>
    <w:rsid w:val="00212F1B"/>
    <w:rsid w:val="002135AB"/>
    <w:rsid w:val="002144BE"/>
    <w:rsid w:val="0021506B"/>
    <w:rsid w:val="0022310C"/>
    <w:rsid w:val="00223311"/>
    <w:rsid w:val="0022558C"/>
    <w:rsid w:val="00227FB0"/>
    <w:rsid w:val="002320B8"/>
    <w:rsid w:val="0023399A"/>
    <w:rsid w:val="00234564"/>
    <w:rsid w:val="0023525B"/>
    <w:rsid w:val="0023593F"/>
    <w:rsid w:val="00237925"/>
    <w:rsid w:val="002420CA"/>
    <w:rsid w:val="00242279"/>
    <w:rsid w:val="0024297A"/>
    <w:rsid w:val="0024342A"/>
    <w:rsid w:val="00243997"/>
    <w:rsid w:val="0024516C"/>
    <w:rsid w:val="0024566E"/>
    <w:rsid w:val="00245C82"/>
    <w:rsid w:val="0025004A"/>
    <w:rsid w:val="00251780"/>
    <w:rsid w:val="00253387"/>
    <w:rsid w:val="00254B3C"/>
    <w:rsid w:val="00254D82"/>
    <w:rsid w:val="00254E0C"/>
    <w:rsid w:val="00256578"/>
    <w:rsid w:val="00256AB1"/>
    <w:rsid w:val="00261A26"/>
    <w:rsid w:val="0026257F"/>
    <w:rsid w:val="00263F49"/>
    <w:rsid w:val="002654DA"/>
    <w:rsid w:val="002703A7"/>
    <w:rsid w:val="00270F13"/>
    <w:rsid w:val="002724BA"/>
    <w:rsid w:val="00272606"/>
    <w:rsid w:val="002747A4"/>
    <w:rsid w:val="00277C89"/>
    <w:rsid w:val="00281325"/>
    <w:rsid w:val="002820F1"/>
    <w:rsid w:val="0028380A"/>
    <w:rsid w:val="0028562F"/>
    <w:rsid w:val="00285937"/>
    <w:rsid w:val="00285F2D"/>
    <w:rsid w:val="00286390"/>
    <w:rsid w:val="00290D62"/>
    <w:rsid w:val="002916DF"/>
    <w:rsid w:val="00291B40"/>
    <w:rsid w:val="00293516"/>
    <w:rsid w:val="00296326"/>
    <w:rsid w:val="002A083D"/>
    <w:rsid w:val="002A17C4"/>
    <w:rsid w:val="002A2374"/>
    <w:rsid w:val="002A309F"/>
    <w:rsid w:val="002A3B53"/>
    <w:rsid w:val="002A75C9"/>
    <w:rsid w:val="002A75D0"/>
    <w:rsid w:val="002B1269"/>
    <w:rsid w:val="002B1449"/>
    <w:rsid w:val="002B1BAF"/>
    <w:rsid w:val="002B37D2"/>
    <w:rsid w:val="002B4008"/>
    <w:rsid w:val="002B430A"/>
    <w:rsid w:val="002B52C9"/>
    <w:rsid w:val="002B53E9"/>
    <w:rsid w:val="002B5F38"/>
    <w:rsid w:val="002B7380"/>
    <w:rsid w:val="002B7704"/>
    <w:rsid w:val="002C010C"/>
    <w:rsid w:val="002C084E"/>
    <w:rsid w:val="002C08CA"/>
    <w:rsid w:val="002C1DD8"/>
    <w:rsid w:val="002C2119"/>
    <w:rsid w:val="002C2D38"/>
    <w:rsid w:val="002C38BB"/>
    <w:rsid w:val="002C3D2B"/>
    <w:rsid w:val="002C3FDC"/>
    <w:rsid w:val="002C439F"/>
    <w:rsid w:val="002C519C"/>
    <w:rsid w:val="002C5A8C"/>
    <w:rsid w:val="002C6BBC"/>
    <w:rsid w:val="002D0C42"/>
    <w:rsid w:val="002D0E8E"/>
    <w:rsid w:val="002D34F8"/>
    <w:rsid w:val="002D3D97"/>
    <w:rsid w:val="002D3FEA"/>
    <w:rsid w:val="002D4210"/>
    <w:rsid w:val="002D6D75"/>
    <w:rsid w:val="002D747A"/>
    <w:rsid w:val="002E01CF"/>
    <w:rsid w:val="002E15F4"/>
    <w:rsid w:val="002E22A0"/>
    <w:rsid w:val="002E273D"/>
    <w:rsid w:val="002E4857"/>
    <w:rsid w:val="002E5E98"/>
    <w:rsid w:val="002E5ED7"/>
    <w:rsid w:val="002E6472"/>
    <w:rsid w:val="002E6D20"/>
    <w:rsid w:val="002F00B6"/>
    <w:rsid w:val="002F350C"/>
    <w:rsid w:val="002F4C6D"/>
    <w:rsid w:val="002F4DE0"/>
    <w:rsid w:val="002F4E22"/>
    <w:rsid w:val="002F7E44"/>
    <w:rsid w:val="00301189"/>
    <w:rsid w:val="00301E4A"/>
    <w:rsid w:val="00302A6A"/>
    <w:rsid w:val="003058CB"/>
    <w:rsid w:val="00306D13"/>
    <w:rsid w:val="0030712C"/>
    <w:rsid w:val="003076C3"/>
    <w:rsid w:val="0031012A"/>
    <w:rsid w:val="00310823"/>
    <w:rsid w:val="00311BE9"/>
    <w:rsid w:val="00315C60"/>
    <w:rsid w:val="003168B8"/>
    <w:rsid w:val="00317006"/>
    <w:rsid w:val="00317103"/>
    <w:rsid w:val="00322D64"/>
    <w:rsid w:val="00322F2C"/>
    <w:rsid w:val="00323E09"/>
    <w:rsid w:val="003240AD"/>
    <w:rsid w:val="003248BB"/>
    <w:rsid w:val="00325B03"/>
    <w:rsid w:val="00325C10"/>
    <w:rsid w:val="00327635"/>
    <w:rsid w:val="00333932"/>
    <w:rsid w:val="00334975"/>
    <w:rsid w:val="00334D37"/>
    <w:rsid w:val="003353D5"/>
    <w:rsid w:val="003401E2"/>
    <w:rsid w:val="00341FD3"/>
    <w:rsid w:val="00342136"/>
    <w:rsid w:val="003434BC"/>
    <w:rsid w:val="003507D6"/>
    <w:rsid w:val="003513EE"/>
    <w:rsid w:val="003518AA"/>
    <w:rsid w:val="00351DFD"/>
    <w:rsid w:val="00352165"/>
    <w:rsid w:val="0035249D"/>
    <w:rsid w:val="00353182"/>
    <w:rsid w:val="003531A1"/>
    <w:rsid w:val="0035415C"/>
    <w:rsid w:val="003544A8"/>
    <w:rsid w:val="00355BEF"/>
    <w:rsid w:val="00355E89"/>
    <w:rsid w:val="003561C3"/>
    <w:rsid w:val="003565D9"/>
    <w:rsid w:val="003569F1"/>
    <w:rsid w:val="003576B2"/>
    <w:rsid w:val="00357AB4"/>
    <w:rsid w:val="00357E9E"/>
    <w:rsid w:val="00357F40"/>
    <w:rsid w:val="003602E1"/>
    <w:rsid w:val="0036107E"/>
    <w:rsid w:val="0036300E"/>
    <w:rsid w:val="003636E8"/>
    <w:rsid w:val="00365A57"/>
    <w:rsid w:val="00366C85"/>
    <w:rsid w:val="0037026F"/>
    <w:rsid w:val="0037059D"/>
    <w:rsid w:val="00371240"/>
    <w:rsid w:val="00372441"/>
    <w:rsid w:val="003724DB"/>
    <w:rsid w:val="00373948"/>
    <w:rsid w:val="00374731"/>
    <w:rsid w:val="00374CA4"/>
    <w:rsid w:val="00376880"/>
    <w:rsid w:val="00376941"/>
    <w:rsid w:val="00376E59"/>
    <w:rsid w:val="003776E5"/>
    <w:rsid w:val="00377842"/>
    <w:rsid w:val="00377EC1"/>
    <w:rsid w:val="00380340"/>
    <w:rsid w:val="00380E36"/>
    <w:rsid w:val="0038418A"/>
    <w:rsid w:val="003849B0"/>
    <w:rsid w:val="0038721C"/>
    <w:rsid w:val="003909AA"/>
    <w:rsid w:val="003916BF"/>
    <w:rsid w:val="003919F9"/>
    <w:rsid w:val="003920CF"/>
    <w:rsid w:val="003934A9"/>
    <w:rsid w:val="0039483C"/>
    <w:rsid w:val="003951DE"/>
    <w:rsid w:val="00395574"/>
    <w:rsid w:val="003A176E"/>
    <w:rsid w:val="003A1BA8"/>
    <w:rsid w:val="003A257C"/>
    <w:rsid w:val="003A356C"/>
    <w:rsid w:val="003A4E32"/>
    <w:rsid w:val="003A5EA0"/>
    <w:rsid w:val="003A65C5"/>
    <w:rsid w:val="003A7DFB"/>
    <w:rsid w:val="003B06B4"/>
    <w:rsid w:val="003B20F0"/>
    <w:rsid w:val="003B23C2"/>
    <w:rsid w:val="003B4E4B"/>
    <w:rsid w:val="003B5BD5"/>
    <w:rsid w:val="003B5E38"/>
    <w:rsid w:val="003B6D6F"/>
    <w:rsid w:val="003B7ABF"/>
    <w:rsid w:val="003C13E4"/>
    <w:rsid w:val="003C1D88"/>
    <w:rsid w:val="003C35C5"/>
    <w:rsid w:val="003C38B5"/>
    <w:rsid w:val="003C5892"/>
    <w:rsid w:val="003C5D99"/>
    <w:rsid w:val="003C7458"/>
    <w:rsid w:val="003C78FB"/>
    <w:rsid w:val="003C7F4B"/>
    <w:rsid w:val="003D080B"/>
    <w:rsid w:val="003D0F44"/>
    <w:rsid w:val="003D1087"/>
    <w:rsid w:val="003D1E01"/>
    <w:rsid w:val="003D2905"/>
    <w:rsid w:val="003D320A"/>
    <w:rsid w:val="003D3F0D"/>
    <w:rsid w:val="003E2CAA"/>
    <w:rsid w:val="003E2F59"/>
    <w:rsid w:val="003E5419"/>
    <w:rsid w:val="003E5A8F"/>
    <w:rsid w:val="003E746B"/>
    <w:rsid w:val="003E7DCD"/>
    <w:rsid w:val="003F01BB"/>
    <w:rsid w:val="003F0789"/>
    <w:rsid w:val="003F1138"/>
    <w:rsid w:val="00400C0F"/>
    <w:rsid w:val="00401187"/>
    <w:rsid w:val="00401882"/>
    <w:rsid w:val="004028DE"/>
    <w:rsid w:val="00402C12"/>
    <w:rsid w:val="00403951"/>
    <w:rsid w:val="004040D0"/>
    <w:rsid w:val="004049F1"/>
    <w:rsid w:val="00405FD0"/>
    <w:rsid w:val="00407CA4"/>
    <w:rsid w:val="004100C8"/>
    <w:rsid w:val="00410292"/>
    <w:rsid w:val="00410ABA"/>
    <w:rsid w:val="00411DBD"/>
    <w:rsid w:val="00412ACE"/>
    <w:rsid w:val="004145D2"/>
    <w:rsid w:val="00420FD8"/>
    <w:rsid w:val="0042117A"/>
    <w:rsid w:val="00422CCC"/>
    <w:rsid w:val="00424214"/>
    <w:rsid w:val="00425128"/>
    <w:rsid w:val="0042523E"/>
    <w:rsid w:val="004256A9"/>
    <w:rsid w:val="004268BC"/>
    <w:rsid w:val="00426A71"/>
    <w:rsid w:val="00426CB4"/>
    <w:rsid w:val="004272A8"/>
    <w:rsid w:val="00431249"/>
    <w:rsid w:val="004315AE"/>
    <w:rsid w:val="004331F6"/>
    <w:rsid w:val="00433EEE"/>
    <w:rsid w:val="00434907"/>
    <w:rsid w:val="00434C19"/>
    <w:rsid w:val="00434D43"/>
    <w:rsid w:val="0044097F"/>
    <w:rsid w:val="00441AF3"/>
    <w:rsid w:val="00441C20"/>
    <w:rsid w:val="00441EF5"/>
    <w:rsid w:val="00443241"/>
    <w:rsid w:val="00443B1E"/>
    <w:rsid w:val="0044580F"/>
    <w:rsid w:val="004468BB"/>
    <w:rsid w:val="00450810"/>
    <w:rsid w:val="00450D42"/>
    <w:rsid w:val="00451080"/>
    <w:rsid w:val="00453A47"/>
    <w:rsid w:val="00455E5E"/>
    <w:rsid w:val="00456218"/>
    <w:rsid w:val="00460C39"/>
    <w:rsid w:val="00460F20"/>
    <w:rsid w:val="00460F44"/>
    <w:rsid w:val="00460FE8"/>
    <w:rsid w:val="004610D0"/>
    <w:rsid w:val="0046246D"/>
    <w:rsid w:val="00462C59"/>
    <w:rsid w:val="00462E5C"/>
    <w:rsid w:val="00462FF7"/>
    <w:rsid w:val="00463A4F"/>
    <w:rsid w:val="004642DE"/>
    <w:rsid w:val="0046433E"/>
    <w:rsid w:val="00470737"/>
    <w:rsid w:val="0047181E"/>
    <w:rsid w:val="004719A9"/>
    <w:rsid w:val="00473C83"/>
    <w:rsid w:val="00474988"/>
    <w:rsid w:val="004767D7"/>
    <w:rsid w:val="00477144"/>
    <w:rsid w:val="00477E57"/>
    <w:rsid w:val="004808CD"/>
    <w:rsid w:val="00485FC6"/>
    <w:rsid w:val="00486094"/>
    <w:rsid w:val="00491380"/>
    <w:rsid w:val="00491D7F"/>
    <w:rsid w:val="0049459F"/>
    <w:rsid w:val="004948CC"/>
    <w:rsid w:val="004973BF"/>
    <w:rsid w:val="00497575"/>
    <w:rsid w:val="004A015E"/>
    <w:rsid w:val="004A1F6C"/>
    <w:rsid w:val="004A2DCF"/>
    <w:rsid w:val="004A38DD"/>
    <w:rsid w:val="004A4A8A"/>
    <w:rsid w:val="004A5087"/>
    <w:rsid w:val="004A6193"/>
    <w:rsid w:val="004A6448"/>
    <w:rsid w:val="004A69DB"/>
    <w:rsid w:val="004B18D3"/>
    <w:rsid w:val="004B2F28"/>
    <w:rsid w:val="004B30AC"/>
    <w:rsid w:val="004B43AE"/>
    <w:rsid w:val="004B52F5"/>
    <w:rsid w:val="004B5F35"/>
    <w:rsid w:val="004B685C"/>
    <w:rsid w:val="004B6897"/>
    <w:rsid w:val="004B6B6B"/>
    <w:rsid w:val="004B7E4C"/>
    <w:rsid w:val="004C102E"/>
    <w:rsid w:val="004C1320"/>
    <w:rsid w:val="004C17E8"/>
    <w:rsid w:val="004C1B6A"/>
    <w:rsid w:val="004C30ED"/>
    <w:rsid w:val="004C3CED"/>
    <w:rsid w:val="004C4A9F"/>
    <w:rsid w:val="004C517C"/>
    <w:rsid w:val="004C5DD0"/>
    <w:rsid w:val="004C62AB"/>
    <w:rsid w:val="004C6AA9"/>
    <w:rsid w:val="004C7519"/>
    <w:rsid w:val="004D03AB"/>
    <w:rsid w:val="004D1B25"/>
    <w:rsid w:val="004D3360"/>
    <w:rsid w:val="004D35D3"/>
    <w:rsid w:val="004D419D"/>
    <w:rsid w:val="004D42E7"/>
    <w:rsid w:val="004D43F2"/>
    <w:rsid w:val="004D4432"/>
    <w:rsid w:val="004D5675"/>
    <w:rsid w:val="004D7734"/>
    <w:rsid w:val="004E1155"/>
    <w:rsid w:val="004E1E0F"/>
    <w:rsid w:val="004E1F07"/>
    <w:rsid w:val="004E58AC"/>
    <w:rsid w:val="004F0FFF"/>
    <w:rsid w:val="004F29F1"/>
    <w:rsid w:val="004F2D4D"/>
    <w:rsid w:val="004F61EC"/>
    <w:rsid w:val="004F6DD6"/>
    <w:rsid w:val="004F7472"/>
    <w:rsid w:val="004F7799"/>
    <w:rsid w:val="00500875"/>
    <w:rsid w:val="005010D4"/>
    <w:rsid w:val="00503E19"/>
    <w:rsid w:val="005068C8"/>
    <w:rsid w:val="00507766"/>
    <w:rsid w:val="005114E6"/>
    <w:rsid w:val="0051231E"/>
    <w:rsid w:val="00512658"/>
    <w:rsid w:val="0051306E"/>
    <w:rsid w:val="0051312D"/>
    <w:rsid w:val="00513831"/>
    <w:rsid w:val="0051620B"/>
    <w:rsid w:val="005163A3"/>
    <w:rsid w:val="00516BC1"/>
    <w:rsid w:val="00517795"/>
    <w:rsid w:val="00520AB2"/>
    <w:rsid w:val="00523639"/>
    <w:rsid w:val="00523F91"/>
    <w:rsid w:val="005246E9"/>
    <w:rsid w:val="00526A59"/>
    <w:rsid w:val="00527578"/>
    <w:rsid w:val="005308E6"/>
    <w:rsid w:val="00531FE5"/>
    <w:rsid w:val="00532D43"/>
    <w:rsid w:val="00532DF1"/>
    <w:rsid w:val="00532E27"/>
    <w:rsid w:val="005339AF"/>
    <w:rsid w:val="005345C5"/>
    <w:rsid w:val="00537070"/>
    <w:rsid w:val="005378EA"/>
    <w:rsid w:val="005402D9"/>
    <w:rsid w:val="005402FA"/>
    <w:rsid w:val="005414B3"/>
    <w:rsid w:val="00541E1A"/>
    <w:rsid w:val="00542587"/>
    <w:rsid w:val="00543AC0"/>
    <w:rsid w:val="00544EA8"/>
    <w:rsid w:val="00545859"/>
    <w:rsid w:val="005521A5"/>
    <w:rsid w:val="00552374"/>
    <w:rsid w:val="00554FD7"/>
    <w:rsid w:val="00555F18"/>
    <w:rsid w:val="0056223B"/>
    <w:rsid w:val="00563819"/>
    <w:rsid w:val="005640FA"/>
    <w:rsid w:val="00564BC6"/>
    <w:rsid w:val="0056530E"/>
    <w:rsid w:val="005668F9"/>
    <w:rsid w:val="005704B8"/>
    <w:rsid w:val="0057190B"/>
    <w:rsid w:val="005729BD"/>
    <w:rsid w:val="00573437"/>
    <w:rsid w:val="00573BE3"/>
    <w:rsid w:val="00574715"/>
    <w:rsid w:val="0057640B"/>
    <w:rsid w:val="00576898"/>
    <w:rsid w:val="005769B4"/>
    <w:rsid w:val="005776EE"/>
    <w:rsid w:val="00580154"/>
    <w:rsid w:val="00580ACA"/>
    <w:rsid w:val="00580C54"/>
    <w:rsid w:val="005824E8"/>
    <w:rsid w:val="00582B3D"/>
    <w:rsid w:val="00583C39"/>
    <w:rsid w:val="00584A27"/>
    <w:rsid w:val="00584A8D"/>
    <w:rsid w:val="005858FC"/>
    <w:rsid w:val="00586A90"/>
    <w:rsid w:val="0058724E"/>
    <w:rsid w:val="00587F28"/>
    <w:rsid w:val="005909CF"/>
    <w:rsid w:val="0059176A"/>
    <w:rsid w:val="00591E71"/>
    <w:rsid w:val="00592430"/>
    <w:rsid w:val="00593403"/>
    <w:rsid w:val="00593546"/>
    <w:rsid w:val="005935C5"/>
    <w:rsid w:val="00596C23"/>
    <w:rsid w:val="00596EFF"/>
    <w:rsid w:val="0059727D"/>
    <w:rsid w:val="00597AAE"/>
    <w:rsid w:val="00597D5F"/>
    <w:rsid w:val="005A0D41"/>
    <w:rsid w:val="005A1086"/>
    <w:rsid w:val="005A1707"/>
    <w:rsid w:val="005A17DA"/>
    <w:rsid w:val="005A2928"/>
    <w:rsid w:val="005A2A7F"/>
    <w:rsid w:val="005A3339"/>
    <w:rsid w:val="005A3421"/>
    <w:rsid w:val="005A41F8"/>
    <w:rsid w:val="005A5180"/>
    <w:rsid w:val="005A6124"/>
    <w:rsid w:val="005A6BB9"/>
    <w:rsid w:val="005A72D3"/>
    <w:rsid w:val="005A7A22"/>
    <w:rsid w:val="005B065F"/>
    <w:rsid w:val="005B0E29"/>
    <w:rsid w:val="005B1C06"/>
    <w:rsid w:val="005B2554"/>
    <w:rsid w:val="005B5E6C"/>
    <w:rsid w:val="005B6433"/>
    <w:rsid w:val="005B6D6E"/>
    <w:rsid w:val="005C2EEF"/>
    <w:rsid w:val="005C3891"/>
    <w:rsid w:val="005C3F49"/>
    <w:rsid w:val="005C4521"/>
    <w:rsid w:val="005C4B81"/>
    <w:rsid w:val="005C6015"/>
    <w:rsid w:val="005C6C3B"/>
    <w:rsid w:val="005D0308"/>
    <w:rsid w:val="005D2240"/>
    <w:rsid w:val="005D2360"/>
    <w:rsid w:val="005D329F"/>
    <w:rsid w:val="005D393E"/>
    <w:rsid w:val="005D440C"/>
    <w:rsid w:val="005D444F"/>
    <w:rsid w:val="005D46A7"/>
    <w:rsid w:val="005D5DDE"/>
    <w:rsid w:val="005D5DEF"/>
    <w:rsid w:val="005D6193"/>
    <w:rsid w:val="005D7D82"/>
    <w:rsid w:val="005E165F"/>
    <w:rsid w:val="005E7EA1"/>
    <w:rsid w:val="005F13F7"/>
    <w:rsid w:val="005F1B29"/>
    <w:rsid w:val="005F2F99"/>
    <w:rsid w:val="005F3677"/>
    <w:rsid w:val="005F4029"/>
    <w:rsid w:val="005F48E3"/>
    <w:rsid w:val="005F48ED"/>
    <w:rsid w:val="005F79D7"/>
    <w:rsid w:val="005F7B5C"/>
    <w:rsid w:val="006003E5"/>
    <w:rsid w:val="0060077E"/>
    <w:rsid w:val="0060122B"/>
    <w:rsid w:val="006018FA"/>
    <w:rsid w:val="00604477"/>
    <w:rsid w:val="00605072"/>
    <w:rsid w:val="00606014"/>
    <w:rsid w:val="00606E78"/>
    <w:rsid w:val="00607AF0"/>
    <w:rsid w:val="00607BF1"/>
    <w:rsid w:val="00610399"/>
    <w:rsid w:val="00612A49"/>
    <w:rsid w:val="00613A17"/>
    <w:rsid w:val="006159AE"/>
    <w:rsid w:val="0061629D"/>
    <w:rsid w:val="00616728"/>
    <w:rsid w:val="00617526"/>
    <w:rsid w:val="006205C6"/>
    <w:rsid w:val="00622ABB"/>
    <w:rsid w:val="00624C7D"/>
    <w:rsid w:val="00625E6A"/>
    <w:rsid w:val="0062682C"/>
    <w:rsid w:val="006275E6"/>
    <w:rsid w:val="00630D4D"/>
    <w:rsid w:val="00632A74"/>
    <w:rsid w:val="00633E2C"/>
    <w:rsid w:val="00634687"/>
    <w:rsid w:val="00634760"/>
    <w:rsid w:val="0063480A"/>
    <w:rsid w:val="00635105"/>
    <w:rsid w:val="006363C2"/>
    <w:rsid w:val="00636736"/>
    <w:rsid w:val="0063717F"/>
    <w:rsid w:val="00637B36"/>
    <w:rsid w:val="00640310"/>
    <w:rsid w:val="006406E5"/>
    <w:rsid w:val="00641460"/>
    <w:rsid w:val="006419F2"/>
    <w:rsid w:val="0064271E"/>
    <w:rsid w:val="00642AF9"/>
    <w:rsid w:val="00644087"/>
    <w:rsid w:val="0064629A"/>
    <w:rsid w:val="00646B26"/>
    <w:rsid w:val="006471D6"/>
    <w:rsid w:val="006508AB"/>
    <w:rsid w:val="006529EB"/>
    <w:rsid w:val="00653D77"/>
    <w:rsid w:val="006544F3"/>
    <w:rsid w:val="00654D42"/>
    <w:rsid w:val="006577E2"/>
    <w:rsid w:val="0066085B"/>
    <w:rsid w:val="00664DA6"/>
    <w:rsid w:val="006665F8"/>
    <w:rsid w:val="0066661C"/>
    <w:rsid w:val="00666E02"/>
    <w:rsid w:val="00670498"/>
    <w:rsid w:val="00671E1B"/>
    <w:rsid w:val="006748F8"/>
    <w:rsid w:val="00677713"/>
    <w:rsid w:val="00681863"/>
    <w:rsid w:val="006834D6"/>
    <w:rsid w:val="00684DBF"/>
    <w:rsid w:val="00687D6B"/>
    <w:rsid w:val="0069088A"/>
    <w:rsid w:val="00691E40"/>
    <w:rsid w:val="00692091"/>
    <w:rsid w:val="00693650"/>
    <w:rsid w:val="00693A6E"/>
    <w:rsid w:val="00694536"/>
    <w:rsid w:val="0069465D"/>
    <w:rsid w:val="006962EF"/>
    <w:rsid w:val="0069694C"/>
    <w:rsid w:val="006A179B"/>
    <w:rsid w:val="006A1D53"/>
    <w:rsid w:val="006A2083"/>
    <w:rsid w:val="006A225B"/>
    <w:rsid w:val="006A2F23"/>
    <w:rsid w:val="006A4655"/>
    <w:rsid w:val="006A5F4D"/>
    <w:rsid w:val="006A7CBC"/>
    <w:rsid w:val="006A7D9E"/>
    <w:rsid w:val="006B08E5"/>
    <w:rsid w:val="006B0A75"/>
    <w:rsid w:val="006B2362"/>
    <w:rsid w:val="006B2B3C"/>
    <w:rsid w:val="006B3268"/>
    <w:rsid w:val="006B43D8"/>
    <w:rsid w:val="006B480F"/>
    <w:rsid w:val="006B6013"/>
    <w:rsid w:val="006B75F9"/>
    <w:rsid w:val="006B7665"/>
    <w:rsid w:val="006B780C"/>
    <w:rsid w:val="006C1389"/>
    <w:rsid w:val="006C1B58"/>
    <w:rsid w:val="006C1D81"/>
    <w:rsid w:val="006C2230"/>
    <w:rsid w:val="006C3F6E"/>
    <w:rsid w:val="006C527E"/>
    <w:rsid w:val="006C5384"/>
    <w:rsid w:val="006C5670"/>
    <w:rsid w:val="006C6061"/>
    <w:rsid w:val="006C6205"/>
    <w:rsid w:val="006C7038"/>
    <w:rsid w:val="006D3121"/>
    <w:rsid w:val="006D3D79"/>
    <w:rsid w:val="006D6A71"/>
    <w:rsid w:val="006D702F"/>
    <w:rsid w:val="006D792D"/>
    <w:rsid w:val="006E0D33"/>
    <w:rsid w:val="006E3B49"/>
    <w:rsid w:val="006E73EF"/>
    <w:rsid w:val="006F08B0"/>
    <w:rsid w:val="006F37FC"/>
    <w:rsid w:val="006F5F4B"/>
    <w:rsid w:val="00701545"/>
    <w:rsid w:val="007018DB"/>
    <w:rsid w:val="007079C9"/>
    <w:rsid w:val="00710B29"/>
    <w:rsid w:val="00711439"/>
    <w:rsid w:val="00713628"/>
    <w:rsid w:val="00713799"/>
    <w:rsid w:val="00714429"/>
    <w:rsid w:val="00714D4D"/>
    <w:rsid w:val="00717E4D"/>
    <w:rsid w:val="00723140"/>
    <w:rsid w:val="007234E1"/>
    <w:rsid w:val="007242AC"/>
    <w:rsid w:val="00725B7D"/>
    <w:rsid w:val="007266D3"/>
    <w:rsid w:val="00730231"/>
    <w:rsid w:val="007304B8"/>
    <w:rsid w:val="00730551"/>
    <w:rsid w:val="00731A63"/>
    <w:rsid w:val="00732029"/>
    <w:rsid w:val="007322BD"/>
    <w:rsid w:val="00736894"/>
    <w:rsid w:val="00743779"/>
    <w:rsid w:val="00743A09"/>
    <w:rsid w:val="00743B1B"/>
    <w:rsid w:val="00746CF3"/>
    <w:rsid w:val="00751051"/>
    <w:rsid w:val="007514C7"/>
    <w:rsid w:val="007516D8"/>
    <w:rsid w:val="0075196C"/>
    <w:rsid w:val="00752146"/>
    <w:rsid w:val="0075413B"/>
    <w:rsid w:val="007547D1"/>
    <w:rsid w:val="00755273"/>
    <w:rsid w:val="0075563A"/>
    <w:rsid w:val="007604BB"/>
    <w:rsid w:val="007629B3"/>
    <w:rsid w:val="00763132"/>
    <w:rsid w:val="007642D6"/>
    <w:rsid w:val="00764AA7"/>
    <w:rsid w:val="00765502"/>
    <w:rsid w:val="00765A97"/>
    <w:rsid w:val="00771177"/>
    <w:rsid w:val="007717C1"/>
    <w:rsid w:val="00772909"/>
    <w:rsid w:val="00775AED"/>
    <w:rsid w:val="007764CE"/>
    <w:rsid w:val="00776CE0"/>
    <w:rsid w:val="007801F8"/>
    <w:rsid w:val="00780640"/>
    <w:rsid w:val="007806F1"/>
    <w:rsid w:val="007830CC"/>
    <w:rsid w:val="007832C1"/>
    <w:rsid w:val="00784A63"/>
    <w:rsid w:val="00785232"/>
    <w:rsid w:val="007856F7"/>
    <w:rsid w:val="0078686A"/>
    <w:rsid w:val="007911EC"/>
    <w:rsid w:val="00791B98"/>
    <w:rsid w:val="00791CEA"/>
    <w:rsid w:val="0079221B"/>
    <w:rsid w:val="00794DE0"/>
    <w:rsid w:val="00795F91"/>
    <w:rsid w:val="00796104"/>
    <w:rsid w:val="00796427"/>
    <w:rsid w:val="0079701E"/>
    <w:rsid w:val="007974FF"/>
    <w:rsid w:val="007976B8"/>
    <w:rsid w:val="007A0653"/>
    <w:rsid w:val="007A0EA3"/>
    <w:rsid w:val="007A21C5"/>
    <w:rsid w:val="007A21EB"/>
    <w:rsid w:val="007A3D89"/>
    <w:rsid w:val="007A3D8D"/>
    <w:rsid w:val="007A4273"/>
    <w:rsid w:val="007A565F"/>
    <w:rsid w:val="007A574F"/>
    <w:rsid w:val="007A65E6"/>
    <w:rsid w:val="007A6B62"/>
    <w:rsid w:val="007A6DA1"/>
    <w:rsid w:val="007B1A93"/>
    <w:rsid w:val="007B2C70"/>
    <w:rsid w:val="007B3C7C"/>
    <w:rsid w:val="007B4330"/>
    <w:rsid w:val="007B4B29"/>
    <w:rsid w:val="007B5C6A"/>
    <w:rsid w:val="007B6BD7"/>
    <w:rsid w:val="007C14A7"/>
    <w:rsid w:val="007C1DA4"/>
    <w:rsid w:val="007C1E0C"/>
    <w:rsid w:val="007C36C9"/>
    <w:rsid w:val="007C3953"/>
    <w:rsid w:val="007C3D85"/>
    <w:rsid w:val="007C4AC9"/>
    <w:rsid w:val="007C500E"/>
    <w:rsid w:val="007C53FB"/>
    <w:rsid w:val="007C5B7E"/>
    <w:rsid w:val="007C683D"/>
    <w:rsid w:val="007C7A70"/>
    <w:rsid w:val="007C7F79"/>
    <w:rsid w:val="007D1500"/>
    <w:rsid w:val="007D190D"/>
    <w:rsid w:val="007D1B90"/>
    <w:rsid w:val="007D1D41"/>
    <w:rsid w:val="007D3007"/>
    <w:rsid w:val="007D3576"/>
    <w:rsid w:val="007D474D"/>
    <w:rsid w:val="007D4EEC"/>
    <w:rsid w:val="007D52FF"/>
    <w:rsid w:val="007D5E8E"/>
    <w:rsid w:val="007D5EF8"/>
    <w:rsid w:val="007D60CF"/>
    <w:rsid w:val="007D61FA"/>
    <w:rsid w:val="007D6401"/>
    <w:rsid w:val="007D6407"/>
    <w:rsid w:val="007E01E4"/>
    <w:rsid w:val="007E3216"/>
    <w:rsid w:val="007E3731"/>
    <w:rsid w:val="007E3BED"/>
    <w:rsid w:val="007E4900"/>
    <w:rsid w:val="007E57FC"/>
    <w:rsid w:val="007E68BC"/>
    <w:rsid w:val="007E7A12"/>
    <w:rsid w:val="007F0F47"/>
    <w:rsid w:val="007F5D99"/>
    <w:rsid w:val="007F671F"/>
    <w:rsid w:val="007F6D97"/>
    <w:rsid w:val="007F6EC9"/>
    <w:rsid w:val="007F7107"/>
    <w:rsid w:val="00800BCB"/>
    <w:rsid w:val="00800D4C"/>
    <w:rsid w:val="008040F8"/>
    <w:rsid w:val="008042A1"/>
    <w:rsid w:val="00805253"/>
    <w:rsid w:val="008066FA"/>
    <w:rsid w:val="0081030F"/>
    <w:rsid w:val="008117A5"/>
    <w:rsid w:val="00811DDE"/>
    <w:rsid w:val="0081267D"/>
    <w:rsid w:val="00812F4A"/>
    <w:rsid w:val="00814623"/>
    <w:rsid w:val="00815160"/>
    <w:rsid w:val="008160EA"/>
    <w:rsid w:val="00817A8B"/>
    <w:rsid w:val="00820524"/>
    <w:rsid w:val="0082087D"/>
    <w:rsid w:val="008208AC"/>
    <w:rsid w:val="00820BBC"/>
    <w:rsid w:val="00822DCA"/>
    <w:rsid w:val="00822E4F"/>
    <w:rsid w:val="0082698B"/>
    <w:rsid w:val="00827DD1"/>
    <w:rsid w:val="00832B03"/>
    <w:rsid w:val="0083358E"/>
    <w:rsid w:val="00834D33"/>
    <w:rsid w:val="00835771"/>
    <w:rsid w:val="0084017F"/>
    <w:rsid w:val="00841E71"/>
    <w:rsid w:val="008423D2"/>
    <w:rsid w:val="008428CF"/>
    <w:rsid w:val="00842933"/>
    <w:rsid w:val="008432D8"/>
    <w:rsid w:val="008436E0"/>
    <w:rsid w:val="008500E7"/>
    <w:rsid w:val="00850A86"/>
    <w:rsid w:val="00851043"/>
    <w:rsid w:val="008512FE"/>
    <w:rsid w:val="00851335"/>
    <w:rsid w:val="00852E0F"/>
    <w:rsid w:val="00856AE4"/>
    <w:rsid w:val="00856B02"/>
    <w:rsid w:val="00857E58"/>
    <w:rsid w:val="0086082C"/>
    <w:rsid w:val="00860ACD"/>
    <w:rsid w:val="008638BE"/>
    <w:rsid w:val="00864ADC"/>
    <w:rsid w:val="00864B62"/>
    <w:rsid w:val="00866A20"/>
    <w:rsid w:val="008708AB"/>
    <w:rsid w:val="008710EA"/>
    <w:rsid w:val="00871F27"/>
    <w:rsid w:val="008732AD"/>
    <w:rsid w:val="008732B6"/>
    <w:rsid w:val="00873A7D"/>
    <w:rsid w:val="00875B4A"/>
    <w:rsid w:val="00875E5C"/>
    <w:rsid w:val="00876D2A"/>
    <w:rsid w:val="008772F6"/>
    <w:rsid w:val="00877E1A"/>
    <w:rsid w:val="00880153"/>
    <w:rsid w:val="00880CE3"/>
    <w:rsid w:val="00880F97"/>
    <w:rsid w:val="0088133A"/>
    <w:rsid w:val="008827D6"/>
    <w:rsid w:val="0088379D"/>
    <w:rsid w:val="00884028"/>
    <w:rsid w:val="008840C5"/>
    <w:rsid w:val="008843A7"/>
    <w:rsid w:val="00886FD5"/>
    <w:rsid w:val="0088779A"/>
    <w:rsid w:val="0089285E"/>
    <w:rsid w:val="00893393"/>
    <w:rsid w:val="0089376E"/>
    <w:rsid w:val="008939A6"/>
    <w:rsid w:val="00894208"/>
    <w:rsid w:val="0089436C"/>
    <w:rsid w:val="008945F2"/>
    <w:rsid w:val="00895A19"/>
    <w:rsid w:val="00896E76"/>
    <w:rsid w:val="0089719A"/>
    <w:rsid w:val="0089732B"/>
    <w:rsid w:val="008A025C"/>
    <w:rsid w:val="008A1F31"/>
    <w:rsid w:val="008A2277"/>
    <w:rsid w:val="008A451B"/>
    <w:rsid w:val="008A57F3"/>
    <w:rsid w:val="008A72EE"/>
    <w:rsid w:val="008A73D1"/>
    <w:rsid w:val="008B1976"/>
    <w:rsid w:val="008B32EC"/>
    <w:rsid w:val="008B3AB6"/>
    <w:rsid w:val="008B3ABF"/>
    <w:rsid w:val="008B3B34"/>
    <w:rsid w:val="008B3F69"/>
    <w:rsid w:val="008B415A"/>
    <w:rsid w:val="008B4610"/>
    <w:rsid w:val="008B5404"/>
    <w:rsid w:val="008B5413"/>
    <w:rsid w:val="008B5913"/>
    <w:rsid w:val="008B61B7"/>
    <w:rsid w:val="008C0947"/>
    <w:rsid w:val="008C15F4"/>
    <w:rsid w:val="008C1AEC"/>
    <w:rsid w:val="008C1C08"/>
    <w:rsid w:val="008C2880"/>
    <w:rsid w:val="008D0132"/>
    <w:rsid w:val="008D0534"/>
    <w:rsid w:val="008D060C"/>
    <w:rsid w:val="008D10A0"/>
    <w:rsid w:val="008D288D"/>
    <w:rsid w:val="008D2D9A"/>
    <w:rsid w:val="008D306C"/>
    <w:rsid w:val="008D365B"/>
    <w:rsid w:val="008D365C"/>
    <w:rsid w:val="008D463F"/>
    <w:rsid w:val="008D4A0A"/>
    <w:rsid w:val="008D4CBE"/>
    <w:rsid w:val="008D6F93"/>
    <w:rsid w:val="008D7622"/>
    <w:rsid w:val="008E3F2B"/>
    <w:rsid w:val="008E4E71"/>
    <w:rsid w:val="008E5480"/>
    <w:rsid w:val="008E6838"/>
    <w:rsid w:val="008E7317"/>
    <w:rsid w:val="008F1982"/>
    <w:rsid w:val="008F1EC1"/>
    <w:rsid w:val="008F23F1"/>
    <w:rsid w:val="008F246E"/>
    <w:rsid w:val="008F2519"/>
    <w:rsid w:val="008F273D"/>
    <w:rsid w:val="008F304E"/>
    <w:rsid w:val="008F4079"/>
    <w:rsid w:val="008F53F9"/>
    <w:rsid w:val="008F6241"/>
    <w:rsid w:val="0090063D"/>
    <w:rsid w:val="009008BA"/>
    <w:rsid w:val="009010E8"/>
    <w:rsid w:val="009021A6"/>
    <w:rsid w:val="009030BF"/>
    <w:rsid w:val="00903B52"/>
    <w:rsid w:val="00903FB8"/>
    <w:rsid w:val="009041CE"/>
    <w:rsid w:val="0091032F"/>
    <w:rsid w:val="009115DE"/>
    <w:rsid w:val="00911830"/>
    <w:rsid w:val="00912FA9"/>
    <w:rsid w:val="00914368"/>
    <w:rsid w:val="00916F8C"/>
    <w:rsid w:val="009206EF"/>
    <w:rsid w:val="00920B0D"/>
    <w:rsid w:val="00920D44"/>
    <w:rsid w:val="00921258"/>
    <w:rsid w:val="0092231B"/>
    <w:rsid w:val="00924A57"/>
    <w:rsid w:val="00925C90"/>
    <w:rsid w:val="00930D84"/>
    <w:rsid w:val="00931076"/>
    <w:rsid w:val="00931AF1"/>
    <w:rsid w:val="009345D9"/>
    <w:rsid w:val="00934B15"/>
    <w:rsid w:val="00935646"/>
    <w:rsid w:val="00936AC9"/>
    <w:rsid w:val="00940C87"/>
    <w:rsid w:val="00941CBF"/>
    <w:rsid w:val="00942446"/>
    <w:rsid w:val="009427C5"/>
    <w:rsid w:val="00942B62"/>
    <w:rsid w:val="00943ED5"/>
    <w:rsid w:val="0094565D"/>
    <w:rsid w:val="00946A55"/>
    <w:rsid w:val="00947092"/>
    <w:rsid w:val="00951306"/>
    <w:rsid w:val="0095131B"/>
    <w:rsid w:val="00951EE9"/>
    <w:rsid w:val="0095323B"/>
    <w:rsid w:val="009535AC"/>
    <w:rsid w:val="00956A0C"/>
    <w:rsid w:val="00956BD9"/>
    <w:rsid w:val="00960AD9"/>
    <w:rsid w:val="00961D49"/>
    <w:rsid w:val="00962489"/>
    <w:rsid w:val="00967CD3"/>
    <w:rsid w:val="00967D6C"/>
    <w:rsid w:val="00971958"/>
    <w:rsid w:val="00971BAE"/>
    <w:rsid w:val="00972330"/>
    <w:rsid w:val="009748B8"/>
    <w:rsid w:val="00975BD7"/>
    <w:rsid w:val="00977537"/>
    <w:rsid w:val="009801B2"/>
    <w:rsid w:val="00984205"/>
    <w:rsid w:val="009851CB"/>
    <w:rsid w:val="009856AF"/>
    <w:rsid w:val="00986D30"/>
    <w:rsid w:val="00986E86"/>
    <w:rsid w:val="00990C2C"/>
    <w:rsid w:val="00992E64"/>
    <w:rsid w:val="009A1CDE"/>
    <w:rsid w:val="009A2236"/>
    <w:rsid w:val="009A2278"/>
    <w:rsid w:val="009A3253"/>
    <w:rsid w:val="009A3B0B"/>
    <w:rsid w:val="009A5171"/>
    <w:rsid w:val="009A54A7"/>
    <w:rsid w:val="009A717B"/>
    <w:rsid w:val="009B00EE"/>
    <w:rsid w:val="009B01BA"/>
    <w:rsid w:val="009B1330"/>
    <w:rsid w:val="009B3123"/>
    <w:rsid w:val="009B3149"/>
    <w:rsid w:val="009B3348"/>
    <w:rsid w:val="009B4BEB"/>
    <w:rsid w:val="009B560D"/>
    <w:rsid w:val="009B5C43"/>
    <w:rsid w:val="009B617C"/>
    <w:rsid w:val="009B72A5"/>
    <w:rsid w:val="009C2632"/>
    <w:rsid w:val="009C2B98"/>
    <w:rsid w:val="009C34BE"/>
    <w:rsid w:val="009C38A0"/>
    <w:rsid w:val="009C3C76"/>
    <w:rsid w:val="009C4083"/>
    <w:rsid w:val="009C592E"/>
    <w:rsid w:val="009C618A"/>
    <w:rsid w:val="009C7486"/>
    <w:rsid w:val="009C7EEF"/>
    <w:rsid w:val="009D0DF4"/>
    <w:rsid w:val="009D1121"/>
    <w:rsid w:val="009D3339"/>
    <w:rsid w:val="009D34E3"/>
    <w:rsid w:val="009D59FB"/>
    <w:rsid w:val="009D6453"/>
    <w:rsid w:val="009D6B53"/>
    <w:rsid w:val="009E02C3"/>
    <w:rsid w:val="009E1844"/>
    <w:rsid w:val="009E1D44"/>
    <w:rsid w:val="009E2FA3"/>
    <w:rsid w:val="009E52F7"/>
    <w:rsid w:val="009E600B"/>
    <w:rsid w:val="009E70B0"/>
    <w:rsid w:val="009F01A0"/>
    <w:rsid w:val="009F01CA"/>
    <w:rsid w:val="009F0D1B"/>
    <w:rsid w:val="009F1232"/>
    <w:rsid w:val="009F1D5F"/>
    <w:rsid w:val="009F3581"/>
    <w:rsid w:val="009F35B5"/>
    <w:rsid w:val="009F3B66"/>
    <w:rsid w:val="009F41F6"/>
    <w:rsid w:val="009F53DD"/>
    <w:rsid w:val="009F54C3"/>
    <w:rsid w:val="009F5BBD"/>
    <w:rsid w:val="009F61FD"/>
    <w:rsid w:val="009F6406"/>
    <w:rsid w:val="009F696D"/>
    <w:rsid w:val="009F6BC6"/>
    <w:rsid w:val="009F74EF"/>
    <w:rsid w:val="009F7C8E"/>
    <w:rsid w:val="009F7F05"/>
    <w:rsid w:val="00A01068"/>
    <w:rsid w:val="00A0119A"/>
    <w:rsid w:val="00A02826"/>
    <w:rsid w:val="00A02948"/>
    <w:rsid w:val="00A02EF8"/>
    <w:rsid w:val="00A03F5E"/>
    <w:rsid w:val="00A0532D"/>
    <w:rsid w:val="00A05703"/>
    <w:rsid w:val="00A05F2E"/>
    <w:rsid w:val="00A066FE"/>
    <w:rsid w:val="00A074F9"/>
    <w:rsid w:val="00A10677"/>
    <w:rsid w:val="00A13670"/>
    <w:rsid w:val="00A15A6A"/>
    <w:rsid w:val="00A15D5A"/>
    <w:rsid w:val="00A17328"/>
    <w:rsid w:val="00A21D1D"/>
    <w:rsid w:val="00A23A20"/>
    <w:rsid w:val="00A23D0E"/>
    <w:rsid w:val="00A24443"/>
    <w:rsid w:val="00A268B9"/>
    <w:rsid w:val="00A2703A"/>
    <w:rsid w:val="00A279AA"/>
    <w:rsid w:val="00A316F5"/>
    <w:rsid w:val="00A31A5D"/>
    <w:rsid w:val="00A31F90"/>
    <w:rsid w:val="00A32202"/>
    <w:rsid w:val="00A32374"/>
    <w:rsid w:val="00A324BA"/>
    <w:rsid w:val="00A329E0"/>
    <w:rsid w:val="00A33DFF"/>
    <w:rsid w:val="00A34804"/>
    <w:rsid w:val="00A3497D"/>
    <w:rsid w:val="00A35115"/>
    <w:rsid w:val="00A3547B"/>
    <w:rsid w:val="00A36268"/>
    <w:rsid w:val="00A36D9A"/>
    <w:rsid w:val="00A371FC"/>
    <w:rsid w:val="00A410D4"/>
    <w:rsid w:val="00A41C81"/>
    <w:rsid w:val="00A445AC"/>
    <w:rsid w:val="00A447EB"/>
    <w:rsid w:val="00A44CBA"/>
    <w:rsid w:val="00A451DC"/>
    <w:rsid w:val="00A4596E"/>
    <w:rsid w:val="00A45996"/>
    <w:rsid w:val="00A45E29"/>
    <w:rsid w:val="00A50919"/>
    <w:rsid w:val="00A534A7"/>
    <w:rsid w:val="00A53BE7"/>
    <w:rsid w:val="00A54F0A"/>
    <w:rsid w:val="00A554AB"/>
    <w:rsid w:val="00A555C4"/>
    <w:rsid w:val="00A55E1E"/>
    <w:rsid w:val="00A567E5"/>
    <w:rsid w:val="00A57062"/>
    <w:rsid w:val="00A57C54"/>
    <w:rsid w:val="00A60376"/>
    <w:rsid w:val="00A60D55"/>
    <w:rsid w:val="00A61F61"/>
    <w:rsid w:val="00A6259E"/>
    <w:rsid w:val="00A62CB0"/>
    <w:rsid w:val="00A665FF"/>
    <w:rsid w:val="00A66ED7"/>
    <w:rsid w:val="00A67781"/>
    <w:rsid w:val="00A67C2E"/>
    <w:rsid w:val="00A727C4"/>
    <w:rsid w:val="00A72D40"/>
    <w:rsid w:val="00A7463A"/>
    <w:rsid w:val="00A761F9"/>
    <w:rsid w:val="00A76319"/>
    <w:rsid w:val="00A80AA4"/>
    <w:rsid w:val="00A81169"/>
    <w:rsid w:val="00A82762"/>
    <w:rsid w:val="00A85EEB"/>
    <w:rsid w:val="00A86D86"/>
    <w:rsid w:val="00A87DDB"/>
    <w:rsid w:val="00A91A7A"/>
    <w:rsid w:val="00A92A0F"/>
    <w:rsid w:val="00A92B53"/>
    <w:rsid w:val="00A92C13"/>
    <w:rsid w:val="00A943F7"/>
    <w:rsid w:val="00A94FA6"/>
    <w:rsid w:val="00A9505D"/>
    <w:rsid w:val="00A95AF9"/>
    <w:rsid w:val="00A9692F"/>
    <w:rsid w:val="00A973C1"/>
    <w:rsid w:val="00AA15A6"/>
    <w:rsid w:val="00AA2817"/>
    <w:rsid w:val="00AA2A46"/>
    <w:rsid w:val="00AA2AAF"/>
    <w:rsid w:val="00AA308B"/>
    <w:rsid w:val="00AA3A94"/>
    <w:rsid w:val="00AA3D9D"/>
    <w:rsid w:val="00AA47D8"/>
    <w:rsid w:val="00AA49A0"/>
    <w:rsid w:val="00AA6710"/>
    <w:rsid w:val="00AA700C"/>
    <w:rsid w:val="00AA7415"/>
    <w:rsid w:val="00AA7FE2"/>
    <w:rsid w:val="00AB0681"/>
    <w:rsid w:val="00AB1CD1"/>
    <w:rsid w:val="00AB258D"/>
    <w:rsid w:val="00AB2A37"/>
    <w:rsid w:val="00AB685F"/>
    <w:rsid w:val="00AB7386"/>
    <w:rsid w:val="00AB7650"/>
    <w:rsid w:val="00AC0214"/>
    <w:rsid w:val="00AC1650"/>
    <w:rsid w:val="00AC3A15"/>
    <w:rsid w:val="00AC589A"/>
    <w:rsid w:val="00AC5B86"/>
    <w:rsid w:val="00AC5D53"/>
    <w:rsid w:val="00AC6836"/>
    <w:rsid w:val="00AC75B9"/>
    <w:rsid w:val="00AD147C"/>
    <w:rsid w:val="00AD2974"/>
    <w:rsid w:val="00AD4376"/>
    <w:rsid w:val="00AD4F64"/>
    <w:rsid w:val="00AD520B"/>
    <w:rsid w:val="00AD69D1"/>
    <w:rsid w:val="00AD7828"/>
    <w:rsid w:val="00AE0A13"/>
    <w:rsid w:val="00AE1623"/>
    <w:rsid w:val="00AE1E3B"/>
    <w:rsid w:val="00AE24DB"/>
    <w:rsid w:val="00AE3161"/>
    <w:rsid w:val="00AE3BCC"/>
    <w:rsid w:val="00AE4382"/>
    <w:rsid w:val="00AE60D8"/>
    <w:rsid w:val="00AE693E"/>
    <w:rsid w:val="00AE69A8"/>
    <w:rsid w:val="00AF28BE"/>
    <w:rsid w:val="00AF5135"/>
    <w:rsid w:val="00AF517A"/>
    <w:rsid w:val="00AF53D8"/>
    <w:rsid w:val="00AF5561"/>
    <w:rsid w:val="00B00698"/>
    <w:rsid w:val="00B00844"/>
    <w:rsid w:val="00B010FB"/>
    <w:rsid w:val="00B014C4"/>
    <w:rsid w:val="00B028D7"/>
    <w:rsid w:val="00B02C92"/>
    <w:rsid w:val="00B038BC"/>
    <w:rsid w:val="00B04503"/>
    <w:rsid w:val="00B0559D"/>
    <w:rsid w:val="00B07D15"/>
    <w:rsid w:val="00B1146E"/>
    <w:rsid w:val="00B119D5"/>
    <w:rsid w:val="00B171DC"/>
    <w:rsid w:val="00B17236"/>
    <w:rsid w:val="00B1734A"/>
    <w:rsid w:val="00B20F78"/>
    <w:rsid w:val="00B220B0"/>
    <w:rsid w:val="00B22CA3"/>
    <w:rsid w:val="00B23E61"/>
    <w:rsid w:val="00B3011F"/>
    <w:rsid w:val="00B30BA1"/>
    <w:rsid w:val="00B3163A"/>
    <w:rsid w:val="00B32672"/>
    <w:rsid w:val="00B40FF4"/>
    <w:rsid w:val="00B425C3"/>
    <w:rsid w:val="00B42D21"/>
    <w:rsid w:val="00B4373D"/>
    <w:rsid w:val="00B440AD"/>
    <w:rsid w:val="00B4505E"/>
    <w:rsid w:val="00B45108"/>
    <w:rsid w:val="00B479BB"/>
    <w:rsid w:val="00B510FB"/>
    <w:rsid w:val="00B51A1D"/>
    <w:rsid w:val="00B53179"/>
    <w:rsid w:val="00B53663"/>
    <w:rsid w:val="00B53E7E"/>
    <w:rsid w:val="00B54E67"/>
    <w:rsid w:val="00B56CE4"/>
    <w:rsid w:val="00B572BA"/>
    <w:rsid w:val="00B57AAB"/>
    <w:rsid w:val="00B601C4"/>
    <w:rsid w:val="00B62267"/>
    <w:rsid w:val="00B62E96"/>
    <w:rsid w:val="00B6342E"/>
    <w:rsid w:val="00B66E31"/>
    <w:rsid w:val="00B7113F"/>
    <w:rsid w:val="00B71FFE"/>
    <w:rsid w:val="00B73B75"/>
    <w:rsid w:val="00B749C1"/>
    <w:rsid w:val="00B75B7D"/>
    <w:rsid w:val="00B77184"/>
    <w:rsid w:val="00B844E9"/>
    <w:rsid w:val="00B845D8"/>
    <w:rsid w:val="00B856BE"/>
    <w:rsid w:val="00B85BCC"/>
    <w:rsid w:val="00B8666C"/>
    <w:rsid w:val="00B87D13"/>
    <w:rsid w:val="00B909A6"/>
    <w:rsid w:val="00B91108"/>
    <w:rsid w:val="00B91810"/>
    <w:rsid w:val="00B936C4"/>
    <w:rsid w:val="00B93CAC"/>
    <w:rsid w:val="00B97061"/>
    <w:rsid w:val="00B97B90"/>
    <w:rsid w:val="00B97BAE"/>
    <w:rsid w:val="00BA0700"/>
    <w:rsid w:val="00BA0FF0"/>
    <w:rsid w:val="00BA1A68"/>
    <w:rsid w:val="00BA1AD8"/>
    <w:rsid w:val="00BA2BCF"/>
    <w:rsid w:val="00BA304C"/>
    <w:rsid w:val="00BA49AF"/>
    <w:rsid w:val="00BA5B14"/>
    <w:rsid w:val="00BA73B6"/>
    <w:rsid w:val="00BA7E27"/>
    <w:rsid w:val="00BB10DC"/>
    <w:rsid w:val="00BB2603"/>
    <w:rsid w:val="00BB319B"/>
    <w:rsid w:val="00BB35D5"/>
    <w:rsid w:val="00BB4FCD"/>
    <w:rsid w:val="00BB69BF"/>
    <w:rsid w:val="00BB73BA"/>
    <w:rsid w:val="00BB79FF"/>
    <w:rsid w:val="00BC04E9"/>
    <w:rsid w:val="00BC0CCB"/>
    <w:rsid w:val="00BC156F"/>
    <w:rsid w:val="00BC285F"/>
    <w:rsid w:val="00BC2DB5"/>
    <w:rsid w:val="00BC359F"/>
    <w:rsid w:val="00BC42B7"/>
    <w:rsid w:val="00BC4C80"/>
    <w:rsid w:val="00BC4E9A"/>
    <w:rsid w:val="00BC7C57"/>
    <w:rsid w:val="00BD13EA"/>
    <w:rsid w:val="00BD1B4D"/>
    <w:rsid w:val="00BD25A4"/>
    <w:rsid w:val="00BD3D9F"/>
    <w:rsid w:val="00BE2174"/>
    <w:rsid w:val="00BE354F"/>
    <w:rsid w:val="00BE3808"/>
    <w:rsid w:val="00BE6076"/>
    <w:rsid w:val="00BE6B80"/>
    <w:rsid w:val="00BE790F"/>
    <w:rsid w:val="00BF005B"/>
    <w:rsid w:val="00BF39CE"/>
    <w:rsid w:val="00BF3C2F"/>
    <w:rsid w:val="00BF3FA7"/>
    <w:rsid w:val="00BF5807"/>
    <w:rsid w:val="00BF69D8"/>
    <w:rsid w:val="00BF6D5D"/>
    <w:rsid w:val="00C029D9"/>
    <w:rsid w:val="00C0390E"/>
    <w:rsid w:val="00C03B88"/>
    <w:rsid w:val="00C04FB6"/>
    <w:rsid w:val="00C062E9"/>
    <w:rsid w:val="00C069AA"/>
    <w:rsid w:val="00C07B64"/>
    <w:rsid w:val="00C10CC3"/>
    <w:rsid w:val="00C12AF8"/>
    <w:rsid w:val="00C13721"/>
    <w:rsid w:val="00C14BA0"/>
    <w:rsid w:val="00C14DD8"/>
    <w:rsid w:val="00C14FE4"/>
    <w:rsid w:val="00C15421"/>
    <w:rsid w:val="00C159E1"/>
    <w:rsid w:val="00C16477"/>
    <w:rsid w:val="00C16D62"/>
    <w:rsid w:val="00C16F49"/>
    <w:rsid w:val="00C17267"/>
    <w:rsid w:val="00C1797D"/>
    <w:rsid w:val="00C207A9"/>
    <w:rsid w:val="00C208E7"/>
    <w:rsid w:val="00C2161B"/>
    <w:rsid w:val="00C2399A"/>
    <w:rsid w:val="00C24789"/>
    <w:rsid w:val="00C25261"/>
    <w:rsid w:val="00C26EE0"/>
    <w:rsid w:val="00C27852"/>
    <w:rsid w:val="00C3066D"/>
    <w:rsid w:val="00C31889"/>
    <w:rsid w:val="00C332D0"/>
    <w:rsid w:val="00C333E8"/>
    <w:rsid w:val="00C34219"/>
    <w:rsid w:val="00C34C86"/>
    <w:rsid w:val="00C35A36"/>
    <w:rsid w:val="00C36172"/>
    <w:rsid w:val="00C37242"/>
    <w:rsid w:val="00C377F5"/>
    <w:rsid w:val="00C37D54"/>
    <w:rsid w:val="00C42A3B"/>
    <w:rsid w:val="00C43063"/>
    <w:rsid w:val="00C439C9"/>
    <w:rsid w:val="00C45BF1"/>
    <w:rsid w:val="00C45EDE"/>
    <w:rsid w:val="00C461B6"/>
    <w:rsid w:val="00C466FB"/>
    <w:rsid w:val="00C47973"/>
    <w:rsid w:val="00C47E7F"/>
    <w:rsid w:val="00C50002"/>
    <w:rsid w:val="00C50B53"/>
    <w:rsid w:val="00C51248"/>
    <w:rsid w:val="00C521FF"/>
    <w:rsid w:val="00C52416"/>
    <w:rsid w:val="00C52E8B"/>
    <w:rsid w:val="00C53498"/>
    <w:rsid w:val="00C5395F"/>
    <w:rsid w:val="00C543F4"/>
    <w:rsid w:val="00C5609B"/>
    <w:rsid w:val="00C57A02"/>
    <w:rsid w:val="00C60FF1"/>
    <w:rsid w:val="00C61425"/>
    <w:rsid w:val="00C62653"/>
    <w:rsid w:val="00C6291C"/>
    <w:rsid w:val="00C6329F"/>
    <w:rsid w:val="00C633CB"/>
    <w:rsid w:val="00C64881"/>
    <w:rsid w:val="00C64B0C"/>
    <w:rsid w:val="00C64D33"/>
    <w:rsid w:val="00C655B2"/>
    <w:rsid w:val="00C66430"/>
    <w:rsid w:val="00C664CD"/>
    <w:rsid w:val="00C672EF"/>
    <w:rsid w:val="00C701B9"/>
    <w:rsid w:val="00C7135D"/>
    <w:rsid w:val="00C732AC"/>
    <w:rsid w:val="00C736B7"/>
    <w:rsid w:val="00C73792"/>
    <w:rsid w:val="00C73FBB"/>
    <w:rsid w:val="00C746F3"/>
    <w:rsid w:val="00C761E6"/>
    <w:rsid w:val="00C76A83"/>
    <w:rsid w:val="00C76E25"/>
    <w:rsid w:val="00C77634"/>
    <w:rsid w:val="00C80E83"/>
    <w:rsid w:val="00C81D4A"/>
    <w:rsid w:val="00C84901"/>
    <w:rsid w:val="00C84EC9"/>
    <w:rsid w:val="00C86828"/>
    <w:rsid w:val="00C86E12"/>
    <w:rsid w:val="00C87442"/>
    <w:rsid w:val="00C8762C"/>
    <w:rsid w:val="00C91DB3"/>
    <w:rsid w:val="00C92573"/>
    <w:rsid w:val="00C92C75"/>
    <w:rsid w:val="00C95188"/>
    <w:rsid w:val="00C955BA"/>
    <w:rsid w:val="00C95D09"/>
    <w:rsid w:val="00C966A1"/>
    <w:rsid w:val="00CA00F9"/>
    <w:rsid w:val="00CA09DE"/>
    <w:rsid w:val="00CA1AA4"/>
    <w:rsid w:val="00CA2961"/>
    <w:rsid w:val="00CA3159"/>
    <w:rsid w:val="00CA3729"/>
    <w:rsid w:val="00CA60BD"/>
    <w:rsid w:val="00CB104F"/>
    <w:rsid w:val="00CB16A2"/>
    <w:rsid w:val="00CB50D7"/>
    <w:rsid w:val="00CB709C"/>
    <w:rsid w:val="00CB7177"/>
    <w:rsid w:val="00CB7C48"/>
    <w:rsid w:val="00CB7CED"/>
    <w:rsid w:val="00CC070F"/>
    <w:rsid w:val="00CC1998"/>
    <w:rsid w:val="00CC1C09"/>
    <w:rsid w:val="00CC3352"/>
    <w:rsid w:val="00CC4946"/>
    <w:rsid w:val="00CC5254"/>
    <w:rsid w:val="00CC5531"/>
    <w:rsid w:val="00CC64A1"/>
    <w:rsid w:val="00CC6779"/>
    <w:rsid w:val="00CC6C96"/>
    <w:rsid w:val="00CC72C8"/>
    <w:rsid w:val="00CC762B"/>
    <w:rsid w:val="00CD137A"/>
    <w:rsid w:val="00CD1DAD"/>
    <w:rsid w:val="00CD2363"/>
    <w:rsid w:val="00CD5C14"/>
    <w:rsid w:val="00CD6254"/>
    <w:rsid w:val="00CE17B4"/>
    <w:rsid w:val="00CE1E1C"/>
    <w:rsid w:val="00CE201D"/>
    <w:rsid w:val="00CE66C5"/>
    <w:rsid w:val="00CE7C76"/>
    <w:rsid w:val="00CF0147"/>
    <w:rsid w:val="00CF07D1"/>
    <w:rsid w:val="00CF138F"/>
    <w:rsid w:val="00CF3B11"/>
    <w:rsid w:val="00CF47F6"/>
    <w:rsid w:val="00CF640A"/>
    <w:rsid w:val="00CF7441"/>
    <w:rsid w:val="00CF75FC"/>
    <w:rsid w:val="00CF79EF"/>
    <w:rsid w:val="00D014AB"/>
    <w:rsid w:val="00D02005"/>
    <w:rsid w:val="00D04A06"/>
    <w:rsid w:val="00D04DCA"/>
    <w:rsid w:val="00D04F4B"/>
    <w:rsid w:val="00D05107"/>
    <w:rsid w:val="00D1023D"/>
    <w:rsid w:val="00D147ED"/>
    <w:rsid w:val="00D16243"/>
    <w:rsid w:val="00D201B3"/>
    <w:rsid w:val="00D21972"/>
    <w:rsid w:val="00D232A6"/>
    <w:rsid w:val="00D23A5F"/>
    <w:rsid w:val="00D24144"/>
    <w:rsid w:val="00D24D28"/>
    <w:rsid w:val="00D2629A"/>
    <w:rsid w:val="00D270A4"/>
    <w:rsid w:val="00D300F9"/>
    <w:rsid w:val="00D31281"/>
    <w:rsid w:val="00D31D75"/>
    <w:rsid w:val="00D31FE9"/>
    <w:rsid w:val="00D32DBA"/>
    <w:rsid w:val="00D33358"/>
    <w:rsid w:val="00D338CA"/>
    <w:rsid w:val="00D33FEB"/>
    <w:rsid w:val="00D34303"/>
    <w:rsid w:val="00D34E1B"/>
    <w:rsid w:val="00D3600E"/>
    <w:rsid w:val="00D371C1"/>
    <w:rsid w:val="00D376BA"/>
    <w:rsid w:val="00D404A8"/>
    <w:rsid w:val="00D434A0"/>
    <w:rsid w:val="00D45634"/>
    <w:rsid w:val="00D4614F"/>
    <w:rsid w:val="00D462AD"/>
    <w:rsid w:val="00D46475"/>
    <w:rsid w:val="00D513AE"/>
    <w:rsid w:val="00D5310B"/>
    <w:rsid w:val="00D5568A"/>
    <w:rsid w:val="00D56777"/>
    <w:rsid w:val="00D570FF"/>
    <w:rsid w:val="00D57163"/>
    <w:rsid w:val="00D57CFC"/>
    <w:rsid w:val="00D6030F"/>
    <w:rsid w:val="00D603AF"/>
    <w:rsid w:val="00D633DD"/>
    <w:rsid w:val="00D63D73"/>
    <w:rsid w:val="00D63FB2"/>
    <w:rsid w:val="00D64452"/>
    <w:rsid w:val="00D652FF"/>
    <w:rsid w:val="00D658F2"/>
    <w:rsid w:val="00D662BB"/>
    <w:rsid w:val="00D66E1E"/>
    <w:rsid w:val="00D67D6A"/>
    <w:rsid w:val="00D70696"/>
    <w:rsid w:val="00D70834"/>
    <w:rsid w:val="00D70BAF"/>
    <w:rsid w:val="00D70E38"/>
    <w:rsid w:val="00D74A92"/>
    <w:rsid w:val="00D75722"/>
    <w:rsid w:val="00D7609C"/>
    <w:rsid w:val="00D77377"/>
    <w:rsid w:val="00D77C54"/>
    <w:rsid w:val="00D806D0"/>
    <w:rsid w:val="00D80CF5"/>
    <w:rsid w:val="00D8290D"/>
    <w:rsid w:val="00D842D6"/>
    <w:rsid w:val="00D84B5A"/>
    <w:rsid w:val="00D85220"/>
    <w:rsid w:val="00D87415"/>
    <w:rsid w:val="00D915A0"/>
    <w:rsid w:val="00D91631"/>
    <w:rsid w:val="00D91B21"/>
    <w:rsid w:val="00D91D49"/>
    <w:rsid w:val="00D933D4"/>
    <w:rsid w:val="00D945C2"/>
    <w:rsid w:val="00D94991"/>
    <w:rsid w:val="00D96622"/>
    <w:rsid w:val="00DA0219"/>
    <w:rsid w:val="00DA1285"/>
    <w:rsid w:val="00DA2794"/>
    <w:rsid w:val="00DA47B8"/>
    <w:rsid w:val="00DA4F77"/>
    <w:rsid w:val="00DA5BBA"/>
    <w:rsid w:val="00DA6DB0"/>
    <w:rsid w:val="00DA73CC"/>
    <w:rsid w:val="00DA7709"/>
    <w:rsid w:val="00DA7851"/>
    <w:rsid w:val="00DB02B1"/>
    <w:rsid w:val="00DB07F9"/>
    <w:rsid w:val="00DB23D5"/>
    <w:rsid w:val="00DB26D2"/>
    <w:rsid w:val="00DB435B"/>
    <w:rsid w:val="00DB4466"/>
    <w:rsid w:val="00DB67C9"/>
    <w:rsid w:val="00DB7CE8"/>
    <w:rsid w:val="00DC0C95"/>
    <w:rsid w:val="00DC1080"/>
    <w:rsid w:val="00DC2BB9"/>
    <w:rsid w:val="00DC4174"/>
    <w:rsid w:val="00DC4F0B"/>
    <w:rsid w:val="00DC685E"/>
    <w:rsid w:val="00DC6EAD"/>
    <w:rsid w:val="00DC7CC7"/>
    <w:rsid w:val="00DD0941"/>
    <w:rsid w:val="00DD2A07"/>
    <w:rsid w:val="00DD2F8B"/>
    <w:rsid w:val="00DD39B5"/>
    <w:rsid w:val="00DD3CF3"/>
    <w:rsid w:val="00DD3D8B"/>
    <w:rsid w:val="00DD4E92"/>
    <w:rsid w:val="00DD50CB"/>
    <w:rsid w:val="00DD6580"/>
    <w:rsid w:val="00DD6ED6"/>
    <w:rsid w:val="00DD703E"/>
    <w:rsid w:val="00DD73EF"/>
    <w:rsid w:val="00DD7A51"/>
    <w:rsid w:val="00DE1B1C"/>
    <w:rsid w:val="00DE28FE"/>
    <w:rsid w:val="00DE3695"/>
    <w:rsid w:val="00DE6132"/>
    <w:rsid w:val="00DE6965"/>
    <w:rsid w:val="00DE6ACE"/>
    <w:rsid w:val="00DE72E2"/>
    <w:rsid w:val="00DF07C9"/>
    <w:rsid w:val="00DF0DF1"/>
    <w:rsid w:val="00DF20B7"/>
    <w:rsid w:val="00DF20DE"/>
    <w:rsid w:val="00DF20FB"/>
    <w:rsid w:val="00DF2757"/>
    <w:rsid w:val="00DF64BD"/>
    <w:rsid w:val="00DF7E43"/>
    <w:rsid w:val="00E01D7F"/>
    <w:rsid w:val="00E02AF0"/>
    <w:rsid w:val="00E03588"/>
    <w:rsid w:val="00E05C03"/>
    <w:rsid w:val="00E05D71"/>
    <w:rsid w:val="00E06C42"/>
    <w:rsid w:val="00E11639"/>
    <w:rsid w:val="00E126B1"/>
    <w:rsid w:val="00E12783"/>
    <w:rsid w:val="00E12F7F"/>
    <w:rsid w:val="00E14F7E"/>
    <w:rsid w:val="00E16605"/>
    <w:rsid w:val="00E17291"/>
    <w:rsid w:val="00E17AD1"/>
    <w:rsid w:val="00E17C72"/>
    <w:rsid w:val="00E2028B"/>
    <w:rsid w:val="00E21CE7"/>
    <w:rsid w:val="00E21FC6"/>
    <w:rsid w:val="00E22048"/>
    <w:rsid w:val="00E24DF7"/>
    <w:rsid w:val="00E24F76"/>
    <w:rsid w:val="00E253EC"/>
    <w:rsid w:val="00E3157F"/>
    <w:rsid w:val="00E31C89"/>
    <w:rsid w:val="00E33173"/>
    <w:rsid w:val="00E34135"/>
    <w:rsid w:val="00E34A49"/>
    <w:rsid w:val="00E35C37"/>
    <w:rsid w:val="00E35F87"/>
    <w:rsid w:val="00E36352"/>
    <w:rsid w:val="00E36721"/>
    <w:rsid w:val="00E367CE"/>
    <w:rsid w:val="00E40A2A"/>
    <w:rsid w:val="00E42161"/>
    <w:rsid w:val="00E431A9"/>
    <w:rsid w:val="00E442E8"/>
    <w:rsid w:val="00E443EA"/>
    <w:rsid w:val="00E45207"/>
    <w:rsid w:val="00E4576A"/>
    <w:rsid w:val="00E47E1E"/>
    <w:rsid w:val="00E51174"/>
    <w:rsid w:val="00E52E07"/>
    <w:rsid w:val="00E536C3"/>
    <w:rsid w:val="00E5515F"/>
    <w:rsid w:val="00E6037C"/>
    <w:rsid w:val="00E60E0D"/>
    <w:rsid w:val="00E6158C"/>
    <w:rsid w:val="00E62630"/>
    <w:rsid w:val="00E62A0F"/>
    <w:rsid w:val="00E634FC"/>
    <w:rsid w:val="00E63C3F"/>
    <w:rsid w:val="00E645A4"/>
    <w:rsid w:val="00E64D4A"/>
    <w:rsid w:val="00E669E2"/>
    <w:rsid w:val="00E678B4"/>
    <w:rsid w:val="00E71A09"/>
    <w:rsid w:val="00E748AC"/>
    <w:rsid w:val="00E759B3"/>
    <w:rsid w:val="00E76135"/>
    <w:rsid w:val="00E76CB0"/>
    <w:rsid w:val="00E77781"/>
    <w:rsid w:val="00E807CB"/>
    <w:rsid w:val="00E829B0"/>
    <w:rsid w:val="00E82F4F"/>
    <w:rsid w:val="00E83821"/>
    <w:rsid w:val="00E85009"/>
    <w:rsid w:val="00E8576F"/>
    <w:rsid w:val="00E85F03"/>
    <w:rsid w:val="00E86332"/>
    <w:rsid w:val="00E864DF"/>
    <w:rsid w:val="00E86BC6"/>
    <w:rsid w:val="00E8700E"/>
    <w:rsid w:val="00E87F34"/>
    <w:rsid w:val="00E90451"/>
    <w:rsid w:val="00E94361"/>
    <w:rsid w:val="00E963E7"/>
    <w:rsid w:val="00EA304A"/>
    <w:rsid w:val="00EA473F"/>
    <w:rsid w:val="00EA556C"/>
    <w:rsid w:val="00EA587A"/>
    <w:rsid w:val="00EA77AB"/>
    <w:rsid w:val="00EB0A56"/>
    <w:rsid w:val="00EB0AF9"/>
    <w:rsid w:val="00EB2CC3"/>
    <w:rsid w:val="00EB4D3A"/>
    <w:rsid w:val="00EB7095"/>
    <w:rsid w:val="00EC01BA"/>
    <w:rsid w:val="00EC03FC"/>
    <w:rsid w:val="00EC1CC3"/>
    <w:rsid w:val="00EC21A9"/>
    <w:rsid w:val="00EC2844"/>
    <w:rsid w:val="00EC346C"/>
    <w:rsid w:val="00EC53D2"/>
    <w:rsid w:val="00EC5469"/>
    <w:rsid w:val="00EC5500"/>
    <w:rsid w:val="00EC5DB5"/>
    <w:rsid w:val="00EC6C91"/>
    <w:rsid w:val="00ED18F8"/>
    <w:rsid w:val="00ED2463"/>
    <w:rsid w:val="00ED35B1"/>
    <w:rsid w:val="00ED5876"/>
    <w:rsid w:val="00ED61F4"/>
    <w:rsid w:val="00ED6C53"/>
    <w:rsid w:val="00ED79D4"/>
    <w:rsid w:val="00EE16D0"/>
    <w:rsid w:val="00EE2887"/>
    <w:rsid w:val="00EE468C"/>
    <w:rsid w:val="00EE51DD"/>
    <w:rsid w:val="00EE6EDA"/>
    <w:rsid w:val="00EE778E"/>
    <w:rsid w:val="00EF0DF4"/>
    <w:rsid w:val="00EF0F95"/>
    <w:rsid w:val="00EF3CCB"/>
    <w:rsid w:val="00EF44DC"/>
    <w:rsid w:val="00EF6719"/>
    <w:rsid w:val="00EF6930"/>
    <w:rsid w:val="00EF6C6C"/>
    <w:rsid w:val="00EF7A72"/>
    <w:rsid w:val="00F00EE3"/>
    <w:rsid w:val="00F04A5B"/>
    <w:rsid w:val="00F04F0E"/>
    <w:rsid w:val="00F056FC"/>
    <w:rsid w:val="00F05D87"/>
    <w:rsid w:val="00F0632F"/>
    <w:rsid w:val="00F063FB"/>
    <w:rsid w:val="00F069AE"/>
    <w:rsid w:val="00F06AB2"/>
    <w:rsid w:val="00F070F6"/>
    <w:rsid w:val="00F07645"/>
    <w:rsid w:val="00F0774D"/>
    <w:rsid w:val="00F07A1A"/>
    <w:rsid w:val="00F10476"/>
    <w:rsid w:val="00F11CFF"/>
    <w:rsid w:val="00F12738"/>
    <w:rsid w:val="00F12EB9"/>
    <w:rsid w:val="00F135D8"/>
    <w:rsid w:val="00F15170"/>
    <w:rsid w:val="00F17708"/>
    <w:rsid w:val="00F2009C"/>
    <w:rsid w:val="00F2120B"/>
    <w:rsid w:val="00F2346A"/>
    <w:rsid w:val="00F23873"/>
    <w:rsid w:val="00F248D5"/>
    <w:rsid w:val="00F24BB3"/>
    <w:rsid w:val="00F25574"/>
    <w:rsid w:val="00F25715"/>
    <w:rsid w:val="00F26994"/>
    <w:rsid w:val="00F277D5"/>
    <w:rsid w:val="00F27E2D"/>
    <w:rsid w:val="00F31299"/>
    <w:rsid w:val="00F326C2"/>
    <w:rsid w:val="00F34D6F"/>
    <w:rsid w:val="00F3534A"/>
    <w:rsid w:val="00F35772"/>
    <w:rsid w:val="00F35BFB"/>
    <w:rsid w:val="00F36ACC"/>
    <w:rsid w:val="00F36B21"/>
    <w:rsid w:val="00F41C19"/>
    <w:rsid w:val="00F42640"/>
    <w:rsid w:val="00F42773"/>
    <w:rsid w:val="00F44281"/>
    <w:rsid w:val="00F443D4"/>
    <w:rsid w:val="00F44623"/>
    <w:rsid w:val="00F4574E"/>
    <w:rsid w:val="00F464C9"/>
    <w:rsid w:val="00F47871"/>
    <w:rsid w:val="00F50AD6"/>
    <w:rsid w:val="00F50CC4"/>
    <w:rsid w:val="00F51609"/>
    <w:rsid w:val="00F51DBA"/>
    <w:rsid w:val="00F53A14"/>
    <w:rsid w:val="00F54752"/>
    <w:rsid w:val="00F54EF7"/>
    <w:rsid w:val="00F54F29"/>
    <w:rsid w:val="00F55108"/>
    <w:rsid w:val="00F55150"/>
    <w:rsid w:val="00F553CD"/>
    <w:rsid w:val="00F55A78"/>
    <w:rsid w:val="00F55C25"/>
    <w:rsid w:val="00F56268"/>
    <w:rsid w:val="00F57A1B"/>
    <w:rsid w:val="00F57AE6"/>
    <w:rsid w:val="00F61894"/>
    <w:rsid w:val="00F61EAD"/>
    <w:rsid w:val="00F62B91"/>
    <w:rsid w:val="00F62F80"/>
    <w:rsid w:val="00F64084"/>
    <w:rsid w:val="00F64A40"/>
    <w:rsid w:val="00F64F77"/>
    <w:rsid w:val="00F66792"/>
    <w:rsid w:val="00F7028E"/>
    <w:rsid w:val="00F70AE3"/>
    <w:rsid w:val="00F71315"/>
    <w:rsid w:val="00F71CCE"/>
    <w:rsid w:val="00F72D9D"/>
    <w:rsid w:val="00F72E33"/>
    <w:rsid w:val="00F73727"/>
    <w:rsid w:val="00F745AD"/>
    <w:rsid w:val="00F759BC"/>
    <w:rsid w:val="00F75F56"/>
    <w:rsid w:val="00F766A7"/>
    <w:rsid w:val="00F77E62"/>
    <w:rsid w:val="00F81006"/>
    <w:rsid w:val="00F81F83"/>
    <w:rsid w:val="00F83BB2"/>
    <w:rsid w:val="00F83D63"/>
    <w:rsid w:val="00F83FB0"/>
    <w:rsid w:val="00F8495B"/>
    <w:rsid w:val="00F84BB9"/>
    <w:rsid w:val="00F84CE4"/>
    <w:rsid w:val="00F85325"/>
    <w:rsid w:val="00F8626E"/>
    <w:rsid w:val="00F865EE"/>
    <w:rsid w:val="00F92B61"/>
    <w:rsid w:val="00F92DEF"/>
    <w:rsid w:val="00F9387B"/>
    <w:rsid w:val="00F94765"/>
    <w:rsid w:val="00F95ACF"/>
    <w:rsid w:val="00F97356"/>
    <w:rsid w:val="00F9743C"/>
    <w:rsid w:val="00F97A15"/>
    <w:rsid w:val="00FA15AF"/>
    <w:rsid w:val="00FA20F9"/>
    <w:rsid w:val="00FA557C"/>
    <w:rsid w:val="00FA5665"/>
    <w:rsid w:val="00FA635A"/>
    <w:rsid w:val="00FA747C"/>
    <w:rsid w:val="00FA76AB"/>
    <w:rsid w:val="00FA7751"/>
    <w:rsid w:val="00FA7FA4"/>
    <w:rsid w:val="00FB010A"/>
    <w:rsid w:val="00FB260D"/>
    <w:rsid w:val="00FB5ECD"/>
    <w:rsid w:val="00FB6165"/>
    <w:rsid w:val="00FB6B78"/>
    <w:rsid w:val="00FB6E18"/>
    <w:rsid w:val="00FB7FF1"/>
    <w:rsid w:val="00FC0E1C"/>
    <w:rsid w:val="00FC1CE0"/>
    <w:rsid w:val="00FC216B"/>
    <w:rsid w:val="00FC25EB"/>
    <w:rsid w:val="00FC2B3C"/>
    <w:rsid w:val="00FC48C6"/>
    <w:rsid w:val="00FC5971"/>
    <w:rsid w:val="00FC6DD8"/>
    <w:rsid w:val="00FC7097"/>
    <w:rsid w:val="00FD1DD1"/>
    <w:rsid w:val="00FD22B1"/>
    <w:rsid w:val="00FD2733"/>
    <w:rsid w:val="00FD2FE8"/>
    <w:rsid w:val="00FD33F1"/>
    <w:rsid w:val="00FD3566"/>
    <w:rsid w:val="00FD3D42"/>
    <w:rsid w:val="00FD3EF5"/>
    <w:rsid w:val="00FD6F7D"/>
    <w:rsid w:val="00FD7160"/>
    <w:rsid w:val="00FD755E"/>
    <w:rsid w:val="00FD7C09"/>
    <w:rsid w:val="00FE01E7"/>
    <w:rsid w:val="00FE01FB"/>
    <w:rsid w:val="00FE1290"/>
    <w:rsid w:val="00FE29A6"/>
    <w:rsid w:val="00FE2F6E"/>
    <w:rsid w:val="00FE32B8"/>
    <w:rsid w:val="00FE3526"/>
    <w:rsid w:val="00FE36A8"/>
    <w:rsid w:val="00FE3C71"/>
    <w:rsid w:val="00FE5397"/>
    <w:rsid w:val="00FE7214"/>
    <w:rsid w:val="00FF0014"/>
    <w:rsid w:val="00FF2A16"/>
    <w:rsid w:val="00FF3052"/>
    <w:rsid w:val="00FF48D4"/>
    <w:rsid w:val="00FF56BB"/>
    <w:rsid w:val="00FF676F"/>
    <w:rsid w:val="00FF6F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6385"/>
    <o:shapelayout v:ext="edit">
      <o:idmap v:ext="edit" data="1"/>
    </o:shapelayout>
  </w:shapeDefaults>
  <w:decimalSymbol w:val="."/>
  <w:listSeparator w:val=","/>
  <w15:docId w15:val="{67B7B168-92F5-4EFC-9FA3-0B360B3D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73BE3"/>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A72D40"/>
    <w:pPr>
      <w:keepNext/>
      <w:numPr>
        <w:numId w:val="35"/>
      </w:numPr>
      <w:spacing w:before="100" w:line="260" w:lineRule="atLeast"/>
    </w:pPr>
    <w:rPr>
      <w:rFonts w:ascii="Arial" w:hAnsi="Arial"/>
      <w:sz w:val="20"/>
    </w:rPr>
  </w:style>
  <w:style w:type="paragraph" w:customStyle="1" w:styleId="BoxListBullet2">
    <w:name w:val="Box List Bullet 2"/>
    <w:basedOn w:val="BoxListBullet"/>
    <w:rsid w:val="00A72D40"/>
    <w:pPr>
      <w:numPr>
        <w:numId w:val="36"/>
      </w:numPr>
    </w:pPr>
  </w:style>
  <w:style w:type="paragraph" w:customStyle="1" w:styleId="BoxListNumber">
    <w:name w:val="Box List Number"/>
    <w:basedOn w:val="BodyText"/>
    <w:rsid w:val="00812F4A"/>
    <w:pPr>
      <w:keepNext/>
      <w:numPr>
        <w:numId w:val="6"/>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9"/>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1"/>
      </w:numPr>
      <w:spacing w:after="140"/>
      <w:jc w:val="both"/>
    </w:pPr>
    <w:rPr>
      <w:rFonts w:ascii="Arial" w:hAnsi="Arial"/>
      <w:sz w:val="24"/>
      <w:lang w:eastAsia="en-US"/>
    </w:rPr>
  </w:style>
  <w:style w:type="paragraph" w:styleId="ListBullet">
    <w:name w:val="List Bullet"/>
    <w:basedOn w:val="BodyText"/>
    <w:rsid w:val="00A72D40"/>
    <w:pPr>
      <w:numPr>
        <w:numId w:val="23"/>
      </w:numPr>
      <w:spacing w:before="120"/>
    </w:pPr>
  </w:style>
  <w:style w:type="paragraph" w:styleId="ListBullet2">
    <w:name w:val="List Bullet 2"/>
    <w:basedOn w:val="BodyText"/>
    <w:rsid w:val="00A72D40"/>
    <w:pPr>
      <w:numPr>
        <w:numId w:val="24"/>
      </w:numPr>
      <w:spacing w:before="120"/>
    </w:pPr>
  </w:style>
  <w:style w:type="paragraph" w:styleId="ListBullet3">
    <w:name w:val="List Bullet 3"/>
    <w:basedOn w:val="BodyText"/>
    <w:rsid w:val="00A72D40"/>
    <w:pPr>
      <w:numPr>
        <w:numId w:val="25"/>
      </w:numPr>
      <w:spacing w:before="120"/>
    </w:pPr>
  </w:style>
  <w:style w:type="paragraph" w:styleId="ListNumber">
    <w:name w:val="List Number"/>
    <w:basedOn w:val="BodyText"/>
    <w:rsid w:val="00A72D40"/>
    <w:pPr>
      <w:numPr>
        <w:numId w:val="31"/>
      </w:numPr>
      <w:spacing w:before="120"/>
    </w:pPr>
  </w:style>
  <w:style w:type="paragraph" w:styleId="ListNumber2">
    <w:name w:val="List Number 2"/>
    <w:basedOn w:val="ListNumber"/>
    <w:rsid w:val="00A72D40"/>
    <w:pPr>
      <w:numPr>
        <w:ilvl w:val="1"/>
      </w:numPr>
    </w:pPr>
  </w:style>
  <w:style w:type="paragraph" w:styleId="ListNumber3">
    <w:name w:val="List Number 3"/>
    <w:basedOn w:val="ListNumber2"/>
    <w:rsid w:val="00A72D40"/>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3"/>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tabs>
        <w:tab w:val="num" w:pos="340"/>
      </w:tabs>
      <w:spacing w:before="80"/>
      <w:ind w:left="340" w:hanging="34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7"/>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4"/>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5"/>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A72D40"/>
    <w:pPr>
      <w:numPr>
        <w:numId w:val="37"/>
      </w:numPr>
      <w:tabs>
        <w:tab w:val="left" w:pos="907"/>
      </w:tabs>
      <w:spacing w:before="60" w:line="260" w:lineRule="atLeast"/>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8"/>
      </w:numPr>
      <w:ind w:left="568" w:hanging="284"/>
    </w:pPr>
  </w:style>
  <w:style w:type="paragraph" w:customStyle="1" w:styleId="InformationRequestBullet">
    <w:name w:val="Information Request Bullet"/>
    <w:basedOn w:val="ListBullet"/>
    <w:next w:val="BodyText"/>
    <w:rsid w:val="00AC6836"/>
    <w:pPr>
      <w:numPr>
        <w:numId w:val="17"/>
      </w:numPr>
      <w:spacing w:before="80" w:line="280" w:lineRule="atLeast"/>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1"/>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0"/>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Heading2Char">
    <w:name w:val="Heading 2 Char"/>
    <w:basedOn w:val="DefaultParagraphFont"/>
    <w:link w:val="Heading2"/>
    <w:rsid w:val="00D96622"/>
    <w:rPr>
      <w:rFonts w:ascii="Arial" w:hAnsi="Arial"/>
      <w:b/>
      <w:sz w:val="32"/>
    </w:rPr>
  </w:style>
  <w:style w:type="character" w:styleId="Hyperlink">
    <w:name w:val="Hyperlink"/>
    <w:basedOn w:val="DefaultParagraphFont"/>
    <w:uiPriority w:val="99"/>
    <w:rsid w:val="00D96622"/>
    <w:rPr>
      <w:color w:val="000000" w:themeColor="hyperlink"/>
      <w:u w:val="single"/>
    </w:rPr>
  </w:style>
  <w:style w:type="character" w:customStyle="1" w:styleId="Heading3Char">
    <w:name w:val="Heading 3 Char"/>
    <w:basedOn w:val="DefaultParagraphFont"/>
    <w:link w:val="Heading3"/>
    <w:rsid w:val="00D96622"/>
    <w:rPr>
      <w:rFonts w:ascii="Arial" w:hAnsi="Arial"/>
      <w:b/>
      <w:sz w:val="26"/>
    </w:rPr>
  </w:style>
  <w:style w:type="paragraph" w:styleId="CommentSubject">
    <w:name w:val="annotation subject"/>
    <w:basedOn w:val="CommentText"/>
    <w:next w:val="CommentText"/>
    <w:link w:val="CommentSubjectChar"/>
    <w:semiHidden/>
    <w:unhideWhenUsed/>
    <w:rsid w:val="00805253"/>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805253"/>
    <w:rPr>
      <w:szCs w:val="24"/>
    </w:rPr>
  </w:style>
  <w:style w:type="character" w:customStyle="1" w:styleId="CommentSubjectChar">
    <w:name w:val="Comment Subject Char"/>
    <w:basedOn w:val="CommentTextChar"/>
    <w:link w:val="CommentSubject"/>
    <w:semiHidden/>
    <w:rsid w:val="00805253"/>
    <w:rPr>
      <w:b/>
      <w:bCs/>
      <w:szCs w:val="24"/>
    </w:rPr>
  </w:style>
  <w:style w:type="paragraph" w:customStyle="1" w:styleId="BoxSpaceAboveElement">
    <w:name w:val="Box Space Above Element"/>
    <w:basedOn w:val="BoxSpaceAbove"/>
    <w:link w:val="BoxSpaceAboveElementChar"/>
    <w:qFormat/>
    <w:rsid w:val="008042A1"/>
    <w:pPr>
      <w:spacing w:before="240"/>
    </w:pPr>
    <w:rPr>
      <w:b/>
      <w:vanish/>
      <w:color w:val="FF00FF"/>
      <w:sz w:val="14"/>
    </w:rPr>
  </w:style>
  <w:style w:type="character" w:customStyle="1" w:styleId="BoxSpaceAboveElementChar">
    <w:name w:val="Box Space Above Element Char"/>
    <w:basedOn w:val="DefaultParagraphFont"/>
    <w:link w:val="BoxSpaceAboveElement"/>
    <w:rsid w:val="008042A1"/>
    <w:rPr>
      <w:b/>
      <w:vanish/>
      <w:color w:val="FF00FF"/>
      <w:sz w:val="14"/>
    </w:rPr>
  </w:style>
  <w:style w:type="paragraph" w:styleId="Revision">
    <w:name w:val="Revision"/>
    <w:hidden/>
    <w:uiPriority w:val="99"/>
    <w:semiHidden/>
    <w:rsid w:val="00D371C1"/>
    <w:rPr>
      <w:sz w:val="24"/>
      <w:szCs w:val="24"/>
    </w:rPr>
  </w:style>
  <w:style w:type="paragraph" w:styleId="EndnoteText">
    <w:name w:val="endnote text"/>
    <w:basedOn w:val="Normal"/>
    <w:link w:val="EndnoteTextChar"/>
    <w:semiHidden/>
    <w:unhideWhenUsed/>
    <w:rsid w:val="002F4DE0"/>
    <w:rPr>
      <w:sz w:val="20"/>
      <w:szCs w:val="20"/>
    </w:rPr>
  </w:style>
  <w:style w:type="character" w:customStyle="1" w:styleId="EndnoteTextChar">
    <w:name w:val="Endnote Text Char"/>
    <w:basedOn w:val="DefaultParagraphFont"/>
    <w:link w:val="EndnoteText"/>
    <w:semiHidden/>
    <w:rsid w:val="002F4DE0"/>
  </w:style>
  <w:style w:type="character" w:styleId="EndnoteReference">
    <w:name w:val="endnote reference"/>
    <w:basedOn w:val="DefaultParagraphFont"/>
    <w:semiHidden/>
    <w:unhideWhenUsed/>
    <w:rsid w:val="002F4DE0"/>
    <w:rPr>
      <w:vertAlign w:val="superscript"/>
    </w:rPr>
  </w:style>
  <w:style w:type="character" w:styleId="BookTitle">
    <w:name w:val="Book Title"/>
    <w:uiPriority w:val="33"/>
    <w:qFormat/>
    <w:rsid w:val="00693650"/>
    <w:rPr>
      <w:i/>
      <w:iCs/>
      <w:smallCaps/>
      <w:spacing w:val="5"/>
    </w:rPr>
  </w:style>
  <w:style w:type="paragraph" w:customStyle="1" w:styleId="Default">
    <w:name w:val="Default"/>
    <w:link w:val="DefaultChar"/>
    <w:rsid w:val="00693650"/>
    <w:pPr>
      <w:autoSpaceDE w:val="0"/>
      <w:autoSpaceDN w:val="0"/>
      <w:adjustRightInd w:val="0"/>
    </w:pPr>
    <w:rPr>
      <w:rFonts w:ascii="Corbel" w:eastAsiaTheme="minorHAnsi" w:hAnsi="Corbel" w:cs="Corbel"/>
      <w:color w:val="000000"/>
      <w:sz w:val="24"/>
      <w:szCs w:val="24"/>
      <w:lang w:eastAsia="en-US"/>
    </w:rPr>
  </w:style>
  <w:style w:type="paragraph" w:styleId="NormalWeb">
    <w:name w:val="Normal (Web)"/>
    <w:basedOn w:val="Normal"/>
    <w:uiPriority w:val="99"/>
    <w:unhideWhenUsed/>
    <w:rsid w:val="00693650"/>
    <w:pPr>
      <w:spacing w:before="240" w:after="240" w:line="384" w:lineRule="atLeast"/>
    </w:pPr>
  </w:style>
  <w:style w:type="character" w:customStyle="1" w:styleId="DefaultChar">
    <w:name w:val="Default Char"/>
    <w:basedOn w:val="DefaultParagraphFont"/>
    <w:link w:val="Default"/>
    <w:rsid w:val="00693650"/>
    <w:rPr>
      <w:rFonts w:ascii="Corbel" w:eastAsiaTheme="minorHAnsi" w:hAnsi="Corbel" w:cs="Corbel"/>
      <w:color w:val="000000"/>
      <w:sz w:val="24"/>
      <w:szCs w:val="24"/>
      <w:lang w:eastAsia="en-US"/>
    </w:rPr>
  </w:style>
  <w:style w:type="character" w:styleId="FollowedHyperlink">
    <w:name w:val="FollowedHyperlink"/>
    <w:basedOn w:val="DefaultParagraphFont"/>
    <w:semiHidden/>
    <w:unhideWhenUsed/>
    <w:rsid w:val="001640D3"/>
    <w:rPr>
      <w:color w:val="BFBFBF" w:themeColor="followedHyperlink"/>
      <w:u w:val="single"/>
    </w:rPr>
  </w:style>
  <w:style w:type="paragraph" w:styleId="ListParagraph">
    <w:name w:val="List Paragraph"/>
    <w:basedOn w:val="Normal"/>
    <w:uiPriority w:val="34"/>
    <w:qFormat/>
    <w:rsid w:val="003E5419"/>
    <w:pPr>
      <w:spacing w:after="160" w:line="259" w:lineRule="auto"/>
      <w:ind w:left="720"/>
      <w:contextualSpacing/>
    </w:pPr>
    <w:rPr>
      <w:rFonts w:asciiTheme="minorHAnsi" w:eastAsiaTheme="minorHAnsi" w:hAnsiTheme="minorHAnsi" w:cstheme="minorBidi"/>
      <w:sz w:val="22"/>
      <w:szCs w:val="22"/>
      <w:lang w:eastAsia="en-US"/>
    </w:rPr>
  </w:style>
  <w:style w:type="paragraph" w:styleId="Bibliography">
    <w:name w:val="Bibliography"/>
    <w:basedOn w:val="Normal"/>
    <w:next w:val="Normal"/>
    <w:uiPriority w:val="37"/>
    <w:unhideWhenUsed/>
    <w:rsid w:val="004468BB"/>
    <w:pPr>
      <w:spacing w:after="240"/>
      <w:ind w:left="720" w:hanging="720"/>
    </w:pPr>
  </w:style>
  <w:style w:type="paragraph" w:customStyle="1" w:styleId="Heading1NotTOC">
    <w:name w:val="Heading 1 Not TOC"/>
    <w:basedOn w:val="Heading1"/>
    <w:next w:val="BodyText"/>
    <w:rsid w:val="00A32202"/>
    <w:rPr>
      <w:kern w:val="28"/>
      <w:szCs w:val="26"/>
      <w:lang w:eastAsia="en-US"/>
    </w:rPr>
  </w:style>
  <w:style w:type="paragraph" w:styleId="TOCHeading">
    <w:name w:val="TOC Heading"/>
    <w:basedOn w:val="Heading1"/>
    <w:next w:val="Normal"/>
    <w:uiPriority w:val="39"/>
    <w:unhideWhenUsed/>
    <w:qFormat/>
    <w:rsid w:val="004C1B6A"/>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358609">
      <w:bodyDiv w:val="1"/>
      <w:marLeft w:val="0"/>
      <w:marRight w:val="0"/>
      <w:marTop w:val="0"/>
      <w:marBottom w:val="0"/>
      <w:divBdr>
        <w:top w:val="none" w:sz="0" w:space="0" w:color="auto"/>
        <w:left w:val="none" w:sz="0" w:space="0" w:color="auto"/>
        <w:bottom w:val="none" w:sz="0" w:space="0" w:color="auto"/>
        <w:right w:val="none" w:sz="0" w:space="0" w:color="auto"/>
      </w:divBdr>
    </w:div>
    <w:div w:id="1107165255">
      <w:bodyDiv w:val="1"/>
      <w:marLeft w:val="0"/>
      <w:marRight w:val="0"/>
      <w:marTop w:val="0"/>
      <w:marBottom w:val="0"/>
      <w:divBdr>
        <w:top w:val="none" w:sz="0" w:space="0" w:color="auto"/>
        <w:left w:val="none" w:sz="0" w:space="0" w:color="auto"/>
        <w:bottom w:val="none" w:sz="0" w:space="0" w:color="auto"/>
        <w:right w:val="none" w:sz="0" w:space="0" w:color="auto"/>
      </w:divBdr>
    </w:div>
    <w:div w:id="1762875026">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emf"/><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image" Target="media/image5.emf"/><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4.e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6.emf"/><Relationship Id="rId27" Type="http://schemas.openxmlformats.org/officeDocument/2006/relationships/header" Target="header8.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ussen\AppData\Local\Microsoft\Windows\INetCache\Content.MSO\C9284A98.tmp"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C9284A98.tmp</Template>
  <TotalTime>42</TotalTime>
  <Pages>27</Pages>
  <Words>6794</Words>
  <Characters>38417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Issues Paper - National Disability Agreement Review</vt:lpstr>
    </vt:vector>
  </TitlesOfParts>
  <Company>Productivity Commission</Company>
  <LinksUpToDate>false</LinksUpToDate>
  <CharactersWithSpaces>45121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 National Disability Agreement Review</dc:title>
  <dc:subject>Report</dc:subject>
  <dc:creator>Productivity Commission</dc:creator>
  <cp:keywords/>
  <dc:description/>
  <cp:lastModifiedBy>Productivity Commission</cp:lastModifiedBy>
  <cp:revision>18</cp:revision>
  <cp:lastPrinted>2018-07-20T07:27:00Z</cp:lastPrinted>
  <dcterms:created xsi:type="dcterms:W3CDTF">2018-07-20T05:14:00Z</dcterms:created>
  <dcterms:modified xsi:type="dcterms:W3CDTF">2018-07-24T01:14:00Z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0x0101007916246811615643A710C6FEAFF56A87110100EEFE548D9549EA4098E3A65339C068F3001DAC48127756FF4B9E127DA0B1D04151</vt:lpwstr>
  </property>
  <property fmtid="{D5CDD505-2E9C-101B-9397-08002B2CF9AE}" pid="3" name="_dlc_DocIdItemGuid">
    <vt:lpwstr>9aaa281c-aae6-4a1c-87d6-55b8be8b95e1</vt:lpwstr>
  </property>
  <property fmtid="{D5CDD505-2E9C-101B-9397-08002B2CF9AE}" pid="4" name="_dlc_DocId">
    <vt:lpwstr>PCDOC-1140812175-16</vt:lpwstr>
  </property>
  <property fmtid="{D5CDD505-2E9C-101B-9397-08002B2CF9AE}" pid="5" name="_dlc_DocIdUrl">
    <vt:lpwstr>http://inet.pc.gov.au/pmo/inq/ndar/_layouts/15/DocIdRedir.aspx?ID=PCDOC-1140812175-16, PCDOC-1140812175-16</vt:lpwstr>
  </property>
  <property fmtid="{D5CDD505-2E9C-101B-9397-08002B2CF9AE}" pid="6" name="Record Tag">
    <vt:lpwstr>249;#Issues Papers|3f58d8d8-eba3-4f69-b92f-42d45f1952c5</vt:lpwstr>
  </property>
  <property fmtid="{D5CDD505-2E9C-101B-9397-08002B2CF9AE}" pid="7" name="TaxKeyword">
    <vt:lpwstr/>
  </property>
  <property fmtid="{D5CDD505-2E9C-101B-9397-08002B2CF9AE}" pid="8" name="ZOTERO_PREF_2">
    <vt:lpwstr> value="true"/&gt;&lt;pref name="automaticJournalAbbreviations" value="true"/&gt;&lt;pref name="noteType" value=""/&gt;&lt;/prefs&gt;&lt;/data&gt;</vt:lpwstr>
  </property>
  <property fmtid="{D5CDD505-2E9C-101B-9397-08002B2CF9AE}" pid="9" name="ZOTERO_PREF_1">
    <vt:lpwstr>&lt;data data-version="3" zotero-version="4.0.29.10"&gt;&lt;session id="glsyXhLB"/&gt;&lt;style id="http://www.zotero.org/styles/unisa-harvard" hasBibliography="1" bibliographyStyleHasBeenSet="1"/&gt;&lt;prefs&gt;&lt;pref name="fieldType" value="Field"/&gt;&lt;pref name="storeReferences"</vt:lpwstr>
  </property>
</Properties>
</file>