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824760" w14:textId="3128FD95" w:rsidR="001B25F5" w:rsidRPr="00EE66F5" w:rsidRDefault="001B25F5" w:rsidP="001B25F5">
      <w:pPr>
        <w:pStyle w:val="accessibilitytext"/>
      </w:pPr>
      <w:r w:rsidRPr="00EE66F5">
        <w:rPr>
          <w:noProof/>
        </w:rPr>
        <w:drawing>
          <wp:anchor distT="0" distB="0" distL="114300" distR="114300" simplePos="0" relativeHeight="251659264" behindDoc="0" locked="0" layoutInCell="1" allowOverlap="1" wp14:anchorId="69F910B4" wp14:editId="4D14FC68">
            <wp:simplePos x="0" y="0"/>
            <wp:positionH relativeFrom="page">
              <wp:align>center</wp:align>
            </wp:positionH>
            <wp:positionV relativeFrom="margin">
              <wp:posOffset>-56515</wp:posOffset>
            </wp:positionV>
            <wp:extent cx="7560000" cy="9975600"/>
            <wp:effectExtent l="0" t="0" r="3175" b="6985"/>
            <wp:wrapNone/>
            <wp:docPr id="1" name="Picture 1" descr="Cover image for the Australian Government Productivity Commission Inquiry Report titled 'Natural Disasters Funding Arrangements, Volume 1'.  25 September 20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natural-disasters-vol2-title-web.png"/>
                    <pic:cNvPicPr preferRelativeResize="0"/>
                  </pic:nvPicPr>
                  <pic:blipFill>
                    <a:blip r:embed="rId14" cstate="print">
                      <a:extLst>
                        <a:ext uri="{28A0092B-C50C-407E-A947-70E740481C1C}">
                          <a14:useLocalDpi xmlns:a14="http://schemas.microsoft.com/office/drawing/2010/main" val="0"/>
                        </a:ext>
                      </a:extLst>
                    </a:blip>
                    <a:stretch>
                      <a:fillRect/>
                    </a:stretch>
                  </pic:blipFill>
                  <pic:spPr>
                    <a:xfrm>
                      <a:off x="0" y="0"/>
                      <a:ext cx="7560000" cy="9975600"/>
                    </a:xfrm>
                    <a:prstGeom prst="rect">
                      <a:avLst/>
                    </a:prstGeom>
                  </pic:spPr>
                </pic:pic>
              </a:graphicData>
            </a:graphic>
            <wp14:sizeRelH relativeFrom="margin">
              <wp14:pctWidth>0</wp14:pctWidth>
            </wp14:sizeRelH>
            <wp14:sizeRelV relativeFrom="margin">
              <wp14:pctHeight>0</wp14:pctHeight>
            </wp14:sizeRelV>
          </wp:anchor>
        </w:drawing>
      </w:r>
      <w:r w:rsidRPr="00EE66F5">
        <w:t>Australian Government Productivity Commission Draft Report. Natural Disaster Funding Arrangements, Volume 1. September 2014. This is a draft report prepared for further public consultation and input. The Commission will finalise its report after these processes have taken place.</w:t>
      </w:r>
    </w:p>
    <w:p w14:paraId="7086435C" w14:textId="77777777" w:rsidR="00B04D19" w:rsidRDefault="00B04D19" w:rsidP="00CD5E6B">
      <w:pPr>
        <w:pStyle w:val="BodyText"/>
        <w:rPr>
          <w:b/>
          <w:szCs w:val="26"/>
        </w:rPr>
      </w:pPr>
      <w:r>
        <w:br w:type="page"/>
      </w:r>
    </w:p>
    <w:p w14:paraId="69D318FB"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14:paraId="62723910" w14:textId="77777777" w:rsidR="008A3857" w:rsidRDefault="008A3857" w:rsidP="008E242D">
      <w:pPr>
        <w:pStyle w:val="BodyText"/>
        <w:spacing w:after="120"/>
      </w:pPr>
      <w:bookmarkStart w:id="0" w:name="ISSN"/>
      <w:bookmarkEnd w:id="0"/>
      <w:r w:rsidRPr="00862D8F">
        <w:rPr>
          <w:noProof/>
          <w:sz w:val="22"/>
          <w:szCs w:val="22"/>
        </w:rPr>
        <w:drawing>
          <wp:inline distT="0" distB="0" distL="0" distR="0" wp14:anchorId="6EA83A56" wp14:editId="46D2EA5B">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5303F985" w14:textId="3D7E618E"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5A8853EF" w14:textId="77777777" w:rsidR="008A3857" w:rsidRPr="008A3857" w:rsidRDefault="008A3857" w:rsidP="008A3857">
      <w:pPr>
        <w:pStyle w:val="Copyrightsubtitle"/>
      </w:pPr>
      <w:r w:rsidRPr="008A3857">
        <w:t>Use of the Commonwealth Coat of Arms</w:t>
      </w:r>
    </w:p>
    <w:p w14:paraId="3B08D1E3" w14:textId="07F0EDD8"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14:paraId="5C68D80A" w14:textId="77777777" w:rsidR="008A3857" w:rsidRPr="008A3857" w:rsidRDefault="008A3857" w:rsidP="008A3857">
      <w:pPr>
        <w:pStyle w:val="Copyrightsubtitle"/>
      </w:pPr>
      <w:r w:rsidRPr="008A3857">
        <w:t>Third party copyright</w:t>
      </w:r>
    </w:p>
    <w:p w14:paraId="3D34EB06"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32291488" w14:textId="77777777" w:rsidR="008A3857" w:rsidRPr="008A3857" w:rsidRDefault="008A3857" w:rsidP="008A3857">
      <w:pPr>
        <w:pStyle w:val="Copyrightsubtitle"/>
      </w:pPr>
      <w:r w:rsidRPr="008A3857">
        <w:t>Attribution</w:t>
      </w:r>
    </w:p>
    <w:p w14:paraId="6D056697" w14:textId="3843D145"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1F4569">
        <w:rPr>
          <w:i/>
        </w:rPr>
        <w:t>Natural Disaster Funding Arrangements.</w:t>
      </w:r>
    </w:p>
    <w:p w14:paraId="033DB01C" w14:textId="7C18502B"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7C64EF" w:rsidRPr="0067000B">
        <w:rPr>
          <w:i/>
        </w:rPr>
        <w:t>Natural Disaster Funding Arrangements</w:t>
      </w:r>
      <w:r w:rsidRPr="008A3857">
        <w:t>.</w:t>
      </w:r>
    </w:p>
    <w:p w14:paraId="7099E262"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5A8EBCFE" w14:textId="24A75D94" w:rsidR="008A3857" w:rsidRPr="008A3857" w:rsidRDefault="0067000B" w:rsidP="008A3857">
      <w:pPr>
        <w:pStyle w:val="Copyrightbodytext"/>
      </w:pPr>
      <w:r>
        <w:t xml:space="preserve">Productivity Commission 2014, </w:t>
      </w:r>
      <w:r w:rsidRPr="0067000B">
        <w:rPr>
          <w:i/>
        </w:rPr>
        <w:t>Natural Disaster Funding Arrangements</w:t>
      </w:r>
      <w:r>
        <w:t>, Draft Inquiry Report, Canberra.</w:t>
      </w:r>
    </w:p>
    <w:p w14:paraId="30F5428D" w14:textId="77777777" w:rsidR="008A3857" w:rsidRPr="008A3857" w:rsidRDefault="008A3857" w:rsidP="008A3857">
      <w:pPr>
        <w:pStyle w:val="Copyrightsubtitle"/>
      </w:pPr>
      <w:bookmarkStart w:id="1" w:name="JEL"/>
      <w:bookmarkEnd w:id="1"/>
      <w:r w:rsidRPr="008A3857">
        <w:t>Publications enquiries</w:t>
      </w:r>
    </w:p>
    <w:p w14:paraId="4C06F2BD"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419B1C7E"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14:paraId="17B6CEA1" w14:textId="77777777" w:rsidTr="00D70867">
        <w:tc>
          <w:tcPr>
            <w:tcW w:w="8771" w:type="dxa"/>
            <w:tcBorders>
              <w:top w:val="single" w:sz="6" w:space="0" w:color="78A22F"/>
              <w:left w:val="nil"/>
              <w:bottom w:val="nil"/>
              <w:right w:val="nil"/>
            </w:tcBorders>
            <w:shd w:val="clear" w:color="auto" w:fill="F2F2F2" w:themeFill="background1" w:themeFillShade="F2"/>
          </w:tcPr>
          <w:p w14:paraId="76A0F3D3" w14:textId="77777777" w:rsidR="008A3857" w:rsidRPr="008A3857" w:rsidRDefault="008A3857" w:rsidP="00D70867">
            <w:pPr>
              <w:pStyle w:val="BoxTitle"/>
              <w:rPr>
                <w:sz w:val="22"/>
                <w:szCs w:val="22"/>
              </w:rPr>
            </w:pPr>
            <w:r w:rsidRPr="008A3857">
              <w:rPr>
                <w:sz w:val="22"/>
                <w:szCs w:val="22"/>
              </w:rPr>
              <w:t>The Productivity Commission</w:t>
            </w:r>
          </w:p>
        </w:tc>
      </w:tr>
      <w:tr w:rsidR="008A3857" w14:paraId="4088974E" w14:textId="77777777" w:rsidTr="00D70867">
        <w:trPr>
          <w:cantSplit/>
        </w:trPr>
        <w:tc>
          <w:tcPr>
            <w:tcW w:w="8771" w:type="dxa"/>
            <w:tcBorders>
              <w:top w:val="nil"/>
              <w:left w:val="nil"/>
              <w:bottom w:val="nil"/>
              <w:right w:val="nil"/>
            </w:tcBorders>
            <w:shd w:val="clear" w:color="auto" w:fill="F2F2F2" w:themeFill="background1" w:themeFillShade="F2"/>
          </w:tcPr>
          <w:p w14:paraId="5B21BC65" w14:textId="77777777" w:rsidR="008A3857" w:rsidRDefault="008A3857" w:rsidP="00D70867">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38455A97" w14:textId="77777777" w:rsidR="008A3857" w:rsidRDefault="008A3857" w:rsidP="00D70867">
            <w:pPr>
              <w:pStyle w:val="Box"/>
            </w:pPr>
            <w:r w:rsidRPr="00BB5DCF">
              <w:t>The Commission’s independence is underpinned by an Act of Parliament. Its processes and outputs are open to public scrutiny and are driven by concern for the wellbeing of the community as a whole.</w:t>
            </w:r>
          </w:p>
          <w:p w14:paraId="57B11BE9" w14:textId="7A88FEAF" w:rsidR="008A3857" w:rsidRDefault="008A3857" w:rsidP="00EC38C1">
            <w:pPr>
              <w:pStyle w:val="Box"/>
            </w:pPr>
            <w:r w:rsidRPr="00BB5DCF">
              <w:rPr>
                <w:szCs w:val="24"/>
              </w:rPr>
              <w:t>Further information on the Productivity Commission can be obtained from the Commission’s website (</w:t>
            </w:r>
            <w:proofErr w:type="spellStart"/>
            <w:r w:rsidRPr="00805FD7">
              <w:t>www.pc.gov.au</w:t>
            </w:r>
            <w:proofErr w:type="spellEnd"/>
            <w:r w:rsidRPr="00BB5DCF">
              <w:rPr>
                <w:szCs w:val="24"/>
              </w:rPr>
              <w:t>)</w:t>
            </w:r>
            <w:r w:rsidR="00EC38C1">
              <w:rPr>
                <w:szCs w:val="24"/>
              </w:rPr>
              <w:t>.</w:t>
            </w:r>
          </w:p>
        </w:tc>
      </w:tr>
      <w:tr w:rsidR="008A3857" w14:paraId="437DFDA8" w14:textId="77777777" w:rsidTr="00D70867">
        <w:trPr>
          <w:cantSplit/>
        </w:trPr>
        <w:tc>
          <w:tcPr>
            <w:tcW w:w="8771" w:type="dxa"/>
            <w:tcBorders>
              <w:top w:val="nil"/>
              <w:left w:val="nil"/>
              <w:bottom w:val="single" w:sz="6" w:space="0" w:color="78A22F"/>
              <w:right w:val="nil"/>
            </w:tcBorders>
            <w:shd w:val="clear" w:color="auto" w:fill="F2F2F2" w:themeFill="background1" w:themeFillShade="F2"/>
          </w:tcPr>
          <w:p w14:paraId="5321671F" w14:textId="77777777" w:rsidR="008A3857" w:rsidRDefault="008A3857" w:rsidP="00D70867">
            <w:pPr>
              <w:pStyle w:val="Box"/>
              <w:spacing w:before="0" w:line="120" w:lineRule="exact"/>
            </w:pPr>
          </w:p>
        </w:tc>
      </w:tr>
    </w:tbl>
    <w:p w14:paraId="5378F75D" w14:textId="77777777" w:rsidR="00735FEA" w:rsidRDefault="00735FEA">
      <w:pPr>
        <w:pStyle w:val="BodyText"/>
        <w:sectPr w:rsidR="00735FEA" w:rsidSect="00122FE9">
          <w:headerReference w:type="even" r:id="rId16"/>
          <w:headerReference w:type="default" r:id="rId17"/>
          <w:footerReference w:type="even" r:id="rId18"/>
          <w:footerReference w:type="default" r:id="rId19"/>
          <w:headerReference w:type="first" r:id="rId20"/>
          <w:footerReference w:type="first" r:id="rId21"/>
          <w:type w:val="oddPage"/>
          <w:pgSz w:w="11907" w:h="16840" w:code="9"/>
          <w:pgMar w:top="1304" w:right="1304" w:bottom="567" w:left="1814" w:header="1701" w:footer="397" w:gutter="0"/>
          <w:pgNumType w:fmt="lowerRoman" w:start="1"/>
          <w:cols w:space="720"/>
          <w:titlePg/>
        </w:sectPr>
      </w:pPr>
      <w:bookmarkStart w:id="2" w:name="cov"/>
      <w:bookmarkEnd w:id="2"/>
    </w:p>
    <w:p w14:paraId="62B682C0" w14:textId="77777777" w:rsidR="00A7065A" w:rsidRDefault="00A7065A">
      <w:pPr>
        <w:pStyle w:val="Heading1"/>
      </w:pPr>
      <w:bookmarkStart w:id="3" w:name="_Toc398618600"/>
      <w:r>
        <w:lastRenderedPageBreak/>
        <w:t>Opportunity for further comment</w:t>
      </w:r>
      <w:bookmarkEnd w:id="3"/>
    </w:p>
    <w:p w14:paraId="0EC2E309" w14:textId="192A6EF4" w:rsidR="00A7065A" w:rsidRDefault="00A7065A">
      <w:pPr>
        <w:pStyle w:val="BodyText"/>
      </w:pPr>
      <w:r>
        <w:t xml:space="preserve">You are invited to examine this draft </w:t>
      </w:r>
      <w:r w:rsidR="0067000B">
        <w:t xml:space="preserve">and comment on it by written submission to the Productivity Commission, preferably in electronic format, by </w:t>
      </w:r>
      <w:r w:rsidR="007A505E">
        <w:rPr>
          <w:b/>
        </w:rPr>
        <w:t xml:space="preserve">21 </w:t>
      </w:r>
      <w:r w:rsidR="002D04B6">
        <w:rPr>
          <w:b/>
        </w:rPr>
        <w:t>October</w:t>
      </w:r>
      <w:r w:rsidR="0067000B" w:rsidRPr="0067000B">
        <w:rPr>
          <w:b/>
        </w:rPr>
        <w:t xml:space="preserve"> 2014</w:t>
      </w:r>
      <w:r w:rsidR="0067000B">
        <w:t>. Further information on how to provide a submission is included on the inquiry website http://</w:t>
      </w:r>
      <w:proofErr w:type="spellStart"/>
      <w:r w:rsidR="0067000B">
        <w:t>www.pc.gov.au</w:t>
      </w:r>
      <w:proofErr w:type="spellEnd"/>
      <w:r w:rsidR="0067000B">
        <w:t>/projects/inquiry/disaster-funding</w:t>
      </w:r>
    </w:p>
    <w:p w14:paraId="641B5653" w14:textId="5CE236D4" w:rsidR="007A505E" w:rsidRDefault="007A505E">
      <w:pPr>
        <w:pStyle w:val="BodyText"/>
      </w:pPr>
      <w:r>
        <w:t>The Commission will be holding public hearings in late October 2014 (23 October to 30</w:t>
      </w:r>
      <w:r w:rsidR="00D70867">
        <w:t> </w:t>
      </w:r>
      <w:r>
        <w:t xml:space="preserve">October). </w:t>
      </w:r>
      <w:r w:rsidR="00B719BF">
        <w:t>Likely</w:t>
      </w:r>
      <w:r>
        <w:t xml:space="preserve"> locations for public hearings are Adelaide, Brisbane, Canberra, Melbourne, Sydney and Townsville, but the ultimate location and timing of public hearings will be determined by participant demand.</w:t>
      </w:r>
    </w:p>
    <w:p w14:paraId="3C5309D0" w14:textId="48F00182" w:rsidR="007A505E" w:rsidRDefault="00B719BF">
      <w:pPr>
        <w:pStyle w:val="BodyText"/>
      </w:pPr>
      <w:r>
        <w:t>The Commission invites par</w:t>
      </w:r>
      <w:r w:rsidR="007A505E">
        <w:t xml:space="preserve">ties to register their interest in appearing before a public hearing by </w:t>
      </w:r>
      <w:r w:rsidR="007A505E" w:rsidRPr="00516A04">
        <w:rPr>
          <w:b/>
        </w:rPr>
        <w:t>10 October 2014</w:t>
      </w:r>
      <w:r w:rsidR="003C0302">
        <w:t>.</w:t>
      </w:r>
    </w:p>
    <w:p w14:paraId="658C773B" w14:textId="73CC6B01" w:rsidR="00A7065A" w:rsidRDefault="00A7065A">
      <w:pPr>
        <w:pStyle w:val="BodyText"/>
      </w:pPr>
      <w:r>
        <w:t>The final report will be prepared after further submissions have been received</w:t>
      </w:r>
      <w:r w:rsidR="002D04B6">
        <w:t xml:space="preserve"> </w:t>
      </w:r>
      <w:r w:rsidR="002D04B6" w:rsidRPr="002D04B6">
        <w:t>and public hearings have been held</w:t>
      </w:r>
      <w:r w:rsidR="002D04B6">
        <w:t>,</w:t>
      </w:r>
      <w:r>
        <w:t xml:space="preserve"> </w:t>
      </w:r>
      <w:r w:rsidR="0067000B">
        <w:t>and</w:t>
      </w:r>
      <w:r w:rsidR="002D04B6">
        <w:t xml:space="preserve"> will be</w:t>
      </w:r>
      <w:r w:rsidR="0067000B">
        <w:t xml:space="preserve"> forwarded to the Australian Government by the end of 2014.</w:t>
      </w:r>
    </w:p>
    <w:p w14:paraId="5C140624" w14:textId="39D34027" w:rsidR="00A7065A" w:rsidRPr="00683E2C" w:rsidRDefault="00A7065A" w:rsidP="00D70867">
      <w:pPr>
        <w:pStyle w:val="Heading3"/>
      </w:pPr>
      <w:r w:rsidRPr="00683E2C">
        <w:t>Commissioners</w:t>
      </w:r>
    </w:p>
    <w:p w14:paraId="0DFF8C61" w14:textId="77777777" w:rsidR="00582B6F" w:rsidRDefault="00582B6F" w:rsidP="00582B6F">
      <w:pPr>
        <w:pStyle w:val="BodyText"/>
      </w:pPr>
      <w:r>
        <w:t>For the purposes of this inquiry</w:t>
      </w:r>
      <w:r>
        <w:rPr>
          <w:color w:val="FF0000"/>
        </w:rPr>
        <w:t xml:space="preserve"> </w:t>
      </w:r>
      <w:r>
        <w:t xml:space="preserve">and draft report, in accordance with section 40 of the </w:t>
      </w:r>
      <w:r>
        <w:rPr>
          <w:i/>
          <w:iCs/>
        </w:rPr>
        <w:t>Productivity Commission Act 1998</w:t>
      </w:r>
      <w:r>
        <w:t xml:space="preserve"> the powers of the Productivity Commission have been exercised by:</w:t>
      </w:r>
    </w:p>
    <w:tbl>
      <w:tblPr>
        <w:tblW w:w="0" w:type="auto"/>
        <w:tblLayout w:type="fixed"/>
        <w:tblLook w:val="01E0" w:firstRow="1" w:lastRow="1" w:firstColumn="1" w:lastColumn="1" w:noHBand="0" w:noVBand="0"/>
      </w:tblPr>
      <w:tblGrid>
        <w:gridCol w:w="3969"/>
        <w:gridCol w:w="4820"/>
      </w:tblGrid>
      <w:tr w:rsidR="00A7065A" w14:paraId="74E0FAC0" w14:textId="77777777" w:rsidTr="00D70867">
        <w:tc>
          <w:tcPr>
            <w:tcW w:w="3969" w:type="dxa"/>
            <w:tcMar>
              <w:left w:w="0" w:type="dxa"/>
              <w:right w:w="0" w:type="dxa"/>
            </w:tcMar>
          </w:tcPr>
          <w:p w14:paraId="3813980A" w14:textId="1D4276C7" w:rsidR="00A7065A" w:rsidRDefault="0067000B">
            <w:pPr>
              <w:pStyle w:val="BodyText"/>
              <w:spacing w:before="120"/>
            </w:pPr>
            <w:r>
              <w:t>Jonathan Coppel</w:t>
            </w:r>
          </w:p>
        </w:tc>
        <w:tc>
          <w:tcPr>
            <w:tcW w:w="4820" w:type="dxa"/>
          </w:tcPr>
          <w:p w14:paraId="62BC8256" w14:textId="568A07D8" w:rsidR="00A7065A" w:rsidRDefault="009A679C">
            <w:pPr>
              <w:pStyle w:val="BodyText"/>
              <w:spacing w:before="120"/>
            </w:pPr>
            <w:r>
              <w:t>Commissioner</w:t>
            </w:r>
          </w:p>
        </w:tc>
      </w:tr>
      <w:tr w:rsidR="00A7065A" w14:paraId="2387B0E5" w14:textId="77777777" w:rsidTr="00D70867">
        <w:tc>
          <w:tcPr>
            <w:tcW w:w="3969" w:type="dxa"/>
            <w:tcMar>
              <w:left w:w="0" w:type="dxa"/>
              <w:right w:w="0" w:type="dxa"/>
            </w:tcMar>
          </w:tcPr>
          <w:p w14:paraId="76008BF6" w14:textId="69EEB544" w:rsidR="00A7065A" w:rsidRDefault="0067000B">
            <w:pPr>
              <w:pStyle w:val="BodyText"/>
              <w:spacing w:before="120"/>
            </w:pPr>
            <w:r>
              <w:t>Karen Chester</w:t>
            </w:r>
          </w:p>
        </w:tc>
        <w:tc>
          <w:tcPr>
            <w:tcW w:w="4820" w:type="dxa"/>
          </w:tcPr>
          <w:p w14:paraId="0E065215" w14:textId="7253D475" w:rsidR="00A7065A" w:rsidRDefault="009A679C">
            <w:pPr>
              <w:pStyle w:val="BodyText"/>
              <w:spacing w:before="120"/>
            </w:pPr>
            <w:r>
              <w:t>Commissioner</w:t>
            </w:r>
          </w:p>
        </w:tc>
      </w:tr>
    </w:tbl>
    <w:p w14:paraId="2799FCB0" w14:textId="77777777" w:rsidR="00A7065A" w:rsidRPr="00DD35BF" w:rsidRDefault="00A7065A" w:rsidP="00D70867">
      <w:pPr>
        <w:pStyle w:val="BodyText"/>
        <w:rPr>
          <w:lang w:eastAsia="en-US"/>
        </w:rPr>
      </w:pPr>
    </w:p>
    <w:p w14:paraId="597FA7F4" w14:textId="77777777" w:rsidR="00A7065A" w:rsidRPr="003C10D8" w:rsidRDefault="00A7065A" w:rsidP="00D70867">
      <w:pPr>
        <w:pStyle w:val="BodyText"/>
        <w:rPr>
          <w:lang w:eastAsia="en-US"/>
        </w:rPr>
        <w:sectPr w:rsidR="00A7065A" w:rsidRPr="003C10D8" w:rsidSect="00D70867">
          <w:headerReference w:type="even" r:id="rId22"/>
          <w:headerReference w:type="default" r:id="rId23"/>
          <w:footerReference w:type="even" r:id="rId24"/>
          <w:footerReference w:type="default" r:id="rId25"/>
          <w:headerReference w:type="first" r:id="rId26"/>
          <w:type w:val="oddPage"/>
          <w:pgSz w:w="11907" w:h="16840" w:code="9"/>
          <w:pgMar w:top="1985" w:right="1304" w:bottom="1191" w:left="1814" w:header="1701" w:footer="397" w:gutter="0"/>
          <w:pgNumType w:fmt="lowerRoman"/>
          <w:cols w:space="720"/>
        </w:sectPr>
      </w:pPr>
    </w:p>
    <w:p w14:paraId="115B2871" w14:textId="77777777" w:rsidR="00A7065A" w:rsidRDefault="00A7065A" w:rsidP="00D70867">
      <w:pPr>
        <w:pStyle w:val="Heading1"/>
      </w:pPr>
      <w:bookmarkStart w:id="4" w:name="_Toc398618601"/>
      <w:r>
        <w:lastRenderedPageBreak/>
        <w:t>Terms of reference</w:t>
      </w:r>
      <w:bookmarkEnd w:id="4"/>
    </w:p>
    <w:p w14:paraId="2E9FCE98" w14:textId="77777777" w:rsidR="00AE461E" w:rsidRDefault="00AE461E" w:rsidP="00AE461E">
      <w:pPr>
        <w:jc w:val="center"/>
        <w:rPr>
          <w:b/>
          <w:sz w:val="28"/>
          <w:szCs w:val="28"/>
        </w:rPr>
      </w:pPr>
      <w:r>
        <w:rPr>
          <w:b/>
          <w:sz w:val="28"/>
          <w:szCs w:val="28"/>
        </w:rPr>
        <w:t>Productivity Commission Inquiry into Natural Disaster Funding Arrangements</w:t>
      </w:r>
    </w:p>
    <w:p w14:paraId="43C569A5" w14:textId="77777777" w:rsidR="00AE461E" w:rsidRDefault="00AE461E" w:rsidP="00AE461E">
      <w:pPr>
        <w:rPr>
          <w:b/>
          <w:sz w:val="28"/>
          <w:szCs w:val="28"/>
        </w:rPr>
      </w:pPr>
      <w:r>
        <w:rPr>
          <w:b/>
          <w:sz w:val="28"/>
          <w:szCs w:val="28"/>
        </w:rPr>
        <w:t xml:space="preserve">Terms of Reference </w:t>
      </w:r>
    </w:p>
    <w:p w14:paraId="0772C346" w14:textId="77777777" w:rsidR="00AE461E" w:rsidRDefault="00AE461E" w:rsidP="00AE461E">
      <w:pPr>
        <w:spacing w:before="240"/>
        <w:rPr>
          <w:sz w:val="24"/>
          <w:szCs w:val="24"/>
        </w:rPr>
      </w:pPr>
      <w:r>
        <w:rPr>
          <w:sz w:val="24"/>
        </w:rPr>
        <w:t xml:space="preserve">I, Joseph Benedict Hockey, Treasurer, pursuant to Parts 2 and 3 of the </w:t>
      </w:r>
      <w:r>
        <w:rPr>
          <w:i/>
          <w:sz w:val="24"/>
        </w:rPr>
        <w:t>Productivity Commission Act 1998</w:t>
      </w:r>
      <w:r>
        <w:rPr>
          <w:sz w:val="24"/>
        </w:rPr>
        <w:t>, hereby request that the Productivity Commission (the Commission) undertake an inquiry into the efficacy of current national natural disaster funding arrangements. The inquiry should take into account the priority of effective mitigation to reduce the impact of disasters on communities.</w:t>
      </w:r>
    </w:p>
    <w:p w14:paraId="58BA1039" w14:textId="464CDBF9" w:rsidR="00AE461E" w:rsidRDefault="00AE461E" w:rsidP="00AE461E">
      <w:pPr>
        <w:spacing w:before="200"/>
        <w:rPr>
          <w:sz w:val="24"/>
        </w:rPr>
      </w:pPr>
      <w:r>
        <w:rPr>
          <w:b/>
          <w:sz w:val="24"/>
        </w:rPr>
        <w:t>Background</w:t>
      </w:r>
      <w:r>
        <w:rPr>
          <w:b/>
          <w:sz w:val="24"/>
        </w:rPr>
        <w:br/>
      </w:r>
      <w:r>
        <w:rPr>
          <w:b/>
          <w:sz w:val="24"/>
        </w:rPr>
        <w:br/>
      </w:r>
      <w:r>
        <w:rPr>
          <w:sz w:val="24"/>
        </w:rPr>
        <w:t>In the last five years, natural disasters around the country have claimed more than 200 lives and impacted hundreds of thousands of people.</w:t>
      </w:r>
      <w:r w:rsidR="00C07123">
        <w:rPr>
          <w:sz w:val="24"/>
        </w:rPr>
        <w:t xml:space="preserve"> </w:t>
      </w:r>
      <w:r>
        <w:rPr>
          <w:sz w:val="24"/>
        </w:rPr>
        <w:t xml:space="preserve">Natural disasters also have significant financial and economic costs. The impacts and costs of extreme weather events can be expected to increase in the future with population growth and the expanding urbanisation of coast lines and mountain districts near our cities. </w:t>
      </w:r>
      <w:r>
        <w:rPr>
          <w:sz w:val="24"/>
        </w:rPr>
        <w:br/>
      </w:r>
      <w:r>
        <w:rPr>
          <w:sz w:val="24"/>
        </w:rPr>
        <w:br/>
        <w:t xml:space="preserve">Many communities experience repeated disruptions from flood, cyclone and fire events.  Some of these events are unforeseen and the damage is unavoidable, but in many cases the consequences of natural disasters could be mitigated. </w:t>
      </w:r>
      <w:r>
        <w:rPr>
          <w:sz w:val="24"/>
        </w:rPr>
        <w:br/>
      </w:r>
      <w:r>
        <w:rPr>
          <w:sz w:val="24"/>
        </w:rPr>
        <w:br/>
        <w:t>The National Strategy for Disaster Resilience underpins a coordinated and cooperative effort to enhance our ability to prepare for, withstand and recover from natural disasters. The benefits associated with building the resilience of our communities and investing in disaster mitigation include: improved community safety and resilience, a reduction in damage to property, speedier recovery, and a reduction in overall costs to the national economy. The range of mitigation options are diverse and span both structural and non</w:t>
      </w:r>
      <w:r w:rsidR="00557914">
        <w:rPr>
          <w:sz w:val="24"/>
        </w:rPr>
        <w:noBreakHyphen/>
      </w:r>
      <w:r>
        <w:rPr>
          <w:sz w:val="24"/>
        </w:rPr>
        <w:t>structural measures.</w:t>
      </w:r>
      <w:r>
        <w:rPr>
          <w:sz w:val="24"/>
        </w:rPr>
        <w:br/>
      </w:r>
      <w:r>
        <w:rPr>
          <w:sz w:val="24"/>
        </w:rPr>
        <w:br/>
        <w:t xml:space="preserve">However, current Commonwealth funding arrangements are heavily weighted towards disaster recovery, which reduces the economic incentive for state, territory and local governments to mitigate disaster risk. </w:t>
      </w:r>
      <w:r>
        <w:rPr>
          <w:sz w:val="24"/>
        </w:rPr>
        <w:br/>
      </w:r>
      <w:r>
        <w:rPr>
          <w:sz w:val="24"/>
        </w:rPr>
        <w:br/>
        <w:t xml:space="preserve">Disaster management is the responsibility of the state, territory and local governments, which largely determine the type and level of relief and recovery measures to be adopted following a disaster, and manage the administration of assistance measures. In accordance with this responsibility, state and territory governments bear a significant level of disaster relief and recovery expenditure. State, territory and local governments also have responsibility for land use planning. </w:t>
      </w:r>
      <w:r>
        <w:rPr>
          <w:sz w:val="24"/>
        </w:rPr>
        <w:br/>
      </w:r>
      <w:r>
        <w:rPr>
          <w:sz w:val="24"/>
        </w:rPr>
        <w:br/>
      </w:r>
      <w:r>
        <w:rPr>
          <w:sz w:val="24"/>
        </w:rPr>
        <w:lastRenderedPageBreak/>
        <w:t>Notwithstanding this, the Commonwealth has played a major role in providing financial and other assistance to help alleviate the burden on states and territories and to support the provision of urgent assistance to disaster affected communities. Under the Natural Disaster Relief and Recovery Arrangements (</w:t>
      </w:r>
      <w:proofErr w:type="spellStart"/>
      <w:r>
        <w:rPr>
          <w:sz w:val="24"/>
        </w:rPr>
        <w:t>NDRRA</w:t>
      </w:r>
      <w:proofErr w:type="spellEnd"/>
      <w:r>
        <w:rPr>
          <w:sz w:val="24"/>
        </w:rPr>
        <w:t>), the Commonwealth currently reimburses up to 75 per cent of the state and territory recovery bill after certain thresholds are met, at a cost to the Commonwealth of approximately $12 billion for events since 2009.</w:t>
      </w:r>
      <w:r w:rsidR="00C07123">
        <w:rPr>
          <w:sz w:val="24"/>
        </w:rPr>
        <w:t xml:space="preserve"> </w:t>
      </w:r>
      <w:r>
        <w:rPr>
          <w:sz w:val="24"/>
        </w:rPr>
        <w:t xml:space="preserve">The majority of this expenditure is used to provide partial reimbursement to states and territories for rebuilding essential public assets, in particular roads and road infrastructure. </w:t>
      </w:r>
    </w:p>
    <w:p w14:paraId="165AF3E6" w14:textId="5655D84B" w:rsidR="00AE461E" w:rsidRDefault="00AE461E" w:rsidP="00AE461E">
      <w:pPr>
        <w:spacing w:before="200"/>
        <w:rPr>
          <w:b/>
          <w:sz w:val="24"/>
          <w:szCs w:val="24"/>
        </w:rPr>
      </w:pPr>
      <w:r>
        <w:rPr>
          <w:b/>
          <w:sz w:val="24"/>
        </w:rPr>
        <w:t>Scope of the Inquiry</w:t>
      </w:r>
      <w:r>
        <w:rPr>
          <w:b/>
          <w:sz w:val="24"/>
        </w:rPr>
        <w:br/>
      </w:r>
      <w:r>
        <w:rPr>
          <w:b/>
          <w:sz w:val="24"/>
        </w:rPr>
        <w:br/>
      </w:r>
      <w:r>
        <w:rPr>
          <w:sz w:val="24"/>
        </w:rPr>
        <w:t>The Commission will analyse the full scope (incorporating the quantum, coherence, effectiveness and sustainability) of current Commonwealth, state and territory expenditure on natural disaster mitigation, resilience and recovery, and develop findings on the following:</w:t>
      </w:r>
    </w:p>
    <w:p w14:paraId="3A4B69A4" w14:textId="77777777" w:rsidR="00AE461E" w:rsidRDefault="00AE461E" w:rsidP="00AE461E">
      <w:pPr>
        <w:pStyle w:val="OutlineNumbered1"/>
        <w:rPr>
          <w:rFonts w:ascii="Times New Roman" w:hAnsi="Times New Roman"/>
        </w:rPr>
      </w:pPr>
      <w:r>
        <w:rPr>
          <w:rFonts w:ascii="Times New Roman" w:hAnsi="Times New Roman"/>
        </w:rPr>
        <w:t xml:space="preserve">The sustainability and effectiveness of current arrangements for funding natural disaster mitigation, resilience and recovery initiatives, including – where directly relevant to an improved funding model – the management of disaster relief and recovery; </w:t>
      </w:r>
    </w:p>
    <w:p w14:paraId="7A207D0F" w14:textId="190EE12F" w:rsidR="00AE461E" w:rsidRDefault="00AE461E" w:rsidP="00AE461E">
      <w:pPr>
        <w:pStyle w:val="OutlineNumbered1"/>
        <w:rPr>
          <w:rFonts w:ascii="Times New Roman" w:hAnsi="Times New Roman"/>
        </w:rPr>
      </w:pPr>
      <w:r>
        <w:rPr>
          <w:rFonts w:ascii="Times New Roman" w:hAnsi="Times New Roman"/>
        </w:rPr>
        <w:t>Risk management measures available to and being taken by asset owners – including the purchase of insurance by individuals, business and state, territory and local governments, as well as self</w:t>
      </w:r>
      <w:r w:rsidR="00557914">
        <w:rPr>
          <w:rFonts w:ascii="Times New Roman" w:hAnsi="Times New Roman"/>
        </w:rPr>
        <w:noBreakHyphen/>
      </w:r>
      <w:r>
        <w:rPr>
          <w:rFonts w:ascii="Times New Roman" w:hAnsi="Times New Roman"/>
        </w:rPr>
        <w:t>insurance options;</w:t>
      </w:r>
    </w:p>
    <w:p w14:paraId="4B6AA967" w14:textId="77777777" w:rsidR="00AE461E" w:rsidRDefault="00AE461E" w:rsidP="00AE461E">
      <w:pPr>
        <w:pStyle w:val="OutlineNumbered1"/>
        <w:rPr>
          <w:rFonts w:ascii="Times New Roman" w:hAnsi="Times New Roman"/>
        </w:rPr>
      </w:pPr>
      <w:r>
        <w:rPr>
          <w:rFonts w:ascii="Times New Roman" w:hAnsi="Times New Roman"/>
        </w:rPr>
        <w:t xml:space="preserve">The interaction between Commonwealth natural disaster funding arrangements and relevant Commonwealth/state financial arrangements; </w:t>
      </w:r>
    </w:p>
    <w:p w14:paraId="55F19F1F" w14:textId="1EA419F8" w:rsidR="00AE461E" w:rsidRDefault="00AE461E" w:rsidP="00AE461E">
      <w:pPr>
        <w:pStyle w:val="OutlineNumbered1"/>
        <w:rPr>
          <w:rFonts w:ascii="Times New Roman" w:hAnsi="Times New Roman"/>
        </w:rPr>
      </w:pPr>
      <w:r>
        <w:rPr>
          <w:rFonts w:ascii="Times New Roman" w:hAnsi="Times New Roman"/>
        </w:rPr>
        <w:t>Options to achieve an effective and sustainable balance of natural disaster recovery and mitigation expenditure to build the resilience of communities, including through improved risk assessments.</w:t>
      </w:r>
      <w:r w:rsidR="00C07123">
        <w:rPr>
          <w:rFonts w:ascii="Times New Roman" w:hAnsi="Times New Roman"/>
        </w:rPr>
        <w:t xml:space="preserve"> </w:t>
      </w:r>
      <w:r>
        <w:rPr>
          <w:rFonts w:ascii="Times New Roman" w:hAnsi="Times New Roman"/>
        </w:rPr>
        <w:t>The options should assess the relationship between improved mitigation and the cost of general insurance. In doing this, the Commission should consider:</w:t>
      </w:r>
    </w:p>
    <w:p w14:paraId="317245C6" w14:textId="77777777" w:rsidR="00AE461E" w:rsidRDefault="00AE461E" w:rsidP="00F81E05">
      <w:pPr>
        <w:pStyle w:val="ListParagraph"/>
        <w:numPr>
          <w:ilvl w:val="0"/>
          <w:numId w:val="18"/>
        </w:numPr>
        <w:spacing w:before="240" w:line="240" w:lineRule="auto"/>
        <w:ind w:left="1134" w:hanging="414"/>
        <w:rPr>
          <w:sz w:val="24"/>
          <w:szCs w:val="24"/>
        </w:rPr>
      </w:pPr>
      <w:r>
        <w:rPr>
          <w:sz w:val="24"/>
          <w:szCs w:val="24"/>
        </w:rPr>
        <w:t>How business, the community, Commonwealth, state, territory and local governments can most effectively fund natural disaster recovery and mitigation initiatives;</w:t>
      </w:r>
    </w:p>
    <w:p w14:paraId="07EB8AC9" w14:textId="4C32492E" w:rsidR="00AE461E" w:rsidRDefault="00AE461E" w:rsidP="00F81E05">
      <w:pPr>
        <w:pStyle w:val="ListParagraph"/>
        <w:numPr>
          <w:ilvl w:val="0"/>
          <w:numId w:val="18"/>
        </w:numPr>
        <w:spacing w:before="240" w:line="240" w:lineRule="auto"/>
        <w:ind w:left="1134" w:hanging="414"/>
        <w:rPr>
          <w:sz w:val="24"/>
          <w:szCs w:val="24"/>
        </w:rPr>
      </w:pPr>
      <w:r>
        <w:rPr>
          <w:sz w:val="24"/>
          <w:szCs w:val="24"/>
        </w:rPr>
        <w:t>How to ensure the right incentives are in place to support cost</w:t>
      </w:r>
      <w:r w:rsidR="00557914">
        <w:rPr>
          <w:sz w:val="24"/>
          <w:szCs w:val="24"/>
        </w:rPr>
        <w:noBreakHyphen/>
      </w:r>
      <w:r>
        <w:rPr>
          <w:sz w:val="24"/>
          <w:szCs w:val="24"/>
        </w:rPr>
        <w:t>effective decision making within and across all levels of government, business, non</w:t>
      </w:r>
      <w:r w:rsidR="00557914">
        <w:rPr>
          <w:sz w:val="24"/>
          <w:szCs w:val="24"/>
        </w:rPr>
        <w:noBreakHyphen/>
      </w:r>
      <w:r>
        <w:rPr>
          <w:sz w:val="24"/>
          <w:szCs w:val="24"/>
        </w:rPr>
        <w:t>government organisations and private individuals;</w:t>
      </w:r>
    </w:p>
    <w:p w14:paraId="7237E9ED" w14:textId="77777777" w:rsidR="00AE461E" w:rsidRDefault="00AE461E" w:rsidP="00F81E05">
      <w:pPr>
        <w:pStyle w:val="ListParagraph"/>
        <w:numPr>
          <w:ilvl w:val="0"/>
          <w:numId w:val="18"/>
        </w:numPr>
        <w:spacing w:before="240" w:line="240" w:lineRule="auto"/>
        <w:ind w:left="1134" w:hanging="414"/>
        <w:rPr>
          <w:sz w:val="24"/>
          <w:szCs w:val="24"/>
        </w:rPr>
      </w:pPr>
      <w:r>
        <w:rPr>
          <w:sz w:val="24"/>
          <w:szCs w:val="24"/>
        </w:rPr>
        <w:t xml:space="preserve">Mechanisms and models to prioritise mitigation opportunities and evaluate the costs and benefits of a range of mitigation options; </w:t>
      </w:r>
    </w:p>
    <w:p w14:paraId="6616300B" w14:textId="48781A30" w:rsidR="00AE461E" w:rsidRDefault="00AE461E" w:rsidP="00F81E05">
      <w:pPr>
        <w:pStyle w:val="ListParagraph"/>
        <w:numPr>
          <w:ilvl w:val="0"/>
          <w:numId w:val="18"/>
        </w:numPr>
        <w:spacing w:before="240" w:line="240" w:lineRule="auto"/>
        <w:ind w:left="1134" w:hanging="414"/>
        <w:rPr>
          <w:sz w:val="24"/>
          <w:szCs w:val="24"/>
        </w:rPr>
      </w:pPr>
      <w:r>
        <w:rPr>
          <w:sz w:val="24"/>
          <w:szCs w:val="24"/>
        </w:rPr>
        <w:t>Options for urban planning, land use policy and infrastructure investment that support cost</w:t>
      </w:r>
      <w:r w:rsidR="00557914">
        <w:rPr>
          <w:sz w:val="24"/>
          <w:szCs w:val="24"/>
        </w:rPr>
        <w:noBreakHyphen/>
      </w:r>
      <w:r>
        <w:rPr>
          <w:sz w:val="24"/>
          <w:szCs w:val="24"/>
        </w:rPr>
        <w:t xml:space="preserve">effective risk management and understanding of the changes to the risk profile; </w:t>
      </w:r>
    </w:p>
    <w:p w14:paraId="7C3DF514" w14:textId="77777777" w:rsidR="00AE461E" w:rsidRDefault="00AE461E" w:rsidP="00F81E05">
      <w:pPr>
        <w:pStyle w:val="ListParagraph"/>
        <w:numPr>
          <w:ilvl w:val="0"/>
          <w:numId w:val="18"/>
        </w:numPr>
        <w:spacing w:before="240" w:line="240" w:lineRule="auto"/>
        <w:ind w:left="1134" w:hanging="414"/>
        <w:rPr>
          <w:sz w:val="24"/>
          <w:szCs w:val="24"/>
        </w:rPr>
      </w:pPr>
      <w:r>
        <w:rPr>
          <w:sz w:val="24"/>
          <w:szCs w:val="24"/>
        </w:rPr>
        <w:t>Options to fund identified natural disaster recovery and mitigation needs, including thresholds for triggering Commonwealth assistance to the states and territories;</w:t>
      </w:r>
    </w:p>
    <w:p w14:paraId="6FEFED5C" w14:textId="77777777" w:rsidR="00AE461E" w:rsidRDefault="00AE461E" w:rsidP="00AE461E">
      <w:pPr>
        <w:pStyle w:val="OutlineNumbered1"/>
        <w:rPr>
          <w:rFonts w:ascii="Times New Roman" w:hAnsi="Times New Roman"/>
        </w:rPr>
      </w:pPr>
      <w:r>
        <w:rPr>
          <w:rFonts w:ascii="Times New Roman" w:hAnsi="Times New Roman"/>
        </w:rPr>
        <w:lastRenderedPageBreak/>
        <w:t>Projected medium and long term impacts of identified options on the Australian economy and costs for governments as compared to impacts of the current funding arrangements; and</w:t>
      </w:r>
    </w:p>
    <w:p w14:paraId="6271CE3E" w14:textId="77777777" w:rsidR="00AE461E" w:rsidRDefault="00AE461E" w:rsidP="00AE461E">
      <w:pPr>
        <w:pStyle w:val="OutlineNumbered1"/>
        <w:rPr>
          <w:rFonts w:ascii="Times New Roman" w:hAnsi="Times New Roman"/>
        </w:rPr>
      </w:pPr>
      <w:r>
        <w:rPr>
          <w:rFonts w:ascii="Times New Roman" w:hAnsi="Times New Roman"/>
        </w:rPr>
        <w:t>Options for transitioning to and implementing any proposed reforms to national natural disaster funding arrangements.</w:t>
      </w:r>
    </w:p>
    <w:p w14:paraId="4302090C" w14:textId="564D1C54" w:rsidR="00AE461E" w:rsidRDefault="00AE461E" w:rsidP="00AE461E">
      <w:pPr>
        <w:pStyle w:val="Paragraph"/>
        <w:rPr>
          <w:szCs w:val="24"/>
        </w:rPr>
      </w:pPr>
      <w:r>
        <w:rPr>
          <w:szCs w:val="24"/>
        </w:rPr>
        <w:t>In undertaking the inquiry, the Commission is to take into account the roles and responsibilities of Commonwealth, state, territory and local governments, communities, insurers, business (including private providers of essential infrastructure), non</w:t>
      </w:r>
      <w:r w:rsidR="00557914">
        <w:rPr>
          <w:szCs w:val="24"/>
        </w:rPr>
        <w:noBreakHyphen/>
      </w:r>
      <w:r>
        <w:rPr>
          <w:szCs w:val="24"/>
        </w:rPr>
        <w:t xml:space="preserve">government organisations and private individuals. The Commission should consider funding for disaster response only where directly relevant to mitigation, relief and recovery and existing Commonwealth/state joint funding arrangements. </w:t>
      </w:r>
    </w:p>
    <w:p w14:paraId="6DE42F28" w14:textId="77777777" w:rsidR="00AE461E" w:rsidRDefault="00AE461E" w:rsidP="00AE461E">
      <w:pPr>
        <w:pStyle w:val="Paragraph"/>
        <w:rPr>
          <w:szCs w:val="24"/>
        </w:rPr>
      </w:pPr>
      <w:r>
        <w:rPr>
          <w:szCs w:val="24"/>
        </w:rPr>
        <w:t xml:space="preserve">The Commission should also take into account evidence from previous reports, reviews and inquiries, including best practice, from overseas and in Australia. It should also take into account relevant recommendations of the Commission of Audit and developments in federal financial relations, noting that the Commonwealth is developing a White Paper on Reform of the Federation. </w:t>
      </w:r>
    </w:p>
    <w:p w14:paraId="65F203F2" w14:textId="77777777" w:rsidR="00AE461E" w:rsidRDefault="00AE461E" w:rsidP="00AE461E">
      <w:pPr>
        <w:pStyle w:val="Paragraph"/>
        <w:rPr>
          <w:szCs w:val="24"/>
        </w:rPr>
      </w:pPr>
      <w:r>
        <w:rPr>
          <w:szCs w:val="24"/>
        </w:rPr>
        <w:t>Further, since much disaster spending is directed towards infrastructure, the Commission should take into account evolving infrastructure and asset management policy and practice at the national, state and local levels.</w:t>
      </w:r>
    </w:p>
    <w:p w14:paraId="108E42D8" w14:textId="470CBF6F" w:rsidR="00AE461E" w:rsidRDefault="00AE461E" w:rsidP="00AE461E">
      <w:pPr>
        <w:pStyle w:val="Paragraph"/>
        <w:rPr>
          <w:szCs w:val="24"/>
        </w:rPr>
      </w:pPr>
      <w:r>
        <w:rPr>
          <w:szCs w:val="24"/>
        </w:rPr>
        <w:t>The scope of the inquiry will be focused on naturally occurring rapid onset events that cause a serious disruption to a community or region, such as flood, bushfire, earthquake, storm, cyclone, storm surge, tornado, landslide or tsunami. This is consistent with the definition included in the Natural Disaster Relief and Recovery Arrangements (</w:t>
      </w:r>
      <w:proofErr w:type="spellStart"/>
      <w:r>
        <w:rPr>
          <w:szCs w:val="24"/>
        </w:rPr>
        <w:t>NDRRA</w:t>
      </w:r>
      <w:proofErr w:type="spellEnd"/>
      <w:r>
        <w:rPr>
          <w:szCs w:val="24"/>
        </w:rPr>
        <w:t>) Determination.</w:t>
      </w:r>
    </w:p>
    <w:p w14:paraId="58E56717" w14:textId="608EAC68" w:rsidR="00AE461E" w:rsidRDefault="00AE461E" w:rsidP="00AE461E">
      <w:pPr>
        <w:pStyle w:val="Paragraph"/>
        <w:rPr>
          <w:szCs w:val="24"/>
        </w:rPr>
      </w:pPr>
      <w:r>
        <w:rPr>
          <w:b/>
          <w:szCs w:val="24"/>
        </w:rPr>
        <w:t>Process</w:t>
      </w:r>
      <w:r>
        <w:rPr>
          <w:b/>
        </w:rPr>
        <w:br/>
      </w:r>
      <w:r>
        <w:rPr>
          <w:b/>
        </w:rPr>
        <w:br/>
      </w:r>
      <w:r>
        <w:rPr>
          <w:szCs w:val="24"/>
        </w:rPr>
        <w:t>The Commission is to undertake an appropriate public consultation process including holding hearings, inviting public submissions and releasing a draft report to</w:t>
      </w:r>
      <w:r w:rsidR="00C07123">
        <w:rPr>
          <w:szCs w:val="24"/>
        </w:rPr>
        <w:t xml:space="preserve"> the public by September 2014.</w:t>
      </w:r>
    </w:p>
    <w:p w14:paraId="3CA70979" w14:textId="25C0EE5D" w:rsidR="00AE461E" w:rsidRDefault="00AE461E" w:rsidP="00AE461E">
      <w:pPr>
        <w:pStyle w:val="Paragraph"/>
        <w:rPr>
          <w:szCs w:val="24"/>
        </w:rPr>
      </w:pPr>
      <w:r>
        <w:rPr>
          <w:szCs w:val="24"/>
        </w:rPr>
        <w:t>It will consult with Commonwealth, state and territory, and local governmen</w:t>
      </w:r>
      <w:r w:rsidR="00C07123">
        <w:rPr>
          <w:szCs w:val="24"/>
        </w:rPr>
        <w:t>ts in undertaking this inquiry.</w:t>
      </w:r>
    </w:p>
    <w:p w14:paraId="6F2338DA" w14:textId="115FEBE6" w:rsidR="00AE461E" w:rsidRDefault="00AE461E" w:rsidP="00AE461E">
      <w:pPr>
        <w:pStyle w:val="Paragraph"/>
        <w:rPr>
          <w:szCs w:val="24"/>
        </w:rPr>
      </w:pPr>
      <w:r>
        <w:rPr>
          <w:szCs w:val="24"/>
        </w:rPr>
        <w:t>The final report should be provided to the Government by the end of December 2014.</w:t>
      </w:r>
      <w:r w:rsidR="00C07123">
        <w:rPr>
          <w:szCs w:val="24"/>
        </w:rPr>
        <w:t xml:space="preserve"> </w:t>
      </w:r>
      <w:r>
        <w:rPr>
          <w:szCs w:val="24"/>
        </w:rPr>
        <w:t>The reports will be published.</w:t>
      </w:r>
    </w:p>
    <w:p w14:paraId="3548F17E" w14:textId="77777777" w:rsidR="00AE461E" w:rsidRDefault="00AE461E" w:rsidP="00AE461E">
      <w:pPr>
        <w:pStyle w:val="Paragraph"/>
        <w:rPr>
          <w:szCs w:val="24"/>
        </w:rPr>
      </w:pPr>
    </w:p>
    <w:p w14:paraId="4A6530A3" w14:textId="77777777" w:rsidR="00AE461E" w:rsidRDefault="00AE461E" w:rsidP="00AE461E">
      <w:pPr>
        <w:pStyle w:val="Paragraph"/>
        <w:rPr>
          <w:szCs w:val="24"/>
        </w:rPr>
      </w:pPr>
    </w:p>
    <w:p w14:paraId="2707AA18" w14:textId="77777777" w:rsidR="00AE461E" w:rsidRDefault="00AE461E" w:rsidP="00AE461E">
      <w:pPr>
        <w:pStyle w:val="BodyText"/>
        <w:spacing w:before="220" w:line="240" w:lineRule="auto"/>
        <w:jc w:val="left"/>
        <w:rPr>
          <w:szCs w:val="24"/>
        </w:rPr>
      </w:pPr>
      <w:r>
        <w:rPr>
          <w:szCs w:val="24"/>
        </w:rPr>
        <w:t>J. B. HOCKEY</w:t>
      </w:r>
      <w:r>
        <w:rPr>
          <w:szCs w:val="24"/>
        </w:rPr>
        <w:br/>
        <w:t>Treasurer</w:t>
      </w:r>
    </w:p>
    <w:p w14:paraId="217EEB41" w14:textId="666C3A3C" w:rsidR="000B14A5" w:rsidRDefault="000B14A5" w:rsidP="000B14A5">
      <w:pPr>
        <w:pStyle w:val="BodyText"/>
      </w:pPr>
      <w:r>
        <w:t>[Received 28 April 2014]</w:t>
      </w:r>
    </w:p>
    <w:p w14:paraId="2F94F869" w14:textId="77777777" w:rsidR="00A7065A" w:rsidRDefault="00A7065A" w:rsidP="00D70867">
      <w:pPr>
        <w:pStyle w:val="BodyText"/>
        <w:sectPr w:rsidR="00A7065A" w:rsidSect="00D70867">
          <w:headerReference w:type="even" r:id="rId27"/>
          <w:headerReference w:type="default" r:id="rId28"/>
          <w:footerReference w:type="even" r:id="rId29"/>
          <w:footerReference w:type="default" r:id="rId30"/>
          <w:headerReference w:type="first" r:id="rId31"/>
          <w:pgSz w:w="11907" w:h="16840" w:code="9"/>
          <w:pgMar w:top="1985" w:right="1304" w:bottom="1247" w:left="1814" w:header="1701" w:footer="397" w:gutter="0"/>
          <w:pgNumType w:fmt="lowerRoman"/>
          <w:cols w:space="720"/>
        </w:sectPr>
      </w:pPr>
    </w:p>
    <w:p w14:paraId="33021FD6" w14:textId="08E41348" w:rsidR="001E1EB4" w:rsidRDefault="00735FEA" w:rsidP="008206EE">
      <w:pPr>
        <w:pStyle w:val="Heading1NotTOC"/>
        <w:rPr>
          <w:noProof/>
        </w:rPr>
      </w:pPr>
      <w:bookmarkStart w:id="5" w:name="Contents"/>
      <w:bookmarkEnd w:id="5"/>
      <w:r w:rsidRPr="00B153C3">
        <w:lastRenderedPageBreak/>
        <w:t>Contents</w:t>
      </w:r>
      <w:bookmarkStart w:id="6" w:name="InsertContents"/>
      <w:bookmarkEnd w:id="6"/>
    </w:p>
    <w:p w14:paraId="114B9386" w14:textId="6262F1D3" w:rsidR="00C058AB" w:rsidRDefault="009E1939" w:rsidP="001E1EB4">
      <w:pPr>
        <w:pStyle w:val="BodyText"/>
      </w:pPr>
      <w:r>
        <w:t xml:space="preserve">The Commission’s draft report is in two volumes. </w:t>
      </w:r>
      <w:r w:rsidRPr="001E1EB4">
        <w:rPr>
          <w:b/>
        </w:rPr>
        <w:t>This</w:t>
      </w:r>
      <w:r w:rsidR="00E076DA">
        <w:rPr>
          <w:b/>
        </w:rPr>
        <w:t xml:space="preserve"> volume 1 contains the overview;</w:t>
      </w:r>
      <w:r w:rsidRPr="001E1EB4">
        <w:rPr>
          <w:b/>
        </w:rPr>
        <w:t xml:space="preserve"> draft recommendations</w:t>
      </w:r>
      <w:r w:rsidR="00706B5C">
        <w:rPr>
          <w:b/>
        </w:rPr>
        <w:t xml:space="preserve">, </w:t>
      </w:r>
      <w:r w:rsidR="00706B5C" w:rsidRPr="001E1EB4">
        <w:rPr>
          <w:b/>
        </w:rPr>
        <w:t>findings</w:t>
      </w:r>
      <w:r w:rsidRPr="001E1EB4">
        <w:rPr>
          <w:b/>
        </w:rPr>
        <w:t xml:space="preserve"> and information requests</w:t>
      </w:r>
      <w:r w:rsidR="00E076DA">
        <w:rPr>
          <w:b/>
        </w:rPr>
        <w:t>;</w:t>
      </w:r>
      <w:r w:rsidRPr="001E1EB4">
        <w:rPr>
          <w:b/>
        </w:rPr>
        <w:t xml:space="preserve"> chapter</w:t>
      </w:r>
      <w:r w:rsidR="00E076DA">
        <w:rPr>
          <w:b/>
        </w:rPr>
        <w:t>s</w:t>
      </w:r>
      <w:r w:rsidRPr="001E1EB4">
        <w:rPr>
          <w:b/>
        </w:rPr>
        <w:t> 1 to 4</w:t>
      </w:r>
      <w:r w:rsidR="00E076DA">
        <w:rPr>
          <w:b/>
        </w:rPr>
        <w:t>;</w:t>
      </w:r>
      <w:r w:rsidRPr="001E1EB4">
        <w:rPr>
          <w:b/>
        </w:rPr>
        <w:t xml:space="preserve"> and volume 1 references.</w:t>
      </w:r>
      <w:r>
        <w:t xml:space="preserve"> Volume 2 contains supplementary papers 1 to 9 and volume 2 references. Below is the table of contents for both volumes.</w:t>
      </w:r>
    </w:p>
    <w:p w14:paraId="7EB40B30" w14:textId="77777777" w:rsidR="009E1939" w:rsidRPr="003416AC" w:rsidRDefault="009E1939" w:rsidP="009D532F">
      <w:pPr>
        <w:pStyle w:val="TOC1"/>
        <w:shd w:val="clear" w:color="auto" w:fill="BFBFBF"/>
        <w:spacing w:before="240"/>
        <w:ind w:right="0"/>
        <w:jc w:val="center"/>
      </w:pPr>
      <w:r w:rsidRPr="003416AC">
        <w:t>Volume 1</w:t>
      </w:r>
    </w:p>
    <w:p w14:paraId="3F80AE76" w14:textId="229678BA" w:rsidR="001E1EB4" w:rsidRDefault="001E1EB4" w:rsidP="001E1EB4">
      <w:pPr>
        <w:pStyle w:val="TOC1"/>
        <w:rPr>
          <w:rFonts w:asciiTheme="minorHAnsi" w:eastAsiaTheme="minorEastAsia" w:hAnsiTheme="minorHAnsi" w:cstheme="minorBidi"/>
          <w:b w:val="0"/>
          <w:noProof/>
          <w:sz w:val="22"/>
          <w:szCs w:val="22"/>
          <w:lang w:eastAsia="en-AU"/>
        </w:rPr>
      </w:pPr>
      <w:r>
        <w:rPr>
          <w:noProof/>
        </w:rPr>
        <w:t>Opportunity for further comment</w:t>
      </w:r>
      <w:r>
        <w:rPr>
          <w:noProof/>
        </w:rPr>
        <w:tab/>
      </w:r>
      <w:r w:rsidR="00977419">
        <w:rPr>
          <w:noProof/>
        </w:rPr>
        <w:t>iii</w:t>
      </w:r>
    </w:p>
    <w:p w14:paraId="46B1ACB9" w14:textId="4CAB2E81" w:rsidR="001E1EB4" w:rsidRDefault="001E1EB4" w:rsidP="001E1EB4">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sidR="00977419">
        <w:rPr>
          <w:noProof/>
        </w:rPr>
        <w:t>iv</w:t>
      </w:r>
    </w:p>
    <w:p w14:paraId="293C1677" w14:textId="589488D8" w:rsidR="001E1EB4" w:rsidRDefault="001E1EB4" w:rsidP="001E1EB4">
      <w:pPr>
        <w:pStyle w:val="TOC1"/>
        <w:rPr>
          <w:rFonts w:asciiTheme="minorHAnsi" w:eastAsiaTheme="minorEastAsia" w:hAnsiTheme="minorHAnsi" w:cstheme="minorBidi"/>
          <w:b w:val="0"/>
          <w:noProof/>
          <w:sz w:val="22"/>
          <w:szCs w:val="22"/>
          <w:lang w:eastAsia="en-AU"/>
        </w:rPr>
      </w:pPr>
      <w:r>
        <w:rPr>
          <w:noProof/>
        </w:rPr>
        <w:t>Abbre</w:t>
      </w:r>
      <w:r w:rsidR="00977419">
        <w:rPr>
          <w:noProof/>
        </w:rPr>
        <w:t>viations</w:t>
      </w:r>
      <w:r>
        <w:rPr>
          <w:noProof/>
        </w:rPr>
        <w:tab/>
      </w:r>
      <w:r w:rsidR="000E0597">
        <w:rPr>
          <w:noProof/>
        </w:rPr>
        <w:t>xi</w:t>
      </w:r>
    </w:p>
    <w:p w14:paraId="0136A43B" w14:textId="10FB06A9" w:rsidR="001E1EB4" w:rsidRDefault="001E1EB4" w:rsidP="001E1EB4">
      <w:pPr>
        <w:pStyle w:val="TOC1"/>
        <w:rPr>
          <w:noProof/>
        </w:rPr>
      </w:pPr>
      <w:r>
        <w:rPr>
          <w:noProof/>
        </w:rPr>
        <w:t>Glossary</w:t>
      </w:r>
      <w:r>
        <w:rPr>
          <w:noProof/>
        </w:rPr>
        <w:tab/>
      </w:r>
      <w:r w:rsidR="00977419">
        <w:rPr>
          <w:noProof/>
        </w:rPr>
        <w:t>x</w:t>
      </w:r>
      <w:r w:rsidR="000E0597">
        <w:rPr>
          <w:noProof/>
        </w:rPr>
        <w:t>iii</w:t>
      </w:r>
    </w:p>
    <w:p w14:paraId="27CC5A97" w14:textId="77777777" w:rsidR="00775E00" w:rsidRDefault="00775E00" w:rsidP="00775E00">
      <w:pPr>
        <w:pStyle w:val="TOC1"/>
        <w:rPr>
          <w:rFonts w:asciiTheme="minorHAnsi" w:eastAsiaTheme="minorEastAsia" w:hAnsiTheme="minorHAnsi" w:cstheme="minorBidi"/>
          <w:b w:val="0"/>
          <w:noProof/>
          <w:sz w:val="22"/>
          <w:szCs w:val="22"/>
          <w:lang w:eastAsia="en-AU"/>
        </w:rPr>
      </w:pPr>
      <w:r>
        <w:rPr>
          <w:noProof/>
        </w:rPr>
        <w:t>Overview</w:t>
      </w:r>
      <w:r>
        <w:rPr>
          <w:noProof/>
        </w:rPr>
        <w:tab/>
        <w:t>1</w:t>
      </w:r>
    </w:p>
    <w:p w14:paraId="11A91F7C" w14:textId="77777777" w:rsidR="00775E00" w:rsidRDefault="00775E00" w:rsidP="00775E00">
      <w:pPr>
        <w:pStyle w:val="TOC1"/>
        <w:rPr>
          <w:rFonts w:asciiTheme="minorHAnsi" w:eastAsiaTheme="minorEastAsia" w:hAnsiTheme="minorHAnsi" w:cstheme="minorBidi"/>
          <w:b w:val="0"/>
          <w:noProof/>
          <w:sz w:val="22"/>
          <w:szCs w:val="22"/>
          <w:lang w:eastAsia="en-AU"/>
        </w:rPr>
      </w:pPr>
      <w:r>
        <w:rPr>
          <w:noProof/>
        </w:rPr>
        <w:t>Draft recommendations, findings and information requests</w:t>
      </w:r>
      <w:r>
        <w:rPr>
          <w:noProof/>
        </w:rPr>
        <w:tab/>
        <w:t>33</w:t>
      </w:r>
    </w:p>
    <w:p w14:paraId="20299A5C" w14:textId="77777777" w:rsidR="00775E00" w:rsidRDefault="00775E00" w:rsidP="00775E00">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inquiry and effective risk management</w:t>
      </w:r>
      <w:r>
        <w:rPr>
          <w:noProof/>
        </w:rPr>
        <w:tab/>
        <w:t>45</w:t>
      </w:r>
    </w:p>
    <w:p w14:paraId="77138BBE" w14:textId="77777777" w:rsidR="00775E00" w:rsidRDefault="00775E00" w:rsidP="00775E00">
      <w:pPr>
        <w:pStyle w:val="TOC2"/>
        <w:tabs>
          <w:tab w:val="left" w:pos="1134"/>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has the Commission been asked to do?</w:t>
      </w:r>
      <w:r>
        <w:rPr>
          <w:noProof/>
        </w:rPr>
        <w:tab/>
        <w:t>46</w:t>
      </w:r>
    </w:p>
    <w:p w14:paraId="43E4ED70" w14:textId="77777777" w:rsidR="00775E00" w:rsidRDefault="00775E00" w:rsidP="00775E00">
      <w:pPr>
        <w:pStyle w:val="TOC2"/>
        <w:tabs>
          <w:tab w:val="left" w:pos="1134"/>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The conceptual framework</w:t>
      </w:r>
      <w:r>
        <w:rPr>
          <w:noProof/>
        </w:rPr>
        <w:tab/>
        <w:t>49</w:t>
      </w:r>
    </w:p>
    <w:p w14:paraId="4075AD71" w14:textId="77777777" w:rsidR="00775E00" w:rsidRDefault="00775E00" w:rsidP="00775E00">
      <w:pPr>
        <w:pStyle w:val="TOC2"/>
        <w:tabs>
          <w:tab w:val="left" w:pos="1134"/>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A guide to the report</w:t>
      </w:r>
      <w:r>
        <w:rPr>
          <w:noProof/>
        </w:rPr>
        <w:tab/>
        <w:t>60</w:t>
      </w:r>
    </w:p>
    <w:p w14:paraId="7D8B9406" w14:textId="77777777" w:rsidR="00775E00" w:rsidRDefault="00775E00" w:rsidP="00775E00">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The performance of Australia’s natural disaster funding arrangements</w:t>
      </w:r>
      <w:r>
        <w:rPr>
          <w:noProof/>
        </w:rPr>
        <w:tab/>
        <w:t>63</w:t>
      </w:r>
    </w:p>
    <w:p w14:paraId="6EBAB16C" w14:textId="77777777" w:rsidR="00775E00" w:rsidRDefault="00775E00" w:rsidP="00775E00">
      <w:pPr>
        <w:pStyle w:val="TOC2"/>
        <w:tabs>
          <w:tab w:val="left" w:pos="1134"/>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Current natural disaster funding arrangements</w:t>
      </w:r>
      <w:r>
        <w:rPr>
          <w:noProof/>
        </w:rPr>
        <w:tab/>
        <w:t>64</w:t>
      </w:r>
    </w:p>
    <w:p w14:paraId="0B357732" w14:textId="620621F8" w:rsidR="00775E00" w:rsidRDefault="00775E00" w:rsidP="00775E00">
      <w:pPr>
        <w:pStyle w:val="TOC2"/>
        <w:tabs>
          <w:tab w:val="left" w:pos="1134"/>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Managing risks to government</w:t>
      </w:r>
      <w:r>
        <w:rPr>
          <w:noProof/>
        </w:rPr>
        <w:noBreakHyphen/>
        <w:t>owned assets</w:t>
      </w:r>
      <w:r>
        <w:rPr>
          <w:noProof/>
        </w:rPr>
        <w:tab/>
        <w:t>7</w:t>
      </w:r>
      <w:r w:rsidR="00777815">
        <w:rPr>
          <w:noProof/>
        </w:rPr>
        <w:t>6</w:t>
      </w:r>
    </w:p>
    <w:p w14:paraId="1D2A6F7D" w14:textId="77777777" w:rsidR="00775E00" w:rsidRDefault="00775E00" w:rsidP="00775E00">
      <w:pPr>
        <w:pStyle w:val="TOC2"/>
        <w:tabs>
          <w:tab w:val="left" w:pos="1134"/>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Managing shared risks</w:t>
      </w:r>
      <w:r>
        <w:rPr>
          <w:noProof/>
        </w:rPr>
        <w:tab/>
        <w:t>102</w:t>
      </w:r>
    </w:p>
    <w:p w14:paraId="0003DC57" w14:textId="77777777" w:rsidR="00775E00" w:rsidRDefault="00775E00" w:rsidP="00775E00">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Intergovernmental natural disaster funding reform</w:t>
      </w:r>
      <w:r>
        <w:rPr>
          <w:noProof/>
        </w:rPr>
        <w:tab/>
        <w:t>111</w:t>
      </w:r>
    </w:p>
    <w:p w14:paraId="2F28A57C" w14:textId="77777777" w:rsidR="00775E00" w:rsidRDefault="00775E00" w:rsidP="00775E00">
      <w:pPr>
        <w:pStyle w:val="TOC2"/>
        <w:tabs>
          <w:tab w:val="left" w:pos="1134"/>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A framework for effective natural disaster management</w:t>
      </w:r>
      <w:r>
        <w:rPr>
          <w:noProof/>
        </w:rPr>
        <w:tab/>
        <w:t>112</w:t>
      </w:r>
    </w:p>
    <w:p w14:paraId="45616283" w14:textId="77777777" w:rsidR="00775E00" w:rsidRDefault="00775E00" w:rsidP="00775E00">
      <w:pPr>
        <w:pStyle w:val="TOC2"/>
        <w:tabs>
          <w:tab w:val="left" w:pos="1134"/>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Relief and recovery</w:t>
      </w:r>
      <w:r>
        <w:rPr>
          <w:noProof/>
        </w:rPr>
        <w:tab/>
        <w:t>115</w:t>
      </w:r>
    </w:p>
    <w:p w14:paraId="440D026F" w14:textId="77777777" w:rsidR="00775E00" w:rsidRDefault="00775E00" w:rsidP="00775E00">
      <w:pPr>
        <w:pStyle w:val="TOC2"/>
        <w:tabs>
          <w:tab w:val="left" w:pos="1134"/>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Mitigation</w:t>
      </w:r>
      <w:r>
        <w:rPr>
          <w:noProof/>
        </w:rPr>
        <w:tab/>
        <w:t>135</w:t>
      </w:r>
    </w:p>
    <w:p w14:paraId="42233F74" w14:textId="77777777" w:rsidR="00775E00" w:rsidRDefault="00775E00" w:rsidP="00775E00">
      <w:pPr>
        <w:pStyle w:val="TOC2"/>
        <w:tabs>
          <w:tab w:val="left" w:pos="1134"/>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Accountability</w:t>
      </w:r>
      <w:r>
        <w:rPr>
          <w:noProof/>
        </w:rPr>
        <w:tab/>
        <w:t>138</w:t>
      </w:r>
    </w:p>
    <w:p w14:paraId="5D462AE4" w14:textId="77777777" w:rsidR="00775E00" w:rsidRDefault="00775E00" w:rsidP="00775E00">
      <w:pPr>
        <w:pStyle w:val="TOC2"/>
        <w:tabs>
          <w:tab w:val="left" w:pos="1134"/>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Managing shared risks</w:t>
      </w:r>
      <w:r>
        <w:rPr>
          <w:noProof/>
        </w:rPr>
        <w:tab/>
        <w:t>147</w:t>
      </w:r>
    </w:p>
    <w:p w14:paraId="67E8604A" w14:textId="77777777" w:rsidR="00775E00" w:rsidRDefault="00775E00" w:rsidP="00775E00">
      <w:pPr>
        <w:pStyle w:val="TOC2"/>
        <w:tabs>
          <w:tab w:val="left" w:pos="1134"/>
        </w:tabs>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Implementation</w:t>
      </w:r>
      <w:r>
        <w:rPr>
          <w:noProof/>
        </w:rPr>
        <w:tab/>
        <w:t>149</w:t>
      </w:r>
    </w:p>
    <w:p w14:paraId="58C2F390" w14:textId="77777777" w:rsidR="00775E00" w:rsidRDefault="00775E00" w:rsidP="00775E00">
      <w:pPr>
        <w:pStyle w:val="TOC1"/>
        <w:rPr>
          <w:rFonts w:asciiTheme="minorHAnsi" w:eastAsiaTheme="minorEastAsia" w:hAnsiTheme="minorHAnsi" w:cstheme="minorBidi"/>
          <w:b w:val="0"/>
          <w:noProof/>
          <w:sz w:val="22"/>
          <w:szCs w:val="22"/>
          <w:lang w:eastAsia="en-AU"/>
        </w:rPr>
      </w:pPr>
      <w:r>
        <w:rPr>
          <w:noProof/>
        </w:rPr>
        <w:lastRenderedPageBreak/>
        <w:t>4</w:t>
      </w:r>
      <w:r>
        <w:rPr>
          <w:rFonts w:asciiTheme="minorHAnsi" w:eastAsiaTheme="minorEastAsia" w:hAnsiTheme="minorHAnsi" w:cstheme="minorBidi"/>
          <w:b w:val="0"/>
          <w:noProof/>
          <w:sz w:val="22"/>
          <w:szCs w:val="22"/>
          <w:lang w:eastAsia="en-AU"/>
        </w:rPr>
        <w:tab/>
      </w:r>
      <w:r>
        <w:rPr>
          <w:noProof/>
        </w:rPr>
        <w:t>Policy reforms to improve natural disaster risk management</w:t>
      </w:r>
      <w:r>
        <w:rPr>
          <w:noProof/>
        </w:rPr>
        <w:tab/>
        <w:t>153</w:t>
      </w:r>
    </w:p>
    <w:p w14:paraId="4A06BEBE" w14:textId="77777777" w:rsidR="00775E00" w:rsidRDefault="00775E00" w:rsidP="00775E00">
      <w:pPr>
        <w:pStyle w:val="TOC2"/>
        <w:tabs>
          <w:tab w:val="left" w:pos="1134"/>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Information</w:t>
      </w:r>
      <w:r>
        <w:rPr>
          <w:noProof/>
        </w:rPr>
        <w:tab/>
        <w:t>155</w:t>
      </w:r>
    </w:p>
    <w:p w14:paraId="7FD05A48" w14:textId="77777777" w:rsidR="00775E00" w:rsidRDefault="00775E00" w:rsidP="00775E00">
      <w:pPr>
        <w:pStyle w:val="TOC2"/>
        <w:tabs>
          <w:tab w:val="left" w:pos="1134"/>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The built environment</w:t>
      </w:r>
      <w:r>
        <w:rPr>
          <w:noProof/>
        </w:rPr>
        <w:tab/>
        <w:t>168</w:t>
      </w:r>
    </w:p>
    <w:p w14:paraId="7724857F" w14:textId="77777777" w:rsidR="00775E00" w:rsidRDefault="00775E00" w:rsidP="00775E00">
      <w:pPr>
        <w:pStyle w:val="TOC2"/>
        <w:tabs>
          <w:tab w:val="left" w:pos="1134"/>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Insurance markets</w:t>
      </w:r>
      <w:r>
        <w:rPr>
          <w:noProof/>
        </w:rPr>
        <w:tab/>
        <w:t>177</w:t>
      </w:r>
    </w:p>
    <w:p w14:paraId="4F225764" w14:textId="77777777" w:rsidR="00775E00" w:rsidRDefault="00775E00" w:rsidP="00775E00">
      <w:pPr>
        <w:pStyle w:val="TOC2"/>
        <w:tabs>
          <w:tab w:val="left" w:pos="1134"/>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Infrastructure</w:t>
      </w:r>
      <w:r>
        <w:rPr>
          <w:noProof/>
        </w:rPr>
        <w:tab/>
        <w:t>184</w:t>
      </w:r>
    </w:p>
    <w:p w14:paraId="1FAC27DE" w14:textId="44BF851D" w:rsidR="00F81E05" w:rsidRDefault="00775E00" w:rsidP="009B5999">
      <w:pPr>
        <w:pStyle w:val="TOC1"/>
        <w:rPr>
          <w:noProof/>
        </w:rPr>
      </w:pPr>
      <w:r>
        <w:rPr>
          <w:noProof/>
        </w:rPr>
        <w:t>References</w:t>
      </w:r>
      <w:r>
        <w:rPr>
          <w:noProof/>
        </w:rPr>
        <w:tab/>
        <w:t>187</w:t>
      </w:r>
    </w:p>
    <w:p w14:paraId="1041FA71" w14:textId="32D0EE4A" w:rsidR="001467B9" w:rsidRDefault="001467B9" w:rsidP="0034537A">
      <w:pPr>
        <w:pStyle w:val="TOC1"/>
        <w:shd w:val="clear" w:color="auto" w:fill="BFBFBF"/>
        <w:spacing w:before="480"/>
        <w:ind w:right="0"/>
        <w:jc w:val="center"/>
      </w:pPr>
      <w:r>
        <w:t>Volume 2</w:t>
      </w:r>
    </w:p>
    <w:p w14:paraId="579E6398" w14:textId="77777777" w:rsidR="005549E1" w:rsidRDefault="005549E1" w:rsidP="005549E1">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The Commission’s approach</w:t>
      </w:r>
      <w:r>
        <w:rPr>
          <w:noProof/>
        </w:rPr>
        <w:tab/>
        <w:t>193</w:t>
      </w:r>
    </w:p>
    <w:p w14:paraId="725F9B94" w14:textId="77777777" w:rsidR="005549E1" w:rsidRDefault="005549E1" w:rsidP="005549E1">
      <w:pPr>
        <w:pStyle w:val="TOC2"/>
        <w:tabs>
          <w:tab w:val="left" w:pos="1134"/>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The conduct of the inquiry</w:t>
      </w:r>
      <w:r>
        <w:rPr>
          <w:noProof/>
        </w:rPr>
        <w:tab/>
        <w:t>193</w:t>
      </w:r>
    </w:p>
    <w:p w14:paraId="58E0630B" w14:textId="77777777" w:rsidR="005549E1" w:rsidRDefault="005549E1" w:rsidP="005549E1">
      <w:pPr>
        <w:pStyle w:val="TOC2"/>
        <w:tabs>
          <w:tab w:val="left" w:pos="1134"/>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Key themes from stakeholder input</w:t>
      </w:r>
      <w:r>
        <w:rPr>
          <w:noProof/>
        </w:rPr>
        <w:tab/>
        <w:t>196</w:t>
      </w:r>
    </w:p>
    <w:p w14:paraId="33447497" w14:textId="77777777" w:rsidR="005549E1" w:rsidRDefault="005549E1" w:rsidP="005549E1">
      <w:pPr>
        <w:pStyle w:val="TOC2"/>
        <w:tabs>
          <w:tab w:val="left" w:pos="1134"/>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List of submissions and visits</w:t>
      </w:r>
      <w:r>
        <w:rPr>
          <w:noProof/>
        </w:rPr>
        <w:tab/>
        <w:t>221</w:t>
      </w:r>
    </w:p>
    <w:p w14:paraId="6439854B" w14:textId="77777777" w:rsidR="005549E1" w:rsidRDefault="005549E1" w:rsidP="005549E1">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The impacts of natural disasters</w:t>
      </w:r>
      <w:r>
        <w:rPr>
          <w:noProof/>
        </w:rPr>
        <w:tab/>
        <w:t>229</w:t>
      </w:r>
    </w:p>
    <w:p w14:paraId="0DBB702E" w14:textId="77777777" w:rsidR="005549E1" w:rsidRDefault="005549E1" w:rsidP="005549E1">
      <w:pPr>
        <w:pStyle w:val="TOC2"/>
        <w:tabs>
          <w:tab w:val="left" w:pos="1134"/>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Introduction and key points</w:t>
      </w:r>
      <w:r>
        <w:rPr>
          <w:noProof/>
        </w:rPr>
        <w:tab/>
        <w:t>229</w:t>
      </w:r>
    </w:p>
    <w:p w14:paraId="6ACB57B2" w14:textId="77777777" w:rsidR="005549E1" w:rsidRDefault="005549E1" w:rsidP="005549E1">
      <w:pPr>
        <w:pStyle w:val="TOC2"/>
        <w:tabs>
          <w:tab w:val="left" w:pos="1134"/>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Natural disaster types and trends in Australia</w:t>
      </w:r>
      <w:r>
        <w:rPr>
          <w:noProof/>
        </w:rPr>
        <w:tab/>
        <w:t>230</w:t>
      </w:r>
    </w:p>
    <w:p w14:paraId="15F03057" w14:textId="77777777" w:rsidR="005549E1" w:rsidRDefault="005549E1" w:rsidP="005549E1">
      <w:pPr>
        <w:pStyle w:val="TOC2"/>
        <w:tabs>
          <w:tab w:val="left" w:pos="1134"/>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The economic costs of natural disasters</w:t>
      </w:r>
      <w:r>
        <w:rPr>
          <w:noProof/>
        </w:rPr>
        <w:tab/>
        <w:t>236</w:t>
      </w:r>
    </w:p>
    <w:p w14:paraId="3A7B4A01" w14:textId="77777777" w:rsidR="005549E1" w:rsidRDefault="005549E1" w:rsidP="005549E1">
      <w:pPr>
        <w:pStyle w:val="TOC2"/>
        <w:tabs>
          <w:tab w:val="left" w:pos="1134"/>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The fiscal costs of natural disasters</w:t>
      </w:r>
      <w:r>
        <w:rPr>
          <w:noProof/>
        </w:rPr>
        <w:tab/>
        <w:t>249</w:t>
      </w:r>
    </w:p>
    <w:p w14:paraId="26D2DE62" w14:textId="77777777" w:rsidR="005549E1" w:rsidRDefault="005549E1" w:rsidP="005549E1">
      <w:pPr>
        <w:pStyle w:val="TOC2"/>
        <w:rPr>
          <w:noProof/>
        </w:rPr>
      </w:pPr>
      <w:r>
        <w:rPr>
          <w:noProof/>
        </w:rPr>
        <w:t>Annexes</w:t>
      </w:r>
      <w:r>
        <w:rPr>
          <w:noProof/>
        </w:rPr>
        <w:tab/>
        <w:t>257</w:t>
      </w:r>
    </w:p>
    <w:p w14:paraId="333368B5" w14:textId="0339D354" w:rsidR="00EF0224" w:rsidRDefault="00EF0224" w:rsidP="00EF0224">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Natural disaster funding arrangements</w:t>
      </w:r>
      <w:r>
        <w:rPr>
          <w:noProof/>
        </w:rPr>
        <w:tab/>
        <w:t>261</w:t>
      </w:r>
    </w:p>
    <w:p w14:paraId="5644B9E0" w14:textId="53B6AC91"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Introduction and key points</w:t>
      </w:r>
      <w:r>
        <w:rPr>
          <w:noProof/>
        </w:rPr>
        <w:tab/>
        <w:t>261</w:t>
      </w:r>
    </w:p>
    <w:p w14:paraId="259BA337" w14:textId="632E5B9B"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A brief history of Australia’s emergency management and natural disaster funding arrangements</w:t>
      </w:r>
      <w:r>
        <w:rPr>
          <w:noProof/>
        </w:rPr>
        <w:tab/>
        <w:t>262</w:t>
      </w:r>
    </w:p>
    <w:p w14:paraId="5ED12A7A" w14:textId="0C58EBF0"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Private and government sector roles and responsibilities</w:t>
      </w:r>
      <w:r>
        <w:rPr>
          <w:noProof/>
        </w:rPr>
        <w:tab/>
        <w:t>266</w:t>
      </w:r>
    </w:p>
    <w:p w14:paraId="19577EB0" w14:textId="379B600A"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Government funding frameworks</w:t>
      </w:r>
      <w:r>
        <w:rPr>
          <w:noProof/>
        </w:rPr>
        <w:tab/>
        <w:t>275</w:t>
      </w:r>
    </w:p>
    <w:p w14:paraId="4CA3DCC9" w14:textId="5C05525A"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Government funding</w:t>
      </w:r>
      <w:r>
        <w:rPr>
          <w:noProof/>
        </w:rPr>
        <w:tab/>
        <w:t>280</w:t>
      </w:r>
    </w:p>
    <w:p w14:paraId="4559E35C" w14:textId="2FEF46B3"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Private funding</w:t>
      </w:r>
      <w:r>
        <w:rPr>
          <w:noProof/>
        </w:rPr>
        <w:tab/>
        <w:t>295</w:t>
      </w:r>
    </w:p>
    <w:p w14:paraId="2474202F" w14:textId="6C426836" w:rsidR="00EF0224" w:rsidRDefault="00EF0224" w:rsidP="00EF0224">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Effective natural disaster risk management</w:t>
      </w:r>
      <w:r>
        <w:rPr>
          <w:noProof/>
        </w:rPr>
        <w:tab/>
        <w:t>297</w:t>
      </w:r>
    </w:p>
    <w:p w14:paraId="160363CC" w14:textId="73B09EDD"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Introduction and key findings</w:t>
      </w:r>
      <w:r>
        <w:rPr>
          <w:noProof/>
        </w:rPr>
        <w:tab/>
        <w:t>297</w:t>
      </w:r>
    </w:p>
    <w:p w14:paraId="1B184FD8" w14:textId="02D9C960"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What is effective natural disaster risk management?</w:t>
      </w:r>
      <w:r>
        <w:rPr>
          <w:noProof/>
        </w:rPr>
        <w:tab/>
        <w:t>299</w:t>
      </w:r>
    </w:p>
    <w:p w14:paraId="0EBBD6EE" w14:textId="10B333FF"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Effective natural disaster risk management by households and businesses</w:t>
      </w:r>
      <w:r>
        <w:rPr>
          <w:noProof/>
        </w:rPr>
        <w:tab/>
        <w:t>304</w:t>
      </w:r>
    </w:p>
    <w:p w14:paraId="57312A8C" w14:textId="563B6C2F"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lastRenderedPageBreak/>
        <w:t>4.4</w:t>
      </w:r>
      <w:r>
        <w:rPr>
          <w:rFonts w:asciiTheme="minorHAnsi" w:eastAsiaTheme="minorEastAsia" w:hAnsiTheme="minorHAnsi" w:cstheme="minorBidi"/>
          <w:noProof/>
          <w:sz w:val="22"/>
          <w:szCs w:val="22"/>
          <w:lang w:eastAsia="en-AU"/>
        </w:rPr>
        <w:tab/>
      </w:r>
      <w:r>
        <w:rPr>
          <w:noProof/>
        </w:rPr>
        <w:t>What is the role for government?</w:t>
      </w:r>
      <w:r>
        <w:rPr>
          <w:noProof/>
        </w:rPr>
        <w:tab/>
        <w:t>312</w:t>
      </w:r>
    </w:p>
    <w:p w14:paraId="143A1EA5" w14:textId="462B82A9"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Managing natural disaster risks to government</w:t>
      </w:r>
      <w:r>
        <w:rPr>
          <w:noProof/>
        </w:rPr>
        <w:noBreakHyphen/>
        <w:t>owned assets and service delivery</w:t>
      </w:r>
      <w:r>
        <w:rPr>
          <w:noProof/>
        </w:rPr>
        <w:tab/>
        <w:t>314</w:t>
      </w:r>
    </w:p>
    <w:p w14:paraId="14B654FE" w14:textId="30196A51"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4.6</w:t>
      </w:r>
      <w:r>
        <w:rPr>
          <w:rFonts w:asciiTheme="minorHAnsi" w:eastAsiaTheme="minorEastAsia" w:hAnsiTheme="minorHAnsi" w:cstheme="minorBidi"/>
          <w:noProof/>
          <w:sz w:val="22"/>
          <w:szCs w:val="22"/>
          <w:lang w:eastAsia="en-AU"/>
        </w:rPr>
        <w:tab/>
      </w:r>
      <w:r>
        <w:rPr>
          <w:noProof/>
        </w:rPr>
        <w:t>Setting policy to reduce impediments to effective natural disaster risk management</w:t>
      </w:r>
      <w:r>
        <w:rPr>
          <w:noProof/>
        </w:rPr>
        <w:tab/>
        <w:t>322</w:t>
      </w:r>
    </w:p>
    <w:p w14:paraId="31E75ED4" w14:textId="3F9C17B2"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4.7</w:t>
      </w:r>
      <w:r>
        <w:rPr>
          <w:rFonts w:asciiTheme="minorHAnsi" w:eastAsiaTheme="minorEastAsia" w:hAnsiTheme="minorHAnsi" w:cstheme="minorBidi"/>
          <w:noProof/>
          <w:sz w:val="22"/>
          <w:szCs w:val="22"/>
          <w:lang w:eastAsia="en-AU"/>
        </w:rPr>
        <w:tab/>
      </w:r>
      <w:r>
        <w:rPr>
          <w:noProof/>
        </w:rPr>
        <w:t>Supporting management of shared risks</w:t>
      </w:r>
      <w:r>
        <w:rPr>
          <w:noProof/>
        </w:rPr>
        <w:tab/>
        <w:t>328</w:t>
      </w:r>
    </w:p>
    <w:p w14:paraId="142DBA98" w14:textId="7F8FABF9" w:rsidR="00EF0224" w:rsidRDefault="00EF0224" w:rsidP="00EF0224">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Natural disaster mitigation</w:t>
      </w:r>
      <w:r>
        <w:rPr>
          <w:noProof/>
        </w:rPr>
        <w:tab/>
        <w:t>329</w:t>
      </w:r>
    </w:p>
    <w:p w14:paraId="395C08F3" w14:textId="1E257D2F"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Introduction and key points</w:t>
      </w:r>
      <w:r>
        <w:rPr>
          <w:noProof/>
        </w:rPr>
        <w:tab/>
        <w:t>329</w:t>
      </w:r>
    </w:p>
    <w:p w14:paraId="1AD020CE" w14:textId="60176FBB"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What is mitigation?</w:t>
      </w:r>
      <w:r>
        <w:rPr>
          <w:noProof/>
        </w:rPr>
        <w:tab/>
        <w:t>330</w:t>
      </w:r>
    </w:p>
    <w:p w14:paraId="3D874019" w14:textId="4DD10397"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Assessing mitigation options</w:t>
      </w:r>
      <w:r>
        <w:rPr>
          <w:noProof/>
        </w:rPr>
        <w:tab/>
        <w:t>336</w:t>
      </w:r>
    </w:p>
    <w:p w14:paraId="08B2E0F1" w14:textId="4A68AD61"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Institutional and governance arrangements for mitigation decision making</w:t>
      </w:r>
      <w:r>
        <w:rPr>
          <w:noProof/>
        </w:rPr>
        <w:tab/>
        <w:t>348</w:t>
      </w:r>
    </w:p>
    <w:p w14:paraId="516C3991" w14:textId="2C933E16"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Funding and financing mechanisms</w:t>
      </w:r>
      <w:r>
        <w:rPr>
          <w:noProof/>
        </w:rPr>
        <w:tab/>
        <w:t>357</w:t>
      </w:r>
    </w:p>
    <w:p w14:paraId="3FE95C79" w14:textId="45262539" w:rsidR="00EF0224" w:rsidRDefault="00EF0224" w:rsidP="00EF0224">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Insurance and natural disasters</w:t>
      </w:r>
      <w:r>
        <w:rPr>
          <w:noProof/>
        </w:rPr>
        <w:tab/>
        <w:t>365</w:t>
      </w:r>
    </w:p>
    <w:p w14:paraId="768D5DE7" w14:textId="108CF98A"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Introduction and key points</w:t>
      </w:r>
      <w:r>
        <w:rPr>
          <w:noProof/>
        </w:rPr>
        <w:tab/>
        <w:t>365</w:t>
      </w:r>
    </w:p>
    <w:p w14:paraId="28585FDB" w14:textId="23395430"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The role of insurance in risk management</w:t>
      </w:r>
      <w:r>
        <w:rPr>
          <w:noProof/>
        </w:rPr>
        <w:tab/>
        <w:t>366</w:t>
      </w:r>
    </w:p>
    <w:p w14:paraId="61620E7A" w14:textId="1B71AA70"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Are governments’ insurance arrangements consistent with effective risk management?</w:t>
      </w:r>
      <w:r>
        <w:rPr>
          <w:noProof/>
        </w:rPr>
        <w:tab/>
        <w:t>368</w:t>
      </w:r>
    </w:p>
    <w:p w14:paraId="09D247D3" w14:textId="08A471D5"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Are private insurance arrangements consistent with effective risk management?</w:t>
      </w:r>
      <w:r>
        <w:rPr>
          <w:noProof/>
        </w:rPr>
        <w:tab/>
        <w:t>375</w:t>
      </w:r>
    </w:p>
    <w:p w14:paraId="631A1389" w14:textId="63F07AE5"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Insurance affordability and coverage</w:t>
      </w:r>
      <w:r>
        <w:rPr>
          <w:noProof/>
        </w:rPr>
        <w:tab/>
        <w:t>391</w:t>
      </w:r>
    </w:p>
    <w:p w14:paraId="7A6C5D36" w14:textId="42120E55" w:rsidR="00EF0224" w:rsidRDefault="00EF0224" w:rsidP="00EF0224">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Managing natural disaster risk to the built environment</w:t>
      </w:r>
      <w:r>
        <w:rPr>
          <w:noProof/>
        </w:rPr>
        <w:tab/>
        <w:t>401</w:t>
      </w:r>
    </w:p>
    <w:p w14:paraId="2A40D6C8" w14:textId="4A3DF8AB"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Introduction and key points</w:t>
      </w:r>
      <w:r>
        <w:rPr>
          <w:noProof/>
        </w:rPr>
        <w:tab/>
        <w:t>401</w:t>
      </w:r>
    </w:p>
    <w:p w14:paraId="147C7B5E" w14:textId="5250507E"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Policy instruments for managing the built environment</w:t>
      </w:r>
      <w:r>
        <w:rPr>
          <w:noProof/>
        </w:rPr>
        <w:tab/>
        <w:t>403</w:t>
      </w:r>
    </w:p>
    <w:p w14:paraId="06958E48" w14:textId="407C631D"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Land use planning</w:t>
      </w:r>
      <w:r>
        <w:rPr>
          <w:noProof/>
        </w:rPr>
        <w:tab/>
        <w:t>405</w:t>
      </w:r>
    </w:p>
    <w:p w14:paraId="32801E6C" w14:textId="3F85D3C0"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Building regulations</w:t>
      </w:r>
      <w:r>
        <w:rPr>
          <w:noProof/>
        </w:rPr>
        <w:tab/>
        <w:t>422</w:t>
      </w:r>
    </w:p>
    <w:p w14:paraId="781BECE6" w14:textId="1160993B"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Existing areas of settlement</w:t>
      </w:r>
      <w:r>
        <w:rPr>
          <w:noProof/>
        </w:rPr>
        <w:tab/>
        <w:t>430</w:t>
      </w:r>
    </w:p>
    <w:p w14:paraId="625C2153" w14:textId="2E8E2627"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7.6</w:t>
      </w:r>
      <w:r>
        <w:rPr>
          <w:rFonts w:asciiTheme="minorHAnsi" w:eastAsiaTheme="minorEastAsia" w:hAnsiTheme="minorHAnsi" w:cstheme="minorBidi"/>
          <w:noProof/>
          <w:sz w:val="22"/>
          <w:szCs w:val="22"/>
          <w:lang w:eastAsia="en-AU"/>
        </w:rPr>
        <w:tab/>
      </w:r>
      <w:r>
        <w:rPr>
          <w:noProof/>
        </w:rPr>
        <w:t>Other built assets</w:t>
      </w:r>
      <w:r>
        <w:rPr>
          <w:noProof/>
        </w:rPr>
        <w:tab/>
        <w:t>438</w:t>
      </w:r>
    </w:p>
    <w:p w14:paraId="03774B0B" w14:textId="5F11A79E" w:rsidR="00EF0224" w:rsidRDefault="00EF0224" w:rsidP="00EF0224">
      <w:pPr>
        <w:pStyle w:val="TOC2"/>
        <w:rPr>
          <w:rFonts w:asciiTheme="minorHAnsi" w:eastAsiaTheme="minorEastAsia" w:hAnsiTheme="minorHAnsi" w:cstheme="minorBidi"/>
          <w:noProof/>
          <w:sz w:val="22"/>
          <w:szCs w:val="22"/>
          <w:lang w:eastAsia="en-AU"/>
        </w:rPr>
      </w:pPr>
      <w:r>
        <w:rPr>
          <w:noProof/>
        </w:rPr>
        <w:t>Annex — Land use planning arrangements</w:t>
      </w:r>
      <w:r>
        <w:rPr>
          <w:noProof/>
        </w:rPr>
        <w:tab/>
        <w:t>442</w:t>
      </w:r>
    </w:p>
    <w:p w14:paraId="128688F7" w14:textId="5D8BE661" w:rsidR="00EF0224" w:rsidRDefault="00EF0224" w:rsidP="00EF0224">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A quantitative assessment of funding arrangements for natural disasters</w:t>
      </w:r>
      <w:r>
        <w:rPr>
          <w:noProof/>
        </w:rPr>
        <w:tab/>
        <w:t>445</w:t>
      </w:r>
    </w:p>
    <w:p w14:paraId="4E412666" w14:textId="51E0F68A"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Introduction and key points</w:t>
      </w:r>
      <w:r>
        <w:rPr>
          <w:noProof/>
        </w:rPr>
        <w:tab/>
        <w:t>445</w:t>
      </w:r>
    </w:p>
    <w:p w14:paraId="346AF983" w14:textId="2F5E81BF"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lastRenderedPageBreak/>
        <w:t>8.2</w:t>
      </w:r>
      <w:r>
        <w:rPr>
          <w:rFonts w:asciiTheme="minorHAnsi" w:eastAsiaTheme="minorEastAsia" w:hAnsiTheme="minorHAnsi" w:cstheme="minorBidi"/>
          <w:noProof/>
          <w:sz w:val="22"/>
          <w:szCs w:val="22"/>
          <w:lang w:eastAsia="en-AU"/>
        </w:rPr>
        <w:tab/>
      </w:r>
      <w:r>
        <w:rPr>
          <w:noProof/>
        </w:rPr>
        <w:t>Key considerations</w:t>
      </w:r>
      <w:r>
        <w:rPr>
          <w:noProof/>
        </w:rPr>
        <w:tab/>
        <w:t>447</w:t>
      </w:r>
    </w:p>
    <w:p w14:paraId="06F2E3FF" w14:textId="5A1917DB"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Natural disaster costs under the counterfactual</w:t>
      </w:r>
      <w:r>
        <w:rPr>
          <w:noProof/>
        </w:rPr>
        <w:tab/>
        <w:t>456</w:t>
      </w:r>
    </w:p>
    <w:p w14:paraId="2F21531A" w14:textId="3FE604B4"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Quantitatively assessing reform option 1</w:t>
      </w:r>
      <w:r>
        <w:rPr>
          <w:noProof/>
        </w:rPr>
        <w:tab/>
        <w:t>463</w:t>
      </w:r>
    </w:p>
    <w:p w14:paraId="2C7DDF64" w14:textId="3540B366" w:rsidR="00EF0224" w:rsidRDefault="00EF0224" w:rsidP="00EF0224">
      <w:pPr>
        <w:pStyle w:val="TOC2"/>
        <w:rPr>
          <w:rFonts w:asciiTheme="minorHAnsi" w:eastAsiaTheme="minorEastAsia" w:hAnsiTheme="minorHAnsi" w:cstheme="minorBidi"/>
          <w:noProof/>
          <w:sz w:val="22"/>
          <w:szCs w:val="22"/>
          <w:lang w:eastAsia="en-AU"/>
        </w:rPr>
      </w:pPr>
      <w:r>
        <w:rPr>
          <w:noProof/>
        </w:rPr>
        <w:t>Annex  — Econometric modelling</w:t>
      </w:r>
      <w:r>
        <w:rPr>
          <w:noProof/>
        </w:rPr>
        <w:tab/>
        <w:t>472</w:t>
      </w:r>
    </w:p>
    <w:p w14:paraId="73EFDC16" w14:textId="66CC29ED" w:rsidR="00EF0224" w:rsidRDefault="00EF0224" w:rsidP="00EF0224">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Lessons from other countries</w:t>
      </w:r>
      <w:r>
        <w:rPr>
          <w:noProof/>
        </w:rPr>
        <w:tab/>
        <w:t>477</w:t>
      </w:r>
    </w:p>
    <w:p w14:paraId="53DB3340" w14:textId="1321AA3D"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Introduction and key points</w:t>
      </w:r>
      <w:r>
        <w:rPr>
          <w:noProof/>
        </w:rPr>
        <w:tab/>
        <w:t>477</w:t>
      </w:r>
    </w:p>
    <w:p w14:paraId="1B49F073" w14:textId="2A13E3A3"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Mitigation funding arrangements</w:t>
      </w:r>
      <w:r>
        <w:rPr>
          <w:noProof/>
        </w:rPr>
        <w:tab/>
        <w:t>478</w:t>
      </w:r>
    </w:p>
    <w:p w14:paraId="7E9A2937" w14:textId="1A6490C6"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Relief and recovery funding arrangements</w:t>
      </w:r>
      <w:r>
        <w:rPr>
          <w:noProof/>
        </w:rPr>
        <w:tab/>
        <w:t>482</w:t>
      </w:r>
    </w:p>
    <w:p w14:paraId="7B2C2115" w14:textId="0115D260"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Government</w:t>
      </w:r>
      <w:r>
        <w:rPr>
          <w:noProof/>
        </w:rPr>
        <w:noBreakHyphen/>
        <w:t>backed insurance schemes</w:t>
      </w:r>
      <w:r>
        <w:rPr>
          <w:noProof/>
        </w:rPr>
        <w:tab/>
        <w:t>490</w:t>
      </w:r>
    </w:p>
    <w:p w14:paraId="66FE1771" w14:textId="52A696C2"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Fiscal management of natural disasters</w:t>
      </w:r>
      <w:r>
        <w:rPr>
          <w:noProof/>
        </w:rPr>
        <w:tab/>
        <w:t>498</w:t>
      </w:r>
    </w:p>
    <w:p w14:paraId="3CD62AC9" w14:textId="220E9994"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9.6</w:t>
      </w:r>
      <w:r>
        <w:rPr>
          <w:rFonts w:asciiTheme="minorHAnsi" w:eastAsiaTheme="minorEastAsia" w:hAnsiTheme="minorHAnsi" w:cstheme="minorBidi"/>
          <w:noProof/>
          <w:sz w:val="22"/>
          <w:szCs w:val="22"/>
          <w:lang w:eastAsia="en-AU"/>
        </w:rPr>
        <w:tab/>
      </w:r>
      <w:r>
        <w:rPr>
          <w:noProof/>
        </w:rPr>
        <w:t>Natural disaster information provision</w:t>
      </w:r>
      <w:r>
        <w:rPr>
          <w:noProof/>
        </w:rPr>
        <w:tab/>
        <w:t>500</w:t>
      </w:r>
    </w:p>
    <w:p w14:paraId="7F342799" w14:textId="592713BE" w:rsidR="00EF0224" w:rsidRDefault="00EF0224" w:rsidP="00EF0224">
      <w:pPr>
        <w:pStyle w:val="TOC2"/>
        <w:tabs>
          <w:tab w:val="left" w:pos="1134"/>
        </w:tabs>
        <w:rPr>
          <w:rFonts w:asciiTheme="minorHAnsi" w:eastAsiaTheme="minorEastAsia" w:hAnsiTheme="minorHAnsi" w:cstheme="minorBidi"/>
          <w:noProof/>
          <w:sz w:val="22"/>
          <w:szCs w:val="22"/>
          <w:lang w:eastAsia="en-AU"/>
        </w:rPr>
      </w:pPr>
      <w:r>
        <w:rPr>
          <w:noProof/>
        </w:rPr>
        <w:t>9.7</w:t>
      </w:r>
      <w:r>
        <w:rPr>
          <w:rFonts w:asciiTheme="minorHAnsi" w:eastAsiaTheme="minorEastAsia" w:hAnsiTheme="minorHAnsi" w:cstheme="minorBidi"/>
          <w:noProof/>
          <w:sz w:val="22"/>
          <w:szCs w:val="22"/>
          <w:lang w:eastAsia="en-AU"/>
        </w:rPr>
        <w:tab/>
      </w:r>
      <w:r>
        <w:rPr>
          <w:noProof/>
        </w:rPr>
        <w:t>Regulation of the built environment</w:t>
      </w:r>
      <w:r>
        <w:rPr>
          <w:noProof/>
        </w:rPr>
        <w:tab/>
        <w:t>504</w:t>
      </w:r>
    </w:p>
    <w:p w14:paraId="41A7713B" w14:textId="1161AE2A" w:rsidR="005549E1" w:rsidRDefault="00EF0224" w:rsidP="00EF0224">
      <w:pPr>
        <w:pStyle w:val="TOC1"/>
        <w:rPr>
          <w:noProof/>
        </w:rPr>
      </w:pPr>
      <w:r>
        <w:rPr>
          <w:noProof/>
        </w:rPr>
        <w:t>References</w:t>
      </w:r>
      <w:r>
        <w:rPr>
          <w:noProof/>
        </w:rPr>
        <w:tab/>
        <w:t>509</w:t>
      </w:r>
    </w:p>
    <w:p w14:paraId="7FB89A11" w14:textId="77777777" w:rsidR="00300D6E" w:rsidRPr="00300D6E" w:rsidRDefault="00300D6E" w:rsidP="006D0DAC">
      <w:pPr>
        <w:pStyle w:val="BodyText"/>
      </w:pPr>
    </w:p>
    <w:p w14:paraId="687E01AF" w14:textId="77777777" w:rsidR="00300D6E" w:rsidRPr="00300D6E" w:rsidRDefault="00300D6E" w:rsidP="00300D6E">
      <w:pPr>
        <w:pStyle w:val="TOC1"/>
        <w:sectPr w:rsidR="00300D6E" w:rsidRPr="00300D6E" w:rsidSect="007448F7">
          <w:headerReference w:type="even" r:id="rId32"/>
          <w:headerReference w:type="default" r:id="rId33"/>
          <w:footerReference w:type="even" r:id="rId34"/>
          <w:footerReference w:type="default" r:id="rId35"/>
          <w:headerReference w:type="first" r:id="rId36"/>
          <w:type w:val="oddPage"/>
          <w:pgSz w:w="11907" w:h="16840" w:code="9"/>
          <w:pgMar w:top="1985" w:right="1304" w:bottom="1247" w:left="1814" w:header="1701" w:footer="397" w:gutter="0"/>
          <w:pgNumType w:fmt="lowerRoman"/>
          <w:cols w:space="720"/>
        </w:sectPr>
      </w:pPr>
    </w:p>
    <w:p w14:paraId="62CAB4B5" w14:textId="090469E1" w:rsidR="00735FEA" w:rsidRDefault="00735FEA" w:rsidP="00F7477E">
      <w:pPr>
        <w:pStyle w:val="Heading1"/>
      </w:pPr>
      <w:bookmarkStart w:id="7" w:name="Abbreviations"/>
      <w:bookmarkStart w:id="8" w:name="EndContents"/>
      <w:bookmarkStart w:id="9" w:name="RDnote"/>
      <w:bookmarkStart w:id="10" w:name="_Toc398618602"/>
      <w:bookmarkEnd w:id="7"/>
      <w:bookmarkEnd w:id="8"/>
      <w:bookmarkEnd w:id="9"/>
      <w:r>
        <w:lastRenderedPageBreak/>
        <w:t>Abbreviations</w:t>
      </w:r>
      <w:bookmarkEnd w:id="10"/>
    </w:p>
    <w:p w14:paraId="40BD9DAE" w14:textId="58B3616B" w:rsidR="007F39FD" w:rsidRDefault="000A4256" w:rsidP="000A4256">
      <w:pPr>
        <w:pStyle w:val="Abbreviation"/>
      </w:pPr>
      <w:proofErr w:type="spellStart"/>
      <w:r>
        <w:t>ABCB</w:t>
      </w:r>
      <w:proofErr w:type="spellEnd"/>
      <w:r>
        <w:tab/>
        <w:t>Australian Building Codes Board</w:t>
      </w:r>
    </w:p>
    <w:p w14:paraId="447FFD42" w14:textId="60A6B11E" w:rsidR="001A181D" w:rsidRDefault="001A181D" w:rsidP="000A4256">
      <w:pPr>
        <w:pStyle w:val="Abbreviation"/>
      </w:pPr>
      <w:r>
        <w:t>ABS</w:t>
      </w:r>
      <w:r>
        <w:tab/>
        <w:t>Australian Bureau of Statistics</w:t>
      </w:r>
    </w:p>
    <w:p w14:paraId="328F4C2E" w14:textId="74802FE4" w:rsidR="00DE3615" w:rsidRDefault="00DE3615" w:rsidP="000A4256">
      <w:pPr>
        <w:pStyle w:val="Abbreviation"/>
      </w:pPr>
      <w:proofErr w:type="spellStart"/>
      <w:r>
        <w:t>AEMA</w:t>
      </w:r>
      <w:proofErr w:type="spellEnd"/>
      <w:r>
        <w:tab/>
        <w:t>Australian Emergency Management Arrangements</w:t>
      </w:r>
    </w:p>
    <w:p w14:paraId="15C89652" w14:textId="23B2086C" w:rsidR="00DE3615" w:rsidRDefault="00DE3615" w:rsidP="000A4256">
      <w:pPr>
        <w:pStyle w:val="Abbreviation"/>
      </w:pPr>
      <w:proofErr w:type="spellStart"/>
      <w:r>
        <w:t>AEMC</w:t>
      </w:r>
      <w:proofErr w:type="spellEnd"/>
      <w:r>
        <w:tab/>
        <w:t>Australian Emergency Management Committee</w:t>
      </w:r>
    </w:p>
    <w:p w14:paraId="082F5792" w14:textId="2DBBC389" w:rsidR="00226A17" w:rsidRDefault="00226A17" w:rsidP="000A4256">
      <w:pPr>
        <w:pStyle w:val="Abbreviation"/>
      </w:pPr>
      <w:proofErr w:type="spellStart"/>
      <w:r>
        <w:t>AEMI</w:t>
      </w:r>
      <w:proofErr w:type="spellEnd"/>
      <w:r>
        <w:tab/>
        <w:t>Australian Emergency</w:t>
      </w:r>
      <w:r w:rsidR="001A181D">
        <w:t xml:space="preserve"> Management</w:t>
      </w:r>
      <w:r>
        <w:t xml:space="preserve"> Institute</w:t>
      </w:r>
    </w:p>
    <w:p w14:paraId="22850BD0" w14:textId="032520E2" w:rsidR="000A4256" w:rsidRDefault="00DE3615" w:rsidP="000A4256">
      <w:pPr>
        <w:pStyle w:val="Abbreviation"/>
      </w:pPr>
      <w:proofErr w:type="spellStart"/>
      <w:r>
        <w:t>AGDRP</w:t>
      </w:r>
      <w:proofErr w:type="spellEnd"/>
      <w:r>
        <w:tab/>
        <w:t>Australian Government Disaster Recovery Payment</w:t>
      </w:r>
    </w:p>
    <w:p w14:paraId="06E92915" w14:textId="77777777" w:rsidR="000A4256" w:rsidRDefault="000A4256" w:rsidP="000A4256">
      <w:pPr>
        <w:pStyle w:val="Abbreviation"/>
      </w:pPr>
      <w:proofErr w:type="spellStart"/>
      <w:r>
        <w:t>ALM</w:t>
      </w:r>
      <w:proofErr w:type="spellEnd"/>
      <w:r>
        <w:tab/>
      </w:r>
      <w:r w:rsidRPr="00754C91">
        <w:t>Asset and liability management</w:t>
      </w:r>
    </w:p>
    <w:p w14:paraId="39D9C4B3" w14:textId="052C2C54" w:rsidR="000A4256" w:rsidRDefault="000A4256" w:rsidP="000A4256">
      <w:pPr>
        <w:pStyle w:val="Abbreviation"/>
      </w:pPr>
      <w:proofErr w:type="spellStart"/>
      <w:r>
        <w:t>ANZEMC</w:t>
      </w:r>
      <w:proofErr w:type="spellEnd"/>
      <w:r>
        <w:tab/>
        <w:t>Australia</w:t>
      </w:r>
      <w:r w:rsidR="00274BC6">
        <w:t>–</w:t>
      </w:r>
      <w:r>
        <w:t>New Zealand Emergency Management Committee</w:t>
      </w:r>
    </w:p>
    <w:p w14:paraId="6193CDAD" w14:textId="2068F5EB" w:rsidR="00F227DF" w:rsidRDefault="00F227DF" w:rsidP="000A4256">
      <w:pPr>
        <w:pStyle w:val="Abbreviation"/>
      </w:pPr>
      <w:proofErr w:type="spellStart"/>
      <w:r>
        <w:t>ARIMA</w:t>
      </w:r>
      <w:proofErr w:type="spellEnd"/>
      <w:r>
        <w:tab/>
        <w:t>Autoregressive integrated moving average (model)</w:t>
      </w:r>
    </w:p>
    <w:p w14:paraId="1024B24C" w14:textId="3FE24936" w:rsidR="00092608" w:rsidRDefault="00092608" w:rsidP="000A4256">
      <w:pPr>
        <w:pStyle w:val="Abbreviation"/>
      </w:pPr>
      <w:r>
        <w:t>BCA</w:t>
      </w:r>
      <w:r>
        <w:tab/>
        <w:t>Building Code of Australia</w:t>
      </w:r>
    </w:p>
    <w:p w14:paraId="725BD819" w14:textId="4AE7D862" w:rsidR="000A4256" w:rsidRDefault="000A4256" w:rsidP="000A4256">
      <w:pPr>
        <w:pStyle w:val="Abbreviation"/>
      </w:pPr>
      <w:proofErr w:type="spellStart"/>
      <w:r>
        <w:t>BCR</w:t>
      </w:r>
      <w:proofErr w:type="spellEnd"/>
      <w:r>
        <w:tab/>
        <w:t>Benefit</w:t>
      </w:r>
      <w:r w:rsidR="00D35ADE">
        <w:t>–</w:t>
      </w:r>
      <w:r>
        <w:t>cost ratio</w:t>
      </w:r>
    </w:p>
    <w:p w14:paraId="487E2574" w14:textId="77777777" w:rsidR="000A4256" w:rsidRDefault="000A4256" w:rsidP="000A4256">
      <w:pPr>
        <w:pStyle w:val="Abbreviation"/>
      </w:pPr>
      <w:r>
        <w:t>BOM</w:t>
      </w:r>
      <w:r>
        <w:tab/>
      </w:r>
      <w:r w:rsidRPr="00105B30">
        <w:t>Bureau of Meteorology</w:t>
      </w:r>
    </w:p>
    <w:p w14:paraId="2A6F9C0C" w14:textId="77777777" w:rsidR="000A4256" w:rsidRDefault="000A4256" w:rsidP="000A4256">
      <w:pPr>
        <w:pStyle w:val="Abbreviation"/>
      </w:pPr>
      <w:proofErr w:type="spellStart"/>
      <w:r>
        <w:t>BRRT</w:t>
      </w:r>
      <w:proofErr w:type="spellEnd"/>
      <w:r>
        <w:tab/>
        <w:t>Building Resilience Rating Tool</w:t>
      </w:r>
    </w:p>
    <w:p w14:paraId="16C24816" w14:textId="3B6502DD" w:rsidR="000A4256" w:rsidRDefault="000A4256" w:rsidP="000A4256">
      <w:pPr>
        <w:pStyle w:val="Abbreviation"/>
      </w:pPr>
      <w:proofErr w:type="spellStart"/>
      <w:r>
        <w:t>CBA</w:t>
      </w:r>
      <w:proofErr w:type="spellEnd"/>
      <w:r>
        <w:tab/>
        <w:t>Cost</w:t>
      </w:r>
      <w:r w:rsidR="00D35ADE">
        <w:t>–</w:t>
      </w:r>
      <w:r>
        <w:t>benefit analysis</w:t>
      </w:r>
    </w:p>
    <w:p w14:paraId="365431A9" w14:textId="77777777" w:rsidR="000A4256" w:rsidRDefault="000A4256" w:rsidP="000A4256">
      <w:pPr>
        <w:pStyle w:val="Abbreviation"/>
      </w:pPr>
      <w:proofErr w:type="spellStart"/>
      <w:r>
        <w:t>CGC</w:t>
      </w:r>
      <w:proofErr w:type="spellEnd"/>
      <w:r>
        <w:tab/>
        <w:t>Commonwealth Grants Commission</w:t>
      </w:r>
    </w:p>
    <w:p w14:paraId="7EFB6338" w14:textId="77777777" w:rsidR="000A4256" w:rsidRDefault="000A4256" w:rsidP="000A4256">
      <w:pPr>
        <w:pStyle w:val="Abbreviation"/>
      </w:pPr>
      <w:proofErr w:type="spellStart"/>
      <w:r>
        <w:t>COAG</w:t>
      </w:r>
      <w:proofErr w:type="spellEnd"/>
      <w:r>
        <w:tab/>
        <w:t>Council of Australian Governments</w:t>
      </w:r>
    </w:p>
    <w:p w14:paraId="7BE8EADC" w14:textId="30127A26" w:rsidR="004F21C8" w:rsidRDefault="004F21C8" w:rsidP="000A4256">
      <w:pPr>
        <w:pStyle w:val="Abbreviation"/>
      </w:pPr>
      <w:r>
        <w:t>CRC</w:t>
      </w:r>
      <w:r>
        <w:tab/>
        <w:t xml:space="preserve">Cooperative Research </w:t>
      </w:r>
      <w:r w:rsidR="00EA06E5">
        <w:t>Centre</w:t>
      </w:r>
    </w:p>
    <w:p w14:paraId="475C39DA" w14:textId="3186EBF7" w:rsidR="000A4256" w:rsidRDefault="000A4256" w:rsidP="000A4256">
      <w:pPr>
        <w:pStyle w:val="Abbreviation"/>
      </w:pPr>
      <w:r>
        <w:t>CSIRO</w:t>
      </w:r>
      <w:r>
        <w:tab/>
      </w:r>
      <w:r w:rsidRPr="00105B30">
        <w:t>Commonwealth Scientific and Industrial Research Organisation</w:t>
      </w:r>
    </w:p>
    <w:p w14:paraId="1F94E479" w14:textId="66F626CF" w:rsidR="004F21C8" w:rsidRDefault="004F21C8" w:rsidP="000A4256">
      <w:pPr>
        <w:pStyle w:val="Abbreviation"/>
      </w:pPr>
      <w:proofErr w:type="spellStart"/>
      <w:r>
        <w:t>DIRS</w:t>
      </w:r>
      <w:proofErr w:type="spellEnd"/>
      <w:r>
        <w:tab/>
        <w:t>Disaster Income Recovery Subsidy</w:t>
      </w:r>
    </w:p>
    <w:p w14:paraId="142A23A1" w14:textId="2E0DAAC8" w:rsidR="000C7DCA" w:rsidRDefault="000C7DCA" w:rsidP="000A4256">
      <w:pPr>
        <w:pStyle w:val="Abbreviation"/>
      </w:pPr>
      <w:proofErr w:type="spellStart"/>
      <w:r>
        <w:t>DRA</w:t>
      </w:r>
      <w:proofErr w:type="spellEnd"/>
      <w:r>
        <w:tab/>
        <w:t>Disaster Recovery Allowance</w:t>
      </w:r>
    </w:p>
    <w:p w14:paraId="38242A60" w14:textId="4AC85B47" w:rsidR="000A4256" w:rsidRDefault="000A4256" w:rsidP="000A4256">
      <w:pPr>
        <w:pStyle w:val="Abbreviation"/>
      </w:pPr>
      <w:proofErr w:type="spellStart"/>
      <w:r>
        <w:t>EQC</w:t>
      </w:r>
      <w:proofErr w:type="spellEnd"/>
      <w:r>
        <w:tab/>
      </w:r>
      <w:r w:rsidRPr="00754C91">
        <w:t>Earthquake Commission</w:t>
      </w:r>
      <w:r w:rsidR="002F7C2A">
        <w:t xml:space="preserve"> (New Zealand)</w:t>
      </w:r>
    </w:p>
    <w:p w14:paraId="1B594FCB" w14:textId="598B1674" w:rsidR="000A4256" w:rsidRDefault="000A4256" w:rsidP="000A4256">
      <w:pPr>
        <w:pStyle w:val="Abbreviation"/>
      </w:pPr>
      <w:proofErr w:type="spellStart"/>
      <w:r>
        <w:t>EMA</w:t>
      </w:r>
      <w:proofErr w:type="spellEnd"/>
      <w:r>
        <w:tab/>
        <w:t>Emergency Management Australia</w:t>
      </w:r>
    </w:p>
    <w:p w14:paraId="4C56EB66" w14:textId="09E3048D" w:rsidR="000A4256" w:rsidRDefault="000A4256" w:rsidP="000A4256">
      <w:pPr>
        <w:pStyle w:val="Abbreviation"/>
      </w:pPr>
      <w:r>
        <w:t>FEMA</w:t>
      </w:r>
      <w:r>
        <w:tab/>
      </w:r>
      <w:r w:rsidRPr="00754C91">
        <w:t>Federal Emergency Management Agency</w:t>
      </w:r>
      <w:r w:rsidR="005A3D72">
        <w:t xml:space="preserve"> (United States)</w:t>
      </w:r>
    </w:p>
    <w:p w14:paraId="241DDF21" w14:textId="5AFD7E42" w:rsidR="003B68D4" w:rsidRDefault="003B68D4" w:rsidP="000A4256">
      <w:pPr>
        <w:pStyle w:val="Abbreviation"/>
      </w:pPr>
      <w:r>
        <w:t>GDP</w:t>
      </w:r>
      <w:r>
        <w:tab/>
        <w:t xml:space="preserve">Gross </w:t>
      </w:r>
      <w:r w:rsidR="009C1DD7">
        <w:t>d</w:t>
      </w:r>
      <w:r>
        <w:t xml:space="preserve">omestic </w:t>
      </w:r>
      <w:r w:rsidR="009C1DD7">
        <w:t>p</w:t>
      </w:r>
      <w:r>
        <w:t>roduct</w:t>
      </w:r>
    </w:p>
    <w:p w14:paraId="223E6B8C" w14:textId="22C64DA1" w:rsidR="009C1DD7" w:rsidRDefault="009C1DD7" w:rsidP="000A4256">
      <w:pPr>
        <w:pStyle w:val="Abbreviation"/>
      </w:pPr>
      <w:r>
        <w:t>GST</w:t>
      </w:r>
      <w:r>
        <w:tab/>
        <w:t>Goods and services tax</w:t>
      </w:r>
    </w:p>
    <w:p w14:paraId="3D917AED" w14:textId="77777777" w:rsidR="000A4256" w:rsidRDefault="000A4256" w:rsidP="000A4256">
      <w:pPr>
        <w:pStyle w:val="Abbreviation"/>
      </w:pPr>
      <w:proofErr w:type="spellStart"/>
      <w:r>
        <w:t>HFE</w:t>
      </w:r>
      <w:proofErr w:type="spellEnd"/>
      <w:r>
        <w:tab/>
        <w:t>Horizontal fiscal equalisation</w:t>
      </w:r>
    </w:p>
    <w:p w14:paraId="149274B0" w14:textId="03CCC9F9" w:rsidR="0005477D" w:rsidRDefault="0005477D" w:rsidP="000A4256">
      <w:pPr>
        <w:pStyle w:val="Abbreviation"/>
      </w:pPr>
      <w:proofErr w:type="spellStart"/>
      <w:r>
        <w:t>ILR</w:t>
      </w:r>
      <w:proofErr w:type="spellEnd"/>
      <w:r>
        <w:tab/>
        <w:t>Insurance loss ratio</w:t>
      </w:r>
    </w:p>
    <w:p w14:paraId="50858A37" w14:textId="178A15F2" w:rsidR="000A4256" w:rsidRDefault="000A4256" w:rsidP="000A4256">
      <w:pPr>
        <w:pStyle w:val="Abbreviation"/>
      </w:pPr>
      <w:proofErr w:type="spellStart"/>
      <w:r>
        <w:lastRenderedPageBreak/>
        <w:t>IPART</w:t>
      </w:r>
      <w:proofErr w:type="spellEnd"/>
      <w:r>
        <w:tab/>
      </w:r>
      <w:r w:rsidRPr="00754C91">
        <w:t>Independent Pricing</w:t>
      </w:r>
      <w:r>
        <w:t xml:space="preserve"> and Regulatory Tribunal</w:t>
      </w:r>
      <w:r w:rsidR="00D35ADE">
        <w:t xml:space="preserve"> (NSW)</w:t>
      </w:r>
    </w:p>
    <w:p w14:paraId="5844DEAE" w14:textId="4C71649F" w:rsidR="00FA0649" w:rsidRDefault="00FA0649" w:rsidP="000A4256">
      <w:pPr>
        <w:pStyle w:val="Abbreviation"/>
      </w:pPr>
      <w:r>
        <w:t>MCA</w:t>
      </w:r>
      <w:r>
        <w:tab/>
        <w:t>Multi</w:t>
      </w:r>
      <w:r w:rsidR="00557914">
        <w:noBreakHyphen/>
      </w:r>
      <w:r>
        <w:t>criteria analysis</w:t>
      </w:r>
    </w:p>
    <w:p w14:paraId="094D3F53" w14:textId="2FA9E1D0" w:rsidR="004F21C8" w:rsidRDefault="004F21C8" w:rsidP="000A4256">
      <w:pPr>
        <w:pStyle w:val="Abbreviation"/>
      </w:pPr>
      <w:proofErr w:type="spellStart"/>
      <w:r>
        <w:t>NBMP</w:t>
      </w:r>
      <w:proofErr w:type="spellEnd"/>
      <w:r>
        <w:tab/>
        <w:t>National Bushfire Management Plan</w:t>
      </w:r>
    </w:p>
    <w:p w14:paraId="18486323" w14:textId="77777777" w:rsidR="000A4256" w:rsidRDefault="000A4256" w:rsidP="000A4256">
      <w:pPr>
        <w:pStyle w:val="Abbreviation"/>
      </w:pPr>
      <w:proofErr w:type="spellStart"/>
      <w:r>
        <w:t>NCC</w:t>
      </w:r>
      <w:proofErr w:type="spellEnd"/>
      <w:r>
        <w:tab/>
        <w:t>National Construction Code</w:t>
      </w:r>
    </w:p>
    <w:p w14:paraId="332D50EC" w14:textId="0C0F547F" w:rsidR="00DF3C77" w:rsidRDefault="00DF3C77" w:rsidP="000A4256">
      <w:pPr>
        <w:pStyle w:val="Abbreviation"/>
      </w:pPr>
      <w:proofErr w:type="spellStart"/>
      <w:r>
        <w:t>NDO</w:t>
      </w:r>
      <w:proofErr w:type="spellEnd"/>
      <w:r>
        <w:tab/>
        <w:t>Natural Disasters Organisation</w:t>
      </w:r>
    </w:p>
    <w:p w14:paraId="2C0FFE8C" w14:textId="77777777" w:rsidR="000A4256" w:rsidRDefault="000A4256" w:rsidP="000A4256">
      <w:pPr>
        <w:pStyle w:val="Abbreviation"/>
      </w:pPr>
      <w:proofErr w:type="spellStart"/>
      <w:r>
        <w:t>NDRF</w:t>
      </w:r>
      <w:proofErr w:type="spellEnd"/>
      <w:r>
        <w:tab/>
        <w:t>National Disaster Resilience Framework</w:t>
      </w:r>
    </w:p>
    <w:p w14:paraId="7CA5099D" w14:textId="77777777" w:rsidR="000A4256" w:rsidRDefault="000A4256" w:rsidP="000A4256">
      <w:pPr>
        <w:pStyle w:val="Abbreviation"/>
      </w:pPr>
      <w:proofErr w:type="spellStart"/>
      <w:r>
        <w:t>NDRP</w:t>
      </w:r>
      <w:proofErr w:type="spellEnd"/>
      <w:r>
        <w:tab/>
        <w:t>National Disaster Resilience Program</w:t>
      </w:r>
    </w:p>
    <w:p w14:paraId="626EB42F" w14:textId="77777777" w:rsidR="000A4256" w:rsidRDefault="000A4256" w:rsidP="000A4256">
      <w:pPr>
        <w:pStyle w:val="Abbreviation"/>
      </w:pPr>
      <w:proofErr w:type="spellStart"/>
      <w:r>
        <w:t>NDRRA</w:t>
      </w:r>
      <w:proofErr w:type="spellEnd"/>
      <w:r>
        <w:tab/>
        <w:t>Natural Disaster Relief and Recovery Arrangements</w:t>
      </w:r>
    </w:p>
    <w:p w14:paraId="4C035B58" w14:textId="77777777" w:rsidR="000A4256" w:rsidRDefault="000A4256" w:rsidP="000A4256">
      <w:pPr>
        <w:pStyle w:val="Abbreviation"/>
      </w:pPr>
      <w:proofErr w:type="spellStart"/>
      <w:r>
        <w:t>NEMC</w:t>
      </w:r>
      <w:proofErr w:type="spellEnd"/>
      <w:r>
        <w:tab/>
        <w:t>National Emergency Management Committee</w:t>
      </w:r>
    </w:p>
    <w:p w14:paraId="37D42ADE" w14:textId="77777777" w:rsidR="000A4256" w:rsidRDefault="000A4256" w:rsidP="000A4256">
      <w:pPr>
        <w:pStyle w:val="Abbreviation"/>
      </w:pPr>
      <w:proofErr w:type="spellStart"/>
      <w:r>
        <w:t>NEMP</w:t>
      </w:r>
      <w:proofErr w:type="spellEnd"/>
      <w:r>
        <w:tab/>
        <w:t xml:space="preserve">National Emergency Management Projects </w:t>
      </w:r>
    </w:p>
    <w:p w14:paraId="617D4FB4" w14:textId="77777777" w:rsidR="000A4256" w:rsidRDefault="000A4256" w:rsidP="000A4256">
      <w:pPr>
        <w:pStyle w:val="Abbreviation"/>
      </w:pPr>
      <w:proofErr w:type="spellStart"/>
      <w:r>
        <w:t>NERAG</w:t>
      </w:r>
      <w:proofErr w:type="spellEnd"/>
      <w:r>
        <w:tab/>
        <w:t>National Emergency Risk Assessment Guidelines</w:t>
      </w:r>
    </w:p>
    <w:p w14:paraId="1F678A0E" w14:textId="77777777" w:rsidR="000A4256" w:rsidRDefault="000A4256" w:rsidP="000A4256">
      <w:pPr>
        <w:pStyle w:val="Abbreviation"/>
      </w:pPr>
      <w:proofErr w:type="spellStart"/>
      <w:r>
        <w:t>NFID</w:t>
      </w:r>
      <w:proofErr w:type="spellEnd"/>
      <w:r>
        <w:tab/>
        <w:t>National Flood Information Database</w:t>
      </w:r>
    </w:p>
    <w:p w14:paraId="6227F082" w14:textId="7780CB74" w:rsidR="000A4256" w:rsidRDefault="000A4256" w:rsidP="000A4256">
      <w:pPr>
        <w:pStyle w:val="Abbreviation"/>
      </w:pPr>
      <w:proofErr w:type="spellStart"/>
      <w:r>
        <w:t>NFIP</w:t>
      </w:r>
      <w:proofErr w:type="spellEnd"/>
      <w:r>
        <w:tab/>
      </w:r>
      <w:r w:rsidRPr="00754C91">
        <w:t>National Flood Insurance Program</w:t>
      </w:r>
      <w:r w:rsidR="00D35ADE">
        <w:t xml:space="preserve"> (United States)</w:t>
      </w:r>
    </w:p>
    <w:p w14:paraId="063B24C1" w14:textId="24EF3EE9" w:rsidR="004F21C8" w:rsidRDefault="004F21C8" w:rsidP="000A4256">
      <w:pPr>
        <w:pStyle w:val="Abbreviation"/>
      </w:pPr>
      <w:proofErr w:type="spellStart"/>
      <w:r>
        <w:t>NFRIP</w:t>
      </w:r>
      <w:proofErr w:type="spellEnd"/>
      <w:r>
        <w:tab/>
        <w:t>National Flood Risk Information Portal</w:t>
      </w:r>
    </w:p>
    <w:p w14:paraId="314298A0" w14:textId="25FDC307" w:rsidR="000A4256" w:rsidRDefault="000A4256" w:rsidP="000A4256">
      <w:pPr>
        <w:pStyle w:val="Abbreviation"/>
      </w:pPr>
      <w:proofErr w:type="spellStart"/>
      <w:r>
        <w:t>NPV</w:t>
      </w:r>
      <w:proofErr w:type="spellEnd"/>
      <w:r>
        <w:tab/>
        <w:t>Net present value</w:t>
      </w:r>
    </w:p>
    <w:p w14:paraId="62E5ED17" w14:textId="77777777" w:rsidR="000A4256" w:rsidRDefault="000A4256" w:rsidP="000A4256">
      <w:pPr>
        <w:pStyle w:val="Abbreviation"/>
      </w:pPr>
      <w:proofErr w:type="spellStart"/>
      <w:r>
        <w:t>NPANDR</w:t>
      </w:r>
      <w:proofErr w:type="spellEnd"/>
      <w:r>
        <w:tab/>
        <w:t>National Partnership Agreement on Natural Disaster Resilience</w:t>
      </w:r>
    </w:p>
    <w:p w14:paraId="29C589B0" w14:textId="77777777" w:rsidR="000A4256" w:rsidRDefault="000A4256" w:rsidP="000A4256">
      <w:pPr>
        <w:pStyle w:val="Abbreviation"/>
      </w:pPr>
      <w:proofErr w:type="spellStart"/>
      <w:r>
        <w:t>NSDR</w:t>
      </w:r>
      <w:proofErr w:type="spellEnd"/>
      <w:r>
        <w:tab/>
        <w:t>National Strategy for Disaster Resilience</w:t>
      </w:r>
    </w:p>
    <w:p w14:paraId="1A3FE1DB" w14:textId="704BE4A3" w:rsidR="000A4256" w:rsidRDefault="000A4256" w:rsidP="000A4256">
      <w:pPr>
        <w:pStyle w:val="Abbreviation"/>
      </w:pPr>
      <w:r>
        <w:t>OECD</w:t>
      </w:r>
      <w:r>
        <w:tab/>
        <w:t>Organisation for Economic Co</w:t>
      </w:r>
      <w:r w:rsidR="00557914">
        <w:noBreakHyphen/>
      </w:r>
      <w:r>
        <w:t>operation and Development</w:t>
      </w:r>
    </w:p>
    <w:p w14:paraId="2EEFA230" w14:textId="3C6AAB9C" w:rsidR="0096203A" w:rsidRDefault="000A4256" w:rsidP="000A4256">
      <w:pPr>
        <w:pStyle w:val="Abbreviation"/>
      </w:pPr>
      <w:r>
        <w:t>PC</w:t>
      </w:r>
      <w:r>
        <w:tab/>
        <w:t>Productivity Commission</w:t>
      </w:r>
    </w:p>
    <w:p w14:paraId="55EFE5A3" w14:textId="7BBB47F2" w:rsidR="008D4DC5" w:rsidRDefault="008D4DC5" w:rsidP="000A4256">
      <w:pPr>
        <w:pStyle w:val="Abbreviation"/>
      </w:pPr>
      <w:proofErr w:type="spellStart"/>
      <w:r>
        <w:t>PPRR</w:t>
      </w:r>
      <w:proofErr w:type="spellEnd"/>
      <w:r>
        <w:tab/>
        <w:t>Prevention, preparedness, response and recovery</w:t>
      </w:r>
    </w:p>
    <w:p w14:paraId="38FC3E7C" w14:textId="557C2452" w:rsidR="000F04D3" w:rsidRDefault="000F04D3" w:rsidP="000A4256">
      <w:pPr>
        <w:pStyle w:val="Abbreviation"/>
      </w:pPr>
      <w:proofErr w:type="spellStart"/>
      <w:r>
        <w:t>QRA</w:t>
      </w:r>
      <w:proofErr w:type="spellEnd"/>
      <w:r>
        <w:tab/>
        <w:t>Queensland Reconstruction Authority</w:t>
      </w:r>
    </w:p>
    <w:p w14:paraId="7EF6EE6A" w14:textId="77777777" w:rsidR="009E3F42" w:rsidRDefault="00C3028F" w:rsidP="000A4256">
      <w:pPr>
        <w:pStyle w:val="Abbreviation"/>
      </w:pPr>
      <w:proofErr w:type="spellStart"/>
      <w:r>
        <w:t>SPP</w:t>
      </w:r>
      <w:proofErr w:type="spellEnd"/>
      <w:r>
        <w:tab/>
        <w:t>Specific purpose payment</w:t>
      </w:r>
    </w:p>
    <w:p w14:paraId="7E086920" w14:textId="1C778D2E" w:rsidR="000C7DCA" w:rsidRDefault="009E3F42" w:rsidP="000A4256">
      <w:pPr>
        <w:pStyle w:val="Abbreviation"/>
      </w:pPr>
      <w:proofErr w:type="spellStart"/>
      <w:r>
        <w:t>SPP</w:t>
      </w:r>
      <w:proofErr w:type="spellEnd"/>
      <w:r>
        <w:tab/>
      </w:r>
      <w:r w:rsidR="002334D7">
        <w:t>State Planning Policy</w:t>
      </w:r>
    </w:p>
    <w:p w14:paraId="6479D852" w14:textId="77777777" w:rsidR="000A4256" w:rsidRDefault="000A4256" w:rsidP="000A4256">
      <w:pPr>
        <w:pStyle w:val="Abbreviation"/>
      </w:pPr>
      <w:proofErr w:type="spellStart"/>
      <w:r>
        <w:t>VBRC</w:t>
      </w:r>
      <w:proofErr w:type="spellEnd"/>
      <w:r>
        <w:tab/>
        <w:t>Victorian Bushfires Royal Commission</w:t>
      </w:r>
    </w:p>
    <w:p w14:paraId="51DAAA2C" w14:textId="2BE496A0" w:rsidR="00E04424" w:rsidRDefault="00E04424" w:rsidP="000A4256">
      <w:pPr>
        <w:pStyle w:val="Abbreviation"/>
      </w:pPr>
      <w:proofErr w:type="spellStart"/>
      <w:r>
        <w:t>VMIA</w:t>
      </w:r>
      <w:proofErr w:type="spellEnd"/>
      <w:r>
        <w:tab/>
        <w:t>Victorian Managed Insurance Authority</w:t>
      </w:r>
    </w:p>
    <w:p w14:paraId="6EFDA3F0" w14:textId="098B9222" w:rsidR="00275F38" w:rsidRDefault="000A4256" w:rsidP="000A4256">
      <w:pPr>
        <w:pStyle w:val="Abbreviation"/>
      </w:pPr>
      <w:proofErr w:type="spellStart"/>
      <w:r>
        <w:t>VFI</w:t>
      </w:r>
      <w:proofErr w:type="spellEnd"/>
      <w:r>
        <w:tab/>
        <w:t>Vertical fiscal imbalance</w:t>
      </w:r>
    </w:p>
    <w:p w14:paraId="65960232" w14:textId="1B57931F" w:rsidR="002334D7" w:rsidRDefault="002334D7" w:rsidP="000A4256">
      <w:pPr>
        <w:pStyle w:val="Abbreviation"/>
      </w:pPr>
      <w:proofErr w:type="spellStart"/>
      <w:r>
        <w:t>VPPs</w:t>
      </w:r>
      <w:proofErr w:type="spellEnd"/>
      <w:r>
        <w:tab/>
        <w:t>Victorian Planning Provisions</w:t>
      </w:r>
    </w:p>
    <w:p w14:paraId="3ABF2A66" w14:textId="77777777" w:rsidR="00EA6698" w:rsidRDefault="00EA6698" w:rsidP="000A4256">
      <w:pPr>
        <w:pStyle w:val="Abbreviation"/>
        <w:sectPr w:rsidR="00EA6698" w:rsidSect="00585B3F">
          <w:headerReference w:type="even" r:id="rId37"/>
          <w:headerReference w:type="default" r:id="rId38"/>
          <w:footerReference w:type="default" r:id="rId39"/>
          <w:headerReference w:type="first" r:id="rId40"/>
          <w:pgSz w:w="11907" w:h="16840" w:code="9"/>
          <w:pgMar w:top="1332" w:right="1304" w:bottom="1247" w:left="1814" w:header="1701" w:footer="397" w:gutter="0"/>
          <w:pgNumType w:fmt="lowerRoman"/>
          <w:cols w:space="720"/>
        </w:sectPr>
      </w:pPr>
    </w:p>
    <w:p w14:paraId="183417DF" w14:textId="77777777" w:rsidR="00E247AE" w:rsidRDefault="00E247AE" w:rsidP="00E247AE">
      <w:pPr>
        <w:pStyle w:val="Heading1"/>
      </w:pPr>
      <w:bookmarkStart w:id="11" w:name="Glossary"/>
      <w:bookmarkStart w:id="12" w:name="_Toc398618603"/>
      <w:bookmarkEnd w:id="11"/>
      <w:r>
        <w:lastRenderedPageBreak/>
        <w:t>Glossary</w:t>
      </w:r>
      <w:bookmarkEnd w:id="1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55"/>
        <w:gridCol w:w="6742"/>
      </w:tblGrid>
      <w:tr w:rsidR="00E247AE" w14:paraId="16DE3B41" w14:textId="77777777" w:rsidTr="00506335">
        <w:tc>
          <w:tcPr>
            <w:tcW w:w="2155" w:type="dxa"/>
          </w:tcPr>
          <w:p w14:paraId="2184961D" w14:textId="77777777" w:rsidR="00E247AE" w:rsidRDefault="00E247AE" w:rsidP="00A90B30">
            <w:pPr>
              <w:pStyle w:val="BodyText"/>
              <w:spacing w:before="0"/>
              <w:jc w:val="left"/>
              <w:rPr>
                <w:lang w:eastAsia="en-US"/>
              </w:rPr>
            </w:pPr>
            <w:r>
              <w:t>Asset and liability management</w:t>
            </w:r>
          </w:p>
        </w:tc>
        <w:tc>
          <w:tcPr>
            <w:tcW w:w="6742" w:type="dxa"/>
          </w:tcPr>
          <w:p w14:paraId="767F90AD" w14:textId="46C546EE" w:rsidR="00E247AE" w:rsidRDefault="00E247AE" w:rsidP="00A90B30">
            <w:pPr>
              <w:pStyle w:val="BodyText"/>
              <w:spacing w:before="0"/>
            </w:pPr>
            <w:r>
              <w:t>A</w:t>
            </w:r>
            <w:r w:rsidRPr="00F148CA">
              <w:t>n approach used by organisations to jointly manage specific risks to their assets and liabilities</w:t>
            </w:r>
            <w:r>
              <w:t xml:space="preserve"> in order to achieve their financial objectives.</w:t>
            </w:r>
          </w:p>
        </w:tc>
      </w:tr>
      <w:tr w:rsidR="00E247AE" w14:paraId="750C79E0" w14:textId="77777777" w:rsidTr="00506335">
        <w:tc>
          <w:tcPr>
            <w:tcW w:w="2155" w:type="dxa"/>
          </w:tcPr>
          <w:p w14:paraId="6693F092" w14:textId="77777777" w:rsidR="00E247AE" w:rsidRDefault="00E247AE" w:rsidP="00802C32">
            <w:pPr>
              <w:pStyle w:val="BodyText"/>
              <w:jc w:val="left"/>
            </w:pPr>
            <w:r>
              <w:t>Asset management plans</w:t>
            </w:r>
          </w:p>
        </w:tc>
        <w:tc>
          <w:tcPr>
            <w:tcW w:w="6742" w:type="dxa"/>
          </w:tcPr>
          <w:p w14:paraId="54810793" w14:textId="1EA0289F" w:rsidR="00E247AE" w:rsidRDefault="00AD43A7" w:rsidP="00AD43A7">
            <w:pPr>
              <w:pStyle w:val="BodyText"/>
            </w:pPr>
            <w:r>
              <w:t>Documents that d</w:t>
            </w:r>
            <w:r w:rsidR="00E247AE" w:rsidRPr="00A173B5">
              <w:t>efine current levels of service and the processes used to manage</w:t>
            </w:r>
            <w:r>
              <w:t xml:space="preserve"> and maintain</w:t>
            </w:r>
            <w:r w:rsidR="00E247AE" w:rsidRPr="00A173B5">
              <w:t xml:space="preserve"> assets</w:t>
            </w:r>
            <w:r>
              <w:t>, such as infrastructure.</w:t>
            </w:r>
          </w:p>
        </w:tc>
      </w:tr>
      <w:tr w:rsidR="00E247AE" w14:paraId="4B56CDCA" w14:textId="77777777" w:rsidTr="00506335">
        <w:tc>
          <w:tcPr>
            <w:tcW w:w="2155" w:type="dxa"/>
          </w:tcPr>
          <w:p w14:paraId="7AAC80A8" w14:textId="43379DCC" w:rsidR="00E247AE" w:rsidRDefault="00E247AE" w:rsidP="00802C32">
            <w:pPr>
              <w:pStyle w:val="BodyText"/>
              <w:jc w:val="left"/>
              <w:rPr>
                <w:rFonts w:ascii="Arial" w:hAnsi="Arial"/>
              </w:rPr>
            </w:pPr>
            <w:r>
              <w:t>Asset register</w:t>
            </w:r>
          </w:p>
        </w:tc>
        <w:tc>
          <w:tcPr>
            <w:tcW w:w="6742" w:type="dxa"/>
          </w:tcPr>
          <w:p w14:paraId="46D097A7" w14:textId="74424277" w:rsidR="00E247AE" w:rsidRDefault="00336D15" w:rsidP="00AD43A7">
            <w:pPr>
              <w:pStyle w:val="BodyText"/>
            </w:pPr>
            <w:r>
              <w:t>A</w:t>
            </w:r>
            <w:r w:rsidR="00E247AE">
              <w:t xml:space="preserve"> list of an organisation’s assets and financial and non</w:t>
            </w:r>
            <w:r w:rsidR="00E247AE">
              <w:noBreakHyphen/>
              <w:t>financial information about the assets.</w:t>
            </w:r>
          </w:p>
        </w:tc>
      </w:tr>
      <w:tr w:rsidR="00506335" w14:paraId="7ACBBCC9" w14:textId="77777777" w:rsidTr="00506335">
        <w:tc>
          <w:tcPr>
            <w:tcW w:w="2155" w:type="dxa"/>
          </w:tcPr>
          <w:p w14:paraId="2B364CC5" w14:textId="5BE21D43" w:rsidR="00506335" w:rsidRDefault="00506335" w:rsidP="00802C32">
            <w:pPr>
              <w:pStyle w:val="BodyText"/>
              <w:jc w:val="left"/>
              <w:rPr>
                <w:rFonts w:ascii="Arial" w:hAnsi="Arial"/>
              </w:rPr>
            </w:pPr>
            <w:r>
              <w:t>Betterment</w:t>
            </w:r>
          </w:p>
        </w:tc>
        <w:tc>
          <w:tcPr>
            <w:tcW w:w="6742" w:type="dxa"/>
          </w:tcPr>
          <w:p w14:paraId="5D2BF7BC" w14:textId="6F9FFC78" w:rsidR="00506335" w:rsidRDefault="00AD43A7" w:rsidP="00AD43A7">
            <w:pPr>
              <w:pStyle w:val="BodyText"/>
            </w:pPr>
            <w:r>
              <w:t>A p</w:t>
            </w:r>
            <w:r w:rsidR="00C77FCF" w:rsidRPr="00C77FCF">
              <w:t xml:space="preserve">rovision in the </w:t>
            </w:r>
            <w:r>
              <w:t>Natural Disaster Relief and Recovery Arrangements</w:t>
            </w:r>
            <w:r w:rsidR="00C77FCF" w:rsidRPr="00C77FCF">
              <w:t xml:space="preserve"> </w:t>
            </w:r>
            <w:r w:rsidR="00C77FCF">
              <w:t xml:space="preserve">that </w:t>
            </w:r>
            <w:r w:rsidR="00C77FCF" w:rsidRPr="00C77FCF">
              <w:t>allows reimbursement of a portion of the cost to restore an essential public asset damaged by a eligible disaster event to a more disaster</w:t>
            </w:r>
            <w:r w:rsidR="00557914">
              <w:noBreakHyphen/>
            </w:r>
            <w:r w:rsidR="00C77FCF" w:rsidRPr="00C77FCF">
              <w:t>resilient state.</w:t>
            </w:r>
          </w:p>
        </w:tc>
      </w:tr>
      <w:tr w:rsidR="00506335" w14:paraId="2AB7B6ED" w14:textId="77777777" w:rsidTr="00506335">
        <w:tc>
          <w:tcPr>
            <w:tcW w:w="2155" w:type="dxa"/>
          </w:tcPr>
          <w:p w14:paraId="64BBD4D9" w14:textId="024A6020" w:rsidR="00506335" w:rsidRDefault="00506335" w:rsidP="00802C32">
            <w:pPr>
              <w:pStyle w:val="BodyText"/>
              <w:jc w:val="left"/>
              <w:rPr>
                <w:rFonts w:ascii="Arial" w:hAnsi="Arial"/>
              </w:rPr>
            </w:pPr>
            <w:r>
              <w:t>betterment</w:t>
            </w:r>
          </w:p>
        </w:tc>
        <w:tc>
          <w:tcPr>
            <w:tcW w:w="6742" w:type="dxa"/>
          </w:tcPr>
          <w:p w14:paraId="14E184FE" w14:textId="43F06132" w:rsidR="00506335" w:rsidRDefault="00AD43A7" w:rsidP="00AD43A7">
            <w:pPr>
              <w:pStyle w:val="BodyText"/>
            </w:pPr>
            <w:r>
              <w:t xml:space="preserve">An </w:t>
            </w:r>
            <w:r w:rsidR="00506335" w:rsidRPr="00506335">
              <w:t xml:space="preserve">increase </w:t>
            </w:r>
            <w:r>
              <w:t xml:space="preserve">in </w:t>
            </w:r>
            <w:r w:rsidR="00506335" w:rsidRPr="00506335">
              <w:t xml:space="preserve">the resilience of </w:t>
            </w:r>
            <w:r>
              <w:t xml:space="preserve">an </w:t>
            </w:r>
            <w:r w:rsidR="00506335" w:rsidRPr="00506335">
              <w:t>asset to</w:t>
            </w:r>
            <w:r>
              <w:t xml:space="preserve"> natural</w:t>
            </w:r>
            <w:r w:rsidR="00506335" w:rsidRPr="00506335">
              <w:t xml:space="preserve"> disasters.</w:t>
            </w:r>
          </w:p>
        </w:tc>
      </w:tr>
      <w:tr w:rsidR="00E247AE" w14:paraId="5A3EE69D" w14:textId="77777777" w:rsidTr="00506335">
        <w:tc>
          <w:tcPr>
            <w:tcW w:w="2155" w:type="dxa"/>
          </w:tcPr>
          <w:p w14:paraId="5C219C57" w14:textId="77777777" w:rsidR="00E247AE" w:rsidRDefault="00E247AE" w:rsidP="00802C32">
            <w:pPr>
              <w:pStyle w:val="BodyText"/>
              <w:jc w:val="left"/>
              <w:rPr>
                <w:rFonts w:ascii="Arial" w:hAnsi="Arial"/>
              </w:rPr>
            </w:pPr>
            <w:r>
              <w:t>Contingent liability</w:t>
            </w:r>
          </w:p>
        </w:tc>
        <w:tc>
          <w:tcPr>
            <w:tcW w:w="6742" w:type="dxa"/>
          </w:tcPr>
          <w:p w14:paraId="1077AD45" w14:textId="0BE20794" w:rsidR="00E247AE" w:rsidRDefault="00E247AE" w:rsidP="00506335">
            <w:pPr>
              <w:pStyle w:val="BodyText"/>
            </w:pPr>
            <w:r>
              <w:t xml:space="preserve">Something that could create an obligation for </w:t>
            </w:r>
            <w:r w:rsidR="00AD43A7">
              <w:t xml:space="preserve">government </w:t>
            </w:r>
            <w:r>
              <w:t>funding but is uncertain and not wholly under the control of the government.</w:t>
            </w:r>
          </w:p>
        </w:tc>
      </w:tr>
      <w:tr w:rsidR="00E247AE" w14:paraId="51F61DA1" w14:textId="77777777" w:rsidTr="00506335">
        <w:tc>
          <w:tcPr>
            <w:tcW w:w="2155" w:type="dxa"/>
          </w:tcPr>
          <w:p w14:paraId="3A21F7DE" w14:textId="77777777" w:rsidR="00E247AE" w:rsidRDefault="00E247AE" w:rsidP="00802C32">
            <w:pPr>
              <w:pStyle w:val="BodyText"/>
              <w:jc w:val="left"/>
              <w:rPr>
                <w:rFonts w:ascii="Arial" w:hAnsi="Arial"/>
              </w:rPr>
            </w:pPr>
            <w:r>
              <w:t>Exposure</w:t>
            </w:r>
          </w:p>
        </w:tc>
        <w:tc>
          <w:tcPr>
            <w:tcW w:w="6742" w:type="dxa"/>
          </w:tcPr>
          <w:p w14:paraId="442EC987" w14:textId="5A669973" w:rsidR="00E247AE" w:rsidRDefault="00C65975" w:rsidP="00C65975">
            <w:pPr>
              <w:pStyle w:val="BodyText"/>
            </w:pPr>
            <w:r>
              <w:t>People, property</w:t>
            </w:r>
            <w:r w:rsidR="00E247AE">
              <w:t xml:space="preserve"> or other elements present in hazard zones that are subject to potential losses.</w:t>
            </w:r>
          </w:p>
        </w:tc>
      </w:tr>
      <w:tr w:rsidR="00E247AE" w14:paraId="4661F727" w14:textId="77777777" w:rsidTr="00506335">
        <w:tc>
          <w:tcPr>
            <w:tcW w:w="2155" w:type="dxa"/>
          </w:tcPr>
          <w:p w14:paraId="69DB7E4E" w14:textId="77777777" w:rsidR="00E247AE" w:rsidRDefault="00E247AE" w:rsidP="00802C32">
            <w:pPr>
              <w:pStyle w:val="BodyText"/>
              <w:jc w:val="left"/>
              <w:rPr>
                <w:rFonts w:ascii="Arial" w:hAnsi="Arial"/>
              </w:rPr>
            </w:pPr>
            <w:r>
              <w:t>Fiscal risks</w:t>
            </w:r>
          </w:p>
        </w:tc>
        <w:tc>
          <w:tcPr>
            <w:tcW w:w="6742" w:type="dxa"/>
          </w:tcPr>
          <w:p w14:paraId="248967DB" w14:textId="77777777" w:rsidR="00E247AE" w:rsidRDefault="00E247AE" w:rsidP="00506335">
            <w:pPr>
              <w:pStyle w:val="BodyText"/>
            </w:pPr>
            <w:r>
              <w:t>The risk that fiscal outcomes vary from what was expected at the time of the budget or other forecast.</w:t>
            </w:r>
          </w:p>
        </w:tc>
      </w:tr>
      <w:tr w:rsidR="00E247AE" w14:paraId="365AB70A" w14:textId="77777777" w:rsidTr="00506335">
        <w:tc>
          <w:tcPr>
            <w:tcW w:w="2155" w:type="dxa"/>
          </w:tcPr>
          <w:p w14:paraId="37536EA8" w14:textId="77777777" w:rsidR="00E247AE" w:rsidRDefault="00E247AE" w:rsidP="00802C32">
            <w:pPr>
              <w:pStyle w:val="BodyText"/>
              <w:jc w:val="left"/>
              <w:rPr>
                <w:rFonts w:ascii="Arial" w:hAnsi="Arial"/>
              </w:rPr>
            </w:pPr>
            <w:r>
              <w:t>Hazard</w:t>
            </w:r>
          </w:p>
        </w:tc>
        <w:tc>
          <w:tcPr>
            <w:tcW w:w="6742" w:type="dxa"/>
          </w:tcPr>
          <w:p w14:paraId="16C8F48E" w14:textId="77777777" w:rsidR="00E247AE" w:rsidRDefault="00E247AE" w:rsidP="00506335">
            <w:pPr>
              <w:pStyle w:val="BodyText"/>
            </w:pPr>
            <w:r w:rsidRPr="00FB53AC">
              <w:t>A source of potential harm or a situation</w:t>
            </w:r>
            <w:r>
              <w:t xml:space="preserve"> with a potential to cause loss.</w:t>
            </w:r>
          </w:p>
        </w:tc>
      </w:tr>
      <w:tr w:rsidR="00E247AE" w14:paraId="2BCB17CD" w14:textId="77777777" w:rsidTr="00506335">
        <w:tc>
          <w:tcPr>
            <w:tcW w:w="2155" w:type="dxa"/>
          </w:tcPr>
          <w:p w14:paraId="512CD119" w14:textId="77777777" w:rsidR="00E247AE" w:rsidRDefault="00E247AE" w:rsidP="00802C32">
            <w:pPr>
              <w:pStyle w:val="BodyText"/>
              <w:jc w:val="left"/>
              <w:rPr>
                <w:rFonts w:ascii="Arial" w:hAnsi="Arial"/>
              </w:rPr>
            </w:pPr>
            <w:r>
              <w:t>Horizontal fiscal equalisation</w:t>
            </w:r>
          </w:p>
        </w:tc>
        <w:tc>
          <w:tcPr>
            <w:tcW w:w="6742" w:type="dxa"/>
          </w:tcPr>
          <w:p w14:paraId="3F5E9D73" w14:textId="01073442" w:rsidR="00E247AE" w:rsidRPr="00FB53AC" w:rsidRDefault="00E247AE" w:rsidP="00AC7A61">
            <w:pPr>
              <w:pStyle w:val="BodyText"/>
            </w:pPr>
            <w:r>
              <w:t xml:space="preserve">The process whereby the Australian Government distributes </w:t>
            </w:r>
            <w:r w:rsidR="00AC7A61">
              <w:t>g</w:t>
            </w:r>
            <w:r w:rsidR="00AD43A7">
              <w:t xml:space="preserve">oods and </w:t>
            </w:r>
            <w:r w:rsidR="00AC7A61">
              <w:t>s</w:t>
            </w:r>
            <w:r w:rsidR="00AD43A7">
              <w:t xml:space="preserve">ervices </w:t>
            </w:r>
            <w:r w:rsidR="00AC7A61">
              <w:t>t</w:t>
            </w:r>
            <w:r w:rsidR="00AD43A7">
              <w:t xml:space="preserve">ax </w:t>
            </w:r>
            <w:r>
              <w:t>revenues so that each state has the fiscal capacity to provide services and infrastructure to the same standard (assuming they each make the same effort to raise revenue and operate at the same level of efficiency</w:t>
            </w:r>
            <w:r w:rsidR="00A302A7">
              <w:t>)</w:t>
            </w:r>
            <w:r>
              <w:t>.</w:t>
            </w:r>
          </w:p>
        </w:tc>
      </w:tr>
      <w:tr w:rsidR="00E247AE" w14:paraId="5929C23C" w14:textId="77777777" w:rsidTr="00506335">
        <w:tc>
          <w:tcPr>
            <w:tcW w:w="2155" w:type="dxa"/>
          </w:tcPr>
          <w:p w14:paraId="295CD0D7" w14:textId="77777777" w:rsidR="00E247AE" w:rsidRDefault="00E247AE" w:rsidP="00802C32">
            <w:pPr>
              <w:pStyle w:val="BodyText"/>
              <w:jc w:val="left"/>
              <w:rPr>
                <w:rFonts w:ascii="Arial" w:hAnsi="Arial"/>
              </w:rPr>
            </w:pPr>
            <w:r>
              <w:t>Incentive neutrality</w:t>
            </w:r>
          </w:p>
        </w:tc>
        <w:tc>
          <w:tcPr>
            <w:tcW w:w="6742" w:type="dxa"/>
          </w:tcPr>
          <w:p w14:paraId="68C498E0" w14:textId="0C6C71F1" w:rsidR="00E247AE" w:rsidRDefault="006E798F" w:rsidP="00506335">
            <w:pPr>
              <w:pStyle w:val="BodyText"/>
            </w:pPr>
            <w:r w:rsidRPr="006E798F">
              <w:t>Achieved when policy frameworks are not biased toward one option (such as toward disaster recovery over mitigation) and where decisions consider the impact</w:t>
            </w:r>
            <w:r>
              <w:t xml:space="preserve">s of the options over time and </w:t>
            </w:r>
            <w:r w:rsidRPr="006E798F">
              <w:t>are not biased toward delay or immediate action.</w:t>
            </w:r>
          </w:p>
        </w:tc>
      </w:tr>
      <w:tr w:rsidR="00E247AE" w14:paraId="0B3F17A0" w14:textId="77777777" w:rsidTr="00506335">
        <w:tc>
          <w:tcPr>
            <w:tcW w:w="2155" w:type="dxa"/>
          </w:tcPr>
          <w:p w14:paraId="320D511D" w14:textId="77777777" w:rsidR="00E247AE" w:rsidRDefault="00E247AE" w:rsidP="00802C32">
            <w:pPr>
              <w:pStyle w:val="BodyText"/>
              <w:jc w:val="left"/>
              <w:rPr>
                <w:rFonts w:ascii="Arial" w:hAnsi="Arial"/>
              </w:rPr>
            </w:pPr>
            <w:r>
              <w:lastRenderedPageBreak/>
              <w:t>Mitigation</w:t>
            </w:r>
          </w:p>
        </w:tc>
        <w:tc>
          <w:tcPr>
            <w:tcW w:w="6742" w:type="dxa"/>
          </w:tcPr>
          <w:p w14:paraId="43ED8CCB" w14:textId="77777777" w:rsidR="00E247AE" w:rsidRDefault="00E247AE" w:rsidP="00506335">
            <w:pPr>
              <w:pStyle w:val="BodyText"/>
            </w:pPr>
            <w:r>
              <w:t>Measures taken in advance of disasters to reduce their impacts.</w:t>
            </w:r>
          </w:p>
        </w:tc>
      </w:tr>
      <w:tr w:rsidR="00E247AE" w14:paraId="60A2688F" w14:textId="77777777" w:rsidTr="00506335">
        <w:tc>
          <w:tcPr>
            <w:tcW w:w="2155" w:type="dxa"/>
          </w:tcPr>
          <w:p w14:paraId="0E79FA5E" w14:textId="77777777" w:rsidR="00E247AE" w:rsidRDefault="00E247AE" w:rsidP="00802C32">
            <w:pPr>
              <w:pStyle w:val="BodyText"/>
              <w:jc w:val="left"/>
              <w:rPr>
                <w:rFonts w:ascii="Arial" w:hAnsi="Arial"/>
              </w:rPr>
            </w:pPr>
            <w:r>
              <w:t>Natural disaster</w:t>
            </w:r>
          </w:p>
        </w:tc>
        <w:tc>
          <w:tcPr>
            <w:tcW w:w="6742" w:type="dxa"/>
          </w:tcPr>
          <w:p w14:paraId="7886A630" w14:textId="58C3A257" w:rsidR="00E247AE" w:rsidRDefault="00AD43A7" w:rsidP="00AD43A7">
            <w:pPr>
              <w:pStyle w:val="BodyText"/>
            </w:pPr>
            <w:r>
              <w:t>A n</w:t>
            </w:r>
            <w:r w:rsidR="00E247AE" w:rsidRPr="00FB53AC">
              <w:t>aturally occurring rapid onset event that cause</w:t>
            </w:r>
            <w:r>
              <w:t>s</w:t>
            </w:r>
            <w:r w:rsidR="00E247AE" w:rsidRPr="00FB53AC">
              <w:t xml:space="preserve"> a serious disruption to a community or region, such as flood, bushfire, earthquake, storm, cyclone, storm surge, tornado, landslide or tsunami.</w:t>
            </w:r>
          </w:p>
        </w:tc>
      </w:tr>
      <w:tr w:rsidR="00E247AE" w14:paraId="07B3C53F" w14:textId="77777777" w:rsidTr="00506335">
        <w:tc>
          <w:tcPr>
            <w:tcW w:w="2155" w:type="dxa"/>
          </w:tcPr>
          <w:p w14:paraId="51923028" w14:textId="77777777" w:rsidR="00E247AE" w:rsidRDefault="00E247AE" w:rsidP="00802C32">
            <w:pPr>
              <w:pStyle w:val="BodyText"/>
              <w:jc w:val="left"/>
              <w:rPr>
                <w:rFonts w:ascii="Arial" w:hAnsi="Arial"/>
              </w:rPr>
            </w:pPr>
            <w:r>
              <w:t>Provision</w:t>
            </w:r>
          </w:p>
        </w:tc>
        <w:tc>
          <w:tcPr>
            <w:tcW w:w="6742" w:type="dxa"/>
          </w:tcPr>
          <w:p w14:paraId="704E522F" w14:textId="41079768" w:rsidR="00E247AE" w:rsidRDefault="00AD43A7" w:rsidP="00506335">
            <w:pPr>
              <w:pStyle w:val="BodyText"/>
            </w:pPr>
            <w:r>
              <w:t>Setting</w:t>
            </w:r>
            <w:r w:rsidR="00E247AE">
              <w:t xml:space="preserve"> aside funds or capital to cover anticipated future losses</w:t>
            </w:r>
            <w:r w:rsidR="0095437C">
              <w:t xml:space="preserve"> or costs</w:t>
            </w:r>
            <w:r w:rsidR="00E247AE">
              <w:t>.</w:t>
            </w:r>
          </w:p>
        </w:tc>
      </w:tr>
      <w:tr w:rsidR="00E247AE" w14:paraId="45503C7C" w14:textId="77777777" w:rsidTr="00506335">
        <w:tc>
          <w:tcPr>
            <w:tcW w:w="2155" w:type="dxa"/>
          </w:tcPr>
          <w:p w14:paraId="16A2B238" w14:textId="77777777" w:rsidR="00E247AE" w:rsidRDefault="00E247AE" w:rsidP="00802C32">
            <w:pPr>
              <w:pStyle w:val="BodyText"/>
              <w:jc w:val="left"/>
              <w:rPr>
                <w:rFonts w:ascii="Arial" w:hAnsi="Arial"/>
              </w:rPr>
            </w:pPr>
            <w:r>
              <w:t>Recovery</w:t>
            </w:r>
          </w:p>
        </w:tc>
        <w:tc>
          <w:tcPr>
            <w:tcW w:w="6742" w:type="dxa"/>
          </w:tcPr>
          <w:p w14:paraId="7A9BC7E3" w14:textId="26FF11CA" w:rsidR="00E247AE" w:rsidRDefault="00E247AE" w:rsidP="00506335">
            <w:pPr>
              <w:pStyle w:val="BodyText"/>
            </w:pPr>
            <w:r>
              <w:t>Actions to support affected communities to restore damaged property and economic activity, as well as physical and psychological health.</w:t>
            </w:r>
          </w:p>
        </w:tc>
      </w:tr>
      <w:tr w:rsidR="00E247AE" w14:paraId="3EE397EC" w14:textId="77777777" w:rsidTr="00506335">
        <w:tc>
          <w:tcPr>
            <w:tcW w:w="2155" w:type="dxa"/>
          </w:tcPr>
          <w:p w14:paraId="322D45FA" w14:textId="77777777" w:rsidR="00E247AE" w:rsidRDefault="00E247AE" w:rsidP="00802C32">
            <w:pPr>
              <w:pStyle w:val="BodyText"/>
              <w:jc w:val="left"/>
              <w:rPr>
                <w:rFonts w:ascii="Arial" w:hAnsi="Arial"/>
              </w:rPr>
            </w:pPr>
            <w:r>
              <w:t>Resilience</w:t>
            </w:r>
          </w:p>
        </w:tc>
        <w:tc>
          <w:tcPr>
            <w:tcW w:w="6742" w:type="dxa"/>
          </w:tcPr>
          <w:p w14:paraId="0DE25500" w14:textId="26024B6A" w:rsidR="00E247AE" w:rsidRDefault="00E247AE" w:rsidP="00506335">
            <w:pPr>
              <w:pStyle w:val="BodyText"/>
            </w:pPr>
            <w:r>
              <w:rPr>
                <w:color w:val="000000"/>
                <w:lang w:val="en"/>
              </w:rPr>
              <w:t>The</w:t>
            </w:r>
            <w:r w:rsidRPr="00901791">
              <w:rPr>
                <w:color w:val="000000"/>
                <w:lang w:val="en"/>
              </w:rPr>
              <w:t xml:space="preserve"> ability of communities to </w:t>
            </w:r>
            <w:r>
              <w:rPr>
                <w:color w:val="000000"/>
                <w:lang w:val="en"/>
              </w:rPr>
              <w:t>continue to function</w:t>
            </w:r>
            <w:r w:rsidRPr="00901791">
              <w:rPr>
                <w:color w:val="000000"/>
                <w:lang w:val="en"/>
              </w:rPr>
              <w:t xml:space="preserve"> when exposed to hazards and to adapt to changes rather than returning to t</w:t>
            </w:r>
            <w:r>
              <w:rPr>
                <w:color w:val="000000"/>
                <w:lang w:val="en"/>
              </w:rPr>
              <w:t>he original pre</w:t>
            </w:r>
            <w:r w:rsidR="00557914">
              <w:rPr>
                <w:color w:val="000000"/>
                <w:lang w:val="en"/>
              </w:rPr>
              <w:noBreakHyphen/>
            </w:r>
            <w:r>
              <w:rPr>
                <w:color w:val="000000"/>
                <w:lang w:val="en"/>
              </w:rPr>
              <w:t>disaster state.</w:t>
            </w:r>
          </w:p>
        </w:tc>
      </w:tr>
      <w:tr w:rsidR="00E247AE" w14:paraId="0CE2DB50" w14:textId="77777777" w:rsidTr="00506335">
        <w:tc>
          <w:tcPr>
            <w:tcW w:w="2155" w:type="dxa"/>
          </w:tcPr>
          <w:p w14:paraId="3C48180B" w14:textId="77777777" w:rsidR="00E247AE" w:rsidRDefault="00E247AE" w:rsidP="00802C32">
            <w:pPr>
              <w:pStyle w:val="BodyText"/>
              <w:jc w:val="left"/>
              <w:rPr>
                <w:rFonts w:ascii="Arial" w:hAnsi="Arial"/>
              </w:rPr>
            </w:pPr>
            <w:r>
              <w:t>Response</w:t>
            </w:r>
          </w:p>
        </w:tc>
        <w:tc>
          <w:tcPr>
            <w:tcW w:w="6742" w:type="dxa"/>
          </w:tcPr>
          <w:p w14:paraId="34CF39A2" w14:textId="49B6F85E" w:rsidR="00E247AE" w:rsidRDefault="00E247AE" w:rsidP="00506335">
            <w:pPr>
              <w:pStyle w:val="BodyText"/>
            </w:pPr>
            <w:r>
              <w:t>Actions taken in anticipation of, during and immediately after an emergency to minimise its effects.</w:t>
            </w:r>
          </w:p>
        </w:tc>
      </w:tr>
      <w:tr w:rsidR="00E247AE" w14:paraId="31CC2F44" w14:textId="77777777" w:rsidTr="00506335">
        <w:tc>
          <w:tcPr>
            <w:tcW w:w="2155" w:type="dxa"/>
          </w:tcPr>
          <w:p w14:paraId="76044F45" w14:textId="77777777" w:rsidR="00E247AE" w:rsidRDefault="00E247AE" w:rsidP="00802C32">
            <w:pPr>
              <w:pStyle w:val="BodyText"/>
              <w:jc w:val="left"/>
              <w:rPr>
                <w:rFonts w:ascii="Arial" w:hAnsi="Arial"/>
              </w:rPr>
            </w:pPr>
            <w:r>
              <w:t>Risk</w:t>
            </w:r>
          </w:p>
        </w:tc>
        <w:tc>
          <w:tcPr>
            <w:tcW w:w="6742" w:type="dxa"/>
          </w:tcPr>
          <w:p w14:paraId="1E6207A6" w14:textId="77777777" w:rsidR="00E247AE" w:rsidRDefault="00E247AE" w:rsidP="00506335">
            <w:pPr>
              <w:pStyle w:val="BodyText"/>
            </w:pPr>
            <w:r w:rsidRPr="00D52E68">
              <w:t>The combination of the probability of an even</w:t>
            </w:r>
            <w:r>
              <w:t>t and its negative consequences.</w:t>
            </w:r>
          </w:p>
        </w:tc>
      </w:tr>
      <w:tr w:rsidR="00E247AE" w14:paraId="5BA3021D" w14:textId="77777777" w:rsidTr="00506335">
        <w:tc>
          <w:tcPr>
            <w:tcW w:w="2155" w:type="dxa"/>
          </w:tcPr>
          <w:p w14:paraId="013E13E1" w14:textId="77777777" w:rsidR="00E247AE" w:rsidRDefault="00E247AE" w:rsidP="00802C32">
            <w:pPr>
              <w:pStyle w:val="BodyText"/>
              <w:jc w:val="left"/>
              <w:rPr>
                <w:rFonts w:ascii="Arial" w:hAnsi="Arial"/>
              </w:rPr>
            </w:pPr>
            <w:r>
              <w:t>Risk appetite</w:t>
            </w:r>
          </w:p>
        </w:tc>
        <w:tc>
          <w:tcPr>
            <w:tcW w:w="6742" w:type="dxa"/>
          </w:tcPr>
          <w:p w14:paraId="458D5FDA" w14:textId="77777777" w:rsidR="00E247AE" w:rsidRDefault="00E247AE" w:rsidP="00506335">
            <w:pPr>
              <w:pStyle w:val="BodyText"/>
            </w:pPr>
            <w:r>
              <w:rPr>
                <w:szCs w:val="24"/>
              </w:rPr>
              <w:t xml:space="preserve">The level of risk that a person or organisation is </w:t>
            </w:r>
            <w:r>
              <w:t>willing to tolerate or bear rather than devoting further resources to reduce the risk</w:t>
            </w:r>
            <w:r>
              <w:rPr>
                <w:szCs w:val="24"/>
              </w:rPr>
              <w:t>.</w:t>
            </w:r>
          </w:p>
        </w:tc>
      </w:tr>
      <w:tr w:rsidR="00E247AE" w14:paraId="6D96F507" w14:textId="77777777" w:rsidTr="00506335">
        <w:tc>
          <w:tcPr>
            <w:tcW w:w="2155" w:type="dxa"/>
          </w:tcPr>
          <w:p w14:paraId="179508A0" w14:textId="77777777" w:rsidR="00E247AE" w:rsidRDefault="00E247AE" w:rsidP="00802C32">
            <w:pPr>
              <w:pStyle w:val="BodyText"/>
              <w:jc w:val="left"/>
              <w:rPr>
                <w:rFonts w:ascii="Arial" w:hAnsi="Arial"/>
              </w:rPr>
            </w:pPr>
            <w:r>
              <w:t>Risk management</w:t>
            </w:r>
          </w:p>
        </w:tc>
        <w:tc>
          <w:tcPr>
            <w:tcW w:w="6742" w:type="dxa"/>
          </w:tcPr>
          <w:p w14:paraId="4B789FCA" w14:textId="77777777" w:rsidR="00E247AE" w:rsidRDefault="00E247AE" w:rsidP="00506335">
            <w:pPr>
              <w:pStyle w:val="BodyText"/>
            </w:pPr>
            <w:r>
              <w:t>The systematic application of management policies, procedures and practices to the tasks of identifying, analysing, evaluating, treating and monitoring risk.</w:t>
            </w:r>
          </w:p>
        </w:tc>
      </w:tr>
      <w:tr w:rsidR="00E247AE" w14:paraId="37ACB17B" w14:textId="77777777" w:rsidTr="00506335">
        <w:tc>
          <w:tcPr>
            <w:tcW w:w="2155" w:type="dxa"/>
          </w:tcPr>
          <w:p w14:paraId="5342F5EB" w14:textId="77777777" w:rsidR="00E247AE" w:rsidRDefault="00E247AE" w:rsidP="00802C32">
            <w:pPr>
              <w:pStyle w:val="BodyText"/>
              <w:jc w:val="left"/>
              <w:rPr>
                <w:rFonts w:ascii="Arial" w:hAnsi="Arial"/>
              </w:rPr>
            </w:pPr>
            <w:r>
              <w:t>Shared risks</w:t>
            </w:r>
          </w:p>
        </w:tc>
        <w:tc>
          <w:tcPr>
            <w:tcW w:w="6742" w:type="dxa"/>
          </w:tcPr>
          <w:p w14:paraId="4AE11342" w14:textId="487CFAD2" w:rsidR="00E247AE" w:rsidRDefault="00AD43A7" w:rsidP="00506335">
            <w:pPr>
              <w:pStyle w:val="BodyText"/>
            </w:pPr>
            <w:r>
              <w:t>R</w:t>
            </w:r>
            <w:r w:rsidR="00E247AE">
              <w:t>isks that have impacts that affect many parties and that cannot be distinctly allocated to individual assets and so are shared by the community.</w:t>
            </w:r>
          </w:p>
        </w:tc>
      </w:tr>
      <w:tr w:rsidR="00E247AE" w14:paraId="1EF3ADF4" w14:textId="77777777" w:rsidTr="00506335">
        <w:tc>
          <w:tcPr>
            <w:tcW w:w="2155" w:type="dxa"/>
          </w:tcPr>
          <w:p w14:paraId="772181BD" w14:textId="77777777" w:rsidR="00E247AE" w:rsidRDefault="00E247AE" w:rsidP="00802C32">
            <w:pPr>
              <w:pStyle w:val="BodyText"/>
              <w:jc w:val="left"/>
              <w:rPr>
                <w:rFonts w:ascii="Arial" w:hAnsi="Arial"/>
              </w:rPr>
            </w:pPr>
            <w:r>
              <w:t>Vertical fiscal imbalance</w:t>
            </w:r>
          </w:p>
        </w:tc>
        <w:tc>
          <w:tcPr>
            <w:tcW w:w="6742" w:type="dxa"/>
          </w:tcPr>
          <w:p w14:paraId="5B7B297E" w14:textId="73EE500F" w:rsidR="00E247AE" w:rsidRDefault="00E247AE" w:rsidP="00506335">
            <w:pPr>
              <w:pStyle w:val="BodyText"/>
            </w:pPr>
            <w:r w:rsidRPr="004773CA">
              <w:t>The situation where the Australia</w:t>
            </w:r>
            <w:r w:rsidR="00EA06E5">
              <w:t>n</w:t>
            </w:r>
            <w:r w:rsidRPr="004773CA">
              <w:t xml:space="preserve"> Government raises more revenue than it requires for its own direct expenditure responsibilities, whereas state </w:t>
            </w:r>
            <w:r w:rsidR="00EA06E5">
              <w:t xml:space="preserve">and territory </w:t>
            </w:r>
            <w:r w:rsidRPr="004773CA">
              <w:t>governments raise less revenue than they require for their expenditure responsibilities.</w:t>
            </w:r>
          </w:p>
        </w:tc>
      </w:tr>
      <w:tr w:rsidR="00E247AE" w14:paraId="4EE0CAC2" w14:textId="77777777" w:rsidTr="00506335">
        <w:tc>
          <w:tcPr>
            <w:tcW w:w="2155" w:type="dxa"/>
          </w:tcPr>
          <w:p w14:paraId="056521B1" w14:textId="77777777" w:rsidR="00E247AE" w:rsidRDefault="00E247AE" w:rsidP="00802C32">
            <w:pPr>
              <w:pStyle w:val="BodyText"/>
              <w:jc w:val="left"/>
              <w:rPr>
                <w:rFonts w:ascii="Arial" w:hAnsi="Arial"/>
              </w:rPr>
            </w:pPr>
            <w:r>
              <w:t>Vulnerability</w:t>
            </w:r>
          </w:p>
        </w:tc>
        <w:tc>
          <w:tcPr>
            <w:tcW w:w="6742" w:type="dxa"/>
          </w:tcPr>
          <w:p w14:paraId="13CA31AF" w14:textId="068523B8" w:rsidR="00E247AE" w:rsidRDefault="00E247AE" w:rsidP="009F153B">
            <w:pPr>
              <w:pStyle w:val="BodyText"/>
            </w:pPr>
            <w:r>
              <w:t>The characteristics and circums</w:t>
            </w:r>
            <w:r w:rsidR="009F153B">
              <w:t xml:space="preserve">tances of a community </w:t>
            </w:r>
            <w:r>
              <w:t>or asset that make it susceptible to the damaging effects of a hazard.</w:t>
            </w:r>
          </w:p>
        </w:tc>
      </w:tr>
    </w:tbl>
    <w:p w14:paraId="43B55CB7" w14:textId="77777777" w:rsidR="000A5E12" w:rsidRDefault="000A5E12" w:rsidP="00743A27">
      <w:pPr>
        <w:pStyle w:val="BodyText"/>
        <w:rPr>
          <w:rFonts w:ascii="Arial" w:hAnsi="Arial" w:cs="Arial"/>
          <w:i/>
        </w:rPr>
      </w:pPr>
    </w:p>
    <w:sectPr w:rsidR="000A5E12" w:rsidSect="00585B3F">
      <w:headerReference w:type="even" r:id="rId41"/>
      <w:headerReference w:type="default" r:id="rId42"/>
      <w:footerReference w:type="default" r:id="rId43"/>
      <w:headerReference w:type="first" r:id="rId44"/>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44F27F" w14:textId="77777777" w:rsidR="00975C7F" w:rsidRDefault="00975C7F">
      <w:r>
        <w:separator/>
      </w:r>
    </w:p>
    <w:p w14:paraId="1517CE87" w14:textId="77777777" w:rsidR="00975C7F" w:rsidRDefault="00975C7F"/>
    <w:p w14:paraId="4D5AC318" w14:textId="77777777" w:rsidR="00975C7F" w:rsidRDefault="00975C7F"/>
  </w:endnote>
  <w:endnote w:type="continuationSeparator" w:id="0">
    <w:p w14:paraId="1E302E61" w14:textId="77777777" w:rsidR="00975C7F" w:rsidRDefault="00975C7F">
      <w:r>
        <w:continuationSeparator/>
      </w:r>
    </w:p>
    <w:p w14:paraId="39700659" w14:textId="77777777" w:rsidR="00975C7F" w:rsidRDefault="00975C7F"/>
    <w:p w14:paraId="19B04646" w14:textId="77777777" w:rsidR="00975C7F" w:rsidRDefault="00975C7F"/>
  </w:endnote>
  <w:endnote w:type="continuationNotice" w:id="1">
    <w:p w14:paraId="6BEB064C" w14:textId="77777777" w:rsidR="00975C7F" w:rsidRDefault="00975C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D0F48" w14:textId="77777777" w:rsidR="001D2EF9" w:rsidRDefault="001D2EF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12"/>
      <w:gridCol w:w="565"/>
    </w:tblGrid>
    <w:tr w:rsidR="00975C7F" w14:paraId="2CA663C0" w14:textId="77777777" w:rsidTr="00EA6698">
      <w:trPr>
        <w:trHeight w:hRule="exact" w:val="567"/>
      </w:trPr>
      <w:tc>
        <w:tcPr>
          <w:tcW w:w="510" w:type="dxa"/>
        </w:tcPr>
        <w:p w14:paraId="1C8E5E86" w14:textId="77777777" w:rsidR="00975C7F" w:rsidRDefault="00975C7F">
          <w:pPr>
            <w:pStyle w:val="Footer"/>
            <w:ind w:right="360" w:firstLine="360"/>
          </w:pPr>
        </w:p>
      </w:tc>
      <w:tc>
        <w:tcPr>
          <w:tcW w:w="7712" w:type="dxa"/>
        </w:tcPr>
        <w:p w14:paraId="4160DD89" w14:textId="77777777" w:rsidR="00975C7F" w:rsidRDefault="00975C7F" w:rsidP="00340511">
          <w:pPr>
            <w:pStyle w:val="Footer"/>
            <w:jc w:val="right"/>
            <w:rPr>
              <w:bCs/>
              <w:noProof/>
              <w:lang w:val="en-US"/>
            </w:rPr>
          </w:pPr>
          <w:r>
            <w:rPr>
              <w:bCs/>
              <w:noProof/>
              <w:lang w:val="en-US"/>
            </w:rPr>
            <w:t>Abbreviations</w:t>
          </w:r>
        </w:p>
        <w:p w14:paraId="1CCCEA69" w14:textId="3C1F9B06" w:rsidR="00975C7F" w:rsidRPr="00340511" w:rsidRDefault="00975C7F" w:rsidP="0099348B">
          <w:pPr>
            <w:pStyle w:val="FooterDraftReport"/>
            <w:jc w:val="right"/>
          </w:pPr>
          <w:r>
            <w:t>Draft Report</w:t>
          </w:r>
        </w:p>
      </w:tc>
      <w:tc>
        <w:tcPr>
          <w:tcW w:w="565" w:type="dxa"/>
        </w:tcPr>
        <w:p w14:paraId="7C498CAB" w14:textId="77777777" w:rsidR="00975C7F" w:rsidRPr="00A24443" w:rsidRDefault="00975C7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622CF">
            <w:rPr>
              <w:rStyle w:val="PageNumber"/>
              <w:caps w:val="0"/>
              <w:noProof/>
            </w:rPr>
            <w:t>xi</w:t>
          </w:r>
          <w:r w:rsidRPr="00A24443">
            <w:rPr>
              <w:rStyle w:val="PageNumber"/>
              <w:caps w:val="0"/>
            </w:rPr>
            <w:fldChar w:fldCharType="end"/>
          </w:r>
        </w:p>
      </w:tc>
    </w:tr>
  </w:tbl>
  <w:p w14:paraId="064D7852" w14:textId="77777777" w:rsidR="00975C7F" w:rsidRDefault="00975C7F">
    <w:pPr>
      <w:pStyle w:val="FooterEnd"/>
    </w:pPr>
  </w:p>
  <w:p w14:paraId="650DA4C6" w14:textId="77777777" w:rsidR="00975C7F" w:rsidRDefault="00975C7F" w:rsidP="00B95339">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75C7F" w14:paraId="302E065A" w14:textId="77777777" w:rsidTr="00D70867">
      <w:trPr>
        <w:trHeight w:hRule="exact" w:val="567"/>
      </w:trPr>
      <w:tc>
        <w:tcPr>
          <w:tcW w:w="510" w:type="dxa"/>
        </w:tcPr>
        <w:p w14:paraId="2F270244" w14:textId="77777777" w:rsidR="00975C7F" w:rsidRDefault="00975C7F">
          <w:pPr>
            <w:pStyle w:val="Footer"/>
            <w:ind w:right="360" w:firstLine="360"/>
          </w:pPr>
        </w:p>
      </w:tc>
      <w:tc>
        <w:tcPr>
          <w:tcW w:w="7767" w:type="dxa"/>
        </w:tcPr>
        <w:p w14:paraId="0D1299C3" w14:textId="77777777" w:rsidR="00975C7F" w:rsidRDefault="00975C7F" w:rsidP="00340511">
          <w:pPr>
            <w:pStyle w:val="Footer"/>
            <w:jc w:val="right"/>
            <w:rPr>
              <w:bCs/>
              <w:noProof/>
              <w:lang w:val="en-US"/>
            </w:rPr>
          </w:pPr>
          <w:r w:rsidRPr="00EA6698">
            <w:rPr>
              <w:bCs/>
              <w:noProof/>
              <w:lang w:val="en-US"/>
            </w:rPr>
            <w:t>Glossary</w:t>
          </w:r>
        </w:p>
        <w:p w14:paraId="068EBB68" w14:textId="1DA18175" w:rsidR="00975C7F" w:rsidRPr="00340511" w:rsidRDefault="00975C7F" w:rsidP="0099348B">
          <w:pPr>
            <w:pStyle w:val="FooterDraftReport"/>
            <w:jc w:val="right"/>
          </w:pPr>
          <w:r>
            <w:t>Draft Report</w:t>
          </w:r>
        </w:p>
      </w:tc>
      <w:tc>
        <w:tcPr>
          <w:tcW w:w="510" w:type="dxa"/>
        </w:tcPr>
        <w:p w14:paraId="2CB829F2" w14:textId="77777777" w:rsidR="00975C7F" w:rsidRPr="00A24443" w:rsidRDefault="00975C7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622CF">
            <w:rPr>
              <w:rStyle w:val="PageNumber"/>
              <w:caps w:val="0"/>
              <w:noProof/>
            </w:rPr>
            <w:t>xiii</w:t>
          </w:r>
          <w:r w:rsidRPr="00A24443">
            <w:rPr>
              <w:rStyle w:val="PageNumber"/>
              <w:caps w:val="0"/>
            </w:rPr>
            <w:fldChar w:fldCharType="end"/>
          </w:r>
        </w:p>
      </w:tc>
    </w:tr>
  </w:tbl>
  <w:p w14:paraId="70B67193" w14:textId="77777777" w:rsidR="00975C7F" w:rsidRDefault="00975C7F">
    <w:pPr>
      <w:pStyle w:val="FooterEnd"/>
    </w:pPr>
  </w:p>
  <w:p w14:paraId="22300E2A" w14:textId="77777777" w:rsidR="00975C7F" w:rsidRDefault="00975C7F"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DEE58" w14:textId="77777777" w:rsidR="001D2EF9" w:rsidRDefault="001D2E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6F031" w14:textId="77777777" w:rsidR="001D2EF9" w:rsidRDefault="001D2EF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75C7F" w14:paraId="4F920DB3" w14:textId="77777777" w:rsidTr="00D70867">
      <w:trPr>
        <w:trHeight w:hRule="exact" w:val="567"/>
      </w:trPr>
      <w:tc>
        <w:tcPr>
          <w:tcW w:w="510" w:type="dxa"/>
        </w:tcPr>
        <w:p w14:paraId="441877AE" w14:textId="77777777" w:rsidR="00975C7F" w:rsidRDefault="00975C7F" w:rsidP="00D70867">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iii</w:t>
          </w:r>
          <w:r>
            <w:rPr>
              <w:rStyle w:val="PageNumber"/>
            </w:rPr>
            <w:fldChar w:fldCharType="end"/>
          </w:r>
        </w:p>
      </w:tc>
      <w:tc>
        <w:tcPr>
          <w:tcW w:w="7767" w:type="dxa"/>
        </w:tcPr>
        <w:p w14:paraId="79B422E0" w14:textId="77777777" w:rsidR="00975C7F" w:rsidRPr="0013739A" w:rsidRDefault="00975C7F" w:rsidP="00D70867">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1B25F5">
            <w:rPr>
              <w:rFonts w:cs="Arial"/>
            </w:rPr>
            <w:t>Natural Disaster Funding</w:t>
          </w:r>
          <w:r w:rsidRPr="00BA5B14">
            <w:rPr>
              <w:rFonts w:cs="Arial"/>
            </w:rPr>
            <w:fldChar w:fldCharType="end"/>
          </w:r>
        </w:p>
      </w:tc>
      <w:tc>
        <w:tcPr>
          <w:tcW w:w="510" w:type="dxa"/>
        </w:tcPr>
        <w:p w14:paraId="0EAAF552" w14:textId="77777777" w:rsidR="00975C7F" w:rsidRDefault="00975C7F" w:rsidP="00D70867">
          <w:pPr>
            <w:pStyle w:val="Footer"/>
          </w:pPr>
        </w:p>
      </w:tc>
    </w:tr>
  </w:tbl>
  <w:p w14:paraId="31246DBC" w14:textId="77777777" w:rsidR="00975C7F" w:rsidRDefault="00975C7F" w:rsidP="00D70867">
    <w:pPr>
      <w:pStyle w:val="FooterEnd"/>
    </w:pPr>
  </w:p>
  <w:p w14:paraId="5D9299BD" w14:textId="77777777" w:rsidR="00975C7F" w:rsidRDefault="00975C7F">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75C7F" w14:paraId="5AFE2B24" w14:textId="77777777" w:rsidTr="00D70867">
      <w:trPr>
        <w:trHeight w:hRule="exact" w:val="567"/>
      </w:trPr>
      <w:tc>
        <w:tcPr>
          <w:tcW w:w="510" w:type="dxa"/>
        </w:tcPr>
        <w:p w14:paraId="73BF8E39" w14:textId="77777777" w:rsidR="00975C7F" w:rsidRDefault="00975C7F">
          <w:pPr>
            <w:pStyle w:val="Footer"/>
            <w:ind w:right="360" w:firstLine="360"/>
          </w:pPr>
        </w:p>
      </w:tc>
      <w:tc>
        <w:tcPr>
          <w:tcW w:w="7767" w:type="dxa"/>
        </w:tcPr>
        <w:p w14:paraId="4C49C433" w14:textId="77777777" w:rsidR="00975C7F" w:rsidRDefault="00975C7F" w:rsidP="00D70867">
          <w:pPr>
            <w:pStyle w:val="Footer"/>
            <w:jc w:val="right"/>
            <w:rPr>
              <w:rFonts w:cs="Arial"/>
            </w:rPr>
          </w:pPr>
          <w:r w:rsidRPr="00EA6698">
            <w:rPr>
              <w:bCs/>
              <w:noProof/>
              <w:lang w:val="en-US"/>
            </w:rPr>
            <w:t>Opportunity for further</w:t>
          </w:r>
          <w:r>
            <w:rPr>
              <w:noProof/>
            </w:rPr>
            <w:t xml:space="preserve"> comment</w:t>
          </w:r>
          <w:r w:rsidRPr="00C24C8B">
            <w:rPr>
              <w:rFonts w:cs="Arial"/>
            </w:rPr>
            <w:t xml:space="preserve"> </w:t>
          </w:r>
        </w:p>
        <w:p w14:paraId="16C020B0" w14:textId="44230DCE" w:rsidR="00975C7F" w:rsidRPr="00C24C8B" w:rsidRDefault="00975C7F" w:rsidP="00CA0D8C">
          <w:pPr>
            <w:pStyle w:val="FooterDraftReport"/>
            <w:jc w:val="right"/>
          </w:pPr>
          <w:r>
            <w:t>Draft Report</w:t>
          </w:r>
        </w:p>
      </w:tc>
      <w:tc>
        <w:tcPr>
          <w:tcW w:w="510" w:type="dxa"/>
        </w:tcPr>
        <w:p w14:paraId="63B2BCB4" w14:textId="77777777" w:rsidR="00975C7F" w:rsidRPr="00C24C8B" w:rsidRDefault="00975C7F">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B622CF">
            <w:rPr>
              <w:rStyle w:val="PageNumber"/>
              <w:caps w:val="0"/>
              <w:noProof/>
            </w:rPr>
            <w:t>iii</w:t>
          </w:r>
          <w:r w:rsidRPr="00C24C8B">
            <w:rPr>
              <w:rStyle w:val="PageNumber"/>
              <w:caps w:val="0"/>
            </w:rPr>
            <w:fldChar w:fldCharType="end"/>
          </w:r>
        </w:p>
      </w:tc>
    </w:tr>
  </w:tbl>
  <w:p w14:paraId="63C9F78A" w14:textId="77777777" w:rsidR="00975C7F" w:rsidRDefault="00975C7F">
    <w:pPr>
      <w:pStyle w:val="FooterEnd"/>
    </w:pPr>
  </w:p>
  <w:p w14:paraId="562A65D0" w14:textId="77777777" w:rsidR="00975C7F" w:rsidRDefault="00975C7F">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75C7F" w14:paraId="5CDA746B" w14:textId="77777777" w:rsidTr="00D70867">
      <w:trPr>
        <w:trHeight w:hRule="exact" w:val="567"/>
      </w:trPr>
      <w:tc>
        <w:tcPr>
          <w:tcW w:w="510" w:type="dxa"/>
        </w:tcPr>
        <w:p w14:paraId="7E3F68C5" w14:textId="77777777" w:rsidR="00975C7F" w:rsidRPr="00752FFF" w:rsidRDefault="00975C7F" w:rsidP="00D70867">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B622CF">
            <w:rPr>
              <w:rStyle w:val="PageNumber"/>
              <w:caps w:val="0"/>
              <w:noProof/>
            </w:rPr>
            <w:t>vi</w:t>
          </w:r>
          <w:r w:rsidRPr="00752FFF">
            <w:rPr>
              <w:rStyle w:val="PageNumber"/>
              <w:caps w:val="0"/>
            </w:rPr>
            <w:fldChar w:fldCharType="end"/>
          </w:r>
        </w:p>
      </w:tc>
      <w:tc>
        <w:tcPr>
          <w:tcW w:w="7767" w:type="dxa"/>
        </w:tcPr>
        <w:p w14:paraId="7AE926B5" w14:textId="4F238F6D" w:rsidR="00975C7F" w:rsidRDefault="00975C7F" w:rsidP="00D70867">
          <w:pPr>
            <w:pStyle w:val="Footer"/>
            <w:rPr>
              <w:rFonts w:cs="Arial"/>
            </w:rPr>
          </w:pPr>
          <w:r>
            <w:rPr>
              <w:rFonts w:cs="Arial"/>
            </w:rPr>
            <w:t>Natural Disaster Funding Arrangements</w:t>
          </w:r>
        </w:p>
        <w:p w14:paraId="61A348F9" w14:textId="13FF3E73" w:rsidR="00975C7F" w:rsidRPr="0013739A" w:rsidRDefault="00975C7F" w:rsidP="00F30877">
          <w:pPr>
            <w:pStyle w:val="FooterDraftReport"/>
          </w:pPr>
          <w:r>
            <w:t>Draft Report</w:t>
          </w:r>
        </w:p>
      </w:tc>
      <w:tc>
        <w:tcPr>
          <w:tcW w:w="510" w:type="dxa"/>
        </w:tcPr>
        <w:p w14:paraId="50335897" w14:textId="77777777" w:rsidR="00975C7F" w:rsidRDefault="00975C7F" w:rsidP="00D70867">
          <w:pPr>
            <w:pStyle w:val="Footer"/>
          </w:pPr>
        </w:p>
      </w:tc>
    </w:tr>
  </w:tbl>
  <w:p w14:paraId="43B1055D" w14:textId="77777777" w:rsidR="00975C7F" w:rsidRDefault="00975C7F" w:rsidP="00D70867">
    <w:pPr>
      <w:pStyle w:val="FooterEnd"/>
    </w:pPr>
  </w:p>
  <w:p w14:paraId="7927881D" w14:textId="77777777" w:rsidR="00975C7F" w:rsidRDefault="00975C7F">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75C7F" w14:paraId="6C3BC754" w14:textId="77777777" w:rsidTr="00D70867">
      <w:trPr>
        <w:trHeight w:hRule="exact" w:val="567"/>
      </w:trPr>
      <w:tc>
        <w:tcPr>
          <w:tcW w:w="510" w:type="dxa"/>
        </w:tcPr>
        <w:p w14:paraId="4A84E994" w14:textId="77777777" w:rsidR="00975C7F" w:rsidRDefault="00975C7F">
          <w:pPr>
            <w:pStyle w:val="Footer"/>
            <w:ind w:right="360" w:firstLine="360"/>
          </w:pPr>
        </w:p>
      </w:tc>
      <w:tc>
        <w:tcPr>
          <w:tcW w:w="7767" w:type="dxa"/>
        </w:tcPr>
        <w:p w14:paraId="43766ECF" w14:textId="77777777" w:rsidR="00975C7F" w:rsidRDefault="00975C7F" w:rsidP="00D70867">
          <w:pPr>
            <w:pStyle w:val="Footer"/>
            <w:jc w:val="right"/>
            <w:rPr>
              <w:bCs/>
              <w:noProof/>
              <w:lang w:val="en-US"/>
            </w:rPr>
          </w:pPr>
          <w:r w:rsidRPr="00EA6698">
            <w:rPr>
              <w:bCs/>
              <w:noProof/>
              <w:lang w:val="en-US"/>
            </w:rPr>
            <w:t>Terms of reference</w:t>
          </w:r>
        </w:p>
        <w:p w14:paraId="6801BE96" w14:textId="3185DD35" w:rsidR="00975C7F" w:rsidRPr="00752FFF" w:rsidRDefault="00975C7F" w:rsidP="0099348B">
          <w:pPr>
            <w:pStyle w:val="FooterDraftReport"/>
            <w:jc w:val="right"/>
          </w:pPr>
          <w:r>
            <w:t>Draft Report</w:t>
          </w:r>
        </w:p>
      </w:tc>
      <w:tc>
        <w:tcPr>
          <w:tcW w:w="510" w:type="dxa"/>
        </w:tcPr>
        <w:p w14:paraId="25F968F2" w14:textId="77777777" w:rsidR="00975C7F" w:rsidRPr="00A24443" w:rsidRDefault="00975C7F">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622CF">
            <w:rPr>
              <w:rStyle w:val="PageNumber"/>
              <w:caps w:val="0"/>
              <w:noProof/>
            </w:rPr>
            <w:t>v</w:t>
          </w:r>
          <w:r w:rsidRPr="00A24443">
            <w:rPr>
              <w:rStyle w:val="PageNumber"/>
              <w:caps w:val="0"/>
            </w:rPr>
            <w:fldChar w:fldCharType="end"/>
          </w:r>
        </w:p>
      </w:tc>
    </w:tr>
  </w:tbl>
  <w:p w14:paraId="4C5AE34A" w14:textId="77777777" w:rsidR="00975C7F" w:rsidRDefault="00975C7F">
    <w:pPr>
      <w:pStyle w:val="FooterEnd"/>
    </w:pPr>
  </w:p>
  <w:p w14:paraId="55CE7ECC" w14:textId="77777777" w:rsidR="00975C7F" w:rsidRPr="00D01645" w:rsidRDefault="00975C7F" w:rsidP="00D70867">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75C7F" w14:paraId="15DAC6BD" w14:textId="77777777" w:rsidTr="00D70867">
      <w:trPr>
        <w:trHeight w:hRule="exact" w:val="567"/>
      </w:trPr>
      <w:tc>
        <w:tcPr>
          <w:tcW w:w="510" w:type="dxa"/>
        </w:tcPr>
        <w:p w14:paraId="44488EEC" w14:textId="77777777" w:rsidR="00975C7F" w:rsidRPr="00A24443" w:rsidRDefault="00975C7F" w:rsidP="00D70867">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622CF">
            <w:rPr>
              <w:rStyle w:val="PageNumber"/>
              <w:caps w:val="0"/>
              <w:noProof/>
            </w:rPr>
            <w:t>xiv</w:t>
          </w:r>
          <w:r w:rsidRPr="00A24443">
            <w:rPr>
              <w:rStyle w:val="PageNumber"/>
              <w:caps w:val="0"/>
            </w:rPr>
            <w:fldChar w:fldCharType="end"/>
          </w:r>
        </w:p>
      </w:tc>
      <w:tc>
        <w:tcPr>
          <w:tcW w:w="7767" w:type="dxa"/>
        </w:tcPr>
        <w:p w14:paraId="1AD814F1" w14:textId="39FCA0DA" w:rsidR="00975C7F" w:rsidRDefault="00975C7F" w:rsidP="00D70867">
          <w:pPr>
            <w:pStyle w:val="Footer"/>
            <w:rPr>
              <w:rFonts w:cs="Arial"/>
            </w:rPr>
          </w:pPr>
          <w:r>
            <w:rPr>
              <w:rFonts w:cs="Arial"/>
            </w:rPr>
            <w:t>Natural Disaster Funding Arrangements</w:t>
          </w:r>
        </w:p>
        <w:p w14:paraId="2E9FD6DE" w14:textId="6EA81600" w:rsidR="00975C7F" w:rsidRPr="0013739A" w:rsidRDefault="00975C7F" w:rsidP="0099348B">
          <w:pPr>
            <w:pStyle w:val="FooterDraftReport"/>
          </w:pPr>
          <w:r>
            <w:t>Draft Report</w:t>
          </w:r>
        </w:p>
      </w:tc>
      <w:tc>
        <w:tcPr>
          <w:tcW w:w="510" w:type="dxa"/>
        </w:tcPr>
        <w:p w14:paraId="4502C20A" w14:textId="77777777" w:rsidR="00975C7F" w:rsidRDefault="00975C7F" w:rsidP="00D70867">
          <w:pPr>
            <w:pStyle w:val="Footer"/>
          </w:pPr>
        </w:p>
      </w:tc>
    </w:tr>
  </w:tbl>
  <w:p w14:paraId="0506F09E" w14:textId="77777777" w:rsidR="00975C7F" w:rsidRDefault="00975C7F" w:rsidP="00D70867">
    <w:pPr>
      <w:pStyle w:val="FooterEnd"/>
    </w:pPr>
  </w:p>
  <w:p w14:paraId="76499A76" w14:textId="77777777" w:rsidR="00975C7F" w:rsidRDefault="00975C7F">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975C7F" w14:paraId="72F6448D" w14:textId="77777777" w:rsidTr="00D70867">
      <w:trPr>
        <w:trHeight w:hRule="exact" w:val="567"/>
      </w:trPr>
      <w:tc>
        <w:tcPr>
          <w:tcW w:w="510" w:type="dxa"/>
        </w:tcPr>
        <w:p w14:paraId="1FE19EC2" w14:textId="77777777" w:rsidR="00975C7F" w:rsidRDefault="00975C7F">
          <w:pPr>
            <w:pStyle w:val="Footer"/>
            <w:ind w:right="360" w:firstLine="360"/>
          </w:pPr>
        </w:p>
      </w:tc>
      <w:tc>
        <w:tcPr>
          <w:tcW w:w="7767" w:type="dxa"/>
        </w:tcPr>
        <w:p w14:paraId="6FBBFFE5" w14:textId="77777777" w:rsidR="00975C7F" w:rsidRDefault="00975C7F" w:rsidP="007448F7">
          <w:pPr>
            <w:pStyle w:val="Footer"/>
            <w:jc w:val="right"/>
            <w:rPr>
              <w:rFonts w:cs="Arial"/>
            </w:rPr>
          </w:pPr>
          <w:r w:rsidRPr="00EA6698">
            <w:rPr>
              <w:bCs/>
              <w:noProof/>
            </w:rPr>
            <w:t>Contents</w:t>
          </w:r>
          <w:r>
            <w:rPr>
              <w:rFonts w:cs="Arial"/>
            </w:rPr>
            <w:t xml:space="preserve"> </w:t>
          </w:r>
        </w:p>
        <w:p w14:paraId="2D9429EF" w14:textId="1A54D4DA" w:rsidR="00975C7F" w:rsidRPr="00BA5B14" w:rsidRDefault="00975C7F" w:rsidP="0099348B">
          <w:pPr>
            <w:pStyle w:val="FooterDraftReport"/>
            <w:jc w:val="right"/>
          </w:pPr>
          <w:r>
            <w:t>Draft Report</w:t>
          </w:r>
        </w:p>
      </w:tc>
      <w:tc>
        <w:tcPr>
          <w:tcW w:w="510" w:type="dxa"/>
        </w:tcPr>
        <w:p w14:paraId="2819704F" w14:textId="77777777" w:rsidR="00975C7F" w:rsidRPr="007448F7" w:rsidRDefault="00975C7F">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B622CF">
            <w:rPr>
              <w:rStyle w:val="PageNumber"/>
              <w:caps w:val="0"/>
              <w:noProof/>
            </w:rPr>
            <w:t>ix</w:t>
          </w:r>
          <w:r w:rsidRPr="007448F7">
            <w:rPr>
              <w:rStyle w:val="PageNumber"/>
              <w:caps w:val="0"/>
            </w:rPr>
            <w:fldChar w:fldCharType="end"/>
          </w:r>
        </w:p>
      </w:tc>
    </w:tr>
  </w:tbl>
  <w:p w14:paraId="6CB0C01B" w14:textId="77777777" w:rsidR="00975C7F" w:rsidRDefault="00975C7F">
    <w:pPr>
      <w:pStyle w:val="FooterEnd"/>
    </w:pPr>
  </w:p>
  <w:p w14:paraId="53C6BD06" w14:textId="77777777" w:rsidR="00975C7F" w:rsidRDefault="00975C7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F2360D" w14:textId="77777777" w:rsidR="00975C7F" w:rsidRDefault="00975C7F">
      <w:r>
        <w:separator/>
      </w:r>
    </w:p>
    <w:p w14:paraId="141059C8" w14:textId="77777777" w:rsidR="00975C7F" w:rsidRDefault="00975C7F"/>
    <w:p w14:paraId="525104F4" w14:textId="77777777" w:rsidR="00975C7F" w:rsidRDefault="00975C7F"/>
  </w:footnote>
  <w:footnote w:type="continuationSeparator" w:id="0">
    <w:p w14:paraId="3FA9A2FE" w14:textId="77777777" w:rsidR="00975C7F" w:rsidRDefault="00975C7F">
      <w:r>
        <w:continuationSeparator/>
      </w:r>
    </w:p>
    <w:p w14:paraId="69DECB9A" w14:textId="77777777" w:rsidR="00975C7F" w:rsidRDefault="00975C7F"/>
    <w:p w14:paraId="2335D147" w14:textId="77777777" w:rsidR="00975C7F" w:rsidRDefault="00975C7F"/>
  </w:footnote>
  <w:footnote w:type="continuationNotice" w:id="1">
    <w:p w14:paraId="3A740C72" w14:textId="77777777" w:rsidR="00975C7F" w:rsidRDefault="00975C7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E9887" w14:textId="67508F5B" w:rsidR="001D2EF9" w:rsidRDefault="00B622CF" w:rsidP="00B622CF">
    <w:pPr>
      <w:pStyle w:val="Header"/>
      <w:jc w:val="center"/>
    </w:pPr>
    <w:r w:rsidRPr="006F6E70">
      <w:rPr>
        <w:color w:val="C00000" w:themeColor="accent6"/>
        <w:sz w:val="14"/>
        <w:szCs w:val="14"/>
      </w:rPr>
      <w:t>draft report</w:t>
    </w:r>
    <w:r>
      <w:rPr>
        <w:color w:val="C00000" w:themeColor="accent6"/>
        <w:sz w:val="14"/>
        <w:szCs w:val="14"/>
      </w:rPr>
      <w:t>:</w:t>
    </w:r>
    <w:r w:rsidRPr="006F6E70">
      <w:rPr>
        <w:color w:val="C00000" w:themeColor="accent6"/>
        <w:sz w:val="14"/>
        <w:szCs w:val="14"/>
      </w:rPr>
      <w:t xml:space="preserve"> For final outcomes of this project refer to the inquiry report.</w:t>
    </w:r>
    <w:r w:rsidR="001D2EF9">
      <w:rPr>
        <w:noProof/>
      </w:rPr>
      <w:pict w14:anchorId="06B40D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34151" o:spid="_x0000_s112662" type="#_x0000_t136" style="position:absolute;left:0;text-align:left;margin-left:0;margin-top:0;width:442.55pt;height:177pt;rotation:315;z-index:-251655168;mso-position-horizontal:center;mso-position-horizontal-relative:margin;mso-position-vertical:center;mso-position-vertical-relative:margin" o:allowincell="f" fillcolor="#bfbfbf [2412]" stroked="f">
          <v:fill opacity=".5"/>
          <v:textpath style="font-family:&quot;Arial&quot;;font-size:1pt" string="DRAFT"/>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975C7F" w14:paraId="5EB86941" w14:textId="77777777">
      <w:tc>
        <w:tcPr>
          <w:tcW w:w="2155" w:type="dxa"/>
          <w:tcBorders>
            <w:top w:val="single" w:sz="24" w:space="0" w:color="auto"/>
          </w:tcBorders>
        </w:tcPr>
        <w:p w14:paraId="4435F874" w14:textId="42FC7B56" w:rsidR="00975C7F" w:rsidRDefault="001D2EF9">
          <w:pPr>
            <w:pStyle w:val="Header"/>
          </w:pPr>
          <w:r>
            <w:rPr>
              <w:noProof/>
            </w:rPr>
            <w:pict w14:anchorId="316321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34160" o:spid="_x0000_s112671" type="#_x0000_t136" style="position:absolute;margin-left:0;margin-top:0;width:442.55pt;height:177pt;rotation:315;z-index:-251636736;mso-position-horizontal:center;mso-position-horizontal-relative:margin;mso-position-vertical:center;mso-position-vertical-relative:margin" o:allowincell="f" fillcolor="#bfbfbf [2412]" stroked="f">
                <v:fill opacity=".5"/>
                <v:textpath style="font-family:&quot;Arial&quot;;font-size:1pt" string="DRAFT"/>
              </v:shape>
            </w:pict>
          </w:r>
        </w:p>
      </w:tc>
      <w:tc>
        <w:tcPr>
          <w:tcW w:w="6634" w:type="dxa"/>
          <w:tcBorders>
            <w:top w:val="single" w:sz="6" w:space="0" w:color="auto"/>
          </w:tcBorders>
        </w:tcPr>
        <w:p w14:paraId="658948BD" w14:textId="385D7B4C" w:rsidR="00975C7F" w:rsidRDefault="00B622CF" w:rsidP="00B622CF">
          <w:pPr>
            <w:pStyle w:val="Header"/>
            <w:jc w:val="center"/>
          </w:pPr>
          <w:r w:rsidRPr="006F6E70">
            <w:rPr>
              <w:color w:val="C00000" w:themeColor="accent6"/>
              <w:sz w:val="14"/>
              <w:szCs w:val="14"/>
            </w:rPr>
            <w:t>draft report</w:t>
          </w:r>
          <w:r>
            <w:rPr>
              <w:color w:val="C00000" w:themeColor="accent6"/>
              <w:sz w:val="14"/>
              <w:szCs w:val="14"/>
            </w:rPr>
            <w:t>:</w:t>
          </w:r>
          <w:r w:rsidRPr="006F6E70">
            <w:rPr>
              <w:color w:val="C00000" w:themeColor="accent6"/>
              <w:sz w:val="14"/>
              <w:szCs w:val="14"/>
            </w:rPr>
            <w:t xml:space="preserve"> For final outcomes of this project refer to the inquiry report.</w:t>
          </w:r>
        </w:p>
      </w:tc>
    </w:tr>
  </w:tbl>
  <w:p w14:paraId="63AAC059" w14:textId="77777777" w:rsidR="00975C7F" w:rsidRDefault="00975C7F">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75C7F" w14:paraId="31B69497" w14:textId="77777777" w:rsidTr="005C68FE">
      <w:tc>
        <w:tcPr>
          <w:tcW w:w="6634" w:type="dxa"/>
          <w:tcBorders>
            <w:top w:val="single" w:sz="6" w:space="0" w:color="auto"/>
          </w:tcBorders>
        </w:tcPr>
        <w:p w14:paraId="68DDAA44" w14:textId="2BF385B7" w:rsidR="00975C7F" w:rsidRDefault="00B622CF" w:rsidP="00B622CF">
          <w:pPr>
            <w:pStyle w:val="HeaderOdd"/>
            <w:jc w:val="center"/>
          </w:pPr>
          <w:r w:rsidRPr="006F6E70">
            <w:rPr>
              <w:color w:val="C00000" w:themeColor="accent6"/>
              <w:sz w:val="14"/>
              <w:szCs w:val="14"/>
            </w:rPr>
            <w:t>draft report</w:t>
          </w:r>
          <w:r>
            <w:rPr>
              <w:color w:val="C00000" w:themeColor="accent6"/>
              <w:sz w:val="14"/>
              <w:szCs w:val="14"/>
            </w:rPr>
            <w:t>:</w:t>
          </w:r>
          <w:r w:rsidRPr="006F6E70">
            <w:rPr>
              <w:color w:val="C00000" w:themeColor="accent6"/>
              <w:sz w:val="14"/>
              <w:szCs w:val="14"/>
            </w:rPr>
            <w:t xml:space="preserve"> For final outcomes of this project refer to the inquiry report.</w:t>
          </w:r>
          <w:r w:rsidR="001D2EF9">
            <w:rPr>
              <w:noProof/>
            </w:rPr>
            <w:pict w14:anchorId="6A922F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34161" o:spid="_x0000_s112672" type="#_x0000_t136" style="position:absolute;left:0;text-align:left;margin-left:0;margin-top:0;width:442.55pt;height:177pt;rotation:315;z-index:-251634688;mso-position-horizontal:center;mso-position-horizontal-relative:margin;mso-position-vertical:center;mso-position-vertical-relative:margin" o:allowincell="f" fillcolor="#bfbfbf [2412]" stroked="f">
                <v:fill opacity=".5"/>
                <v:textpath style="font-family:&quot;Arial&quot;;font-size:1pt" string="DRAFT"/>
              </v:shape>
            </w:pict>
          </w:r>
        </w:p>
      </w:tc>
      <w:tc>
        <w:tcPr>
          <w:tcW w:w="2155" w:type="dxa"/>
          <w:tcBorders>
            <w:top w:val="single" w:sz="24" w:space="0" w:color="auto"/>
          </w:tcBorders>
        </w:tcPr>
        <w:p w14:paraId="1AD9D46A" w14:textId="77777777" w:rsidR="00975C7F" w:rsidRDefault="00975C7F" w:rsidP="005C68FE">
          <w:pPr>
            <w:pStyle w:val="HeaderOdd"/>
          </w:pPr>
        </w:p>
      </w:tc>
    </w:tr>
  </w:tbl>
  <w:p w14:paraId="446F3388" w14:textId="77777777" w:rsidR="00975C7F" w:rsidRPr="005C68FE" w:rsidRDefault="00975C7F" w:rsidP="005C68FE">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6A43E" w14:textId="51EC2294" w:rsidR="001D2EF9" w:rsidRDefault="001D2EF9">
    <w:pPr>
      <w:pStyle w:val="Header"/>
    </w:pPr>
    <w:r>
      <w:rPr>
        <w:noProof/>
      </w:rPr>
      <w:pict w14:anchorId="5472C4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34159" o:spid="_x0000_s112670" type="#_x0000_t136" style="position:absolute;margin-left:0;margin-top:0;width:442.55pt;height:177pt;rotation:315;z-index:-251638784;mso-position-horizontal:center;mso-position-horizontal-relative:margin;mso-position-vertical:center;mso-position-vertical-relative:margin" o:allowincell="f" fillcolor="#bfbfbf [2412]" stroked="f">
          <v:fill opacity=".5"/>
          <v:textpath style="font-family:&quot;Arial&quot;;font-size:1pt" string="DRAFT"/>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75C7F" w14:paraId="213A20A1" w14:textId="77777777" w:rsidTr="005C68FE">
      <w:tc>
        <w:tcPr>
          <w:tcW w:w="2155" w:type="dxa"/>
          <w:tcBorders>
            <w:top w:val="single" w:sz="24" w:space="0" w:color="auto"/>
          </w:tcBorders>
        </w:tcPr>
        <w:p w14:paraId="7FC617F7" w14:textId="5CD76110" w:rsidR="00975C7F" w:rsidRDefault="001D2EF9" w:rsidP="005C68FE">
          <w:pPr>
            <w:pStyle w:val="HeaderEven"/>
          </w:pPr>
          <w:r>
            <w:rPr>
              <w:noProof/>
            </w:rPr>
            <w:pict w14:anchorId="285841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34163" o:spid="_x0000_s112674" type="#_x0000_t136" style="position:absolute;margin-left:0;margin-top:0;width:442.55pt;height:177pt;rotation:315;z-index:-251630592;mso-position-horizontal:center;mso-position-horizontal-relative:margin;mso-position-vertical:center;mso-position-vertical-relative:margin" o:allowincell="f" fillcolor="#bfbfbf [2412]" stroked="f">
                <v:fill opacity=".5"/>
                <v:textpath style="font-family:&quot;Arial&quot;;font-size:1pt" string="DRAFT"/>
              </v:shape>
            </w:pict>
          </w:r>
        </w:p>
      </w:tc>
      <w:tc>
        <w:tcPr>
          <w:tcW w:w="6634" w:type="dxa"/>
          <w:tcBorders>
            <w:top w:val="single" w:sz="6" w:space="0" w:color="auto"/>
          </w:tcBorders>
        </w:tcPr>
        <w:p w14:paraId="6D9250FE" w14:textId="15573327" w:rsidR="00975C7F" w:rsidRDefault="00B622CF" w:rsidP="00B622CF">
          <w:pPr>
            <w:pStyle w:val="HeaderEven"/>
            <w:jc w:val="center"/>
          </w:pPr>
          <w:r w:rsidRPr="006F6E70">
            <w:rPr>
              <w:color w:val="C00000" w:themeColor="accent6"/>
              <w:sz w:val="14"/>
              <w:szCs w:val="14"/>
            </w:rPr>
            <w:t>draft report</w:t>
          </w:r>
          <w:r>
            <w:rPr>
              <w:color w:val="C00000" w:themeColor="accent6"/>
              <w:sz w:val="14"/>
              <w:szCs w:val="14"/>
            </w:rPr>
            <w:t>:</w:t>
          </w:r>
          <w:r w:rsidRPr="006F6E70">
            <w:rPr>
              <w:color w:val="C00000" w:themeColor="accent6"/>
              <w:sz w:val="14"/>
              <w:szCs w:val="14"/>
            </w:rPr>
            <w:t xml:space="preserve"> For final outcomes of this project refer to the inquiry report.</w:t>
          </w:r>
        </w:p>
      </w:tc>
    </w:tr>
  </w:tbl>
  <w:p w14:paraId="4E0279CF" w14:textId="77777777" w:rsidR="00975C7F" w:rsidRDefault="00975C7F" w:rsidP="00D732FE">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75C7F" w14:paraId="745EFB21" w14:textId="77777777">
      <w:tc>
        <w:tcPr>
          <w:tcW w:w="6634" w:type="dxa"/>
          <w:tcBorders>
            <w:top w:val="single" w:sz="6" w:space="0" w:color="auto"/>
          </w:tcBorders>
        </w:tcPr>
        <w:p w14:paraId="571C3847" w14:textId="754FE6D3" w:rsidR="00975C7F" w:rsidRDefault="00B622CF" w:rsidP="00B622CF">
          <w:pPr>
            <w:pStyle w:val="HeaderOdd"/>
            <w:jc w:val="center"/>
          </w:pPr>
          <w:r w:rsidRPr="006F6E70">
            <w:rPr>
              <w:color w:val="C00000" w:themeColor="accent6"/>
              <w:sz w:val="14"/>
              <w:szCs w:val="14"/>
            </w:rPr>
            <w:t>draft report</w:t>
          </w:r>
          <w:r>
            <w:rPr>
              <w:color w:val="C00000" w:themeColor="accent6"/>
              <w:sz w:val="14"/>
              <w:szCs w:val="14"/>
            </w:rPr>
            <w:t>:</w:t>
          </w:r>
          <w:r w:rsidRPr="006F6E70">
            <w:rPr>
              <w:color w:val="C00000" w:themeColor="accent6"/>
              <w:sz w:val="14"/>
              <w:szCs w:val="14"/>
            </w:rPr>
            <w:t xml:space="preserve"> For final outcomes of this project refer to the inquiry report.</w:t>
          </w:r>
          <w:r w:rsidR="001D2EF9">
            <w:rPr>
              <w:noProof/>
            </w:rPr>
            <w:pict w14:anchorId="609AC9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34164" o:spid="_x0000_s112675" type="#_x0000_t136" style="position:absolute;left:0;text-align:left;margin-left:0;margin-top:0;width:442.55pt;height:177pt;rotation:315;z-index:-251628544;mso-position-horizontal:center;mso-position-horizontal-relative:margin;mso-position-vertical:center;mso-position-vertical-relative:margin" o:allowincell="f" fillcolor="#bfbfbf [2412]" stroked="f">
                <v:fill opacity=".5"/>
                <v:textpath style="font-family:&quot;Arial&quot;;font-size:1pt" string="DRAFT"/>
              </v:shape>
            </w:pict>
          </w:r>
        </w:p>
      </w:tc>
      <w:tc>
        <w:tcPr>
          <w:tcW w:w="2155" w:type="dxa"/>
          <w:tcBorders>
            <w:top w:val="single" w:sz="24" w:space="0" w:color="auto"/>
          </w:tcBorders>
        </w:tcPr>
        <w:p w14:paraId="70A7E73D" w14:textId="77777777" w:rsidR="00975C7F" w:rsidRDefault="00975C7F">
          <w:pPr>
            <w:pStyle w:val="HeaderOdd"/>
          </w:pPr>
        </w:p>
      </w:tc>
    </w:tr>
  </w:tbl>
  <w:p w14:paraId="7AD51772" w14:textId="77777777" w:rsidR="00975C7F" w:rsidRDefault="00975C7F" w:rsidP="00B95339">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61868" w14:textId="239B3986" w:rsidR="001D2EF9" w:rsidRDefault="001D2EF9">
    <w:pPr>
      <w:pStyle w:val="Header"/>
    </w:pPr>
    <w:r>
      <w:rPr>
        <w:noProof/>
      </w:rPr>
      <w:pict w14:anchorId="6EC200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34162" o:spid="_x0000_s112673" type="#_x0000_t136" style="position:absolute;margin-left:0;margin-top:0;width:442.55pt;height:177pt;rotation:315;z-index:-251632640;mso-position-horizontal:center;mso-position-horizontal-relative:margin;mso-position-vertical:center;mso-position-vertical-relative:margin" o:allowincell="f" fillcolor="#bfbfbf [2412]" stroked="f">
          <v:fill opacity=".5"/>
          <v:textpath style="font-family:&quot;Arial&quot;;font-size:1pt" string="DRAFT"/>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A5D3D" w14:textId="60E71282" w:rsidR="001D2EF9" w:rsidRDefault="00B622CF" w:rsidP="00B622CF">
    <w:pPr>
      <w:pStyle w:val="Header"/>
      <w:jc w:val="center"/>
    </w:pPr>
    <w:r w:rsidRPr="006F6E70">
      <w:rPr>
        <w:color w:val="C00000" w:themeColor="accent6"/>
        <w:sz w:val="14"/>
        <w:szCs w:val="14"/>
      </w:rPr>
      <w:t>draft report</w:t>
    </w:r>
    <w:r>
      <w:rPr>
        <w:color w:val="C00000" w:themeColor="accent6"/>
        <w:sz w:val="14"/>
        <w:szCs w:val="14"/>
      </w:rPr>
      <w:t>:</w:t>
    </w:r>
    <w:r w:rsidRPr="006F6E70">
      <w:rPr>
        <w:color w:val="C00000" w:themeColor="accent6"/>
        <w:sz w:val="14"/>
        <w:szCs w:val="14"/>
      </w:rPr>
      <w:t xml:space="preserve"> For final outcomes of this project refer to the inquiry report.</w:t>
    </w:r>
    <w:bookmarkStart w:id="13" w:name="_GoBack"/>
    <w:bookmarkEnd w:id="13"/>
    <w:r w:rsidR="001D2EF9">
      <w:rPr>
        <w:noProof/>
      </w:rPr>
      <w:pict w14:anchorId="6054EF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34166" o:spid="_x0000_s112677" type="#_x0000_t136" style="position:absolute;left:0;text-align:left;margin-left:0;margin-top:0;width:442.55pt;height:177pt;rotation:315;z-index:-251624448;mso-position-horizontal:center;mso-position-horizontal-relative:margin;mso-position-vertical:center;mso-position-vertical-relative:margin" o:allowincell="f" fillcolor="#bfbfbf [2412]" stroked="f">
          <v:fill opacity=".5"/>
          <v:textpath style="font-family:&quot;Arial&quot;;font-size:1pt" string="DRAFT"/>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CA227" w14:textId="4D521471" w:rsidR="001D2EF9" w:rsidRDefault="00B622CF" w:rsidP="00B622CF">
    <w:pPr>
      <w:pStyle w:val="Header"/>
      <w:jc w:val="center"/>
    </w:pPr>
    <w:r w:rsidRPr="006F6E70">
      <w:rPr>
        <w:color w:val="C00000" w:themeColor="accent6"/>
        <w:sz w:val="14"/>
        <w:szCs w:val="14"/>
      </w:rPr>
      <w:t>draft report</w:t>
    </w:r>
    <w:r>
      <w:rPr>
        <w:color w:val="C00000" w:themeColor="accent6"/>
        <w:sz w:val="14"/>
        <w:szCs w:val="14"/>
      </w:rPr>
      <w:t>:</w:t>
    </w:r>
    <w:r w:rsidRPr="006F6E70">
      <w:rPr>
        <w:color w:val="C00000" w:themeColor="accent6"/>
        <w:sz w:val="14"/>
        <w:szCs w:val="14"/>
      </w:rPr>
      <w:t xml:space="preserve"> For final outcomes of this project refer to the inquiry report.</w:t>
    </w:r>
    <w:r w:rsidR="001D2EF9">
      <w:rPr>
        <w:noProof/>
      </w:rPr>
      <w:pict w14:anchorId="0D2402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34167" o:spid="_x0000_s112678" type="#_x0000_t136" style="position:absolute;left:0;text-align:left;margin-left:0;margin-top:0;width:442.55pt;height:177pt;rotation:315;z-index:-251622400;mso-position-horizontal:center;mso-position-horizontal-relative:margin;mso-position-vertical:center;mso-position-vertical-relative:margin" o:allowincell="f" fillcolor="#bfbfbf [2412]" stroked="f">
          <v:fill opacity=".5"/>
          <v:textpath style="font-family:&quot;Arial&quot;;font-size:1pt" string="DRAFT"/>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AF717" w14:textId="7565AB0B" w:rsidR="001D2EF9" w:rsidRDefault="001D2EF9">
    <w:pPr>
      <w:pStyle w:val="Header"/>
    </w:pPr>
    <w:r>
      <w:rPr>
        <w:noProof/>
      </w:rPr>
      <w:pict w14:anchorId="3EA906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34165" o:spid="_x0000_s112676" type="#_x0000_t136" style="position:absolute;margin-left:0;margin-top:0;width:442.55pt;height:177pt;rotation:315;z-index:-251626496;mso-position-horizontal:center;mso-position-horizontal-relative:margin;mso-position-vertical:center;mso-position-vertical-relative:margin" o:allowincell="f" fillcolor="#bfbfbf [2412]"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95F7D" w14:textId="341A8F9B" w:rsidR="001D2EF9" w:rsidRDefault="001D2EF9">
    <w:pPr>
      <w:pStyle w:val="Header"/>
    </w:pPr>
    <w:r>
      <w:rPr>
        <w:noProof/>
      </w:rPr>
      <w:pict w14:anchorId="434473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34152" o:spid="_x0000_s112663" type="#_x0000_t136" style="position:absolute;margin-left:0;margin-top:0;width:442.55pt;height:177pt;rotation:315;z-index:-251653120;mso-position-horizontal:center;mso-position-horizontal-relative:margin;mso-position-vertical:center;mso-position-vertical-relative:margin" o:allowincell="f" fillcolor="#bfbfbf [2412]"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765A3" w14:textId="49A5D4A9" w:rsidR="001D2EF9" w:rsidRDefault="001D2EF9">
    <w:pPr>
      <w:pStyle w:val="Header"/>
    </w:pPr>
    <w:r>
      <w:rPr>
        <w:noProof/>
      </w:rPr>
      <w:pict w14:anchorId="222392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34150" o:spid="_x0000_s112661" type="#_x0000_t136" style="position:absolute;margin-left:0;margin-top:0;width:442.55pt;height:177pt;rotation:315;z-index:-251657216;mso-position-horizontal:center;mso-position-horizontal-relative:margin;mso-position-vertical:center;mso-position-vertical-relative:margin" o:allowincell="f" fillcolor="#bfbfbf [2412]"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975C7F" w14:paraId="79043978" w14:textId="77777777">
      <w:tc>
        <w:tcPr>
          <w:tcW w:w="2155" w:type="dxa"/>
          <w:tcBorders>
            <w:top w:val="single" w:sz="24" w:space="0" w:color="auto"/>
          </w:tcBorders>
        </w:tcPr>
        <w:p w14:paraId="7BAFD5BE" w14:textId="596DA568" w:rsidR="00975C7F" w:rsidRDefault="001D2EF9">
          <w:pPr>
            <w:pStyle w:val="Header"/>
          </w:pPr>
          <w:r>
            <w:rPr>
              <w:noProof/>
            </w:rPr>
            <w:pict w14:anchorId="16230B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34154" o:spid="_x0000_s112665" type="#_x0000_t136" style="position:absolute;margin-left:0;margin-top:0;width:442.55pt;height:177pt;rotation:315;z-index:-251649024;mso-position-horizontal:center;mso-position-horizontal-relative:margin;mso-position-vertical:center;mso-position-vertical-relative:margin" o:allowincell="f" fillcolor="#bfbfbf [2412]" stroked="f">
                <v:fill opacity=".5"/>
                <v:textpath style="font-family:&quot;Arial&quot;;font-size:1pt" string="DRAFT"/>
              </v:shape>
            </w:pict>
          </w:r>
        </w:p>
      </w:tc>
      <w:tc>
        <w:tcPr>
          <w:tcW w:w="6634" w:type="dxa"/>
          <w:tcBorders>
            <w:top w:val="single" w:sz="6" w:space="0" w:color="auto"/>
          </w:tcBorders>
        </w:tcPr>
        <w:p w14:paraId="23A7D788" w14:textId="77777777" w:rsidR="00975C7F" w:rsidRDefault="00975C7F">
          <w:pPr>
            <w:pStyle w:val="Header"/>
          </w:pPr>
        </w:p>
      </w:tc>
    </w:tr>
  </w:tbl>
  <w:p w14:paraId="321DB239" w14:textId="77777777" w:rsidR="00975C7F" w:rsidRDefault="00975C7F">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75C7F" w14:paraId="1A23B542" w14:textId="77777777" w:rsidTr="005C68FE">
      <w:tc>
        <w:tcPr>
          <w:tcW w:w="6634" w:type="dxa"/>
          <w:tcBorders>
            <w:top w:val="single" w:sz="6" w:space="0" w:color="auto"/>
          </w:tcBorders>
        </w:tcPr>
        <w:p w14:paraId="2E18D4F8" w14:textId="0AC0A0B6" w:rsidR="00975C7F" w:rsidRDefault="00B622CF" w:rsidP="00B622CF">
          <w:pPr>
            <w:pStyle w:val="HeaderOdd"/>
            <w:jc w:val="center"/>
          </w:pPr>
          <w:r w:rsidRPr="006F6E70">
            <w:rPr>
              <w:color w:val="C00000" w:themeColor="accent6"/>
              <w:sz w:val="14"/>
              <w:szCs w:val="14"/>
            </w:rPr>
            <w:t>draft report</w:t>
          </w:r>
          <w:r>
            <w:rPr>
              <w:color w:val="C00000" w:themeColor="accent6"/>
              <w:sz w:val="14"/>
              <w:szCs w:val="14"/>
            </w:rPr>
            <w:t>:</w:t>
          </w:r>
          <w:r w:rsidRPr="006F6E70">
            <w:rPr>
              <w:color w:val="C00000" w:themeColor="accent6"/>
              <w:sz w:val="14"/>
              <w:szCs w:val="14"/>
            </w:rPr>
            <w:t xml:space="preserve"> For final outcomes of this project refer to the inquiry report.</w:t>
          </w:r>
          <w:r w:rsidR="001D2EF9">
            <w:rPr>
              <w:noProof/>
            </w:rPr>
            <w:pict w14:anchorId="0AD50D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34155" o:spid="_x0000_s112666" type="#_x0000_t136" style="position:absolute;left:0;text-align:left;margin-left:0;margin-top:0;width:442.55pt;height:177pt;rotation:315;z-index:-251646976;mso-position-horizontal:center;mso-position-horizontal-relative:margin;mso-position-vertical:center;mso-position-vertical-relative:margin" o:allowincell="f" fillcolor="#bfbfbf [2412]" stroked="f">
                <v:fill opacity=".5"/>
                <v:textpath style="font-family:&quot;Arial&quot;;font-size:1pt" string="DRAFT"/>
              </v:shape>
            </w:pict>
          </w:r>
        </w:p>
      </w:tc>
      <w:tc>
        <w:tcPr>
          <w:tcW w:w="2155" w:type="dxa"/>
          <w:tcBorders>
            <w:top w:val="single" w:sz="24" w:space="0" w:color="auto"/>
          </w:tcBorders>
        </w:tcPr>
        <w:p w14:paraId="09AF0371" w14:textId="77777777" w:rsidR="00975C7F" w:rsidRDefault="00975C7F" w:rsidP="005C68FE">
          <w:pPr>
            <w:pStyle w:val="HeaderOdd"/>
          </w:pPr>
        </w:p>
      </w:tc>
    </w:tr>
  </w:tbl>
  <w:p w14:paraId="66ED6916" w14:textId="77777777" w:rsidR="00975C7F" w:rsidRPr="005C68FE" w:rsidRDefault="00975C7F"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7C3B06" w14:textId="7C3D9509" w:rsidR="001D2EF9" w:rsidRDefault="001D2EF9">
    <w:pPr>
      <w:pStyle w:val="Header"/>
    </w:pPr>
    <w:r>
      <w:rPr>
        <w:noProof/>
      </w:rPr>
      <w:pict w14:anchorId="66B301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34153" o:spid="_x0000_s112664" type="#_x0000_t136" style="position:absolute;margin-left:0;margin-top:0;width:442.55pt;height:177pt;rotation:315;z-index:-251651072;mso-position-horizontal:center;mso-position-horizontal-relative:margin;mso-position-vertical:center;mso-position-vertical-relative:margin" o:allowincell="f" fillcolor="#bfbfbf [2412]"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975C7F" w14:paraId="378E5D91" w14:textId="77777777">
      <w:tc>
        <w:tcPr>
          <w:tcW w:w="2155" w:type="dxa"/>
          <w:tcBorders>
            <w:top w:val="single" w:sz="24" w:space="0" w:color="auto"/>
          </w:tcBorders>
        </w:tcPr>
        <w:p w14:paraId="53224E89" w14:textId="6AA34099" w:rsidR="00975C7F" w:rsidRDefault="001D2EF9">
          <w:pPr>
            <w:pStyle w:val="Header"/>
          </w:pPr>
          <w:r>
            <w:rPr>
              <w:noProof/>
            </w:rPr>
            <w:pict w14:anchorId="6EC084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34157" o:spid="_x0000_s112668" type="#_x0000_t136" style="position:absolute;margin-left:0;margin-top:0;width:442.55pt;height:177pt;rotation:315;z-index:-251642880;mso-position-horizontal:center;mso-position-horizontal-relative:margin;mso-position-vertical:center;mso-position-vertical-relative:margin" o:allowincell="f" fillcolor="#bfbfbf [2412]" stroked="f">
                <v:fill opacity=".5"/>
                <v:textpath style="font-family:&quot;Arial&quot;;font-size:1pt" string="DRAFT"/>
              </v:shape>
            </w:pict>
          </w:r>
        </w:p>
      </w:tc>
      <w:tc>
        <w:tcPr>
          <w:tcW w:w="6634" w:type="dxa"/>
          <w:tcBorders>
            <w:top w:val="single" w:sz="6" w:space="0" w:color="auto"/>
          </w:tcBorders>
        </w:tcPr>
        <w:p w14:paraId="662BC0BF" w14:textId="1AE22CDA" w:rsidR="00975C7F" w:rsidRDefault="00B622CF" w:rsidP="00B622CF">
          <w:pPr>
            <w:pStyle w:val="Header"/>
            <w:jc w:val="center"/>
          </w:pPr>
          <w:r w:rsidRPr="006F6E70">
            <w:rPr>
              <w:color w:val="C00000" w:themeColor="accent6"/>
              <w:sz w:val="14"/>
              <w:szCs w:val="14"/>
            </w:rPr>
            <w:t>draft report</w:t>
          </w:r>
          <w:r>
            <w:rPr>
              <w:color w:val="C00000" w:themeColor="accent6"/>
              <w:sz w:val="14"/>
              <w:szCs w:val="14"/>
            </w:rPr>
            <w:t>:</w:t>
          </w:r>
          <w:r w:rsidRPr="006F6E70">
            <w:rPr>
              <w:color w:val="C00000" w:themeColor="accent6"/>
              <w:sz w:val="14"/>
              <w:szCs w:val="14"/>
            </w:rPr>
            <w:t xml:space="preserve"> For final outcomes of this project refer to the inquiry report.</w:t>
          </w:r>
        </w:p>
      </w:tc>
    </w:tr>
  </w:tbl>
  <w:p w14:paraId="6BA85904" w14:textId="77777777" w:rsidR="00975C7F" w:rsidRDefault="00975C7F">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75C7F" w14:paraId="07364954" w14:textId="77777777">
      <w:tc>
        <w:tcPr>
          <w:tcW w:w="6634" w:type="dxa"/>
          <w:tcBorders>
            <w:top w:val="single" w:sz="6" w:space="0" w:color="auto"/>
          </w:tcBorders>
        </w:tcPr>
        <w:p w14:paraId="2B0B9C14" w14:textId="189875FF" w:rsidR="00975C7F" w:rsidRDefault="00B622CF" w:rsidP="00B622CF">
          <w:pPr>
            <w:pStyle w:val="HeaderOdd"/>
            <w:jc w:val="center"/>
          </w:pPr>
          <w:r w:rsidRPr="006F6E70">
            <w:rPr>
              <w:color w:val="C00000" w:themeColor="accent6"/>
              <w:sz w:val="14"/>
              <w:szCs w:val="14"/>
            </w:rPr>
            <w:t>draft report</w:t>
          </w:r>
          <w:r>
            <w:rPr>
              <w:color w:val="C00000" w:themeColor="accent6"/>
              <w:sz w:val="14"/>
              <w:szCs w:val="14"/>
            </w:rPr>
            <w:t>:</w:t>
          </w:r>
          <w:r w:rsidRPr="006F6E70">
            <w:rPr>
              <w:color w:val="C00000" w:themeColor="accent6"/>
              <w:sz w:val="14"/>
              <w:szCs w:val="14"/>
            </w:rPr>
            <w:t xml:space="preserve"> For final outcomes of this project refer to the inquiry report.</w:t>
          </w:r>
          <w:r w:rsidR="001D2EF9">
            <w:rPr>
              <w:noProof/>
            </w:rPr>
            <w:pict w14:anchorId="43EE79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34158" o:spid="_x0000_s112669" type="#_x0000_t136" style="position:absolute;left:0;text-align:left;margin-left:0;margin-top:0;width:442.55pt;height:177pt;rotation:315;z-index:-251640832;mso-position-horizontal:center;mso-position-horizontal-relative:margin;mso-position-vertical:center;mso-position-vertical-relative:margin" o:allowincell="f" fillcolor="#bfbfbf [2412]" stroked="f">
                <v:fill opacity=".5"/>
                <v:textpath style="font-family:&quot;Arial&quot;;font-size:1pt" string="DRAFT"/>
              </v:shape>
            </w:pict>
          </w:r>
        </w:p>
      </w:tc>
      <w:tc>
        <w:tcPr>
          <w:tcW w:w="2155" w:type="dxa"/>
          <w:tcBorders>
            <w:top w:val="single" w:sz="24" w:space="0" w:color="auto"/>
          </w:tcBorders>
        </w:tcPr>
        <w:p w14:paraId="776F6302" w14:textId="77777777" w:rsidR="00975C7F" w:rsidRDefault="00975C7F" w:rsidP="00D70867">
          <w:pPr>
            <w:pStyle w:val="HeaderOdd"/>
          </w:pPr>
        </w:p>
      </w:tc>
    </w:tr>
  </w:tbl>
  <w:p w14:paraId="48A7C9E5" w14:textId="77777777" w:rsidR="00975C7F" w:rsidRDefault="00975C7F" w:rsidP="00D70867">
    <w:pPr>
      <w:pStyle w:val="HeaderEnd"/>
    </w:pPr>
  </w:p>
  <w:p w14:paraId="67F940BD" w14:textId="77777777" w:rsidR="00975C7F" w:rsidRPr="00D01645" w:rsidRDefault="00975C7F" w:rsidP="00D70867">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33BE" w14:textId="0CF01DAE" w:rsidR="001D2EF9" w:rsidRDefault="001D2EF9">
    <w:pPr>
      <w:pStyle w:val="Header"/>
    </w:pPr>
    <w:r>
      <w:rPr>
        <w:noProof/>
      </w:rPr>
      <w:pict w14:anchorId="13505C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34156" o:spid="_x0000_s112667" type="#_x0000_t136" style="position:absolute;margin-left:0;margin-top:0;width:442.55pt;height:177pt;rotation:315;z-index:-251644928;mso-position-horizontal:center;mso-position-horizontal-relative:margin;mso-position-vertical:center;mso-position-vertical-relative:margin" o:allowincell="f" fillcolor="#bfbfbf [2412]"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39B524A0"/>
    <w:multiLevelType w:val="multilevel"/>
    <w:tmpl w:val="20049B88"/>
    <w:name w:val="StandardNumberedList"/>
    <w:lvl w:ilvl="0">
      <w:start w:val="1"/>
      <w:numFmt w:val="decimal"/>
      <w:pStyle w:val="OutlineNumbered1"/>
      <w:lvlText w:val="%1."/>
      <w:lvlJc w:val="left"/>
      <w:pPr>
        <w:tabs>
          <w:tab w:val="num" w:pos="567"/>
        </w:tabs>
        <w:ind w:left="567" w:hanging="567"/>
      </w:pPr>
    </w:lvl>
    <w:lvl w:ilvl="1">
      <w:start w:val="1"/>
      <w:numFmt w:val="decimal"/>
      <w:pStyle w:val="OutlineNumbered2"/>
      <w:lvlText w:val="%1.%2."/>
      <w:lvlJc w:val="left"/>
      <w:pPr>
        <w:tabs>
          <w:tab w:val="num" w:pos="1134"/>
        </w:tabs>
        <w:ind w:left="1134" w:hanging="567"/>
      </w:pPr>
    </w:lvl>
    <w:lvl w:ilvl="2">
      <w:start w:val="1"/>
      <w:numFmt w:val="decimal"/>
      <w:pStyle w:val="OutlineNumbered3"/>
      <w:lvlText w:val="%1.%2.%3."/>
      <w:lvlJc w:val="left"/>
      <w:pPr>
        <w:tabs>
          <w:tab w:val="num" w:pos="1701"/>
        </w:tabs>
        <w:ind w:left="1701" w:hanging="56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18">
    <w:nsid w:val="7EC64657"/>
    <w:multiLevelType w:val="hybridMultilevel"/>
    <w:tmpl w:val="97FE95D6"/>
    <w:lvl w:ilvl="0" w:tplc="0C090019">
      <w:start w:val="1"/>
      <w:numFmt w:val="lowerLetter"/>
      <w:lvlText w:val="%1."/>
      <w:lvlJc w:val="left"/>
      <w:pPr>
        <w:ind w:left="1080" w:hanging="360"/>
      </w:pPr>
    </w:lvl>
    <w:lvl w:ilvl="1" w:tplc="0C090019">
      <w:start w:val="1"/>
      <w:numFmt w:val="lowerLetter"/>
      <w:lvlText w:val="%2."/>
      <w:lvlJc w:val="left"/>
      <w:pPr>
        <w:ind w:left="1800" w:hanging="360"/>
      </w:p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num w:numId="1">
    <w:abstractNumId w:val="6"/>
  </w:num>
  <w:num w:numId="2">
    <w:abstractNumId w:val="5"/>
  </w:num>
  <w:num w:numId="3">
    <w:abstractNumId w:val="8"/>
  </w:num>
  <w:num w:numId="4">
    <w:abstractNumId w:val="2"/>
  </w:num>
  <w:num w:numId="5">
    <w:abstractNumId w:val="15"/>
  </w:num>
  <w:num w:numId="6">
    <w:abstractNumId w:val="14"/>
  </w:num>
  <w:num w:numId="7">
    <w:abstractNumId w:val="3"/>
  </w:num>
  <w:num w:numId="8">
    <w:abstractNumId w:val="7"/>
  </w:num>
  <w:num w:numId="9">
    <w:abstractNumId w:val="16"/>
  </w:num>
  <w:num w:numId="10">
    <w:abstractNumId w:val="11"/>
  </w:num>
  <w:num w:numId="11">
    <w:abstractNumId w:val="10"/>
  </w:num>
  <w:num w:numId="12">
    <w:abstractNumId w:val="1"/>
  </w:num>
  <w:num w:numId="13">
    <w:abstractNumId w:val="4"/>
  </w:num>
  <w:num w:numId="14">
    <w:abstractNumId w:val="13"/>
  </w:num>
  <w:num w:numId="15">
    <w:abstractNumId w:val="17"/>
  </w:num>
  <w:num w:numId="16">
    <w:abstractNumId w:val="12"/>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19">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12679"/>
    <o:shapelayout v:ext="edit">
      <o:idmap v:ext="edit" data="110"/>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65A"/>
    <w:rsid w:val="00014220"/>
    <w:rsid w:val="00017AFC"/>
    <w:rsid w:val="000221B1"/>
    <w:rsid w:val="00025878"/>
    <w:rsid w:val="00026B38"/>
    <w:rsid w:val="000502D3"/>
    <w:rsid w:val="00052CB2"/>
    <w:rsid w:val="0005477D"/>
    <w:rsid w:val="000623BF"/>
    <w:rsid w:val="00080984"/>
    <w:rsid w:val="00092608"/>
    <w:rsid w:val="00095EEA"/>
    <w:rsid w:val="00097C15"/>
    <w:rsid w:val="000A0A0E"/>
    <w:rsid w:val="000A4256"/>
    <w:rsid w:val="000A5E12"/>
    <w:rsid w:val="000A648E"/>
    <w:rsid w:val="000A6943"/>
    <w:rsid w:val="000B14A5"/>
    <w:rsid w:val="000B416E"/>
    <w:rsid w:val="000C3465"/>
    <w:rsid w:val="000C3E48"/>
    <w:rsid w:val="000C7DCA"/>
    <w:rsid w:val="000D7211"/>
    <w:rsid w:val="000E0597"/>
    <w:rsid w:val="000F04D3"/>
    <w:rsid w:val="000F185F"/>
    <w:rsid w:val="000F2F5F"/>
    <w:rsid w:val="00106041"/>
    <w:rsid w:val="0010611E"/>
    <w:rsid w:val="00117E9F"/>
    <w:rsid w:val="00122FE9"/>
    <w:rsid w:val="00131572"/>
    <w:rsid w:val="00131D4F"/>
    <w:rsid w:val="0013399B"/>
    <w:rsid w:val="001467B9"/>
    <w:rsid w:val="00166F10"/>
    <w:rsid w:val="00180515"/>
    <w:rsid w:val="00180D7C"/>
    <w:rsid w:val="00181F4B"/>
    <w:rsid w:val="00190919"/>
    <w:rsid w:val="00196FB3"/>
    <w:rsid w:val="001A181D"/>
    <w:rsid w:val="001A25E9"/>
    <w:rsid w:val="001A5071"/>
    <w:rsid w:val="001B25F5"/>
    <w:rsid w:val="001B4E73"/>
    <w:rsid w:val="001B7F1E"/>
    <w:rsid w:val="001D2EF9"/>
    <w:rsid w:val="001D4B1F"/>
    <w:rsid w:val="001D6629"/>
    <w:rsid w:val="001E1EB4"/>
    <w:rsid w:val="001E3390"/>
    <w:rsid w:val="001F011B"/>
    <w:rsid w:val="001F2270"/>
    <w:rsid w:val="001F4569"/>
    <w:rsid w:val="00203B40"/>
    <w:rsid w:val="00205A82"/>
    <w:rsid w:val="00211BEE"/>
    <w:rsid w:val="002179C6"/>
    <w:rsid w:val="00226A17"/>
    <w:rsid w:val="002334D7"/>
    <w:rsid w:val="00257470"/>
    <w:rsid w:val="00261607"/>
    <w:rsid w:val="00263DD1"/>
    <w:rsid w:val="00264D3B"/>
    <w:rsid w:val="00265685"/>
    <w:rsid w:val="00271B0C"/>
    <w:rsid w:val="00274BC6"/>
    <w:rsid w:val="00275F38"/>
    <w:rsid w:val="00281D5F"/>
    <w:rsid w:val="002923AD"/>
    <w:rsid w:val="00296592"/>
    <w:rsid w:val="002A0A4B"/>
    <w:rsid w:val="002A499E"/>
    <w:rsid w:val="002B636E"/>
    <w:rsid w:val="002B64D6"/>
    <w:rsid w:val="002C12F5"/>
    <w:rsid w:val="002D04B6"/>
    <w:rsid w:val="002D6FCE"/>
    <w:rsid w:val="002F7C2A"/>
    <w:rsid w:val="00300D6E"/>
    <w:rsid w:val="00336D15"/>
    <w:rsid w:val="00340511"/>
    <w:rsid w:val="003416AC"/>
    <w:rsid w:val="0034537A"/>
    <w:rsid w:val="003477C4"/>
    <w:rsid w:val="003547C6"/>
    <w:rsid w:val="00372D78"/>
    <w:rsid w:val="0038647D"/>
    <w:rsid w:val="00393A49"/>
    <w:rsid w:val="003960E2"/>
    <w:rsid w:val="003B41E0"/>
    <w:rsid w:val="003B68D4"/>
    <w:rsid w:val="003C0302"/>
    <w:rsid w:val="003C3D73"/>
    <w:rsid w:val="003D2923"/>
    <w:rsid w:val="003D624D"/>
    <w:rsid w:val="003E7802"/>
    <w:rsid w:val="0042007A"/>
    <w:rsid w:val="00433C81"/>
    <w:rsid w:val="00446D6B"/>
    <w:rsid w:val="00457B3F"/>
    <w:rsid w:val="00460F3C"/>
    <w:rsid w:val="00463022"/>
    <w:rsid w:val="00480079"/>
    <w:rsid w:val="00481CF0"/>
    <w:rsid w:val="00491447"/>
    <w:rsid w:val="004A29D3"/>
    <w:rsid w:val="004B492A"/>
    <w:rsid w:val="004C0B0C"/>
    <w:rsid w:val="004D3F58"/>
    <w:rsid w:val="004D66A1"/>
    <w:rsid w:val="004E52E2"/>
    <w:rsid w:val="004E6BB4"/>
    <w:rsid w:val="004E710B"/>
    <w:rsid w:val="004E7D3C"/>
    <w:rsid w:val="004F21C8"/>
    <w:rsid w:val="004F57B1"/>
    <w:rsid w:val="00506335"/>
    <w:rsid w:val="00515D43"/>
    <w:rsid w:val="00516A04"/>
    <w:rsid w:val="0052544D"/>
    <w:rsid w:val="00526B19"/>
    <w:rsid w:val="00551FB8"/>
    <w:rsid w:val="005537F6"/>
    <w:rsid w:val="005549E1"/>
    <w:rsid w:val="00557914"/>
    <w:rsid w:val="00560F43"/>
    <w:rsid w:val="005654D0"/>
    <w:rsid w:val="00574029"/>
    <w:rsid w:val="00582B6F"/>
    <w:rsid w:val="00585B3F"/>
    <w:rsid w:val="00592F08"/>
    <w:rsid w:val="005A19FD"/>
    <w:rsid w:val="005A3D72"/>
    <w:rsid w:val="005B17AB"/>
    <w:rsid w:val="005C4B15"/>
    <w:rsid w:val="005C68FE"/>
    <w:rsid w:val="005D2B59"/>
    <w:rsid w:val="005D4847"/>
    <w:rsid w:val="005E1FB8"/>
    <w:rsid w:val="005E7075"/>
    <w:rsid w:val="005F4B46"/>
    <w:rsid w:val="005F7D30"/>
    <w:rsid w:val="00602523"/>
    <w:rsid w:val="006040CB"/>
    <w:rsid w:val="00604351"/>
    <w:rsid w:val="00607D8A"/>
    <w:rsid w:val="0061590F"/>
    <w:rsid w:val="00636497"/>
    <w:rsid w:val="00641AE2"/>
    <w:rsid w:val="0064456A"/>
    <w:rsid w:val="00650DDA"/>
    <w:rsid w:val="0065126A"/>
    <w:rsid w:val="00653FA6"/>
    <w:rsid w:val="00660B9F"/>
    <w:rsid w:val="0066452B"/>
    <w:rsid w:val="0067000B"/>
    <w:rsid w:val="0067557D"/>
    <w:rsid w:val="006802D4"/>
    <w:rsid w:val="00683849"/>
    <w:rsid w:val="00691AB5"/>
    <w:rsid w:val="006D0DAC"/>
    <w:rsid w:val="006E1E6B"/>
    <w:rsid w:val="006E798F"/>
    <w:rsid w:val="006F0EAC"/>
    <w:rsid w:val="006F6A85"/>
    <w:rsid w:val="0070328D"/>
    <w:rsid w:val="00706B5C"/>
    <w:rsid w:val="00731F96"/>
    <w:rsid w:val="00734127"/>
    <w:rsid w:val="00735FEA"/>
    <w:rsid w:val="00743460"/>
    <w:rsid w:val="00743A27"/>
    <w:rsid w:val="007448F7"/>
    <w:rsid w:val="00753DC6"/>
    <w:rsid w:val="0075578C"/>
    <w:rsid w:val="00766DFB"/>
    <w:rsid w:val="007734B5"/>
    <w:rsid w:val="00775E00"/>
    <w:rsid w:val="00777815"/>
    <w:rsid w:val="0078051D"/>
    <w:rsid w:val="007809B8"/>
    <w:rsid w:val="007813A6"/>
    <w:rsid w:val="00784DD8"/>
    <w:rsid w:val="007A505E"/>
    <w:rsid w:val="007C617F"/>
    <w:rsid w:val="007C6364"/>
    <w:rsid w:val="007C63E4"/>
    <w:rsid w:val="007C64EF"/>
    <w:rsid w:val="007C7585"/>
    <w:rsid w:val="007F39FD"/>
    <w:rsid w:val="00802C32"/>
    <w:rsid w:val="00805FD7"/>
    <w:rsid w:val="008067F7"/>
    <w:rsid w:val="00806E54"/>
    <w:rsid w:val="008206EE"/>
    <w:rsid w:val="008214B1"/>
    <w:rsid w:val="008273A9"/>
    <w:rsid w:val="00831025"/>
    <w:rsid w:val="00836ED7"/>
    <w:rsid w:val="00841061"/>
    <w:rsid w:val="0084355E"/>
    <w:rsid w:val="008453AC"/>
    <w:rsid w:val="00860D09"/>
    <w:rsid w:val="00862044"/>
    <w:rsid w:val="00880BF7"/>
    <w:rsid w:val="00886961"/>
    <w:rsid w:val="0089269F"/>
    <w:rsid w:val="008A2133"/>
    <w:rsid w:val="008A3857"/>
    <w:rsid w:val="008B2205"/>
    <w:rsid w:val="008C305F"/>
    <w:rsid w:val="008C3AD2"/>
    <w:rsid w:val="008C7C3D"/>
    <w:rsid w:val="008D33A0"/>
    <w:rsid w:val="008D4DC5"/>
    <w:rsid w:val="008D6F66"/>
    <w:rsid w:val="008E1BEA"/>
    <w:rsid w:val="008E242D"/>
    <w:rsid w:val="008E43D2"/>
    <w:rsid w:val="008E5248"/>
    <w:rsid w:val="008F04C9"/>
    <w:rsid w:val="008F7C50"/>
    <w:rsid w:val="008F7DB7"/>
    <w:rsid w:val="009064D3"/>
    <w:rsid w:val="00915300"/>
    <w:rsid w:val="00933B0C"/>
    <w:rsid w:val="00935676"/>
    <w:rsid w:val="0095038C"/>
    <w:rsid w:val="0095078F"/>
    <w:rsid w:val="0095437C"/>
    <w:rsid w:val="0096203A"/>
    <w:rsid w:val="00975516"/>
    <w:rsid w:val="00975C7F"/>
    <w:rsid w:val="00977419"/>
    <w:rsid w:val="0098401D"/>
    <w:rsid w:val="0099348B"/>
    <w:rsid w:val="009A679C"/>
    <w:rsid w:val="009A789F"/>
    <w:rsid w:val="009B12EF"/>
    <w:rsid w:val="009B48F7"/>
    <w:rsid w:val="009B5999"/>
    <w:rsid w:val="009B6185"/>
    <w:rsid w:val="009C1DD7"/>
    <w:rsid w:val="009C630B"/>
    <w:rsid w:val="009C6C6D"/>
    <w:rsid w:val="009D532F"/>
    <w:rsid w:val="009E1939"/>
    <w:rsid w:val="009E1E78"/>
    <w:rsid w:val="009E3F42"/>
    <w:rsid w:val="009F153B"/>
    <w:rsid w:val="00A1597D"/>
    <w:rsid w:val="00A209A4"/>
    <w:rsid w:val="00A302A7"/>
    <w:rsid w:val="00A46989"/>
    <w:rsid w:val="00A469AA"/>
    <w:rsid w:val="00A54859"/>
    <w:rsid w:val="00A6662C"/>
    <w:rsid w:val="00A7065A"/>
    <w:rsid w:val="00A71CE9"/>
    <w:rsid w:val="00A72A19"/>
    <w:rsid w:val="00A73C41"/>
    <w:rsid w:val="00A75A30"/>
    <w:rsid w:val="00A83760"/>
    <w:rsid w:val="00A85FAF"/>
    <w:rsid w:val="00A86FBF"/>
    <w:rsid w:val="00A90B30"/>
    <w:rsid w:val="00A93C82"/>
    <w:rsid w:val="00AB2A48"/>
    <w:rsid w:val="00AC3236"/>
    <w:rsid w:val="00AC7A61"/>
    <w:rsid w:val="00AC7B8C"/>
    <w:rsid w:val="00AD43A7"/>
    <w:rsid w:val="00AD4874"/>
    <w:rsid w:val="00AE1F8A"/>
    <w:rsid w:val="00AE461E"/>
    <w:rsid w:val="00B036B2"/>
    <w:rsid w:val="00B04D19"/>
    <w:rsid w:val="00B153C3"/>
    <w:rsid w:val="00B162BC"/>
    <w:rsid w:val="00B22087"/>
    <w:rsid w:val="00B40F87"/>
    <w:rsid w:val="00B549BA"/>
    <w:rsid w:val="00B60BBA"/>
    <w:rsid w:val="00B622CF"/>
    <w:rsid w:val="00B719BF"/>
    <w:rsid w:val="00B722F2"/>
    <w:rsid w:val="00B80355"/>
    <w:rsid w:val="00B8297C"/>
    <w:rsid w:val="00B90958"/>
    <w:rsid w:val="00B95339"/>
    <w:rsid w:val="00BA0B81"/>
    <w:rsid w:val="00BB2078"/>
    <w:rsid w:val="00BB334E"/>
    <w:rsid w:val="00BB5DCF"/>
    <w:rsid w:val="00BC2476"/>
    <w:rsid w:val="00BF59EA"/>
    <w:rsid w:val="00BF79CD"/>
    <w:rsid w:val="00C058AB"/>
    <w:rsid w:val="00C07123"/>
    <w:rsid w:val="00C0721B"/>
    <w:rsid w:val="00C3028F"/>
    <w:rsid w:val="00C34C8C"/>
    <w:rsid w:val="00C45A27"/>
    <w:rsid w:val="00C50792"/>
    <w:rsid w:val="00C51371"/>
    <w:rsid w:val="00C55A45"/>
    <w:rsid w:val="00C65975"/>
    <w:rsid w:val="00C77FCF"/>
    <w:rsid w:val="00C904D9"/>
    <w:rsid w:val="00C94C06"/>
    <w:rsid w:val="00CA0D8C"/>
    <w:rsid w:val="00CA48BF"/>
    <w:rsid w:val="00CA7BB3"/>
    <w:rsid w:val="00CB3ACC"/>
    <w:rsid w:val="00CB4745"/>
    <w:rsid w:val="00CC0ABF"/>
    <w:rsid w:val="00CD2163"/>
    <w:rsid w:val="00CD4FE7"/>
    <w:rsid w:val="00CD5E6B"/>
    <w:rsid w:val="00CE4FBC"/>
    <w:rsid w:val="00CE57F6"/>
    <w:rsid w:val="00CE5D96"/>
    <w:rsid w:val="00CE7344"/>
    <w:rsid w:val="00CF26EE"/>
    <w:rsid w:val="00D310F0"/>
    <w:rsid w:val="00D35ADE"/>
    <w:rsid w:val="00D37AC2"/>
    <w:rsid w:val="00D500A9"/>
    <w:rsid w:val="00D61180"/>
    <w:rsid w:val="00D61A7E"/>
    <w:rsid w:val="00D64121"/>
    <w:rsid w:val="00D67119"/>
    <w:rsid w:val="00D70867"/>
    <w:rsid w:val="00D732FE"/>
    <w:rsid w:val="00D74E25"/>
    <w:rsid w:val="00D772E9"/>
    <w:rsid w:val="00D82E10"/>
    <w:rsid w:val="00D969AE"/>
    <w:rsid w:val="00DA31AB"/>
    <w:rsid w:val="00DA3281"/>
    <w:rsid w:val="00DA6D3E"/>
    <w:rsid w:val="00DB5E24"/>
    <w:rsid w:val="00DC02E8"/>
    <w:rsid w:val="00DC75C7"/>
    <w:rsid w:val="00DC78D3"/>
    <w:rsid w:val="00DD1077"/>
    <w:rsid w:val="00DD3EE3"/>
    <w:rsid w:val="00DD669C"/>
    <w:rsid w:val="00DE06D3"/>
    <w:rsid w:val="00DE3615"/>
    <w:rsid w:val="00DF00FE"/>
    <w:rsid w:val="00DF3C77"/>
    <w:rsid w:val="00DF4592"/>
    <w:rsid w:val="00E04424"/>
    <w:rsid w:val="00E076DA"/>
    <w:rsid w:val="00E15FDC"/>
    <w:rsid w:val="00E247AE"/>
    <w:rsid w:val="00E2651B"/>
    <w:rsid w:val="00E30DDB"/>
    <w:rsid w:val="00E6632E"/>
    <w:rsid w:val="00E90CF2"/>
    <w:rsid w:val="00EA06E5"/>
    <w:rsid w:val="00EA0DDA"/>
    <w:rsid w:val="00EA6698"/>
    <w:rsid w:val="00EC38C1"/>
    <w:rsid w:val="00EC628B"/>
    <w:rsid w:val="00ED0F61"/>
    <w:rsid w:val="00EE3F6D"/>
    <w:rsid w:val="00EE66F5"/>
    <w:rsid w:val="00EE73E1"/>
    <w:rsid w:val="00EF0224"/>
    <w:rsid w:val="00F12107"/>
    <w:rsid w:val="00F13165"/>
    <w:rsid w:val="00F15B4E"/>
    <w:rsid w:val="00F227DF"/>
    <w:rsid w:val="00F232B6"/>
    <w:rsid w:val="00F24A73"/>
    <w:rsid w:val="00F30877"/>
    <w:rsid w:val="00F4234E"/>
    <w:rsid w:val="00F61429"/>
    <w:rsid w:val="00F7226D"/>
    <w:rsid w:val="00F7477E"/>
    <w:rsid w:val="00F81E05"/>
    <w:rsid w:val="00F85393"/>
    <w:rsid w:val="00F96C27"/>
    <w:rsid w:val="00FA0649"/>
    <w:rsid w:val="00FA4A24"/>
    <w:rsid w:val="00FB244F"/>
    <w:rsid w:val="00FB7FE8"/>
    <w:rsid w:val="00FC41B4"/>
    <w:rsid w:val="00FC5A6B"/>
    <w:rsid w:val="00FD4728"/>
    <w:rsid w:val="00FD741A"/>
    <w:rsid w:val="00FE775C"/>
    <w:rsid w:val="00FF4B6F"/>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79"/>
    <o:shapelayout v:ext="edit">
      <o:idmap v:ext="edit" data="1"/>
    </o:shapelayout>
  </w:shapeDefaults>
  <w:decimalSymbol w:val="."/>
  <w:listSeparator w:val=","/>
  <w14:docId w14:val="1E07A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706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A7065A"/>
    <w:rPr>
      <w:kern w:val="28"/>
      <w:sz w:val="52"/>
      <w:lang w:eastAsia="en-US"/>
    </w:rPr>
  </w:style>
  <w:style w:type="character" w:customStyle="1" w:styleId="Heading3Char">
    <w:name w:val="Heading 3 Char"/>
    <w:basedOn w:val="DefaultParagraphFont"/>
    <w:link w:val="Heading3"/>
    <w:rsid w:val="00A7065A"/>
    <w:rPr>
      <w:rFonts w:ascii="Arial" w:hAnsi="Arial"/>
      <w:b/>
      <w:sz w:val="26"/>
    </w:rPr>
  </w:style>
  <w:style w:type="character" w:customStyle="1" w:styleId="ListParagraphChar">
    <w:name w:val="List Paragraph Char"/>
    <w:basedOn w:val="DefaultParagraphFont"/>
    <w:link w:val="ListParagraph"/>
    <w:uiPriority w:val="34"/>
    <w:locked/>
    <w:rsid w:val="00AE461E"/>
  </w:style>
  <w:style w:type="paragraph" w:styleId="ListParagraph">
    <w:name w:val="List Paragraph"/>
    <w:basedOn w:val="Normal"/>
    <w:link w:val="ListParagraphChar"/>
    <w:uiPriority w:val="34"/>
    <w:qFormat/>
    <w:rsid w:val="00AE461E"/>
    <w:pPr>
      <w:spacing w:after="200" w:line="276" w:lineRule="auto"/>
      <w:ind w:left="720"/>
      <w:contextualSpacing/>
    </w:pPr>
    <w:rPr>
      <w:sz w:val="20"/>
      <w:lang w:eastAsia="en-AU"/>
    </w:rPr>
  </w:style>
  <w:style w:type="character" w:customStyle="1" w:styleId="ParagraphChar">
    <w:name w:val="Paragraph Char"/>
    <w:link w:val="Paragraph"/>
    <w:locked/>
    <w:rsid w:val="00AE461E"/>
    <w:rPr>
      <w:sz w:val="24"/>
    </w:rPr>
  </w:style>
  <w:style w:type="paragraph" w:customStyle="1" w:styleId="Paragraph">
    <w:name w:val="Paragraph"/>
    <w:basedOn w:val="Normal"/>
    <w:link w:val="ParagraphChar"/>
    <w:rsid w:val="00AE461E"/>
    <w:pPr>
      <w:numPr>
        <w:ilvl w:val="12"/>
      </w:numPr>
      <w:spacing w:before="240"/>
    </w:pPr>
    <w:rPr>
      <w:sz w:val="24"/>
      <w:lang w:eastAsia="en-AU"/>
    </w:rPr>
  </w:style>
  <w:style w:type="character" w:customStyle="1" w:styleId="OutlineNumbered1Char">
    <w:name w:val="Outline Numbered 1 Char"/>
    <w:basedOn w:val="ListParagraphChar"/>
    <w:link w:val="OutlineNumbered1"/>
    <w:locked/>
    <w:rsid w:val="00AE461E"/>
    <w:rPr>
      <w:rFonts w:ascii="Book Antiqua" w:hAnsi="Book Antiqua"/>
      <w:sz w:val="24"/>
      <w:szCs w:val="24"/>
    </w:rPr>
  </w:style>
  <w:style w:type="paragraph" w:customStyle="1" w:styleId="OutlineNumbered1">
    <w:name w:val="Outline Numbered 1"/>
    <w:basedOn w:val="Normal"/>
    <w:link w:val="OutlineNumbered1Char"/>
    <w:rsid w:val="00AE461E"/>
    <w:pPr>
      <w:numPr>
        <w:numId w:val="17"/>
      </w:numPr>
      <w:spacing w:before="240" w:after="240"/>
    </w:pPr>
    <w:rPr>
      <w:rFonts w:ascii="Book Antiqua" w:hAnsi="Book Antiqua"/>
      <w:sz w:val="24"/>
      <w:szCs w:val="24"/>
      <w:lang w:eastAsia="en-AU"/>
    </w:rPr>
  </w:style>
  <w:style w:type="paragraph" w:customStyle="1" w:styleId="OutlineNumbered2">
    <w:name w:val="Outline Numbered 2"/>
    <w:basedOn w:val="Normal"/>
    <w:rsid w:val="00AE461E"/>
    <w:pPr>
      <w:numPr>
        <w:ilvl w:val="1"/>
        <w:numId w:val="17"/>
      </w:numPr>
      <w:spacing w:before="240" w:after="240"/>
    </w:pPr>
    <w:rPr>
      <w:rFonts w:ascii="Book Antiqua" w:eastAsiaTheme="minorHAnsi" w:hAnsi="Book Antiqua" w:cstheme="minorBidi"/>
      <w:sz w:val="24"/>
      <w:szCs w:val="24"/>
    </w:rPr>
  </w:style>
  <w:style w:type="paragraph" w:customStyle="1" w:styleId="OutlineNumbered3">
    <w:name w:val="Outline Numbered 3"/>
    <w:basedOn w:val="Normal"/>
    <w:rsid w:val="00AE461E"/>
    <w:pPr>
      <w:numPr>
        <w:ilvl w:val="2"/>
        <w:numId w:val="17"/>
      </w:numPr>
      <w:spacing w:before="240" w:after="240"/>
    </w:pPr>
    <w:rPr>
      <w:rFonts w:ascii="Book Antiqua" w:eastAsiaTheme="minorHAnsi" w:hAnsi="Book Antiqua" w:cstheme="minorBidi"/>
      <w:sz w:val="24"/>
      <w:szCs w:val="24"/>
    </w:rPr>
  </w:style>
  <w:style w:type="paragraph" w:styleId="CommentSubject">
    <w:name w:val="annotation subject"/>
    <w:basedOn w:val="CommentText"/>
    <w:next w:val="CommentText"/>
    <w:link w:val="CommentSubjectChar"/>
    <w:rsid w:val="002D04B6"/>
    <w:pPr>
      <w:spacing w:before="0" w:line="240" w:lineRule="auto"/>
      <w:ind w:left="0" w:firstLine="0"/>
    </w:pPr>
    <w:rPr>
      <w:b/>
      <w:bCs/>
    </w:rPr>
  </w:style>
  <w:style w:type="character" w:customStyle="1" w:styleId="CommentTextChar">
    <w:name w:val="Comment Text Char"/>
    <w:basedOn w:val="DefaultParagraphFont"/>
    <w:link w:val="CommentText"/>
    <w:semiHidden/>
    <w:rsid w:val="002D04B6"/>
    <w:rPr>
      <w:lang w:eastAsia="en-US"/>
    </w:rPr>
  </w:style>
  <w:style w:type="character" w:customStyle="1" w:styleId="CommentSubjectChar">
    <w:name w:val="Comment Subject Char"/>
    <w:basedOn w:val="CommentTextChar"/>
    <w:link w:val="CommentSubject"/>
    <w:rsid w:val="002D04B6"/>
    <w:rPr>
      <w:b/>
      <w:bCs/>
      <w:lang w:eastAsia="en-US"/>
    </w:rPr>
  </w:style>
  <w:style w:type="paragraph" w:styleId="Revision">
    <w:name w:val="Revision"/>
    <w:hidden/>
    <w:uiPriority w:val="99"/>
    <w:semiHidden/>
    <w:rsid w:val="00D70867"/>
    <w:rPr>
      <w:sz w:val="26"/>
      <w:lang w:eastAsia="en-US"/>
    </w:rPr>
  </w:style>
  <w:style w:type="paragraph" w:customStyle="1" w:styleId="Jurisdictioncommentslistbullet">
    <w:name w:val="Jurisdiction comments list bullet"/>
    <w:rsid w:val="005549E1"/>
    <w:pPr>
      <w:numPr>
        <w:numId w:val="19"/>
      </w:numPr>
      <w:spacing w:after="140"/>
      <w:jc w:val="both"/>
    </w:pPr>
    <w:rPr>
      <w:rFonts w:ascii="Arial" w:hAnsi="Arial"/>
      <w:sz w:val="24"/>
      <w:lang w:eastAsia="en-US"/>
    </w:rPr>
  </w:style>
  <w:style w:type="paragraph" w:customStyle="1" w:styleId="accessibilitytext">
    <w:name w:val="accessibility text"/>
    <w:basedOn w:val="BodyText"/>
    <w:link w:val="accessibilitytextChar"/>
    <w:qFormat/>
    <w:rsid w:val="001B25F5"/>
    <w:pPr>
      <w:spacing w:before="0" w:line="240" w:lineRule="auto"/>
    </w:pPr>
    <w:rPr>
      <w:color w:val="FFFFFF" w:themeColor="background1"/>
      <w:sz w:val="14"/>
      <w:szCs w:val="16"/>
    </w:rPr>
  </w:style>
  <w:style w:type="character" w:customStyle="1" w:styleId="accessibilitytextChar">
    <w:name w:val="accessibility text Char"/>
    <w:basedOn w:val="DefaultParagraphFont"/>
    <w:link w:val="accessibilitytext"/>
    <w:rsid w:val="001B25F5"/>
    <w:rPr>
      <w:color w:val="FFFFFF" w:themeColor="background1"/>
      <w:sz w:val="14"/>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706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A7065A"/>
    <w:rPr>
      <w:kern w:val="28"/>
      <w:sz w:val="52"/>
      <w:lang w:eastAsia="en-US"/>
    </w:rPr>
  </w:style>
  <w:style w:type="character" w:customStyle="1" w:styleId="Heading3Char">
    <w:name w:val="Heading 3 Char"/>
    <w:basedOn w:val="DefaultParagraphFont"/>
    <w:link w:val="Heading3"/>
    <w:rsid w:val="00A7065A"/>
    <w:rPr>
      <w:rFonts w:ascii="Arial" w:hAnsi="Arial"/>
      <w:b/>
      <w:sz w:val="26"/>
    </w:rPr>
  </w:style>
  <w:style w:type="character" w:customStyle="1" w:styleId="ListParagraphChar">
    <w:name w:val="List Paragraph Char"/>
    <w:basedOn w:val="DefaultParagraphFont"/>
    <w:link w:val="ListParagraph"/>
    <w:uiPriority w:val="34"/>
    <w:locked/>
    <w:rsid w:val="00AE461E"/>
  </w:style>
  <w:style w:type="paragraph" w:styleId="ListParagraph">
    <w:name w:val="List Paragraph"/>
    <w:basedOn w:val="Normal"/>
    <w:link w:val="ListParagraphChar"/>
    <w:uiPriority w:val="34"/>
    <w:qFormat/>
    <w:rsid w:val="00AE461E"/>
    <w:pPr>
      <w:spacing w:after="200" w:line="276" w:lineRule="auto"/>
      <w:ind w:left="720"/>
      <w:contextualSpacing/>
    </w:pPr>
    <w:rPr>
      <w:sz w:val="20"/>
      <w:lang w:eastAsia="en-AU"/>
    </w:rPr>
  </w:style>
  <w:style w:type="character" w:customStyle="1" w:styleId="ParagraphChar">
    <w:name w:val="Paragraph Char"/>
    <w:link w:val="Paragraph"/>
    <w:locked/>
    <w:rsid w:val="00AE461E"/>
    <w:rPr>
      <w:sz w:val="24"/>
    </w:rPr>
  </w:style>
  <w:style w:type="paragraph" w:customStyle="1" w:styleId="Paragraph">
    <w:name w:val="Paragraph"/>
    <w:basedOn w:val="Normal"/>
    <w:link w:val="ParagraphChar"/>
    <w:rsid w:val="00AE461E"/>
    <w:pPr>
      <w:numPr>
        <w:ilvl w:val="12"/>
      </w:numPr>
      <w:spacing w:before="240"/>
    </w:pPr>
    <w:rPr>
      <w:sz w:val="24"/>
      <w:lang w:eastAsia="en-AU"/>
    </w:rPr>
  </w:style>
  <w:style w:type="character" w:customStyle="1" w:styleId="OutlineNumbered1Char">
    <w:name w:val="Outline Numbered 1 Char"/>
    <w:basedOn w:val="ListParagraphChar"/>
    <w:link w:val="OutlineNumbered1"/>
    <w:locked/>
    <w:rsid w:val="00AE461E"/>
    <w:rPr>
      <w:rFonts w:ascii="Book Antiqua" w:hAnsi="Book Antiqua"/>
      <w:sz w:val="24"/>
      <w:szCs w:val="24"/>
    </w:rPr>
  </w:style>
  <w:style w:type="paragraph" w:customStyle="1" w:styleId="OutlineNumbered1">
    <w:name w:val="Outline Numbered 1"/>
    <w:basedOn w:val="Normal"/>
    <w:link w:val="OutlineNumbered1Char"/>
    <w:rsid w:val="00AE461E"/>
    <w:pPr>
      <w:numPr>
        <w:numId w:val="17"/>
      </w:numPr>
      <w:spacing w:before="240" w:after="240"/>
    </w:pPr>
    <w:rPr>
      <w:rFonts w:ascii="Book Antiqua" w:hAnsi="Book Antiqua"/>
      <w:sz w:val="24"/>
      <w:szCs w:val="24"/>
      <w:lang w:eastAsia="en-AU"/>
    </w:rPr>
  </w:style>
  <w:style w:type="paragraph" w:customStyle="1" w:styleId="OutlineNumbered2">
    <w:name w:val="Outline Numbered 2"/>
    <w:basedOn w:val="Normal"/>
    <w:rsid w:val="00AE461E"/>
    <w:pPr>
      <w:numPr>
        <w:ilvl w:val="1"/>
        <w:numId w:val="17"/>
      </w:numPr>
      <w:spacing w:before="240" w:after="240"/>
    </w:pPr>
    <w:rPr>
      <w:rFonts w:ascii="Book Antiqua" w:eastAsiaTheme="minorHAnsi" w:hAnsi="Book Antiqua" w:cstheme="minorBidi"/>
      <w:sz w:val="24"/>
      <w:szCs w:val="24"/>
    </w:rPr>
  </w:style>
  <w:style w:type="paragraph" w:customStyle="1" w:styleId="OutlineNumbered3">
    <w:name w:val="Outline Numbered 3"/>
    <w:basedOn w:val="Normal"/>
    <w:rsid w:val="00AE461E"/>
    <w:pPr>
      <w:numPr>
        <w:ilvl w:val="2"/>
        <w:numId w:val="17"/>
      </w:numPr>
      <w:spacing w:before="240" w:after="240"/>
    </w:pPr>
    <w:rPr>
      <w:rFonts w:ascii="Book Antiqua" w:eastAsiaTheme="minorHAnsi" w:hAnsi="Book Antiqua" w:cstheme="minorBidi"/>
      <w:sz w:val="24"/>
      <w:szCs w:val="24"/>
    </w:rPr>
  </w:style>
  <w:style w:type="paragraph" w:styleId="CommentSubject">
    <w:name w:val="annotation subject"/>
    <w:basedOn w:val="CommentText"/>
    <w:next w:val="CommentText"/>
    <w:link w:val="CommentSubjectChar"/>
    <w:rsid w:val="002D04B6"/>
    <w:pPr>
      <w:spacing w:before="0" w:line="240" w:lineRule="auto"/>
      <w:ind w:left="0" w:firstLine="0"/>
    </w:pPr>
    <w:rPr>
      <w:b/>
      <w:bCs/>
    </w:rPr>
  </w:style>
  <w:style w:type="character" w:customStyle="1" w:styleId="CommentTextChar">
    <w:name w:val="Comment Text Char"/>
    <w:basedOn w:val="DefaultParagraphFont"/>
    <w:link w:val="CommentText"/>
    <w:semiHidden/>
    <w:rsid w:val="002D04B6"/>
    <w:rPr>
      <w:lang w:eastAsia="en-US"/>
    </w:rPr>
  </w:style>
  <w:style w:type="character" w:customStyle="1" w:styleId="CommentSubjectChar">
    <w:name w:val="Comment Subject Char"/>
    <w:basedOn w:val="CommentTextChar"/>
    <w:link w:val="CommentSubject"/>
    <w:rsid w:val="002D04B6"/>
    <w:rPr>
      <w:b/>
      <w:bCs/>
      <w:lang w:eastAsia="en-US"/>
    </w:rPr>
  </w:style>
  <w:style w:type="paragraph" w:styleId="Revision">
    <w:name w:val="Revision"/>
    <w:hidden/>
    <w:uiPriority w:val="99"/>
    <w:semiHidden/>
    <w:rsid w:val="00D70867"/>
    <w:rPr>
      <w:sz w:val="26"/>
      <w:lang w:eastAsia="en-US"/>
    </w:rPr>
  </w:style>
  <w:style w:type="paragraph" w:customStyle="1" w:styleId="Jurisdictioncommentslistbullet">
    <w:name w:val="Jurisdiction comments list bullet"/>
    <w:rsid w:val="005549E1"/>
    <w:pPr>
      <w:numPr>
        <w:numId w:val="19"/>
      </w:numPr>
      <w:spacing w:after="140"/>
      <w:jc w:val="both"/>
    </w:pPr>
    <w:rPr>
      <w:rFonts w:ascii="Arial" w:hAnsi="Arial"/>
      <w:sz w:val="24"/>
      <w:lang w:eastAsia="en-US"/>
    </w:rPr>
  </w:style>
  <w:style w:type="paragraph" w:customStyle="1" w:styleId="accessibilitytext">
    <w:name w:val="accessibility text"/>
    <w:basedOn w:val="BodyText"/>
    <w:link w:val="accessibilitytextChar"/>
    <w:qFormat/>
    <w:rsid w:val="001B25F5"/>
    <w:pPr>
      <w:spacing w:before="0" w:line="240" w:lineRule="auto"/>
    </w:pPr>
    <w:rPr>
      <w:color w:val="FFFFFF" w:themeColor="background1"/>
      <w:sz w:val="14"/>
      <w:szCs w:val="16"/>
    </w:rPr>
  </w:style>
  <w:style w:type="character" w:customStyle="1" w:styleId="accessibilitytextChar">
    <w:name w:val="accessibility text Char"/>
    <w:basedOn w:val="DefaultParagraphFont"/>
    <w:link w:val="accessibilitytext"/>
    <w:rsid w:val="001B25F5"/>
    <w:rPr>
      <w:color w:val="FFFFFF" w:themeColor="background1"/>
      <w:sz w:val="14"/>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170413765">
      <w:bodyDiv w:val="1"/>
      <w:marLeft w:val="0"/>
      <w:marRight w:val="0"/>
      <w:marTop w:val="0"/>
      <w:marBottom w:val="0"/>
      <w:divBdr>
        <w:top w:val="none" w:sz="0" w:space="0" w:color="auto"/>
        <w:left w:val="none" w:sz="0" w:space="0" w:color="auto"/>
        <w:bottom w:val="none" w:sz="0" w:space="0" w:color="auto"/>
        <w:right w:val="none" w:sz="0" w:space="0" w:color="auto"/>
      </w:divBdr>
    </w:div>
    <w:div w:id="725420690">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300306628">
      <w:bodyDiv w:val="1"/>
      <w:marLeft w:val="0"/>
      <w:marRight w:val="0"/>
      <w:marTop w:val="0"/>
      <w:marBottom w:val="0"/>
      <w:divBdr>
        <w:top w:val="none" w:sz="0" w:space="0" w:color="auto"/>
        <w:left w:val="none" w:sz="0" w:space="0" w:color="auto"/>
        <w:bottom w:val="none" w:sz="0" w:space="0" w:color="auto"/>
        <w:right w:val="none" w:sz="0" w:space="0" w:color="auto"/>
      </w:divBdr>
    </w:div>
    <w:div w:id="1711152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1.xml"/><Relationship Id="rId26" Type="http://schemas.openxmlformats.org/officeDocument/2006/relationships/header" Target="header6.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8.xml"/><Relationship Id="rId42" Type="http://schemas.openxmlformats.org/officeDocument/2006/relationships/header" Target="header17.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6.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4.xml"/><Relationship Id="rId32" Type="http://schemas.openxmlformats.org/officeDocument/2006/relationships/header" Target="header10.xml"/><Relationship Id="rId37" Type="http://schemas.openxmlformats.org/officeDocument/2006/relationships/header" Target="header13.xml"/><Relationship Id="rId40" Type="http://schemas.openxmlformats.org/officeDocument/2006/relationships/header" Target="header15.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settings" Target="settings.xml"/><Relationship Id="rId19" Type="http://schemas.openxmlformats.org/officeDocument/2006/relationships/footer" Target="footer2.xml"/><Relationship Id="rId31" Type="http://schemas.openxmlformats.org/officeDocument/2006/relationships/header" Target="header9.xml"/><Relationship Id="rId44" Type="http://schemas.openxmlformats.org/officeDocument/2006/relationships/header" Target="header18.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oter" Target="footer7.xml"/><Relationship Id="rId35" Type="http://schemas.openxmlformats.org/officeDocument/2006/relationships/footer" Target="footer9.xml"/><Relationship Id="rId43" Type="http://schemas.openxmlformats.org/officeDocument/2006/relationships/footer" Target="foot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raft Report" ma:contentTypeID="0x01010066EDC8E18BFE9C418F00295EA55D44EA00BA3B488308C3EB48A95A5109EDB0030600F28D0E73636F394FA0068D31EE9AF9BA" ma:contentTypeVersion="10" ma:contentTypeDescription="" ma:contentTypeScope="" ma:versionID="79acbc5f82d076e0b07e8fb711333f40">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mso-contentType ?>
<customXsn xmlns="http://schemas.microsoft.com/office/2006/metadata/customXsn">
  <xsnLocation/>
  <cached>True</cached>
  <openByDefault>False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6EA9419D-760A-45ED-949B-386ECEE346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F745904-61B5-4CBD-A933-073F546B50DA}">
  <ds:schemaRefs>
    <ds:schemaRef ds:uri="http://schemas.microsoft.com/sharepoint/events"/>
  </ds:schemaRefs>
</ds:datastoreItem>
</file>

<file path=customXml/itemProps3.xml><?xml version="1.0" encoding="utf-8"?>
<ds:datastoreItem xmlns:ds="http://schemas.openxmlformats.org/officeDocument/2006/customXml" ds:itemID="{531A7701-C337-435F-AF5F-8C219DA5CA85}">
  <ds:schemaRefs>
    <ds:schemaRef ds:uri="http://schemas.microsoft.com/office/2006/metadata/customXsn"/>
  </ds:schemaRefs>
</ds:datastoreItem>
</file>

<file path=customXml/itemProps4.xml><?xml version="1.0" encoding="utf-8"?>
<ds:datastoreItem xmlns:ds="http://schemas.openxmlformats.org/officeDocument/2006/customXml" ds:itemID="{FA7B76E6-7535-475A-A7A5-3F7D0C1B93C2}">
  <ds:schemaRefs>
    <ds:schemaRef ds:uri="http://schemas.microsoft.com/sharepoint/v3/contenttype/forms"/>
  </ds:schemaRefs>
</ds:datastoreItem>
</file>

<file path=customXml/itemProps5.xml><?xml version="1.0" encoding="utf-8"?>
<ds:datastoreItem xmlns:ds="http://schemas.openxmlformats.org/officeDocument/2006/customXml" ds:itemID="{874B538F-08B2-4739-934D-D2B885A24416}">
  <ds:schemaRefs>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terms/"/>
    <ds:schemaRef ds:uri="http://purl.org/dc/dcmitype/"/>
  </ds:schemaRefs>
</ds:datastoreItem>
</file>

<file path=customXml/itemProps6.xml><?xml version="1.0" encoding="utf-8"?>
<ds:datastoreItem xmlns:ds="http://schemas.openxmlformats.org/officeDocument/2006/customXml" ds:itemID="{6B1BE509-2E58-4704-93AA-71EE9B37D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8</TotalTime>
  <Pages>14</Pages>
  <Words>2984</Words>
  <Characters>17895</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Preliminaries - Volume 1 - Draft report - Natural Disaster Funding Arrangements</vt:lpstr>
    </vt:vector>
  </TitlesOfParts>
  <Company>Productivity Commission</Company>
  <LinksUpToDate>false</LinksUpToDate>
  <CharactersWithSpaces>20838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Preliminaries - Volume 1 - Draft report - Natural Disaster Funding Arrangements</dc:title>
  <dc:subject/>
  <dc:creator>Productivity Commission</dc:creator>
  <cp:lastModifiedBy>Productivity Commission</cp:lastModifiedBy>
  <cp:revision>5</cp:revision>
  <cp:lastPrinted>2014-09-22T23:02:00Z</cp:lastPrinted>
  <dcterms:created xsi:type="dcterms:W3CDTF">2014-09-23T06:19:00Z</dcterms:created>
  <dcterms:modified xsi:type="dcterms:W3CDTF">2015-04-30T03:18:00Z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0x01010066EDC8E18BFE9C418F00295EA55D44EA00BA3B488308C3EB48A95A5109EDB0030600F28D0E73636F394FA0068D31EE9AF9BA</vt:lpwstr>
  </property>
  <property fmtid="{D5CDD505-2E9C-101B-9397-08002B2CF9AE}" pid="3" name="RecordPoint_SubmissionDate">
    <vt:lpwstr/>
  </property>
  <property fmtid="{D5CDD505-2E9C-101B-9397-08002B2CF9AE}" pid="4" name="RecordPoint_RecordNumberSubmitted">
    <vt:lpwstr/>
  </property>
  <property fmtid="{D5CDD505-2E9C-101B-9397-08002B2CF9AE}" pid="5" name="RecordPoint_ActiveItemSiteId">
    <vt:lpwstr>{5750d626-0aa0-474c-a55f-8063909d4906}</vt:lpwstr>
  </property>
  <property fmtid="{D5CDD505-2E9C-101B-9397-08002B2CF9AE}" pid="6" name="RecordPoint_ActiveItemListId">
    <vt:lpwstr>{4738c35e-c63e-40d3-9e42-73573b5223a6}</vt:lpwstr>
  </property>
  <property fmtid="{D5CDD505-2E9C-101B-9397-08002B2CF9AE}" pid="7" name="RecordPoint_ActiveItemMoved">
    <vt:lpwstr/>
  </property>
  <property fmtid="{D5CDD505-2E9C-101B-9397-08002B2CF9AE}" pid="8" name="RecordPoint_RecordFormat">
    <vt:lpwstr/>
  </property>
  <property fmtid="{D5CDD505-2E9C-101B-9397-08002B2CF9AE}" pid="9" name="RecordPoint_SubmissionCompleted">
    <vt:lpwstr/>
  </property>
  <property fmtid="{D5CDD505-2E9C-101B-9397-08002B2CF9AE}" pid="10" name="RecordPoint_ActiveItemUniqueId">
    <vt:lpwstr>{6f6814a8-4f40-4d94-b82f-5727d512a66b}</vt:lpwstr>
  </property>
  <property fmtid="{D5CDD505-2E9C-101B-9397-08002B2CF9AE}" pid="11" name="RecordPoint_ActiveItemWebId">
    <vt:lpwstr>{2159b2f9-a7b8-4f1e-afd4-3e549d486baf}</vt:lpwstr>
  </property>
  <property fmtid="{D5CDD505-2E9C-101B-9397-08002B2CF9AE}" pid="12" name="RecordPoint_WorkflowType">
    <vt:lpwstr>ActiveSubmitStub</vt:lpwstr>
  </property>
</Properties>
</file>