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5546C" w14:textId="2FE3568E" w:rsidR="0045783B" w:rsidRDefault="005C69C8">
      <w:pPr>
        <w:rPr>
          <w:b/>
          <w:sz w:val="24"/>
          <w:szCs w:val="24"/>
        </w:rPr>
      </w:pPr>
      <w:r>
        <w:rPr>
          <w:b/>
          <w:noProof/>
          <w:sz w:val="24"/>
          <w:szCs w:val="24"/>
        </w:rPr>
        <w:drawing>
          <wp:anchor distT="0" distB="0" distL="114300" distR="114300" simplePos="0" relativeHeight="251658240" behindDoc="1" locked="0" layoutInCell="1" allowOverlap="1" wp14:anchorId="105AF673" wp14:editId="034DBE08">
            <wp:simplePos x="1146412" y="1269242"/>
            <wp:positionH relativeFrom="page">
              <wp:align>center</wp:align>
            </wp:positionH>
            <wp:positionV relativeFrom="margin">
              <wp:align>top</wp:align>
            </wp:positionV>
            <wp:extent cx="7560000" cy="7340400"/>
            <wp:effectExtent l="0" t="0" r="3175" b="0"/>
            <wp:wrapNone/>
            <wp:docPr id="2" name="Picture 2" descr="Cover image for the Australian Government Productivity Commission Issues Paper titled 'Natual Disaster Funding Arrangements'. Published May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disaster-issues-paper-cov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0" cy="7340400"/>
                    </a:xfrm>
                    <a:prstGeom prst="rect">
                      <a:avLst/>
                    </a:prstGeom>
                  </pic:spPr>
                </pic:pic>
              </a:graphicData>
            </a:graphic>
            <wp14:sizeRelH relativeFrom="margin">
              <wp14:pctWidth>0</wp14:pctWidth>
            </wp14:sizeRelH>
            <wp14:sizeRelV relativeFrom="margin">
              <wp14:pctHeight>0</wp14:pctHeight>
            </wp14:sizeRelV>
          </wp:anchor>
        </w:drawing>
      </w:r>
      <w:r w:rsidR="0045783B">
        <w:rPr>
          <w:b/>
          <w:sz w:val="24"/>
          <w:szCs w:val="24"/>
        </w:rPr>
        <w:br w:type="page"/>
      </w:r>
    </w:p>
    <w:p w14:paraId="06D46092" w14:textId="77777777" w:rsidR="00A516A2" w:rsidRPr="00E93DA3" w:rsidRDefault="00A516A2" w:rsidP="00A516A2">
      <w:pPr>
        <w:pStyle w:val="BodyText"/>
        <w:pBdr>
          <w:top w:val="single" w:sz="4" w:space="1" w:color="auto"/>
          <w:left w:val="single" w:sz="4" w:space="4" w:color="auto"/>
          <w:bottom w:val="single" w:sz="4" w:space="1" w:color="auto"/>
          <w:right w:val="single" w:sz="4" w:space="4" w:color="auto"/>
        </w:pBdr>
        <w:spacing w:before="0" w:after="120" w:line="240" w:lineRule="auto"/>
        <w:ind w:left="142" w:right="142"/>
        <w:rPr>
          <w:sz w:val="24"/>
          <w:szCs w:val="24"/>
        </w:rPr>
      </w:pPr>
      <w:r w:rsidRPr="00E93DA3">
        <w:rPr>
          <w:b/>
          <w:sz w:val="24"/>
          <w:szCs w:val="24"/>
        </w:rPr>
        <w:lastRenderedPageBreak/>
        <w:t>The Issues Paper</w:t>
      </w:r>
      <w:bookmarkStart w:id="0" w:name="_GoBack"/>
      <w:bookmarkEnd w:id="0"/>
    </w:p>
    <w:p w14:paraId="1C897065" w14:textId="2F0266EC" w:rsidR="00A516A2" w:rsidRPr="00015113" w:rsidRDefault="00A516A2" w:rsidP="00A516A2">
      <w:pPr>
        <w:pStyle w:val="BodyText"/>
        <w:pBdr>
          <w:top w:val="single" w:sz="4" w:space="1" w:color="auto"/>
          <w:left w:val="single" w:sz="4" w:space="4" w:color="auto"/>
          <w:bottom w:val="single" w:sz="4" w:space="1" w:color="auto"/>
          <w:right w:val="single" w:sz="4" w:space="4" w:color="auto"/>
        </w:pBdr>
        <w:spacing w:before="0" w:line="240" w:lineRule="auto"/>
        <w:ind w:left="142" w:right="142"/>
        <w:rPr>
          <w:sz w:val="22"/>
          <w:szCs w:val="22"/>
        </w:rPr>
      </w:pPr>
      <w:r w:rsidRPr="00015113">
        <w:rPr>
          <w:sz w:val="22"/>
          <w:szCs w:val="22"/>
        </w:rPr>
        <w:t xml:space="preserve">The Commission has released this issues paper to assist individuals and organisations to prepare submissions to the </w:t>
      </w:r>
      <w:r w:rsidR="000E299A" w:rsidRPr="00015113">
        <w:rPr>
          <w:sz w:val="22"/>
          <w:szCs w:val="22"/>
        </w:rPr>
        <w:t>inquiry</w:t>
      </w:r>
      <w:r w:rsidRPr="00015113">
        <w:rPr>
          <w:sz w:val="22"/>
          <w:szCs w:val="22"/>
        </w:rPr>
        <w:t>. It contains and outlines:</w:t>
      </w:r>
    </w:p>
    <w:p w14:paraId="5FA9A4BC" w14:textId="4839C9CA" w:rsidR="00A516A2" w:rsidRPr="00015113" w:rsidRDefault="00A516A2" w:rsidP="00A516A2">
      <w:pPr>
        <w:pStyle w:val="ListBullet"/>
        <w:numPr>
          <w:ilvl w:val="0"/>
          <w:numId w:val="41"/>
        </w:numPr>
        <w:pBdr>
          <w:top w:val="single" w:sz="4" w:space="1" w:color="auto"/>
          <w:left w:val="single" w:sz="4" w:space="4" w:color="auto"/>
          <w:bottom w:val="single" w:sz="4" w:space="1" w:color="auto"/>
          <w:right w:val="single" w:sz="4" w:space="4" w:color="auto"/>
        </w:pBdr>
        <w:spacing w:before="60"/>
        <w:ind w:left="142" w:right="142" w:firstLine="0"/>
        <w:rPr>
          <w:sz w:val="22"/>
          <w:szCs w:val="22"/>
        </w:rPr>
      </w:pPr>
      <w:r w:rsidRPr="00015113">
        <w:rPr>
          <w:sz w:val="22"/>
          <w:szCs w:val="22"/>
        </w:rPr>
        <w:t xml:space="preserve">the scope of the </w:t>
      </w:r>
      <w:bookmarkStart w:id="1" w:name="OLE_LINK1"/>
      <w:bookmarkStart w:id="2" w:name="OLE_LINK2"/>
      <w:r w:rsidRPr="00015113">
        <w:rPr>
          <w:sz w:val="22"/>
          <w:szCs w:val="22"/>
        </w:rPr>
        <w:t>inquiry</w:t>
      </w:r>
      <w:bookmarkEnd w:id="1"/>
      <w:bookmarkEnd w:id="2"/>
    </w:p>
    <w:p w14:paraId="0A21BC88" w14:textId="77777777" w:rsidR="00A516A2" w:rsidRPr="00015113" w:rsidRDefault="00A516A2" w:rsidP="00A516A2">
      <w:pPr>
        <w:pStyle w:val="ListBullet"/>
        <w:numPr>
          <w:ilvl w:val="0"/>
          <w:numId w:val="41"/>
        </w:numPr>
        <w:pBdr>
          <w:top w:val="single" w:sz="4" w:space="1" w:color="auto"/>
          <w:left w:val="single" w:sz="4" w:space="4" w:color="auto"/>
          <w:bottom w:val="single" w:sz="4" w:space="1" w:color="auto"/>
          <w:right w:val="single" w:sz="4" w:space="4" w:color="auto"/>
        </w:pBdr>
        <w:spacing w:before="60"/>
        <w:ind w:left="142" w:right="142" w:firstLine="0"/>
        <w:rPr>
          <w:sz w:val="22"/>
          <w:szCs w:val="22"/>
        </w:rPr>
      </w:pPr>
      <w:r w:rsidRPr="00015113">
        <w:rPr>
          <w:sz w:val="22"/>
          <w:szCs w:val="22"/>
        </w:rPr>
        <w:t>the Commission’s procedures</w:t>
      </w:r>
    </w:p>
    <w:p w14:paraId="4B4A6707" w14:textId="77777777" w:rsidR="00A516A2" w:rsidRPr="00015113" w:rsidRDefault="00A516A2" w:rsidP="00A516A2">
      <w:pPr>
        <w:pStyle w:val="ListBullet"/>
        <w:numPr>
          <w:ilvl w:val="0"/>
          <w:numId w:val="41"/>
        </w:numPr>
        <w:pBdr>
          <w:top w:val="single" w:sz="4" w:space="1" w:color="auto"/>
          <w:left w:val="single" w:sz="4" w:space="4" w:color="auto"/>
          <w:bottom w:val="single" w:sz="4" w:space="1" w:color="auto"/>
          <w:right w:val="single" w:sz="4" w:space="4" w:color="auto"/>
        </w:pBdr>
        <w:spacing w:before="60"/>
        <w:ind w:left="142" w:right="142" w:firstLine="0"/>
        <w:rPr>
          <w:sz w:val="22"/>
          <w:szCs w:val="22"/>
        </w:rPr>
      </w:pPr>
      <w:r w:rsidRPr="00015113">
        <w:rPr>
          <w:sz w:val="22"/>
          <w:szCs w:val="22"/>
        </w:rPr>
        <w:t xml:space="preserve">matters about which the Commission is seeking comment and information, and </w:t>
      </w:r>
    </w:p>
    <w:p w14:paraId="005F452C" w14:textId="77777777" w:rsidR="00A516A2" w:rsidRPr="00015113" w:rsidRDefault="00A516A2" w:rsidP="00A516A2">
      <w:pPr>
        <w:pStyle w:val="ListBullet"/>
        <w:numPr>
          <w:ilvl w:val="0"/>
          <w:numId w:val="41"/>
        </w:numPr>
        <w:pBdr>
          <w:top w:val="single" w:sz="4" w:space="1" w:color="auto"/>
          <w:left w:val="single" w:sz="4" w:space="4" w:color="auto"/>
          <w:bottom w:val="single" w:sz="4" w:space="1" w:color="auto"/>
          <w:right w:val="single" w:sz="4" w:space="4" w:color="auto"/>
        </w:pBdr>
        <w:spacing w:before="60" w:after="120"/>
        <w:ind w:left="142" w:right="142" w:firstLine="0"/>
        <w:rPr>
          <w:sz w:val="22"/>
          <w:szCs w:val="22"/>
        </w:rPr>
      </w:pPr>
      <w:r w:rsidRPr="00015113">
        <w:rPr>
          <w:sz w:val="22"/>
          <w:szCs w:val="22"/>
        </w:rPr>
        <w:t>how to make a submission.</w:t>
      </w:r>
    </w:p>
    <w:p w14:paraId="61ED635A" w14:textId="386D95BD" w:rsidR="00A516A2" w:rsidRPr="00015113" w:rsidRDefault="00A516A2" w:rsidP="00A516A2">
      <w:pPr>
        <w:pStyle w:val="BodyText"/>
        <w:pBdr>
          <w:top w:val="single" w:sz="4" w:space="1" w:color="auto"/>
          <w:left w:val="single" w:sz="4" w:space="4" w:color="auto"/>
          <w:bottom w:val="single" w:sz="4" w:space="1" w:color="auto"/>
          <w:right w:val="single" w:sz="4" w:space="4" w:color="auto"/>
        </w:pBdr>
        <w:spacing w:before="60" w:after="120" w:line="240" w:lineRule="auto"/>
        <w:ind w:left="142" w:right="142"/>
        <w:rPr>
          <w:sz w:val="22"/>
          <w:szCs w:val="22"/>
        </w:rPr>
      </w:pPr>
      <w:r w:rsidRPr="00015113">
        <w:rPr>
          <w:sz w:val="22"/>
          <w:szCs w:val="22"/>
        </w:rPr>
        <w:t>Participants should not feel that they are restricted to comment only on matters raised in the issues paper. The Commission wishes to receive information and comment on issues which participants consider relevant to the</w:t>
      </w:r>
      <w:r w:rsidR="000E299A">
        <w:rPr>
          <w:sz w:val="22"/>
          <w:szCs w:val="22"/>
        </w:rPr>
        <w:t xml:space="preserve"> </w:t>
      </w:r>
      <w:r w:rsidRPr="00015113">
        <w:rPr>
          <w:sz w:val="22"/>
          <w:szCs w:val="22"/>
        </w:rPr>
        <w:t>inquiry’s terms of reference.</w:t>
      </w:r>
    </w:p>
    <w:p w14:paraId="6B0960A4" w14:textId="77777777" w:rsidR="00A516A2" w:rsidRPr="0001799A" w:rsidRDefault="00A516A2" w:rsidP="00A516A2">
      <w:pPr>
        <w:pStyle w:val="BodyText"/>
        <w:pBdr>
          <w:top w:val="single" w:sz="4" w:space="1" w:color="auto"/>
          <w:left w:val="single" w:sz="4" w:space="4" w:color="auto"/>
          <w:bottom w:val="single" w:sz="4" w:space="1" w:color="auto"/>
          <w:right w:val="single" w:sz="4" w:space="4" w:color="auto"/>
        </w:pBdr>
        <w:spacing w:after="120" w:line="240" w:lineRule="auto"/>
        <w:ind w:left="142" w:right="142"/>
        <w:rPr>
          <w:sz w:val="24"/>
          <w:szCs w:val="24"/>
        </w:rPr>
      </w:pPr>
      <w:r w:rsidRPr="0001799A">
        <w:rPr>
          <w:b/>
          <w:sz w:val="24"/>
          <w:szCs w:val="24"/>
        </w:rPr>
        <w:t>K</w:t>
      </w:r>
      <w:r w:rsidR="00E93DA3">
        <w:rPr>
          <w:b/>
          <w:sz w:val="24"/>
          <w:szCs w:val="24"/>
        </w:rPr>
        <w:t>ey inquiry dates</w:t>
      </w:r>
    </w:p>
    <w:p w14:paraId="61CD5FD9" w14:textId="5D2952D4"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015113">
        <w:rPr>
          <w:sz w:val="22"/>
          <w:szCs w:val="22"/>
        </w:rPr>
        <w:t>Receipt of terms of reference</w:t>
      </w:r>
      <w:r w:rsidRPr="00015113">
        <w:rPr>
          <w:sz w:val="22"/>
          <w:szCs w:val="22"/>
        </w:rPr>
        <w:tab/>
      </w:r>
      <w:r w:rsidR="00853A5C">
        <w:rPr>
          <w:sz w:val="22"/>
          <w:szCs w:val="22"/>
        </w:rPr>
        <w:t>28 April 2014</w:t>
      </w:r>
    </w:p>
    <w:p w14:paraId="1EE2F3CE" w14:textId="460A33B2" w:rsidR="00A516A2" w:rsidRDefault="00853A5C" w:rsidP="00A516A2">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Pr>
          <w:sz w:val="22"/>
          <w:szCs w:val="22"/>
        </w:rPr>
        <w:t>Due date for submissions</w:t>
      </w:r>
      <w:r>
        <w:rPr>
          <w:sz w:val="22"/>
          <w:szCs w:val="22"/>
        </w:rPr>
        <w:tab/>
      </w:r>
      <w:r w:rsidR="007E65CD" w:rsidRPr="007E65CD">
        <w:rPr>
          <w:sz w:val="22"/>
          <w:szCs w:val="22"/>
        </w:rPr>
        <w:t>6</w:t>
      </w:r>
      <w:r w:rsidRPr="007E65CD">
        <w:rPr>
          <w:sz w:val="22"/>
          <w:szCs w:val="22"/>
        </w:rPr>
        <w:t xml:space="preserve"> June 2014</w:t>
      </w:r>
    </w:p>
    <w:p w14:paraId="1077D277" w14:textId="4907C94C" w:rsidR="00A516A2" w:rsidRPr="00015113" w:rsidRDefault="00853A5C" w:rsidP="00A516A2">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Pr>
          <w:sz w:val="22"/>
          <w:szCs w:val="22"/>
        </w:rPr>
        <w:t>Release of draft report</w:t>
      </w:r>
      <w:r>
        <w:rPr>
          <w:sz w:val="22"/>
          <w:szCs w:val="22"/>
        </w:rPr>
        <w:tab/>
        <w:t>September 2014</w:t>
      </w:r>
    </w:p>
    <w:p w14:paraId="5FD1D507" w14:textId="010F9161"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015113">
        <w:rPr>
          <w:sz w:val="22"/>
          <w:szCs w:val="22"/>
        </w:rPr>
        <w:t>Draft report public hearings</w:t>
      </w:r>
      <w:r w:rsidRPr="00015113">
        <w:rPr>
          <w:sz w:val="22"/>
          <w:szCs w:val="22"/>
        </w:rPr>
        <w:tab/>
      </w:r>
      <w:r w:rsidR="00853A5C">
        <w:rPr>
          <w:sz w:val="22"/>
          <w:szCs w:val="22"/>
        </w:rPr>
        <w:t>October/November 2014</w:t>
      </w:r>
    </w:p>
    <w:p w14:paraId="0FE6576B" w14:textId="65EE1E40" w:rsidR="00A516A2" w:rsidRPr="00015113" w:rsidRDefault="00A516A2" w:rsidP="0076630B">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015113">
        <w:rPr>
          <w:sz w:val="22"/>
          <w:szCs w:val="22"/>
        </w:rPr>
        <w:t>Final report to Government</w:t>
      </w:r>
      <w:r w:rsidRPr="00015113">
        <w:rPr>
          <w:sz w:val="22"/>
          <w:szCs w:val="22"/>
        </w:rPr>
        <w:tab/>
      </w:r>
      <w:r w:rsidR="00853A5C">
        <w:rPr>
          <w:sz w:val="22"/>
          <w:szCs w:val="22"/>
        </w:rPr>
        <w:t>End December 2014</w:t>
      </w:r>
    </w:p>
    <w:p w14:paraId="12B4709A" w14:textId="77777777" w:rsidR="00A516A2" w:rsidRDefault="00E93DA3" w:rsidP="00A516A2">
      <w:pPr>
        <w:pStyle w:val="BodyText"/>
        <w:pBdr>
          <w:top w:val="single" w:sz="4" w:space="1" w:color="auto"/>
          <w:left w:val="single" w:sz="4" w:space="4" w:color="auto"/>
          <w:bottom w:val="single" w:sz="4" w:space="1" w:color="auto"/>
          <w:right w:val="single" w:sz="4" w:space="4" w:color="auto"/>
        </w:pBdr>
        <w:spacing w:before="120" w:after="120" w:line="240" w:lineRule="auto"/>
        <w:ind w:left="142" w:right="142"/>
        <w:rPr>
          <w:b/>
          <w:sz w:val="24"/>
          <w:szCs w:val="24"/>
        </w:rPr>
      </w:pPr>
      <w:r>
        <w:rPr>
          <w:b/>
          <w:sz w:val="24"/>
          <w:szCs w:val="24"/>
        </w:rPr>
        <w:t>Submissions can be made:</w:t>
      </w:r>
    </w:p>
    <w:p w14:paraId="2F50776C" w14:textId="644EA729" w:rsidR="00A516A2" w:rsidRPr="00015113" w:rsidRDefault="00A516A2" w:rsidP="00E93DA3">
      <w:pPr>
        <w:pStyle w:val="BodyText"/>
        <w:pBdr>
          <w:top w:val="single" w:sz="4" w:space="1" w:color="auto"/>
          <w:left w:val="single" w:sz="4" w:space="4" w:color="auto"/>
          <w:bottom w:val="single" w:sz="4" w:space="1" w:color="auto"/>
          <w:right w:val="single" w:sz="4" w:space="4" w:color="auto"/>
        </w:pBdr>
        <w:tabs>
          <w:tab w:val="left" w:pos="1701"/>
          <w:tab w:val="left" w:pos="5040"/>
          <w:tab w:val="left" w:pos="6480"/>
        </w:tabs>
        <w:spacing w:before="0" w:line="240" w:lineRule="auto"/>
        <w:ind w:left="142" w:right="142"/>
        <w:rPr>
          <w:sz w:val="22"/>
          <w:szCs w:val="22"/>
        </w:rPr>
      </w:pPr>
      <w:r>
        <w:rPr>
          <w:sz w:val="22"/>
          <w:szCs w:val="22"/>
        </w:rPr>
        <w:t>By e</w:t>
      </w:r>
      <w:r w:rsidRPr="00015113">
        <w:rPr>
          <w:sz w:val="22"/>
          <w:szCs w:val="22"/>
        </w:rPr>
        <w:t>mail:</w:t>
      </w:r>
      <w:r w:rsidRPr="00015113">
        <w:rPr>
          <w:sz w:val="22"/>
          <w:szCs w:val="22"/>
        </w:rPr>
        <w:tab/>
      </w:r>
      <w:r w:rsidR="005C69C8">
        <w:rPr>
          <w:sz w:val="22"/>
          <w:szCs w:val="22"/>
        </w:rPr>
        <w:t>disaster.f</w:t>
      </w:r>
      <w:r w:rsidR="00853A5C" w:rsidRPr="00853A5C">
        <w:rPr>
          <w:sz w:val="22"/>
          <w:szCs w:val="22"/>
        </w:rPr>
        <w:t>unding@pc.gov.au</w:t>
      </w:r>
      <w:r w:rsidRPr="00015113">
        <w:rPr>
          <w:sz w:val="22"/>
          <w:szCs w:val="22"/>
        </w:rPr>
        <w:tab/>
      </w:r>
    </w:p>
    <w:p w14:paraId="0D1B371B" w14:textId="77777777" w:rsidR="00853A5C" w:rsidRPr="00853A5C" w:rsidRDefault="00A516A2" w:rsidP="00853A5C">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ind w:left="142" w:right="142"/>
        <w:rPr>
          <w:sz w:val="22"/>
          <w:szCs w:val="22"/>
        </w:rPr>
      </w:pPr>
      <w:r>
        <w:rPr>
          <w:sz w:val="22"/>
          <w:szCs w:val="22"/>
        </w:rPr>
        <w:t>By p</w:t>
      </w:r>
      <w:r w:rsidRPr="00015113">
        <w:rPr>
          <w:sz w:val="22"/>
          <w:szCs w:val="22"/>
        </w:rPr>
        <w:t>ost:</w:t>
      </w:r>
      <w:r w:rsidRPr="00015113">
        <w:rPr>
          <w:sz w:val="22"/>
          <w:szCs w:val="22"/>
        </w:rPr>
        <w:tab/>
      </w:r>
      <w:r w:rsidR="00853A5C" w:rsidRPr="00853A5C">
        <w:rPr>
          <w:sz w:val="22"/>
          <w:szCs w:val="22"/>
        </w:rPr>
        <w:t>Natural Disaster Funding Arrangements</w:t>
      </w:r>
    </w:p>
    <w:p w14:paraId="681DC30C" w14:textId="77777777" w:rsidR="00853A5C" w:rsidRPr="00853A5C" w:rsidRDefault="00853A5C" w:rsidP="00853A5C">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sidRPr="00853A5C">
        <w:rPr>
          <w:sz w:val="22"/>
          <w:szCs w:val="22"/>
        </w:rPr>
        <w:tab/>
        <w:t>Productivity Commission</w:t>
      </w:r>
    </w:p>
    <w:p w14:paraId="58D0A50F" w14:textId="77777777" w:rsidR="00853A5C" w:rsidRPr="00853A5C" w:rsidRDefault="00853A5C" w:rsidP="00853A5C">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sidRPr="00853A5C">
        <w:rPr>
          <w:sz w:val="22"/>
          <w:szCs w:val="22"/>
        </w:rPr>
        <w:tab/>
        <w:t>LB2 Collins Street East</w:t>
      </w:r>
    </w:p>
    <w:p w14:paraId="649241DE" w14:textId="079515F2" w:rsidR="00A516A2" w:rsidRPr="00015113" w:rsidRDefault="00853A5C" w:rsidP="00853A5C">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sidRPr="00853A5C">
        <w:rPr>
          <w:sz w:val="22"/>
          <w:szCs w:val="22"/>
        </w:rPr>
        <w:tab/>
        <w:t>Melbourne  Vic  8003</w:t>
      </w:r>
    </w:p>
    <w:p w14:paraId="59F5D3FD" w14:textId="77777777" w:rsidR="00A516A2" w:rsidRPr="00A853FD" w:rsidRDefault="00A516A2" w:rsidP="00A516A2">
      <w:pPr>
        <w:pStyle w:val="BodyText"/>
        <w:pBdr>
          <w:top w:val="single" w:sz="4" w:space="1" w:color="auto"/>
          <w:left w:val="single" w:sz="4" w:space="4" w:color="auto"/>
          <w:bottom w:val="single" w:sz="4" w:space="1" w:color="auto"/>
          <w:right w:val="single" w:sz="4" w:space="4" w:color="auto"/>
        </w:pBdr>
        <w:spacing w:before="120" w:after="120" w:line="240" w:lineRule="auto"/>
        <w:ind w:left="142" w:right="142"/>
        <w:rPr>
          <w:sz w:val="24"/>
          <w:szCs w:val="24"/>
        </w:rPr>
      </w:pPr>
      <w:r w:rsidRPr="00A853FD">
        <w:rPr>
          <w:b/>
          <w:sz w:val="24"/>
          <w:szCs w:val="24"/>
        </w:rPr>
        <w:t>Contacts</w:t>
      </w:r>
    </w:p>
    <w:p w14:paraId="46D271CB" w14:textId="70800AFC"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line="240" w:lineRule="auto"/>
        <w:ind w:left="142" w:right="142"/>
        <w:rPr>
          <w:sz w:val="22"/>
          <w:szCs w:val="22"/>
        </w:rPr>
      </w:pPr>
      <w:r w:rsidRPr="00015113">
        <w:rPr>
          <w:sz w:val="22"/>
          <w:szCs w:val="22"/>
        </w:rPr>
        <w:t xml:space="preserve">Administrative matters: </w:t>
      </w:r>
      <w:r w:rsidRPr="00015113">
        <w:rPr>
          <w:sz w:val="22"/>
          <w:szCs w:val="22"/>
        </w:rPr>
        <w:tab/>
      </w:r>
      <w:r w:rsidR="00853A5C">
        <w:rPr>
          <w:sz w:val="22"/>
          <w:szCs w:val="22"/>
        </w:rPr>
        <w:t>Yvette Goss</w:t>
      </w:r>
      <w:r w:rsidR="00853A5C">
        <w:rPr>
          <w:sz w:val="22"/>
          <w:szCs w:val="22"/>
        </w:rPr>
        <w:tab/>
        <w:t>Ph:</w:t>
      </w:r>
      <w:r w:rsidR="00853A5C">
        <w:rPr>
          <w:sz w:val="22"/>
          <w:szCs w:val="22"/>
        </w:rPr>
        <w:tab/>
        <w:t>(03) 9653 2253</w:t>
      </w:r>
    </w:p>
    <w:p w14:paraId="12644D45" w14:textId="5AF78BC0"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line="240" w:lineRule="auto"/>
        <w:ind w:left="142" w:right="142"/>
        <w:rPr>
          <w:sz w:val="22"/>
          <w:szCs w:val="22"/>
        </w:rPr>
      </w:pPr>
      <w:r w:rsidRPr="00015113">
        <w:rPr>
          <w:sz w:val="22"/>
          <w:szCs w:val="22"/>
        </w:rPr>
        <w:t>Ot</w:t>
      </w:r>
      <w:r w:rsidR="00853A5C">
        <w:rPr>
          <w:sz w:val="22"/>
          <w:szCs w:val="22"/>
        </w:rPr>
        <w:t>her matters:</w:t>
      </w:r>
      <w:r w:rsidR="00853A5C">
        <w:rPr>
          <w:sz w:val="22"/>
          <w:szCs w:val="22"/>
        </w:rPr>
        <w:tab/>
        <w:t>Stewart Turner</w:t>
      </w:r>
      <w:r w:rsidR="00853A5C">
        <w:rPr>
          <w:sz w:val="22"/>
          <w:szCs w:val="22"/>
        </w:rPr>
        <w:tab/>
        <w:t>Ph:</w:t>
      </w:r>
      <w:r w:rsidR="00853A5C">
        <w:rPr>
          <w:sz w:val="22"/>
          <w:szCs w:val="22"/>
        </w:rPr>
        <w:tab/>
        <w:t>(03) 9653 2218</w:t>
      </w:r>
    </w:p>
    <w:p w14:paraId="2CF4FF59" w14:textId="77777777"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after="120" w:line="240" w:lineRule="auto"/>
        <w:ind w:left="142" w:right="142"/>
        <w:rPr>
          <w:sz w:val="22"/>
          <w:szCs w:val="22"/>
        </w:rPr>
      </w:pPr>
      <w:r w:rsidRPr="00015113">
        <w:rPr>
          <w:sz w:val="22"/>
          <w:szCs w:val="22"/>
        </w:rPr>
        <w:t>Freecall number for regional areas:</w:t>
      </w:r>
      <w:r w:rsidRPr="00015113">
        <w:rPr>
          <w:sz w:val="22"/>
          <w:szCs w:val="22"/>
        </w:rPr>
        <w:tab/>
        <w:t>1800 020 083</w:t>
      </w:r>
    </w:p>
    <w:p w14:paraId="4DF4C469" w14:textId="77777777" w:rsidR="00A516A2" w:rsidRPr="00A853FD" w:rsidRDefault="00A516A2" w:rsidP="00A516A2">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after="120" w:line="240" w:lineRule="auto"/>
        <w:ind w:left="142" w:right="142"/>
        <w:rPr>
          <w:b/>
          <w:sz w:val="24"/>
          <w:szCs w:val="24"/>
        </w:rPr>
      </w:pPr>
      <w:r w:rsidRPr="00A853FD">
        <w:rPr>
          <w:b/>
          <w:sz w:val="24"/>
          <w:szCs w:val="24"/>
        </w:rPr>
        <w:t>Website</w:t>
      </w:r>
      <w:r w:rsidRPr="00A853FD">
        <w:rPr>
          <w:b/>
          <w:sz w:val="24"/>
          <w:szCs w:val="24"/>
        </w:rPr>
        <w:tab/>
        <w:t>www.pc.gov.au</w:t>
      </w:r>
    </w:p>
    <w:p w14:paraId="421FCA22" w14:textId="77777777" w:rsidR="00A516A2" w:rsidRDefault="00A516A2" w:rsidP="00A516A2">
      <w:pPr>
        <w:pStyle w:val="BodyText"/>
        <w:spacing w:before="0" w:line="240" w:lineRule="auto"/>
        <w:rPr>
          <w:sz w:val="24"/>
          <w:szCs w:val="24"/>
        </w:rPr>
      </w:pPr>
    </w:p>
    <w:p w14:paraId="589A59F5" w14:textId="77777777" w:rsidR="00A516A2" w:rsidRPr="00A516A2" w:rsidRDefault="00A516A2" w:rsidP="006F3F65">
      <w:pPr>
        <w:pStyle w:val="BodyText"/>
        <w:pBdr>
          <w:top w:val="single" w:sz="4" w:space="1" w:color="auto"/>
          <w:left w:val="single" w:sz="4" w:space="4" w:color="auto"/>
          <w:bottom w:val="single" w:sz="4" w:space="1" w:color="auto"/>
          <w:right w:val="single" w:sz="4" w:space="4" w:color="auto"/>
        </w:pBdr>
        <w:spacing w:line="240" w:lineRule="auto"/>
        <w:ind w:left="142" w:right="142"/>
        <w:rPr>
          <w:b/>
          <w:i/>
          <w:sz w:val="24"/>
          <w:szCs w:val="24"/>
        </w:rPr>
      </w:pPr>
      <w:r w:rsidRPr="00A516A2">
        <w:rPr>
          <w:b/>
          <w:i/>
          <w:sz w:val="24"/>
          <w:szCs w:val="24"/>
        </w:rPr>
        <w:t>The Productivity Commission</w:t>
      </w:r>
    </w:p>
    <w:p w14:paraId="347A0384" w14:textId="77777777" w:rsidR="00A516A2" w:rsidRPr="00A516A2" w:rsidRDefault="00A516A2" w:rsidP="006F3F65">
      <w:pPr>
        <w:pStyle w:val="BodyText"/>
        <w:pBdr>
          <w:top w:val="single" w:sz="4" w:space="1" w:color="auto"/>
          <w:left w:val="single" w:sz="4" w:space="4" w:color="auto"/>
          <w:bottom w:val="single" w:sz="4" w:space="1" w:color="auto"/>
          <w:right w:val="single" w:sz="4" w:space="4" w:color="auto"/>
        </w:pBdr>
        <w:spacing w:before="120" w:line="240" w:lineRule="auto"/>
        <w:ind w:left="142" w:right="142"/>
        <w:rPr>
          <w:sz w:val="22"/>
          <w:szCs w:val="22"/>
        </w:rPr>
      </w:pPr>
      <w:r w:rsidRPr="00A516A2">
        <w:rPr>
          <w:sz w:val="22"/>
          <w:szCs w:val="22"/>
        </w:rPr>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47E5ADED" w14:textId="77777777" w:rsidR="00A516A2" w:rsidRPr="00A516A2" w:rsidRDefault="00A516A2" w:rsidP="006F3F65">
      <w:pPr>
        <w:pStyle w:val="BodyText"/>
        <w:pBdr>
          <w:top w:val="single" w:sz="4" w:space="1" w:color="auto"/>
          <w:left w:val="single" w:sz="4" w:space="4" w:color="auto"/>
          <w:bottom w:val="single" w:sz="4" w:space="1" w:color="auto"/>
          <w:right w:val="single" w:sz="4" w:space="4" w:color="auto"/>
        </w:pBdr>
        <w:spacing w:before="120" w:line="240" w:lineRule="auto"/>
        <w:ind w:left="142" w:right="142"/>
        <w:rPr>
          <w:sz w:val="22"/>
          <w:szCs w:val="22"/>
        </w:rPr>
      </w:pPr>
      <w:r w:rsidRPr="00A516A2">
        <w:rPr>
          <w:sz w:val="22"/>
          <w:szCs w:val="22"/>
        </w:rPr>
        <w:t>The Commission’s independence is underpinned by an Act of Parliament. Its processes and outputs are open to public scrutiny and are driven by concern for the wellbeing of the community as a whole.</w:t>
      </w:r>
    </w:p>
    <w:p w14:paraId="4333891D" w14:textId="5AF9BB8A" w:rsidR="00A516A2" w:rsidRPr="00DF3FF8" w:rsidRDefault="00A516A2" w:rsidP="00DF3FF8">
      <w:pPr>
        <w:pStyle w:val="BodyText"/>
        <w:pBdr>
          <w:top w:val="single" w:sz="4" w:space="1" w:color="auto"/>
          <w:left w:val="single" w:sz="4" w:space="4" w:color="auto"/>
          <w:bottom w:val="single" w:sz="4" w:space="1" w:color="auto"/>
          <w:right w:val="single" w:sz="4" w:space="4" w:color="auto"/>
        </w:pBdr>
        <w:spacing w:before="120" w:line="240" w:lineRule="auto"/>
        <w:ind w:left="142" w:right="142"/>
        <w:rPr>
          <w:sz w:val="22"/>
          <w:szCs w:val="22"/>
        </w:rPr>
        <w:sectPr w:rsidR="00A516A2" w:rsidRPr="00DF3FF8" w:rsidSect="00E5544B">
          <w:type w:val="oddPage"/>
          <w:pgSz w:w="11907" w:h="16840" w:code="9"/>
          <w:pgMar w:top="1985" w:right="1304" w:bottom="1077" w:left="1814" w:header="1701" w:footer="567" w:gutter="0"/>
          <w:pgNumType w:fmt="lowerRoman" w:start="1" w:chapSep="period"/>
          <w:cols w:space="720"/>
        </w:sectPr>
      </w:pPr>
      <w:r w:rsidRPr="00A516A2">
        <w:rPr>
          <w:sz w:val="22"/>
          <w:szCs w:val="22"/>
        </w:rPr>
        <w:t>Further information on the Productivity Commission can be obtained from the Commission’s website (www.pc.gov.au) or by contacting Media and Publications on (03) 9653 2244 or email: maps@pc.gov.au</w:t>
      </w:r>
      <w:r w:rsidR="00DF3FF8">
        <w:rPr>
          <w:sz w:val="22"/>
          <w:szCs w:val="22"/>
        </w:rPr>
        <w:t>.</w:t>
      </w:r>
    </w:p>
    <w:p w14:paraId="3A8626FB" w14:textId="77777777" w:rsidR="0075004A" w:rsidRDefault="0075004A" w:rsidP="0075004A">
      <w:pPr>
        <w:pStyle w:val="Heading2"/>
      </w:pPr>
      <w:bookmarkStart w:id="3" w:name="_Toc360605996"/>
      <w:r w:rsidRPr="006F6434">
        <w:lastRenderedPageBreak/>
        <w:t>Contents</w:t>
      </w:r>
      <w:bookmarkEnd w:id="3"/>
    </w:p>
    <w:p w14:paraId="47924360" w14:textId="77777777" w:rsidR="0075004A" w:rsidRDefault="0075004A" w:rsidP="0075004A"/>
    <w:p w14:paraId="280F12FE" w14:textId="6A7C98F0" w:rsidR="0075004A" w:rsidRDefault="0075004A" w:rsidP="0075004A">
      <w:pPr>
        <w:pStyle w:val="TOC2"/>
      </w:pPr>
      <w:r>
        <w:t>1</w:t>
      </w:r>
      <w:r>
        <w:tab/>
        <w:t>What this inquiry is about</w:t>
      </w:r>
      <w:r>
        <w:tab/>
        <w:t>1</w:t>
      </w:r>
    </w:p>
    <w:p w14:paraId="65586041" w14:textId="05EDABE2" w:rsidR="0075004A" w:rsidRDefault="0075004A" w:rsidP="0075004A">
      <w:pPr>
        <w:pStyle w:val="TOC2"/>
      </w:pPr>
      <w:r>
        <w:t>2</w:t>
      </w:r>
      <w:r>
        <w:tab/>
        <w:t>Current natural disaster funding arrangements</w:t>
      </w:r>
      <w:r>
        <w:tab/>
      </w:r>
      <w:r w:rsidR="004539D4">
        <w:t>7</w:t>
      </w:r>
    </w:p>
    <w:p w14:paraId="0A71907B" w14:textId="554CDF21" w:rsidR="0075004A" w:rsidRDefault="0075004A" w:rsidP="0075004A">
      <w:pPr>
        <w:pStyle w:val="TOC2"/>
      </w:pPr>
      <w:r>
        <w:t>3</w:t>
      </w:r>
      <w:r>
        <w:tab/>
        <w:t>Asses</w:t>
      </w:r>
      <w:r w:rsidR="004539D4">
        <w:t>sing the current arrangements</w:t>
      </w:r>
      <w:r w:rsidR="004539D4">
        <w:tab/>
        <w:t>19</w:t>
      </w:r>
    </w:p>
    <w:p w14:paraId="1F8A4F20" w14:textId="5930BB16" w:rsidR="0075004A" w:rsidRDefault="0075004A" w:rsidP="0075004A">
      <w:pPr>
        <w:pStyle w:val="TOC2"/>
      </w:pPr>
      <w:r>
        <w:t>4</w:t>
      </w:r>
      <w:r>
        <w:tab/>
        <w:t>What reform options are avai</w:t>
      </w:r>
      <w:r w:rsidR="004539D4">
        <w:t>lable?</w:t>
      </w:r>
      <w:r w:rsidR="004539D4">
        <w:tab/>
        <w:t>28</w:t>
      </w:r>
    </w:p>
    <w:p w14:paraId="3462CEB2" w14:textId="0067C6F9" w:rsidR="0075004A" w:rsidRDefault="004539D4" w:rsidP="0075004A">
      <w:pPr>
        <w:pStyle w:val="TOC2"/>
      </w:pPr>
      <w:r>
        <w:t>5</w:t>
      </w:r>
      <w:r>
        <w:tab/>
        <w:t>Implementing reforms</w:t>
      </w:r>
      <w:r>
        <w:tab/>
        <w:t>31</w:t>
      </w:r>
    </w:p>
    <w:p w14:paraId="11862270" w14:textId="70445420" w:rsidR="0075004A" w:rsidRDefault="004539D4" w:rsidP="0075004A">
      <w:pPr>
        <w:pStyle w:val="TOC2"/>
      </w:pPr>
      <w:r>
        <w:t>References</w:t>
      </w:r>
      <w:r>
        <w:tab/>
        <w:t>3</w:t>
      </w:r>
      <w:r w:rsidR="00291574">
        <w:t>2</w:t>
      </w:r>
    </w:p>
    <w:p w14:paraId="7C5F7DA4" w14:textId="54225B38" w:rsidR="0075004A" w:rsidRDefault="0075004A" w:rsidP="0075004A">
      <w:pPr>
        <w:pStyle w:val="TOC2"/>
      </w:pPr>
      <w:r>
        <w:t xml:space="preserve">Attachment A: </w:t>
      </w:r>
      <w:r w:rsidR="00DF3FF8">
        <w:t>Terms of Reference</w:t>
      </w:r>
      <w:r>
        <w:tab/>
        <w:t>3</w:t>
      </w:r>
      <w:r w:rsidR="00291574">
        <w:t>5</w:t>
      </w:r>
    </w:p>
    <w:p w14:paraId="76640625" w14:textId="2A8B731B" w:rsidR="0075004A" w:rsidRDefault="0075004A" w:rsidP="0075004A">
      <w:pPr>
        <w:pStyle w:val="TOC2"/>
      </w:pPr>
      <w:r>
        <w:t>Attachme</w:t>
      </w:r>
      <w:r w:rsidR="00291574">
        <w:t>nt B: How to make a submission</w:t>
      </w:r>
      <w:r w:rsidR="00291574">
        <w:tab/>
        <w:t>39</w:t>
      </w:r>
    </w:p>
    <w:p w14:paraId="764CA629" w14:textId="17B4501F" w:rsidR="0075004A" w:rsidRDefault="0075004A" w:rsidP="0075004A">
      <w:pPr>
        <w:pStyle w:val="TOC2"/>
      </w:pPr>
      <w:r>
        <w:t>Attachment C: Submission Cover Sheet</w:t>
      </w:r>
      <w:r>
        <w:tab/>
        <w:t>4</w:t>
      </w:r>
      <w:r w:rsidR="00291574">
        <w:t>1</w:t>
      </w:r>
    </w:p>
    <w:p w14:paraId="56F858A6" w14:textId="4285AB4E" w:rsidR="000C3E1C" w:rsidRPr="000C3E1C" w:rsidRDefault="000C3E1C" w:rsidP="000C3E1C">
      <w:pPr>
        <w:pStyle w:val="BodyText"/>
        <w:sectPr w:rsidR="000C3E1C" w:rsidRPr="000C3E1C" w:rsidSect="00EB4C9E">
          <w:headerReference w:type="even" r:id="rId10"/>
          <w:headerReference w:type="default" r:id="rId11"/>
          <w:footerReference w:type="even" r:id="rId12"/>
          <w:footerReference w:type="default" r:id="rId13"/>
          <w:pgSz w:w="11907" w:h="16840" w:code="9"/>
          <w:pgMar w:top="1985" w:right="1304" w:bottom="1418" w:left="1814" w:header="1701" w:footer="567" w:gutter="0"/>
          <w:pgNumType w:fmt="lowerRoman" w:chapSep="period"/>
          <w:cols w:space="720"/>
        </w:sectPr>
      </w:pPr>
    </w:p>
    <w:p w14:paraId="106DCB3F" w14:textId="75D68A54" w:rsidR="000C3E1C" w:rsidRDefault="007A66DD" w:rsidP="00455240">
      <w:pPr>
        <w:pStyle w:val="Heading2"/>
      </w:pPr>
      <w:r>
        <w:rPr>
          <w:noProof/>
        </w:rPr>
        <w:lastRenderedPageBreak/>
        <w:t>1</w:t>
      </w:r>
      <w:r w:rsidR="00455240">
        <w:tab/>
        <w:t>What this inquiry is about</w:t>
      </w:r>
    </w:p>
    <w:p w14:paraId="5F1AFBCA" w14:textId="094C2354" w:rsidR="00BA7302" w:rsidRDefault="00BA7302" w:rsidP="00BA7302">
      <w:pPr>
        <w:pStyle w:val="BodyText"/>
      </w:pPr>
      <w:r>
        <w:t xml:space="preserve">This inquiry is about the effectiveness and sustainability of </w:t>
      </w:r>
      <w:r w:rsidR="0079631D">
        <w:t xml:space="preserve">Australia’s </w:t>
      </w:r>
      <w:r>
        <w:t xml:space="preserve">natural disaster funding arrangements. </w:t>
      </w:r>
      <w:r w:rsidR="0079631D">
        <w:t>T</w:t>
      </w:r>
      <w:r>
        <w:t xml:space="preserve">he Commission has been asked to assess </w:t>
      </w:r>
      <w:r w:rsidR="0079631D">
        <w:t>the full scope of current Commonwealth, state and territory expenditure on natural disaster mitigation, resilience and recovery and to</w:t>
      </w:r>
      <w:r>
        <w:t xml:space="preserve"> </w:t>
      </w:r>
      <w:r w:rsidR="0079631D">
        <w:t xml:space="preserve">identify reforms which achieve an effective and sustainable balance between natural disaster recovery and mitigation funding </w:t>
      </w:r>
      <w:r w:rsidR="0068796B">
        <w:t>to help communities better prepare for disasters</w:t>
      </w:r>
      <w:r w:rsidR="000D711C">
        <w:t xml:space="preserve"> (box 1).</w:t>
      </w:r>
    </w:p>
    <w:p w14:paraId="293A4E4C" w14:textId="3DEECBA3" w:rsidR="00BA7302" w:rsidRDefault="00BA730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BA7302" w14:paraId="28297685" w14:textId="77777777">
        <w:tc>
          <w:tcPr>
            <w:tcW w:w="8771" w:type="dxa"/>
            <w:tcBorders>
              <w:top w:val="single" w:sz="6" w:space="0" w:color="auto"/>
              <w:bottom w:val="nil"/>
            </w:tcBorders>
          </w:tcPr>
          <w:p w14:paraId="3CDA9240" w14:textId="5F344129" w:rsidR="00BA7302" w:rsidRDefault="00BA7302" w:rsidP="00BA7302">
            <w:pPr>
              <w:pStyle w:val="BoxTitle"/>
            </w:pPr>
            <w:r>
              <w:rPr>
                <w:b w:val="0"/>
              </w:rPr>
              <w:t xml:space="preserve">Box </w:t>
            </w:r>
            <w:bookmarkStart w:id="4" w:name="OLE_LINK3"/>
            <w:r w:rsidR="007A66DD">
              <w:rPr>
                <w:b w:val="0"/>
                <w:noProof/>
              </w:rPr>
              <w:t>1</w:t>
            </w:r>
            <w:bookmarkEnd w:id="4"/>
            <w:r>
              <w:tab/>
              <w:t>Some definitions</w:t>
            </w:r>
          </w:p>
        </w:tc>
      </w:tr>
      <w:tr w:rsidR="00BA7302" w14:paraId="426BE778" w14:textId="77777777">
        <w:trPr>
          <w:cantSplit/>
        </w:trPr>
        <w:tc>
          <w:tcPr>
            <w:tcW w:w="8771" w:type="dxa"/>
            <w:tcBorders>
              <w:top w:val="nil"/>
              <w:left w:val="single" w:sz="6" w:space="0" w:color="auto"/>
              <w:bottom w:val="nil"/>
              <w:right w:val="single" w:sz="6" w:space="0" w:color="auto"/>
            </w:tcBorders>
          </w:tcPr>
          <w:p w14:paraId="59B49AEA" w14:textId="49D6ED70" w:rsidR="00BA7302" w:rsidRPr="00BA7302" w:rsidRDefault="00BA7302">
            <w:pPr>
              <w:pStyle w:val="Box"/>
              <w:rPr>
                <w:b/>
              </w:rPr>
            </w:pPr>
            <w:r w:rsidRPr="00BA7302">
              <w:rPr>
                <w:b/>
              </w:rPr>
              <w:t>Natural disaster</w:t>
            </w:r>
            <w:r>
              <w:rPr>
                <w:b/>
              </w:rPr>
              <w:t xml:space="preserve"> </w:t>
            </w:r>
            <w:r w:rsidRPr="00BA7302">
              <w:t xml:space="preserve">— </w:t>
            </w:r>
            <w:r w:rsidR="009D5CAD">
              <w:t>N</w:t>
            </w:r>
            <w:r w:rsidRPr="00BA7302">
              <w:t>aturally occurring rapid onset events that cause a serious disruption to a community or region, such as flood, bushfire, earthquake, storm, cyclone, storm surge, tornado, landslide or tsunami.</w:t>
            </w:r>
            <w:r w:rsidR="009D5CAD">
              <w:t xml:space="preserve"> </w:t>
            </w:r>
            <w:r w:rsidR="00873A98">
              <w:t xml:space="preserve">This is consistent with the definition included in the Natural Disaster Relief and Recovery Arrangements </w:t>
            </w:r>
            <w:r w:rsidR="00873A98" w:rsidRPr="00BE38D2">
              <w:rPr>
                <w:i/>
              </w:rPr>
              <w:t>Determination</w:t>
            </w:r>
            <w:r w:rsidR="00873A98">
              <w:t xml:space="preserve">. </w:t>
            </w:r>
            <w:r w:rsidR="009D5CAD">
              <w:t xml:space="preserve">Under </w:t>
            </w:r>
            <w:r w:rsidR="00873A98">
              <w:t xml:space="preserve">this </w:t>
            </w:r>
            <w:r w:rsidR="009D5CAD">
              <w:t xml:space="preserve">definition used in the terms of reference droughts </w:t>
            </w:r>
            <w:r w:rsidR="00873A98">
              <w:t xml:space="preserve">and heatwaves </w:t>
            </w:r>
            <w:r w:rsidR="009D5CAD">
              <w:t>are not considered natural disasters.</w:t>
            </w:r>
          </w:p>
          <w:p w14:paraId="00A7F19B" w14:textId="53458BC0" w:rsidR="00BA7302" w:rsidRPr="00BA7302" w:rsidRDefault="00BA7302">
            <w:pPr>
              <w:pStyle w:val="Box"/>
              <w:rPr>
                <w:b/>
              </w:rPr>
            </w:pPr>
            <w:r w:rsidRPr="00BA7302">
              <w:rPr>
                <w:b/>
              </w:rPr>
              <w:t>Mitigation</w:t>
            </w:r>
            <w:r>
              <w:rPr>
                <w:b/>
              </w:rPr>
              <w:t xml:space="preserve"> </w:t>
            </w:r>
            <w:r w:rsidRPr="00BA7302">
              <w:t>—</w:t>
            </w:r>
            <w:r w:rsidR="007F1D96">
              <w:t xml:space="preserve"> Measures taken in advance of </w:t>
            </w:r>
            <w:r w:rsidR="007A5D67">
              <w:t>(</w:t>
            </w:r>
            <w:r w:rsidR="007F1D96">
              <w:t>or after</w:t>
            </w:r>
            <w:r w:rsidR="007A5D67">
              <w:t>)</w:t>
            </w:r>
            <w:r w:rsidR="007F1D96">
              <w:t xml:space="preserve"> a disaster aimed at minimising the impact of </w:t>
            </w:r>
            <w:r w:rsidR="007A5D67">
              <w:t xml:space="preserve">future </w:t>
            </w:r>
            <w:r w:rsidR="007F1D96">
              <w:t>disaster</w:t>
            </w:r>
            <w:r w:rsidR="00DF3FF8">
              <w:t>s</w:t>
            </w:r>
            <w:r w:rsidR="007F1D96">
              <w:t xml:space="preserve"> on communities.</w:t>
            </w:r>
          </w:p>
          <w:p w14:paraId="45EC7EAE" w14:textId="2E0F2A6E" w:rsidR="00BA7302" w:rsidRPr="00BA7302" w:rsidRDefault="00BA7302">
            <w:pPr>
              <w:pStyle w:val="Box"/>
              <w:rPr>
                <w:b/>
              </w:rPr>
            </w:pPr>
            <w:r w:rsidRPr="00BA7302">
              <w:rPr>
                <w:b/>
              </w:rPr>
              <w:t>Resilience</w:t>
            </w:r>
            <w:r>
              <w:rPr>
                <w:b/>
              </w:rPr>
              <w:t xml:space="preserve"> </w:t>
            </w:r>
            <w:r w:rsidRPr="00BA7302">
              <w:t>—</w:t>
            </w:r>
            <w:r w:rsidR="009D5CAD">
              <w:t xml:space="preserve"> </w:t>
            </w:r>
            <w:r w:rsidR="007F1D96">
              <w:t>The capability to prevent</w:t>
            </w:r>
            <w:r w:rsidR="00DF3FF8">
              <w:t xml:space="preserve">, </w:t>
            </w:r>
            <w:r w:rsidR="007F1D96">
              <w:t>mitigate, prepare for, respond to and recover from the impacts of natural disasters.</w:t>
            </w:r>
          </w:p>
          <w:p w14:paraId="1CC4BBF8" w14:textId="77777777" w:rsidR="00BA7302" w:rsidRDefault="00BA7302" w:rsidP="009D5CAD">
            <w:pPr>
              <w:pStyle w:val="Box"/>
            </w:pPr>
            <w:r w:rsidRPr="00BA7302">
              <w:rPr>
                <w:b/>
              </w:rPr>
              <w:t>Recovery</w:t>
            </w:r>
            <w:r>
              <w:rPr>
                <w:b/>
              </w:rPr>
              <w:t xml:space="preserve"> </w:t>
            </w:r>
            <w:r w:rsidRPr="00BA7302">
              <w:t>—</w:t>
            </w:r>
            <w:r w:rsidR="009D5CAD">
              <w:t xml:space="preserve"> A</w:t>
            </w:r>
            <w:r w:rsidR="009D5CAD" w:rsidRPr="009D5CAD">
              <w:t>ctions taken after a hazard has occurred to support affected communities in the reconstruction of damaged property and economic activity, as well as the restoration of physical, social, emotional and psychological health.</w:t>
            </w:r>
          </w:p>
        </w:tc>
      </w:tr>
      <w:tr w:rsidR="00BA7302" w14:paraId="322C7442" w14:textId="77777777">
        <w:trPr>
          <w:cantSplit/>
        </w:trPr>
        <w:tc>
          <w:tcPr>
            <w:tcW w:w="8771" w:type="dxa"/>
            <w:tcBorders>
              <w:top w:val="nil"/>
              <w:left w:val="single" w:sz="6" w:space="0" w:color="auto"/>
              <w:bottom w:val="nil"/>
              <w:right w:val="single" w:sz="6" w:space="0" w:color="auto"/>
            </w:tcBorders>
          </w:tcPr>
          <w:p w14:paraId="409BC049" w14:textId="16DB8419" w:rsidR="00BA7302" w:rsidRDefault="00BA7302" w:rsidP="00DF3FF8">
            <w:pPr>
              <w:pStyle w:val="BoxSource"/>
            </w:pPr>
            <w:r>
              <w:rPr>
                <w:i/>
              </w:rPr>
              <w:t>Sources</w:t>
            </w:r>
            <w:r w:rsidRPr="00167F06">
              <w:t xml:space="preserve">: </w:t>
            </w:r>
            <w:r w:rsidR="00DF3FF8">
              <w:t xml:space="preserve">COAG </w:t>
            </w:r>
            <w:r w:rsidR="007F1D96">
              <w:t>(2014), Inquiry terms of reference.</w:t>
            </w:r>
          </w:p>
        </w:tc>
      </w:tr>
      <w:tr w:rsidR="00BA7302" w14:paraId="1073155E" w14:textId="77777777">
        <w:trPr>
          <w:cantSplit/>
        </w:trPr>
        <w:tc>
          <w:tcPr>
            <w:tcW w:w="8771" w:type="dxa"/>
            <w:tcBorders>
              <w:top w:val="nil"/>
              <w:left w:val="single" w:sz="6" w:space="0" w:color="auto"/>
              <w:bottom w:val="single" w:sz="6" w:space="0" w:color="auto"/>
              <w:right w:val="single" w:sz="6" w:space="0" w:color="auto"/>
            </w:tcBorders>
          </w:tcPr>
          <w:p w14:paraId="6E74C33E" w14:textId="77777777" w:rsidR="00BA7302" w:rsidRDefault="00BA7302">
            <w:pPr>
              <w:pStyle w:val="Box"/>
              <w:spacing w:before="0" w:line="120" w:lineRule="exact"/>
            </w:pPr>
          </w:p>
        </w:tc>
      </w:tr>
      <w:tr w:rsidR="00BA7302" w:rsidRPr="000863A5" w14:paraId="7889D9B1" w14:textId="77777777">
        <w:tc>
          <w:tcPr>
            <w:tcW w:w="8771" w:type="dxa"/>
            <w:tcBorders>
              <w:top w:val="nil"/>
              <w:left w:val="nil"/>
              <w:bottom w:val="nil"/>
              <w:right w:val="nil"/>
            </w:tcBorders>
          </w:tcPr>
          <w:p w14:paraId="2A0763BC" w14:textId="0D0712CC" w:rsidR="00BA7302" w:rsidRPr="00626D32" w:rsidRDefault="00BA7302" w:rsidP="006E40C2">
            <w:pPr>
              <w:pStyle w:val="BoxSpaceBelow"/>
            </w:pPr>
          </w:p>
        </w:tc>
      </w:tr>
    </w:tbl>
    <w:p w14:paraId="5B71568E" w14:textId="6F2CA0F9" w:rsidR="00B73B23" w:rsidRDefault="00EA361E" w:rsidP="00B73B23">
      <w:pPr>
        <w:pStyle w:val="BodyText"/>
      </w:pPr>
      <w:r>
        <w:t>T</w:t>
      </w:r>
      <w:r w:rsidR="00B73B23">
        <w:t>he Commission has been asked to develop findings on the following:</w:t>
      </w:r>
    </w:p>
    <w:p w14:paraId="26127E26" w14:textId="77777777" w:rsidR="00B73B23" w:rsidRDefault="00B73B23" w:rsidP="00B73B23">
      <w:pPr>
        <w:pStyle w:val="ListBullet"/>
      </w:pPr>
      <w:r>
        <w:t xml:space="preserve">the sustainability and effectiveness of current </w:t>
      </w:r>
      <w:r w:rsidR="007A5D67">
        <w:t xml:space="preserve">arrangements for funding </w:t>
      </w:r>
      <w:r>
        <w:t xml:space="preserve">natural disaster </w:t>
      </w:r>
      <w:r w:rsidR="007A5D67">
        <w:t>mitigation, resilience and recovery initiatives</w:t>
      </w:r>
    </w:p>
    <w:p w14:paraId="2E7E353F" w14:textId="77777777" w:rsidR="00B73B23" w:rsidRDefault="00B73B23" w:rsidP="00B73B23">
      <w:pPr>
        <w:pStyle w:val="ListBullet"/>
      </w:pPr>
      <w:r>
        <w:t xml:space="preserve">the risk management measures available to </w:t>
      </w:r>
      <w:r w:rsidR="007A5D67">
        <w:t xml:space="preserve">and being taken by </w:t>
      </w:r>
      <w:r>
        <w:t>asset owners</w:t>
      </w:r>
    </w:p>
    <w:p w14:paraId="3ACD89A1" w14:textId="77777777" w:rsidR="00B73B23" w:rsidRDefault="00B73B23" w:rsidP="00B73B23">
      <w:pPr>
        <w:pStyle w:val="ListBullet"/>
      </w:pPr>
      <w:r>
        <w:t xml:space="preserve">the interaction between natural disaster funding and federal </w:t>
      </w:r>
      <w:r w:rsidR="00AB50AF">
        <w:t xml:space="preserve">financial </w:t>
      </w:r>
      <w:r>
        <w:t>arrangements</w:t>
      </w:r>
    </w:p>
    <w:p w14:paraId="7A25B3DC" w14:textId="77777777" w:rsidR="00B73B23" w:rsidRDefault="00B73B23" w:rsidP="00B73B23">
      <w:pPr>
        <w:pStyle w:val="ListBullet"/>
      </w:pPr>
      <w:r>
        <w:t xml:space="preserve">options to achieve an effective and sustainable balance of expenditure on </w:t>
      </w:r>
      <w:r w:rsidR="007A5D67">
        <w:t xml:space="preserve">natural disaster </w:t>
      </w:r>
      <w:r>
        <w:t>mitigation and recovery</w:t>
      </w:r>
    </w:p>
    <w:p w14:paraId="1371FEFA" w14:textId="77777777" w:rsidR="00B73B23" w:rsidRDefault="00B73B23" w:rsidP="00B73B23">
      <w:pPr>
        <w:pStyle w:val="ListBullet"/>
      </w:pPr>
      <w:r>
        <w:t>how stakeholders can most effectively fund natural disaster recovery and mitigation initiatives</w:t>
      </w:r>
    </w:p>
    <w:p w14:paraId="174F80A2" w14:textId="77777777" w:rsidR="00B73B23" w:rsidRDefault="00AB50AF" w:rsidP="00B73B23">
      <w:pPr>
        <w:pStyle w:val="ListBullet"/>
      </w:pPr>
      <w:r>
        <w:lastRenderedPageBreak/>
        <w:t>how to ensure the right</w:t>
      </w:r>
      <w:r w:rsidR="00B73B23">
        <w:t xml:space="preserve"> incentives</w:t>
      </w:r>
      <w:r w:rsidR="00EE1FBB">
        <w:t xml:space="preserve"> are in place</w:t>
      </w:r>
      <w:r w:rsidR="00B73B23">
        <w:t xml:space="preserve"> to support cost-effective decision making</w:t>
      </w:r>
    </w:p>
    <w:p w14:paraId="60068916" w14:textId="77777777" w:rsidR="00B73B23" w:rsidRDefault="00B73B23" w:rsidP="00B73B23">
      <w:pPr>
        <w:pStyle w:val="ListBullet"/>
      </w:pPr>
      <w:r>
        <w:t xml:space="preserve">mechanisms and models </w:t>
      </w:r>
      <w:r w:rsidR="00AB50AF">
        <w:t>to</w:t>
      </w:r>
      <w:r>
        <w:t xml:space="preserve"> prioritise and evaluate mitigation opportunities</w:t>
      </w:r>
    </w:p>
    <w:p w14:paraId="75C600B5" w14:textId="7E676727" w:rsidR="00B73B23" w:rsidRDefault="00B73B23" w:rsidP="00B73B23">
      <w:pPr>
        <w:pStyle w:val="ListBullet"/>
      </w:pPr>
      <w:r>
        <w:t xml:space="preserve">the role of </w:t>
      </w:r>
      <w:r w:rsidR="00A73117">
        <w:t xml:space="preserve">urban </w:t>
      </w:r>
      <w:r>
        <w:t>planning</w:t>
      </w:r>
      <w:r w:rsidR="00A73117">
        <w:t>, land</w:t>
      </w:r>
      <w:r w:rsidR="00DF3FF8">
        <w:noBreakHyphen/>
      </w:r>
      <w:r w:rsidR="00A73117">
        <w:t>use policy</w:t>
      </w:r>
      <w:r>
        <w:t xml:space="preserve"> and infrastructur</w:t>
      </w:r>
      <w:r w:rsidR="00EE1FBB">
        <w:t>e investment in supporting cost</w:t>
      </w:r>
      <w:r w:rsidR="00EE1FBB">
        <w:noBreakHyphen/>
      </w:r>
      <w:r>
        <w:t>effective risk management</w:t>
      </w:r>
    </w:p>
    <w:p w14:paraId="4816194A" w14:textId="1A329C49" w:rsidR="00B73B23" w:rsidRDefault="00B73B23" w:rsidP="00B73B23">
      <w:pPr>
        <w:pStyle w:val="ListBullet"/>
      </w:pPr>
      <w:r>
        <w:t>options to fund identified natural disaster recovery and mitigation needs</w:t>
      </w:r>
      <w:r w:rsidR="00DF3FF8">
        <w:t>.</w:t>
      </w:r>
    </w:p>
    <w:p w14:paraId="12D4F757" w14:textId="1E286BB7" w:rsidR="00B73B23" w:rsidRDefault="00B73B23" w:rsidP="00B73B23">
      <w:pPr>
        <w:pStyle w:val="BodyText"/>
      </w:pPr>
      <w:r>
        <w:t>The terms of reference also request the Commission to investigate the medium and long</w:t>
      </w:r>
      <w:r>
        <w:noBreakHyphen/>
        <w:t xml:space="preserve">term impacts of reform options on the Australian economy and costs to governments, and to consider the </w:t>
      </w:r>
      <w:r w:rsidR="00EA361E">
        <w:t xml:space="preserve">transitional and </w:t>
      </w:r>
      <w:r>
        <w:t>implementation</w:t>
      </w:r>
      <w:r w:rsidR="00EA361E">
        <w:t xml:space="preserve"> issues</w:t>
      </w:r>
      <w:r>
        <w:t xml:space="preserve"> of proposed reforms.</w:t>
      </w:r>
    </w:p>
    <w:p w14:paraId="0F2174B6" w14:textId="6B771A5F" w:rsidR="00477DCB" w:rsidRDefault="00477DCB" w:rsidP="00B73B23">
      <w:pPr>
        <w:pStyle w:val="BodyText"/>
      </w:pPr>
      <w:r>
        <w:t xml:space="preserve">The Commission will take into account </w:t>
      </w:r>
      <w:r w:rsidRPr="00756756">
        <w:rPr>
          <w:szCs w:val="24"/>
        </w:rPr>
        <w:t>evidence from</w:t>
      </w:r>
      <w:r>
        <w:t xml:space="preserve"> previous reports and from the report of the National Commission of Audit that was released</w:t>
      </w:r>
      <w:r w:rsidR="00757FBB">
        <w:t xml:space="preserve"> </w:t>
      </w:r>
      <w:r>
        <w:t>on 1 May</w:t>
      </w:r>
      <w:r w:rsidR="005A65BB">
        <w:t xml:space="preserve"> (box 2)</w:t>
      </w:r>
      <w:r>
        <w:t xml:space="preserve">. It will take into account infrastructure and asset management policy (including the Commission’s current inquiry into public infrastructure) and will consider natural disaster </w:t>
      </w:r>
      <w:r w:rsidR="006F68E2">
        <w:t xml:space="preserve">risk </w:t>
      </w:r>
      <w:r>
        <w:t>management and funding best practices from Australia and overseas.</w:t>
      </w:r>
    </w:p>
    <w:p w14:paraId="788822F6" w14:textId="089C55D1" w:rsidR="00AA3DFE" w:rsidRDefault="00AA3DFE" w:rsidP="00AA3DFE">
      <w:pPr>
        <w:pStyle w:val="Heading3"/>
      </w:pPr>
      <w:r w:rsidRPr="00B73B23">
        <w:t>An imperative for reform</w:t>
      </w:r>
    </w:p>
    <w:p w14:paraId="19B238B2" w14:textId="77777777" w:rsidR="00AA3DFE" w:rsidRDefault="00AA3DFE" w:rsidP="00AA3DFE">
      <w:pPr>
        <w:pStyle w:val="BodyText"/>
      </w:pPr>
      <w:r>
        <w:t xml:space="preserve">Natural disaster risks pose a threat to community living standards, and better managing those risks is essential to increasing overall wellbeing. The natural disaster funding arrangements are a key driver of the incentive framework that influences the way governments and the community manage those risks. They </w:t>
      </w:r>
      <w:r w:rsidRPr="00BE6EA3">
        <w:t xml:space="preserve">influence the </w:t>
      </w:r>
      <w:r>
        <w:t xml:space="preserve">level and </w:t>
      </w:r>
      <w:r w:rsidRPr="00BE6EA3">
        <w:t xml:space="preserve">mix of mitigation, </w:t>
      </w:r>
      <w:r>
        <w:t>resilience</w:t>
      </w:r>
      <w:r w:rsidRPr="00BE6EA3">
        <w:t xml:space="preserve"> and recovery</w:t>
      </w:r>
      <w:r>
        <w:t xml:space="preserve"> activities, and ultimately the costs of natural disasters.</w:t>
      </w:r>
    </w:p>
    <w:p w14:paraId="6535CBEB" w14:textId="77777777" w:rsidR="00AA3DFE" w:rsidRDefault="00AA3DFE" w:rsidP="00AA3DFE">
      <w:pPr>
        <w:pStyle w:val="BodyText"/>
      </w:pPr>
      <w:r>
        <w:t>This inquiry follows a concentrated spate of destructive natural disasters resulting in loss of life, injury, psychological trauma and widespread damage across large parts of Australia. Through these impacts, disasters impose a range of costs, including direct financial costs, indirect costs arising from disruptions to business and also non</w:t>
      </w:r>
      <w:r>
        <w:noBreakHyphen/>
        <w:t>market costs. One proxy measure of the strong upward trend in disaster costs in recent years is the value of insured losses caused by natural disasters (box 3).</w:t>
      </w:r>
    </w:p>
    <w:p w14:paraId="128E4F62" w14:textId="77777777" w:rsidR="00AA3DFE" w:rsidRDefault="00AA3DFE" w:rsidP="00B73B23">
      <w:pPr>
        <w:pStyle w:val="BodyText"/>
      </w:pPr>
    </w:p>
    <w:p w14:paraId="314821FF" w14:textId="4504F547" w:rsidR="005A65BB" w:rsidRDefault="005A65B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A65BB" w14:paraId="1F19B4E1" w14:textId="77777777">
        <w:tc>
          <w:tcPr>
            <w:tcW w:w="8771" w:type="dxa"/>
            <w:tcBorders>
              <w:top w:val="single" w:sz="6" w:space="0" w:color="auto"/>
              <w:bottom w:val="nil"/>
            </w:tcBorders>
          </w:tcPr>
          <w:p w14:paraId="374CF9D8" w14:textId="1C007F59" w:rsidR="005A65BB" w:rsidRDefault="005A65BB" w:rsidP="005A65BB">
            <w:pPr>
              <w:pStyle w:val="BoxTitle"/>
            </w:pPr>
            <w:r>
              <w:rPr>
                <w:b w:val="0"/>
              </w:rPr>
              <w:t xml:space="preserve">Box </w:t>
            </w:r>
            <w:bookmarkStart w:id="5" w:name="OLE_LINK15"/>
            <w:r w:rsidR="007A66DD">
              <w:rPr>
                <w:b w:val="0"/>
                <w:noProof/>
              </w:rPr>
              <w:t>2</w:t>
            </w:r>
            <w:bookmarkEnd w:id="5"/>
            <w:r>
              <w:tab/>
              <w:t>Previous reviews of natural disaster management and funding</w:t>
            </w:r>
          </w:p>
        </w:tc>
      </w:tr>
      <w:tr w:rsidR="005A65BB" w14:paraId="10A9B9DD" w14:textId="77777777">
        <w:trPr>
          <w:cantSplit/>
        </w:trPr>
        <w:tc>
          <w:tcPr>
            <w:tcW w:w="8771" w:type="dxa"/>
            <w:tcBorders>
              <w:top w:val="nil"/>
              <w:left w:val="single" w:sz="6" w:space="0" w:color="auto"/>
              <w:bottom w:val="nil"/>
              <w:right w:val="single" w:sz="6" w:space="0" w:color="auto"/>
            </w:tcBorders>
          </w:tcPr>
          <w:p w14:paraId="5018D52C" w14:textId="29063E71" w:rsidR="0013171B" w:rsidRDefault="0013171B" w:rsidP="0013171B">
            <w:pPr>
              <w:pStyle w:val="Box"/>
            </w:pPr>
            <w:r>
              <w:t>Several reports have made recommendations for changes to Australia’s natural disaster funding arrangements.</w:t>
            </w:r>
          </w:p>
          <w:p w14:paraId="63B6D6A5" w14:textId="76E20A26" w:rsidR="0013171B" w:rsidRDefault="0013171B" w:rsidP="0013171B">
            <w:pPr>
              <w:pStyle w:val="BoxListBullet"/>
              <w:numPr>
                <w:ilvl w:val="0"/>
                <w:numId w:val="49"/>
              </w:numPr>
              <w:spacing w:before="60"/>
            </w:pPr>
            <w:r>
              <w:t>A report to COAG by a high</w:t>
            </w:r>
            <w:r>
              <w:noBreakHyphen/>
              <w:t xml:space="preserve">level officials’ group recommended a package of reforms to natural disaster funding </w:t>
            </w:r>
            <w:r>
              <w:rPr>
                <w:rFonts w:cs="Arial"/>
                <w:szCs w:val="24"/>
              </w:rPr>
              <w:t>(COAG 2002)</w:t>
            </w:r>
            <w:r>
              <w:t xml:space="preserve">. These included Commonwealth funding of around $100 million each year to the states and territories for disaster mitigation; reform of </w:t>
            </w:r>
            <w:r w:rsidR="00DF3FF8">
              <w:t>Natural Disaster Relief and Recovery Arrangements (</w:t>
            </w:r>
            <w:r>
              <w:t>NDRRA</w:t>
            </w:r>
            <w:r w:rsidR="00DF3FF8">
              <w:t>)</w:t>
            </w:r>
            <w:r>
              <w:t xml:space="preserve"> assistance to individuals, businesses and communities; and the introduction of ‘betterment’ provisions in the NDRRA.</w:t>
            </w:r>
          </w:p>
          <w:p w14:paraId="785553BA" w14:textId="1BB7D537" w:rsidR="0013171B" w:rsidRDefault="0013171B" w:rsidP="0013171B">
            <w:pPr>
              <w:pStyle w:val="BoxListBullet"/>
              <w:numPr>
                <w:ilvl w:val="0"/>
                <w:numId w:val="49"/>
              </w:numPr>
              <w:spacing w:before="60"/>
            </w:pPr>
            <w:r>
              <w:t>A review of state and territory governments’ asset insurance arrangements found that Tasmania and the Northern Territory do not have adequate insurance for non</w:t>
            </w:r>
            <w:r>
              <w:noBreakHyphen/>
              <w:t xml:space="preserve">road assets, and that all states except the ACT and Victoria lack insurance for road assets </w:t>
            </w:r>
            <w:r>
              <w:rPr>
                <w:rFonts w:cs="Arial"/>
                <w:szCs w:val="24"/>
              </w:rPr>
              <w:t>(Department of Finance and Deregulation 2012)</w:t>
            </w:r>
            <w:r>
              <w:t>. It recommended that all jurisdictions adopt a common framework for identifying cost</w:t>
            </w:r>
            <w:r>
              <w:noBreakHyphen/>
              <w:t>effective insurance options, along with further investigation of models to fund the cost of road damage.</w:t>
            </w:r>
          </w:p>
          <w:p w14:paraId="7C79F3F6" w14:textId="1943B177" w:rsidR="0013171B" w:rsidRDefault="0013171B" w:rsidP="0013171B">
            <w:pPr>
              <w:pStyle w:val="BoxListBullet"/>
              <w:numPr>
                <w:ilvl w:val="0"/>
                <w:numId w:val="49"/>
              </w:numPr>
              <w:spacing w:before="60"/>
            </w:pPr>
            <w:r>
              <w:t>The</w:t>
            </w:r>
            <w:r w:rsidR="00DF3FF8">
              <w:t xml:space="preserve"> Productivity</w:t>
            </w:r>
            <w:r>
              <w:t xml:space="preserve"> Commission’s report </w:t>
            </w:r>
            <w:r>
              <w:rPr>
                <w:i/>
              </w:rPr>
              <w:t>Barriers to Effective Climate Change Adaptation</w:t>
            </w:r>
            <w:r>
              <w:t xml:space="preserve"> outlined  features of the current NDRRA that may be inconsistent with effective risk management </w:t>
            </w:r>
            <w:r>
              <w:rPr>
                <w:rFonts w:cs="Arial"/>
                <w:szCs w:val="24"/>
              </w:rPr>
              <w:t>(PC 2013)</w:t>
            </w:r>
            <w:r>
              <w:t xml:space="preserve">. It found that the NDRRA may lower the incentives of state and territory governments to adequately maintain or insure their infrastructure, that betterment provisions may be underutilised due to unclear administrative and funding arrangements, and that local governments sometimes lack the capacity to undertake effective mitigation. The </w:t>
            </w:r>
            <w:r w:rsidR="00550080">
              <w:t>Commission</w:t>
            </w:r>
            <w:r w:rsidR="00DF3FF8">
              <w:t xml:space="preserve"> </w:t>
            </w:r>
            <w:r>
              <w:t>recommended a review of natural disaster relief and recovery arrangements.</w:t>
            </w:r>
          </w:p>
          <w:p w14:paraId="6D912C0F" w14:textId="23BFD102" w:rsidR="0013171B" w:rsidRDefault="0013171B" w:rsidP="0013171B">
            <w:pPr>
              <w:pStyle w:val="BoxListBullet"/>
              <w:numPr>
                <w:ilvl w:val="0"/>
                <w:numId w:val="49"/>
              </w:numPr>
              <w:spacing w:before="60"/>
            </w:pPr>
            <w:r>
              <w:t xml:space="preserve">Deloitte Access Economics </w:t>
            </w:r>
            <w:r>
              <w:rPr>
                <w:rFonts w:cs="Arial"/>
              </w:rPr>
              <w:t>(2013)</w:t>
            </w:r>
            <w:r>
              <w:t xml:space="preserve"> estimated that the annual economic cost of natural disasters would rise from $6 billion in 2012 to $12 billion by 2030 and $23 billion by 2050. It also estimated that increased Australian Government expenditure on pre</w:t>
            </w:r>
            <w:r>
              <w:noBreakHyphen/>
              <w:t>disaster resilience (of around $250 million per year) would reduce these costs by more than 50 per cent by 2050. It recommended increased identification and prioritisation of mitigation activities.</w:t>
            </w:r>
          </w:p>
          <w:p w14:paraId="755439DA" w14:textId="1ABE5FC4" w:rsidR="0013171B" w:rsidRDefault="0013171B" w:rsidP="0013171B">
            <w:pPr>
              <w:pStyle w:val="BoxListBullet"/>
              <w:numPr>
                <w:ilvl w:val="0"/>
                <w:numId w:val="49"/>
              </w:numPr>
              <w:spacing w:before="60"/>
            </w:pPr>
            <w:r>
              <w:t>Two reports by the Australian National Audit Office found that the Australian Government Reconstruction Inspectorate’s assessment of rebuilding projects under the NDRRA had generally provided assurance of value for money in Queensland, but had yet to undertake any value for money reviews</w:t>
            </w:r>
            <w:r w:rsidR="006F68E2">
              <w:t xml:space="preserve"> in Victoria</w:t>
            </w:r>
            <w:r>
              <w:t xml:space="preserve"> </w:t>
            </w:r>
            <w:r>
              <w:rPr>
                <w:rFonts w:cs="Arial"/>
                <w:szCs w:val="24"/>
              </w:rPr>
              <w:t>(ANAO 2013a, 2013b)</w:t>
            </w:r>
            <w:r>
              <w:t>. It recommended improvements in how the Inspectorate collects information from state and local governments and scrutinises projects.</w:t>
            </w:r>
          </w:p>
          <w:p w14:paraId="383CD44F" w14:textId="13D1122A" w:rsidR="00DE6FD7" w:rsidRDefault="0013171B" w:rsidP="00A41A28">
            <w:pPr>
              <w:pStyle w:val="BoxListBullet"/>
            </w:pPr>
            <w:r>
              <w:t xml:space="preserve">The National Commission of Audit </w:t>
            </w:r>
            <w:r w:rsidR="00466614" w:rsidRPr="00466614">
              <w:rPr>
                <w:rFonts w:cs="Arial"/>
              </w:rPr>
              <w:t>(2014b)</w:t>
            </w:r>
            <w:r>
              <w:t xml:space="preserve"> recommended that the Disaster Recovery Allowance be abolished and the NDRRA replaced with a grant provided after each major natural disaster. Under this model, the Australian Government would provide the relevant state or territory government funding equivalent to 25 to 33 per cent of estimated reconstruction costs.</w:t>
            </w:r>
          </w:p>
        </w:tc>
      </w:tr>
      <w:tr w:rsidR="005A65BB" w14:paraId="1F5FF490" w14:textId="77777777">
        <w:trPr>
          <w:cantSplit/>
        </w:trPr>
        <w:tc>
          <w:tcPr>
            <w:tcW w:w="8771" w:type="dxa"/>
            <w:tcBorders>
              <w:top w:val="nil"/>
              <w:left w:val="single" w:sz="6" w:space="0" w:color="auto"/>
              <w:bottom w:val="single" w:sz="6" w:space="0" w:color="auto"/>
              <w:right w:val="single" w:sz="6" w:space="0" w:color="auto"/>
            </w:tcBorders>
          </w:tcPr>
          <w:p w14:paraId="6E71D0B0" w14:textId="77777777" w:rsidR="005A65BB" w:rsidRDefault="005A65BB">
            <w:pPr>
              <w:pStyle w:val="Box"/>
              <w:spacing w:before="0" w:line="120" w:lineRule="exact"/>
            </w:pPr>
          </w:p>
        </w:tc>
      </w:tr>
      <w:tr w:rsidR="005A65BB" w:rsidRPr="000863A5" w14:paraId="158914B1" w14:textId="77777777">
        <w:tc>
          <w:tcPr>
            <w:tcW w:w="8771" w:type="dxa"/>
            <w:tcBorders>
              <w:top w:val="nil"/>
              <w:left w:val="nil"/>
              <w:bottom w:val="nil"/>
              <w:right w:val="nil"/>
            </w:tcBorders>
          </w:tcPr>
          <w:p w14:paraId="3F35FF1F" w14:textId="6A428C57" w:rsidR="005A65BB" w:rsidRPr="00626D32" w:rsidRDefault="005A65BB" w:rsidP="006F68E2">
            <w:pPr>
              <w:pStyle w:val="BoxSpaceBelow"/>
            </w:pPr>
          </w:p>
        </w:tc>
      </w:tr>
    </w:tbl>
    <w:p w14:paraId="4CD1EF3D" w14:textId="77777777" w:rsidR="00CD3645" w:rsidRDefault="00A47021" w:rsidP="00CD3645">
      <w:pPr>
        <w:pStyle w:val="BodyText"/>
      </w:pPr>
      <w:r>
        <w:lastRenderedPageBreak/>
        <w:t xml:space="preserve">The recent series of </w:t>
      </w:r>
      <w:r w:rsidR="00B7236D">
        <w:t xml:space="preserve">natural </w:t>
      </w:r>
      <w:r>
        <w:t xml:space="preserve">disasters has </w:t>
      </w:r>
      <w:r w:rsidR="00AB50AF">
        <w:t xml:space="preserve">also </w:t>
      </w:r>
      <w:r w:rsidR="002B25A6">
        <w:t>had</w:t>
      </w:r>
      <w:r w:rsidRPr="00A47021">
        <w:t xml:space="preserve"> </w:t>
      </w:r>
      <w:r w:rsidR="0057451C">
        <w:t xml:space="preserve">significant fiscal </w:t>
      </w:r>
      <w:r w:rsidRPr="00A47021">
        <w:t>impacts</w:t>
      </w:r>
      <w:r w:rsidR="0057451C">
        <w:t xml:space="preserve"> on</w:t>
      </w:r>
      <w:r>
        <w:t xml:space="preserve"> the Australian, state and territory governments, and some local governments</w:t>
      </w:r>
      <w:r w:rsidRPr="00A47021">
        <w:t xml:space="preserve">. These are risks to </w:t>
      </w:r>
      <w:r>
        <w:t>government</w:t>
      </w:r>
      <w:r w:rsidRPr="00A47021">
        <w:t xml:space="preserve"> budget</w:t>
      </w:r>
      <w:r>
        <w:t>s</w:t>
      </w:r>
      <w:r w:rsidRPr="00A47021">
        <w:t xml:space="preserve"> which add to o</w:t>
      </w:r>
      <w:r w:rsidR="0057451C">
        <w:t>ther long</w:t>
      </w:r>
      <w:r w:rsidR="0057451C">
        <w:noBreakHyphen/>
        <w:t>term fiscal pressures</w:t>
      </w:r>
      <w:r w:rsidRPr="00A47021">
        <w:t xml:space="preserve"> </w:t>
      </w:r>
      <w:r w:rsidR="00113213">
        <w:t xml:space="preserve">(such as those identified in the </w:t>
      </w:r>
      <w:r w:rsidR="00113213">
        <w:rPr>
          <w:i/>
        </w:rPr>
        <w:t>Intergenerational Reports</w:t>
      </w:r>
      <w:r w:rsidR="00113213">
        <w:t>)</w:t>
      </w:r>
      <w:r w:rsidRPr="00A47021">
        <w:t xml:space="preserve">. </w:t>
      </w:r>
      <w:r w:rsidR="00CD3645">
        <w:t>The risks to government finances were noted by the recent report of the National Commission of Audit, which stated:</w:t>
      </w:r>
    </w:p>
    <w:p w14:paraId="2CD3C9A8" w14:textId="29914060" w:rsidR="00CD3645" w:rsidRDefault="00CD3645" w:rsidP="00CD3645">
      <w:pPr>
        <w:pStyle w:val="Quote"/>
      </w:pPr>
      <w:r>
        <w:t xml:space="preserve">The very large and unforseen state payments that can arise under the NDRRA pose considerable risks for managing the Commonwealth’s Budget and its fiscal strategies. </w:t>
      </w:r>
      <w:r w:rsidR="000F0DE4" w:rsidRPr="000F0DE4">
        <w:rPr>
          <w:szCs w:val="24"/>
        </w:rPr>
        <w:t>(National Commission of Audit 2014a, p. 94)</w:t>
      </w:r>
    </w:p>
    <w:p w14:paraId="53EC0B58" w14:textId="77777777" w:rsidR="00A47021" w:rsidRDefault="002B25A6" w:rsidP="00A47021">
      <w:pPr>
        <w:pStyle w:val="BodyText"/>
      </w:pPr>
      <w:r>
        <w:t xml:space="preserve">The combination of settlement and </w:t>
      </w:r>
      <w:r w:rsidRPr="002B25A6">
        <w:t>increasing real value</w:t>
      </w:r>
      <w:r>
        <w:t>s</w:t>
      </w:r>
      <w:r w:rsidRPr="002B25A6">
        <w:t xml:space="preserve"> of homes, businesses, infrastructure and other property </w:t>
      </w:r>
      <w:r w:rsidR="0057451C">
        <w:t xml:space="preserve">in areas </w:t>
      </w:r>
      <w:r w:rsidR="00B7236D">
        <w:t xml:space="preserve">more susceptible to natural </w:t>
      </w:r>
      <w:r w:rsidR="0057451C">
        <w:t xml:space="preserve">disaster </w:t>
      </w:r>
      <w:r w:rsidR="00866656">
        <w:t xml:space="preserve">elevate </w:t>
      </w:r>
      <w:r w:rsidR="00AB50AF">
        <w:t>disaster impacts</w:t>
      </w:r>
      <w:r w:rsidR="00866656">
        <w:t xml:space="preserve"> and </w:t>
      </w:r>
      <w:r>
        <w:t xml:space="preserve">fiscal </w:t>
      </w:r>
      <w:r w:rsidR="00866656">
        <w:t xml:space="preserve">risk. </w:t>
      </w:r>
      <w:r>
        <w:t xml:space="preserve">These impacts </w:t>
      </w:r>
      <w:r w:rsidRPr="002B25A6">
        <w:t>would become even more severe</w:t>
      </w:r>
      <w:r w:rsidR="00113213">
        <w:t xml:space="preserve"> if climate variability and climate change increase the frequency and/or intensity of natural disasters.</w:t>
      </w:r>
    </w:p>
    <w:p w14:paraId="217C1C97" w14:textId="160EE6DC" w:rsidR="00D36ADF" w:rsidRDefault="00D36ADF" w:rsidP="00D36ADF">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D36ADF" w14:paraId="08C67D8A" w14:textId="77777777" w:rsidTr="006E40C2">
        <w:tc>
          <w:tcPr>
            <w:tcW w:w="8771" w:type="dxa"/>
            <w:tcBorders>
              <w:top w:val="single" w:sz="6" w:space="0" w:color="auto"/>
              <w:bottom w:val="nil"/>
            </w:tcBorders>
          </w:tcPr>
          <w:p w14:paraId="31619CBB" w14:textId="40E8B668" w:rsidR="00D36ADF" w:rsidRPr="00272E92" w:rsidRDefault="00D36ADF" w:rsidP="0057451C">
            <w:pPr>
              <w:pStyle w:val="BoxTitle"/>
              <w:rPr>
                <w:rStyle w:val="NoteLabel"/>
              </w:rPr>
            </w:pPr>
            <w:r>
              <w:rPr>
                <w:b w:val="0"/>
              </w:rPr>
              <w:t xml:space="preserve">Box </w:t>
            </w:r>
            <w:bookmarkStart w:id="6" w:name="OLE_LINK4"/>
            <w:r w:rsidR="007A66DD">
              <w:rPr>
                <w:b w:val="0"/>
                <w:noProof/>
              </w:rPr>
              <w:t>3</w:t>
            </w:r>
            <w:bookmarkEnd w:id="6"/>
            <w:r>
              <w:tab/>
            </w:r>
            <w:r w:rsidR="0057451C">
              <w:t xml:space="preserve">The </w:t>
            </w:r>
            <w:r w:rsidR="006626BC">
              <w:t xml:space="preserve">insurance </w:t>
            </w:r>
            <w:r w:rsidR="0057451C">
              <w:t>costs of natural disasters</w:t>
            </w:r>
          </w:p>
        </w:tc>
      </w:tr>
      <w:tr w:rsidR="00D36ADF" w14:paraId="28CF1FF2" w14:textId="77777777" w:rsidTr="00E474EC">
        <w:tblPrEx>
          <w:tblCellMar>
            <w:left w:w="108" w:type="dxa"/>
            <w:right w:w="108" w:type="dxa"/>
          </w:tblCellMar>
        </w:tblPrEx>
        <w:trPr>
          <w:cantSplit/>
          <w:trHeight w:val="3657"/>
        </w:trPr>
        <w:tc>
          <w:tcPr>
            <w:tcW w:w="8771" w:type="dxa"/>
            <w:tcBorders>
              <w:top w:val="nil"/>
              <w:left w:val="single" w:sz="6" w:space="0" w:color="auto"/>
              <w:bottom w:val="nil"/>
              <w:right w:val="single" w:sz="6" w:space="0" w:color="auto"/>
            </w:tcBorders>
          </w:tcPr>
          <w:p w14:paraId="41CAD52C" w14:textId="23694D66" w:rsidR="00E474EC" w:rsidRDefault="00D36ADF" w:rsidP="006E40C2">
            <w:pPr>
              <w:pStyle w:val="Box"/>
            </w:pPr>
            <w:r>
              <w:t>The Insurance Council of Australia collates disaster insurance cost</w:t>
            </w:r>
            <w:r w:rsidR="00F11975">
              <w:t xml:space="preserve"> data</w:t>
            </w:r>
            <w:r>
              <w:t xml:space="preserve">. </w:t>
            </w:r>
            <w:r w:rsidR="00A73117">
              <w:t xml:space="preserve">These </w:t>
            </w:r>
            <w:r>
              <w:t>data</w:t>
            </w:r>
            <w:r w:rsidR="007F1D96">
              <w:t xml:space="preserve"> </w:t>
            </w:r>
            <w:r>
              <w:t>give an indication of one element of the costs of natural disasters</w:t>
            </w:r>
            <w:r w:rsidR="00A73117">
              <w:t>, namely the</w:t>
            </w:r>
            <w:r w:rsidR="00D36116">
              <w:t xml:space="preserve"> insured value of</w:t>
            </w:r>
            <w:r w:rsidR="00A73117">
              <w:t xml:space="preserve"> damage to property</w:t>
            </w:r>
            <w:r>
              <w:t>. It shows that the costs of natural disasters are highly variable from year to year. It also shows that in recent years Australia has experienced several natural disaster events that have imposed significant costs on the Australian community. It is important to note that these are nominal costs which understate the</w:t>
            </w:r>
            <w:r w:rsidR="000E718A">
              <w:t xml:space="preserve"> real</w:t>
            </w:r>
            <w:r>
              <w:t xml:space="preserve"> </w:t>
            </w:r>
            <w:r w:rsidR="007F1D96">
              <w:t>costs</w:t>
            </w:r>
            <w:r>
              <w:t xml:space="preserve"> of past disaster events.</w:t>
            </w:r>
          </w:p>
          <w:p w14:paraId="13E4C31F" w14:textId="18530E7A" w:rsidR="009C2DBB" w:rsidRDefault="00A10156" w:rsidP="00ED6941">
            <w:pPr>
              <w:pStyle w:val="FigureTitle"/>
              <w:spacing w:before="120"/>
            </w:pPr>
            <w:r>
              <w:t>In</w:t>
            </w:r>
            <w:r w:rsidR="009C2DBB">
              <w:t>surance costs of natural disasters, 1970–2013</w:t>
            </w:r>
          </w:p>
          <w:tbl>
            <w:tblPr>
              <w:tblW w:w="8470" w:type="dxa"/>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470"/>
            </w:tblGrid>
            <w:tr w:rsidR="009C2DBB" w14:paraId="6ABBEC0C" w14:textId="77777777" w:rsidTr="0009292A">
              <w:tc>
                <w:tcPr>
                  <w:tcW w:w="8470" w:type="dxa"/>
                </w:tcPr>
                <w:p w14:paraId="0267FF5B" w14:textId="3E254A0D" w:rsidR="009C2DBB" w:rsidRDefault="00C927E2">
                  <w:pPr>
                    <w:pStyle w:val="Figure"/>
                  </w:pPr>
                  <w:r>
                    <w:rPr>
                      <w:noProof/>
                    </w:rPr>
                    <w:drawing>
                      <wp:inline distT="0" distB="0" distL="0" distR="0" wp14:anchorId="6E29B62F" wp14:editId="48ECB45B">
                        <wp:extent cx="5451894" cy="2814341"/>
                        <wp:effectExtent l="0" t="0" r="0" b="5080"/>
                        <wp:docPr id="5" name="Picture 5" descr="This figure shows the insurance costs of natural disasters in Australia over the period 1970 to 2013. Over the period 1970 to 2006, the aggregate cost was $7.9 billion. Over the period 2007 to 2013, the aggregate cost was $13.3 billion." title="Insurance costs of natural disasters, 1970-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51624" cy="2814202"/>
                                </a:xfrm>
                                <a:prstGeom prst="rect">
                                  <a:avLst/>
                                </a:prstGeom>
                                <a:noFill/>
                                <a:ln>
                                  <a:noFill/>
                                </a:ln>
                              </pic:spPr>
                            </pic:pic>
                          </a:graphicData>
                        </a:graphic>
                      </wp:inline>
                    </w:drawing>
                  </w:r>
                </w:p>
              </w:tc>
            </w:tr>
          </w:tbl>
          <w:p w14:paraId="1D60E21C" w14:textId="40BC5D6F" w:rsidR="00D36ADF" w:rsidRDefault="00D36ADF" w:rsidP="00A10156">
            <w:pPr>
              <w:pStyle w:val="Source"/>
            </w:pPr>
          </w:p>
        </w:tc>
      </w:tr>
      <w:tr w:rsidR="00D36ADF" w14:paraId="567F1B16" w14:textId="77777777" w:rsidTr="006E40C2">
        <w:trPr>
          <w:cantSplit/>
        </w:trPr>
        <w:tc>
          <w:tcPr>
            <w:tcW w:w="8771" w:type="dxa"/>
            <w:tcBorders>
              <w:top w:val="nil"/>
              <w:left w:val="single" w:sz="6" w:space="0" w:color="auto"/>
              <w:bottom w:val="nil"/>
              <w:right w:val="single" w:sz="6" w:space="0" w:color="auto"/>
            </w:tcBorders>
          </w:tcPr>
          <w:p w14:paraId="2D093D3D" w14:textId="3E9AB9CA" w:rsidR="00D36ADF" w:rsidRDefault="00D36ADF" w:rsidP="00554E65">
            <w:pPr>
              <w:pStyle w:val="BoxSource"/>
            </w:pPr>
            <w:r>
              <w:rPr>
                <w:i/>
              </w:rPr>
              <w:t>Source</w:t>
            </w:r>
            <w:r w:rsidRPr="00167F06">
              <w:t xml:space="preserve">: </w:t>
            </w:r>
            <w:r w:rsidR="00757FBB" w:rsidRPr="00757FBB">
              <w:rPr>
                <w:rFonts w:cs="Arial"/>
                <w:szCs w:val="24"/>
              </w:rPr>
              <w:t>Insu</w:t>
            </w:r>
            <w:r w:rsidR="00A215FC">
              <w:rPr>
                <w:rFonts w:cs="Arial"/>
                <w:szCs w:val="24"/>
              </w:rPr>
              <w:t>rance Council of Australia </w:t>
            </w:r>
            <w:r w:rsidR="00F11975">
              <w:rPr>
                <w:rFonts w:cs="Arial"/>
                <w:szCs w:val="24"/>
              </w:rPr>
              <w:t>(</w:t>
            </w:r>
            <w:r w:rsidR="00A215FC">
              <w:rPr>
                <w:rFonts w:cs="Arial"/>
                <w:szCs w:val="24"/>
              </w:rPr>
              <w:t>2014</w:t>
            </w:r>
            <w:r w:rsidR="00F11975">
              <w:rPr>
                <w:rFonts w:cs="Arial"/>
                <w:szCs w:val="24"/>
              </w:rPr>
              <w:t>)</w:t>
            </w:r>
          </w:p>
        </w:tc>
      </w:tr>
      <w:tr w:rsidR="00D36ADF" w14:paraId="3AB96742" w14:textId="77777777" w:rsidTr="006E40C2">
        <w:trPr>
          <w:cantSplit/>
        </w:trPr>
        <w:tc>
          <w:tcPr>
            <w:tcW w:w="8771" w:type="dxa"/>
            <w:tcBorders>
              <w:top w:val="nil"/>
              <w:left w:val="single" w:sz="6" w:space="0" w:color="auto"/>
              <w:bottom w:val="single" w:sz="6" w:space="0" w:color="auto"/>
              <w:right w:val="single" w:sz="6" w:space="0" w:color="auto"/>
            </w:tcBorders>
          </w:tcPr>
          <w:p w14:paraId="653EF13C" w14:textId="77777777" w:rsidR="00D36ADF" w:rsidRDefault="00D36ADF" w:rsidP="006E40C2">
            <w:pPr>
              <w:pStyle w:val="Box"/>
              <w:spacing w:before="0" w:line="120" w:lineRule="exact"/>
            </w:pPr>
          </w:p>
        </w:tc>
      </w:tr>
      <w:tr w:rsidR="00D36ADF" w:rsidRPr="000863A5" w14:paraId="28EE6207" w14:textId="77777777" w:rsidTr="006E40C2">
        <w:tc>
          <w:tcPr>
            <w:tcW w:w="8771" w:type="dxa"/>
            <w:tcBorders>
              <w:top w:val="nil"/>
              <w:left w:val="nil"/>
              <w:bottom w:val="nil"/>
              <w:right w:val="nil"/>
            </w:tcBorders>
          </w:tcPr>
          <w:p w14:paraId="75BB2E5B" w14:textId="54BB460F" w:rsidR="00D36ADF" w:rsidRPr="00626D32" w:rsidRDefault="00D36ADF" w:rsidP="006E40C2">
            <w:pPr>
              <w:pStyle w:val="BoxSpaceBelow"/>
            </w:pPr>
          </w:p>
        </w:tc>
      </w:tr>
    </w:tbl>
    <w:p w14:paraId="3F0A7EB0" w14:textId="77777777" w:rsidR="008429A9" w:rsidRDefault="008429A9" w:rsidP="008429A9">
      <w:pPr>
        <w:pStyle w:val="BodyText"/>
        <w:rPr>
          <w:i/>
        </w:rPr>
      </w:pPr>
      <w:r w:rsidRPr="00D44729">
        <w:rPr>
          <w:i/>
        </w:rPr>
        <w:lastRenderedPageBreak/>
        <w:t xml:space="preserve">What are the costs of natural disasters in Australia? </w:t>
      </w:r>
      <w:r>
        <w:rPr>
          <w:i/>
        </w:rPr>
        <w:t xml:space="preserve">What are the main factors driving the elevation in natural disaster impacts and what is the outlook for these drivers? </w:t>
      </w:r>
    </w:p>
    <w:p w14:paraId="10AAF9A3" w14:textId="77777777" w:rsidR="008429A9" w:rsidRDefault="008429A9" w:rsidP="008429A9">
      <w:pPr>
        <w:pStyle w:val="BodyText"/>
        <w:rPr>
          <w:i/>
        </w:rPr>
      </w:pPr>
      <w:r w:rsidRPr="0073303A">
        <w:rPr>
          <w:i/>
        </w:rPr>
        <w:t>What issues arise when attempting to measure the costs of natural disasters? What methodologies exist to measure these costs?</w:t>
      </w:r>
      <w:r>
        <w:rPr>
          <w:i/>
        </w:rPr>
        <w:t xml:space="preserve"> </w:t>
      </w:r>
    </w:p>
    <w:p w14:paraId="3E8A3B1F" w14:textId="580AEE66" w:rsidR="003C37C3" w:rsidRDefault="003C37C3" w:rsidP="008429A9">
      <w:pPr>
        <w:pStyle w:val="BodyText"/>
        <w:rPr>
          <w:i/>
        </w:rPr>
      </w:pPr>
      <w:r>
        <w:rPr>
          <w:i/>
        </w:rPr>
        <w:t>Are there reliable projections of future natural disaster incidence and impacts in Australia?</w:t>
      </w:r>
    </w:p>
    <w:p w14:paraId="0A379193" w14:textId="3B76DD9E" w:rsidR="0073303A" w:rsidRDefault="0073303A" w:rsidP="0073303A">
      <w:pPr>
        <w:pStyle w:val="BodyText"/>
      </w:pPr>
      <w:r>
        <w:t>The national arrangements for natural disaster funding have not been reviewed since 2002, when COAG commissioned a report on natural disaster relief and mitigation arrangements. The report included 66 recommendations covering the full range of natural disaster mitigation, relief and recovery arrangements, including funding.</w:t>
      </w:r>
      <w:r w:rsidR="0036724E">
        <w:t xml:space="preserve"> </w:t>
      </w:r>
      <w:r>
        <w:t>Many of the features of the current arrangements are based on recommendations in the 2002 report.</w:t>
      </w:r>
    </w:p>
    <w:p w14:paraId="57EB01DC" w14:textId="77777777" w:rsidR="00D36ADF" w:rsidRDefault="00D36ADF" w:rsidP="00D36ADF">
      <w:pPr>
        <w:pStyle w:val="Heading3"/>
      </w:pPr>
      <w:r>
        <w:t>The Commission’s approach</w:t>
      </w:r>
    </w:p>
    <w:p w14:paraId="6DB334E7" w14:textId="0F4F052E" w:rsidR="001010BD" w:rsidRDefault="00CC3423" w:rsidP="00113213">
      <w:pPr>
        <w:pStyle w:val="BodyText"/>
      </w:pPr>
      <w:r>
        <w:t xml:space="preserve">The Commission will </w:t>
      </w:r>
      <w:r w:rsidR="002D558D">
        <w:t xml:space="preserve">largely </w:t>
      </w:r>
      <w:r>
        <w:t>take a principles</w:t>
      </w:r>
      <w:r>
        <w:noBreakHyphen/>
        <w:t xml:space="preserve">based approach to the assessment of </w:t>
      </w:r>
      <w:r w:rsidR="001010BD">
        <w:t xml:space="preserve">current Commonwealth, state and territory expenditures on natural disaster mitigation, resilience and recovery and </w:t>
      </w:r>
      <w:r>
        <w:t>the</w:t>
      </w:r>
      <w:r w:rsidR="001010BD">
        <w:t>ir</w:t>
      </w:r>
      <w:r>
        <w:t xml:space="preserve"> </w:t>
      </w:r>
      <w:r w:rsidR="00A9452B">
        <w:t xml:space="preserve">funding </w:t>
      </w:r>
      <w:r>
        <w:t>arrangements</w:t>
      </w:r>
      <w:r w:rsidR="00A9452B">
        <w:t xml:space="preserve"> and </w:t>
      </w:r>
      <w:r>
        <w:t xml:space="preserve">will consider all options </w:t>
      </w:r>
      <w:r w:rsidR="00A9452B">
        <w:t>to improve their coherence, effectiveness and sustainability.</w:t>
      </w:r>
    </w:p>
    <w:p w14:paraId="0F0175E9" w14:textId="77777777" w:rsidR="00477DCB" w:rsidRDefault="00FC70DF" w:rsidP="00113213">
      <w:pPr>
        <w:pStyle w:val="BodyText"/>
      </w:pPr>
      <w:r>
        <w:t xml:space="preserve">The Commission’s approach to the task is guided by the </w:t>
      </w:r>
      <w:r>
        <w:rPr>
          <w:i/>
        </w:rPr>
        <w:t>Productivity Commission Act</w:t>
      </w:r>
      <w:r w:rsidR="00A73117">
        <w:rPr>
          <w:i/>
        </w:rPr>
        <w:t xml:space="preserve"> 1998</w:t>
      </w:r>
      <w:r>
        <w:t>, which requires it to have regard to the need to achieve higher living standards for all members of the Australian community.</w:t>
      </w:r>
    </w:p>
    <w:p w14:paraId="46152603" w14:textId="770F8494" w:rsidR="00477DCB" w:rsidRDefault="00477DCB" w:rsidP="00477DCB">
      <w:pPr>
        <w:pStyle w:val="BodyText"/>
      </w:pPr>
      <w:r>
        <w:t xml:space="preserve">Effective natural disaster risk management involves a combination of mitigation, resilience and recovery activities and insurance </w:t>
      </w:r>
      <w:r w:rsidR="00965B0F">
        <w:t xml:space="preserve">(including self-insurance) </w:t>
      </w:r>
      <w:r>
        <w:t xml:space="preserve">for residual risks. These measures all have benefits and costs, and there is, in principle, an ‘optimal’ level of expenditure on each. At this optimum, there will still be some residual level of damage from natural disasters (because the costs of preventing </w:t>
      </w:r>
      <w:r w:rsidR="00AA3DFE">
        <w:t xml:space="preserve">or avoiding </w:t>
      </w:r>
      <w:r>
        <w:t>all damage would exceed the benefits). Likewise, the optimal level of disaster recovery would not necessarily be to rebuild all damaged assets to their pre</w:t>
      </w:r>
      <w:r>
        <w:noBreakHyphen/>
        <w:t>disaster state. In some cases it would be better to rebuild to a higher standard, while in others it might be better to rebuild to a lower standard, build elsewhere or not rebuild at all.</w:t>
      </w:r>
    </w:p>
    <w:p w14:paraId="34602E09" w14:textId="295E0B31" w:rsidR="00477DCB" w:rsidRDefault="00477DCB" w:rsidP="00477DCB">
      <w:pPr>
        <w:pStyle w:val="BodyText"/>
      </w:pPr>
      <w:r>
        <w:t>Identifying the optimal level of disaster mitigation, resilience and recovery at an aggregate level is arguably elusive — the number of individual risk management assessments does not allow a ‘top</w:t>
      </w:r>
      <w:r>
        <w:noBreakHyphen/>
        <w:t xml:space="preserve">down’ judgment. However, it is </w:t>
      </w:r>
      <w:r w:rsidRPr="00EE1FBB">
        <w:t xml:space="preserve">possible </w:t>
      </w:r>
      <w:r>
        <w:t xml:space="preserve">and </w:t>
      </w:r>
      <w:r>
        <w:lastRenderedPageBreak/>
        <w:t xml:space="preserve">perhaps more meaningful </w:t>
      </w:r>
      <w:r w:rsidRPr="00EE1FBB">
        <w:t>to identify reforms to governance</w:t>
      </w:r>
      <w:r>
        <w:t>, institutional arrangements and decision</w:t>
      </w:r>
      <w:r>
        <w:noBreakHyphen/>
        <w:t xml:space="preserve">making processes that </w:t>
      </w:r>
      <w:r w:rsidRPr="00EE1FBB">
        <w:t xml:space="preserve">make it more likely that decision makers will </w:t>
      </w:r>
      <w:r w:rsidR="00AA3DFE">
        <w:t xml:space="preserve">face the appropriate incentives and </w:t>
      </w:r>
      <w:r w:rsidRPr="00EE1FBB">
        <w:t xml:space="preserve">make </w:t>
      </w:r>
      <w:r>
        <w:t>appropriate</w:t>
      </w:r>
      <w:r w:rsidRPr="00EE1FBB">
        <w:t xml:space="preserve"> </w:t>
      </w:r>
      <w:r>
        <w:t xml:space="preserve">risk management </w:t>
      </w:r>
      <w:r w:rsidRPr="00EE1FBB">
        <w:t>decisions</w:t>
      </w:r>
      <w:r>
        <w:t>. Cost</w:t>
      </w:r>
      <w:r w:rsidR="006852CC">
        <w:t>-</w:t>
      </w:r>
      <w:r>
        <w:t>benefit assessment is integral to such decision making and will inform actions that will tend to lead to outcomes that are closer to the optimum.</w:t>
      </w:r>
    </w:p>
    <w:p w14:paraId="68D2ED27" w14:textId="7955B821" w:rsidR="00477DCB" w:rsidRDefault="00477DCB" w:rsidP="00477DCB">
      <w:pPr>
        <w:pStyle w:val="BodyText"/>
      </w:pPr>
      <w:r>
        <w:t>When deciding on which risk management options to pursue, governments, businesses and households need to consider the benefits and costs of each option and make trade</w:t>
      </w:r>
      <w:r>
        <w:noBreakHyphen/>
        <w:t>offs. There are at least three levels of trade-offs</w:t>
      </w:r>
      <w:r w:rsidR="00AA3DFE">
        <w:t xml:space="preserve"> (figure 1)</w:t>
      </w:r>
      <w:r>
        <w:t>:</w:t>
      </w:r>
    </w:p>
    <w:p w14:paraId="7EE0E1DB" w14:textId="19CB02B8" w:rsidR="00477DCB" w:rsidRDefault="00477DCB" w:rsidP="00477DCB">
      <w:pPr>
        <w:pStyle w:val="ListBullet"/>
      </w:pPr>
      <w:r>
        <w:t>efficiency in allocating resources to natural disaster risk management compared with other priorities (how much of the community’s resources should be allocated to natural disaster mitigation, resilience and recovery compared with other priorities?)</w:t>
      </w:r>
    </w:p>
    <w:p w14:paraId="144595F5" w14:textId="1C341D52" w:rsidR="00477DCB" w:rsidRDefault="00477DCB" w:rsidP="00477DCB">
      <w:pPr>
        <w:pStyle w:val="ListBullet"/>
      </w:pPr>
      <w:r>
        <w:t xml:space="preserve">efficiency in allocating resources to different risk management options (are the resources efficiently allocated </w:t>
      </w:r>
      <w:r w:rsidR="00AA3DFE">
        <w:t xml:space="preserve">among </w:t>
      </w:r>
      <w:r>
        <w:t>mitigation, resilience and recovery and insurance?)</w:t>
      </w:r>
    </w:p>
    <w:p w14:paraId="4C96942C" w14:textId="50D63DAB" w:rsidR="00477DCB" w:rsidRDefault="00477DCB" w:rsidP="00477DCB">
      <w:pPr>
        <w:pStyle w:val="ListBullet"/>
      </w:pPr>
      <w:r>
        <w:t xml:space="preserve">efficiency in allocating resources within each of the risk management options (given the resources that are available for each option —  mitigation, resilience and recovery — are resources allocated to the projects that deliver the largest </w:t>
      </w:r>
      <w:r w:rsidR="00965B0F">
        <w:t xml:space="preserve">net </w:t>
      </w:r>
      <w:r>
        <w:t>benefit to the community)</w:t>
      </w:r>
      <w:r w:rsidR="00F11975">
        <w:t>.</w:t>
      </w:r>
    </w:p>
    <w:p w14:paraId="0CAEDAC5" w14:textId="0EE0B365" w:rsidR="00477DCB" w:rsidRPr="005A65BB" w:rsidRDefault="00477DCB" w:rsidP="00477DCB">
      <w:pPr>
        <w:pStyle w:val="FigureTitle"/>
        <w:rPr>
          <w:sz w:val="26"/>
          <w:szCs w:val="26"/>
        </w:rPr>
      </w:pPr>
      <w:r w:rsidRPr="005A65BB">
        <w:rPr>
          <w:b w:val="0"/>
          <w:sz w:val="26"/>
          <w:szCs w:val="26"/>
        </w:rPr>
        <w:t xml:space="preserve">Figure </w:t>
      </w:r>
      <w:r w:rsidR="007A66DD">
        <w:rPr>
          <w:b w:val="0"/>
          <w:noProof/>
          <w:sz w:val="26"/>
          <w:szCs w:val="26"/>
        </w:rPr>
        <w:t>1</w:t>
      </w:r>
      <w:r w:rsidRPr="005A65BB">
        <w:rPr>
          <w:sz w:val="26"/>
          <w:szCs w:val="26"/>
        </w:rPr>
        <w:tab/>
      </w:r>
      <w:r w:rsidR="00BB5BE4" w:rsidRPr="005A65BB">
        <w:rPr>
          <w:sz w:val="26"/>
          <w:szCs w:val="26"/>
        </w:rPr>
        <w:t>Trade-offs in the allocation of natural disaster funding</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477DCB" w14:paraId="6F1C41EB" w14:textId="77777777" w:rsidTr="00757FBB">
        <w:tc>
          <w:tcPr>
            <w:tcW w:w="8777" w:type="dxa"/>
          </w:tcPr>
          <w:p w14:paraId="2B0B6486" w14:textId="72CECC81" w:rsidR="00477DCB" w:rsidRDefault="000C6086" w:rsidP="00757FBB">
            <w:pPr>
              <w:pStyle w:val="Figure"/>
            </w:pPr>
            <w:r>
              <w:rPr>
                <w:noProof/>
              </w:rPr>
              <w:drawing>
                <wp:inline distT="0" distB="0" distL="0" distR="0" wp14:anchorId="2DF24613" wp14:editId="68F0BC0A">
                  <wp:extent cx="5572760" cy="2277110"/>
                  <wp:effectExtent l="0" t="0" r="0" b="8890"/>
                  <wp:docPr id="1" name="Picture 1" descr="There are three levels of trade-offs in the allocation of natural disaster funding. The first level is trade-offs with other priorities. In essence, the question is whether the overall quantum of natural disaster funding is right. The second level is trade-offs between natural disaster funding options. In essence, the question is whether the balance across mitigation, resilience, relief and recovery is right. The third level is trade-offs within each option. In essence, the question is whether the prioritisation and evaluation of projects in each option is effective. The overall objective is maximising community wellbeing through the use of resources that leads to net benefits and actions that do not distort incentives to manage risks." title="Trade-offs in the allocation of natural disaster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2760" cy="2277110"/>
                          </a:xfrm>
                          <a:prstGeom prst="rect">
                            <a:avLst/>
                          </a:prstGeom>
                          <a:noFill/>
                          <a:ln>
                            <a:noFill/>
                          </a:ln>
                        </pic:spPr>
                      </pic:pic>
                    </a:graphicData>
                  </a:graphic>
                </wp:inline>
              </w:drawing>
            </w:r>
          </w:p>
        </w:tc>
      </w:tr>
    </w:tbl>
    <w:p w14:paraId="7BC96C89" w14:textId="043E5E11" w:rsidR="00AA3DFE" w:rsidRDefault="00AA3DFE" w:rsidP="00AA3DFE">
      <w:pPr>
        <w:pStyle w:val="BodyText"/>
      </w:pPr>
      <w:r>
        <w:t>Inefficiencies in any of these dimensions diminish  effective risk management and community wellbeing. The way these trade</w:t>
      </w:r>
      <w:r>
        <w:noBreakHyphen/>
        <w:t>offs are made — and the possibility of inefficiencies — will be influenced by the natural disaster funding arrangements, including the way roles and responsibilities are allocated and the incentives provided by the arrangements.</w:t>
      </w:r>
    </w:p>
    <w:p w14:paraId="0AF4AE52" w14:textId="77777777" w:rsidR="00D36ADF" w:rsidRDefault="00D36ADF" w:rsidP="00477DCB">
      <w:pPr>
        <w:pStyle w:val="Heading3"/>
      </w:pPr>
      <w:r>
        <w:lastRenderedPageBreak/>
        <w:t>How you can contribute</w:t>
      </w:r>
    </w:p>
    <w:p w14:paraId="67D0391B" w14:textId="4608A74E" w:rsidR="009F3DF2" w:rsidRDefault="009F3DF2" w:rsidP="009F3DF2">
      <w:pPr>
        <w:pStyle w:val="BodyText"/>
      </w:pPr>
      <w:r w:rsidRPr="00444F78">
        <w:t>The Australian Government has asked the Commission to release a draft report by September 2014, and to provide a final report by</w:t>
      </w:r>
      <w:r w:rsidR="00F11975">
        <w:t xml:space="preserve"> the</w:t>
      </w:r>
      <w:r w:rsidRPr="00444F78">
        <w:t xml:space="preserve"> </w:t>
      </w:r>
      <w:r w:rsidR="00114B7F" w:rsidRPr="00D36116">
        <w:t xml:space="preserve">end of </w:t>
      </w:r>
      <w:r w:rsidRPr="00444F78">
        <w:t>December 2014.</w:t>
      </w:r>
      <w:r>
        <w:t xml:space="preserve"> The Commission is seeking submissions from interested parties</w:t>
      </w:r>
      <w:r w:rsidR="006852CC">
        <w:t xml:space="preserve"> by 6 June 2014</w:t>
      </w:r>
      <w:r>
        <w:t>, and will hold public hearings before the release of the final report. It may also hold roundtable</w:t>
      </w:r>
      <w:r w:rsidR="00D741EF">
        <w:t xml:space="preserve"> meeting</w:t>
      </w:r>
      <w:r>
        <w:t>s.</w:t>
      </w:r>
    </w:p>
    <w:p w14:paraId="3A2BBF4A" w14:textId="63BD380A" w:rsidR="002B1FB7" w:rsidRDefault="002B1FB7" w:rsidP="002B1FB7">
      <w:pPr>
        <w:pStyle w:val="BodyText"/>
      </w:pPr>
      <w:r>
        <w:t xml:space="preserve">Because of their roles in relation to natural disaster management and funding arrangements, the Commission is interested in receiving submissions from the Australian Government, each state and territory government, and local governments. The Commission is also interested in the experiences and views of </w:t>
      </w:r>
      <w:r w:rsidR="00D741EF">
        <w:t xml:space="preserve">property and insurance </w:t>
      </w:r>
      <w:r>
        <w:t>peak bodies, insurers, infrastructure companies, businesses, community groups, academics, and other</w:t>
      </w:r>
      <w:r w:rsidR="00B8069E">
        <w:t xml:space="preserve"> interested partie</w:t>
      </w:r>
      <w:r>
        <w:t>s.</w:t>
      </w:r>
    </w:p>
    <w:p w14:paraId="3B5644BD" w14:textId="77777777" w:rsidR="002B1FB7" w:rsidRDefault="002B1FB7" w:rsidP="002B1FB7">
      <w:pPr>
        <w:pStyle w:val="BodyText"/>
      </w:pPr>
      <w:r>
        <w:t xml:space="preserve">The following sections of this paper set out some of the issues and questions the Commission has identified as relevant at this early stage of the inquiry. The Commission is also seeking data on state, territory and local government natural disaster expenditure (further detail of the data request is set out in section 2). </w:t>
      </w:r>
      <w:r w:rsidR="00AB50AF">
        <w:t>Participants</w:t>
      </w:r>
      <w:r w:rsidR="00AB50AF" w:rsidRPr="00603805">
        <w:t xml:space="preserve"> </w:t>
      </w:r>
      <w:r w:rsidRPr="00603805">
        <w:t>are not necessarily expected to address all of the i</w:t>
      </w:r>
      <w:r>
        <w:t>ssues raised, and are welcome t</w:t>
      </w:r>
      <w:r w:rsidRPr="00603805">
        <w:t xml:space="preserve">o </w:t>
      </w:r>
      <w:r>
        <w:t xml:space="preserve">provide information </w:t>
      </w:r>
      <w:r w:rsidR="00B8069E">
        <w:t>on</w:t>
      </w:r>
      <w:r w:rsidR="00B8069E" w:rsidRPr="00603805">
        <w:t xml:space="preserve"> </w:t>
      </w:r>
      <w:r w:rsidRPr="00603805">
        <w:t>other relevant issues</w:t>
      </w:r>
      <w:r>
        <w:t>.</w:t>
      </w:r>
    </w:p>
    <w:p w14:paraId="157023FF" w14:textId="325778DB" w:rsidR="00D36ADF" w:rsidRDefault="007A66DD" w:rsidP="00B73B23">
      <w:pPr>
        <w:pStyle w:val="Heading2"/>
      </w:pPr>
      <w:r>
        <w:rPr>
          <w:noProof/>
        </w:rPr>
        <w:t>2</w:t>
      </w:r>
      <w:r w:rsidR="00B73B23">
        <w:tab/>
        <w:t>Current natural disaster funding arrangements</w:t>
      </w:r>
    </w:p>
    <w:p w14:paraId="0A21BDBD" w14:textId="2B434049" w:rsidR="0057451C" w:rsidRDefault="00DA6F7B" w:rsidP="0057451C">
      <w:pPr>
        <w:pStyle w:val="BodyText"/>
      </w:pPr>
      <w:r>
        <w:t>Under the Australian Constitution most natural disaster mitigation, resilience and recovery activities are the responsibility of state</w:t>
      </w:r>
      <w:r w:rsidR="0057451C">
        <w:t xml:space="preserve"> and</w:t>
      </w:r>
      <w:r>
        <w:t xml:space="preserve"> territory governments</w:t>
      </w:r>
      <w:r w:rsidR="008B3F01">
        <w:t xml:space="preserve"> (figure 2)</w:t>
      </w:r>
      <w:r>
        <w:t>.</w:t>
      </w:r>
      <w:r w:rsidR="0057451C">
        <w:t xml:space="preserve"> In turn, these governments have devolved some responsibilities to local governments.</w:t>
      </w:r>
      <w:r w:rsidR="00E85BD4">
        <w:t xml:space="preserve"> </w:t>
      </w:r>
      <w:r w:rsidR="00F82798">
        <w:t>The Australian Gover</w:t>
      </w:r>
      <w:r w:rsidR="0057451C">
        <w:t xml:space="preserve">nment has limited </w:t>
      </w:r>
      <w:r w:rsidR="006F68E2">
        <w:t xml:space="preserve">natural disaster management </w:t>
      </w:r>
      <w:r w:rsidR="0057451C">
        <w:t>responsibilities, which include:</w:t>
      </w:r>
    </w:p>
    <w:p w14:paraId="4B78B5CE" w14:textId="77777777" w:rsidR="00F82798" w:rsidRDefault="00F82798" w:rsidP="0057451C">
      <w:pPr>
        <w:pStyle w:val="ListBullet"/>
      </w:pPr>
      <w:r>
        <w:t>coordinating responses when interstate management is required</w:t>
      </w:r>
      <w:r w:rsidR="00762822">
        <w:t>, and supporting the development, through state and territory governments, of a national emergency management capability</w:t>
      </w:r>
    </w:p>
    <w:p w14:paraId="70E377E0" w14:textId="5507418A" w:rsidR="006852CC" w:rsidRDefault="00F82798" w:rsidP="00F82798">
      <w:pPr>
        <w:pStyle w:val="ListBullet"/>
        <w:numPr>
          <w:ilvl w:val="0"/>
          <w:numId w:val="43"/>
        </w:numPr>
      </w:pPr>
      <w:r>
        <w:t>regulating the insurance industry</w:t>
      </w:r>
      <w:r w:rsidR="00114B7F">
        <w:t xml:space="preserve">, </w:t>
      </w:r>
      <w:r w:rsidR="00D36116">
        <w:t>other than</w:t>
      </w:r>
      <w:r w:rsidR="00114B7F">
        <w:t xml:space="preserve"> State insurance</w:t>
      </w:r>
      <w:r w:rsidR="00F11975">
        <w:t>.</w:t>
      </w:r>
    </w:p>
    <w:p w14:paraId="617AB69F" w14:textId="7B9ED90A" w:rsidR="00CF78A1" w:rsidRPr="00860232" w:rsidRDefault="00CF78A1" w:rsidP="00CF78A1">
      <w:pPr>
        <w:pStyle w:val="FigureTitle"/>
        <w:rPr>
          <w:sz w:val="26"/>
          <w:szCs w:val="26"/>
        </w:rPr>
      </w:pPr>
      <w:r w:rsidRPr="00860232">
        <w:rPr>
          <w:b w:val="0"/>
          <w:sz w:val="26"/>
          <w:szCs w:val="26"/>
        </w:rPr>
        <w:lastRenderedPageBreak/>
        <w:t xml:space="preserve">Figure </w:t>
      </w:r>
      <w:bookmarkStart w:id="7" w:name="OLE_LINK11"/>
      <w:r w:rsidR="007A66DD">
        <w:rPr>
          <w:b w:val="0"/>
          <w:noProof/>
          <w:sz w:val="26"/>
          <w:szCs w:val="26"/>
        </w:rPr>
        <w:t>2</w:t>
      </w:r>
      <w:bookmarkEnd w:id="7"/>
      <w:r w:rsidRPr="00860232">
        <w:rPr>
          <w:sz w:val="26"/>
          <w:szCs w:val="26"/>
        </w:rPr>
        <w:tab/>
        <w:t xml:space="preserve">Roles and responsibilities in natural disaster management </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CF78A1" w14:paraId="5822FEDA" w14:textId="77777777">
        <w:tc>
          <w:tcPr>
            <w:tcW w:w="8777" w:type="dxa"/>
          </w:tcPr>
          <w:p w14:paraId="3BBCE17B" w14:textId="66FE256E" w:rsidR="00CF78A1" w:rsidRDefault="000C6086" w:rsidP="007F1D96">
            <w:pPr>
              <w:pStyle w:val="Figure"/>
            </w:pPr>
            <w:r>
              <w:rPr>
                <w:noProof/>
              </w:rPr>
              <w:drawing>
                <wp:inline distT="0" distB="0" distL="0" distR="0" wp14:anchorId="7C5E9A99" wp14:editId="5001ABEE">
                  <wp:extent cx="5572760" cy="3416300"/>
                  <wp:effectExtent l="0" t="0" r="8890" b="0"/>
                  <wp:docPr id="6" name="Picture 6" descr="Governments, businesses, households and communities all have roles and responsibilities in natural disaster management in order to ensure an environment for effective risk management underpinned by financial and regulatory incentives and information provision. &#10;Examples of roles and responsibilities to support effective risk management include: &#10;• the Australian Government: coordination and leadership, provision of a safety net and financial contributions&#10;• State and territory governments: land use planning and building regulation&#10;• Local governments: local disaster management and relief and land use planning&#10;• Businesses: providing insurance and reducing impacts on the built environment&#10;• Communities: undertaking collective or voluntary action and promoting awareness of risks.&#10;Australian, state and local governments are responsible for managing risks to public assets, including critical infrastructure, the natural environment and public health. Households, businesses, and private infrastructure owners are responsible for managing risk to their own assets, including individual health, business premises and some infrastructure.&#10;The management of natural disaster risks for both private and public assets will involve decisions about mitigation (identifying, evaluating, treating and insuring risks to assets) and recovery (for example repairing, replacing, improving or abandoning assets).&#10;" title="Roles and responsibilities in natural disaster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2760" cy="3416300"/>
                          </a:xfrm>
                          <a:prstGeom prst="rect">
                            <a:avLst/>
                          </a:prstGeom>
                          <a:noFill/>
                          <a:ln>
                            <a:noFill/>
                          </a:ln>
                        </pic:spPr>
                      </pic:pic>
                    </a:graphicData>
                  </a:graphic>
                </wp:inline>
              </w:drawing>
            </w:r>
          </w:p>
        </w:tc>
      </w:tr>
    </w:tbl>
    <w:p w14:paraId="5197E2DC" w14:textId="2B30CB1C" w:rsidR="008B3F01" w:rsidRDefault="008B3F01" w:rsidP="008B3F01">
      <w:pPr>
        <w:pStyle w:val="BodyText"/>
      </w:pPr>
      <w:r>
        <w:t xml:space="preserve">Responsibilities for financing and funding natural disaster management are split </w:t>
      </w:r>
      <w:r w:rsidR="006852CC">
        <w:t>across households, businesses, all levels of</w:t>
      </w:r>
      <w:r>
        <w:t xml:space="preserve"> government</w:t>
      </w:r>
      <w:r w:rsidR="006852CC">
        <w:t>, and the b</w:t>
      </w:r>
      <w:r w:rsidR="00F36273">
        <w:t>r</w:t>
      </w:r>
      <w:r w:rsidR="006852CC">
        <w:t>oader community</w:t>
      </w:r>
      <w:r>
        <w:t xml:space="preserve"> (figure </w:t>
      </w:r>
      <w:r w:rsidR="00F36273">
        <w:t>3</w:t>
      </w:r>
      <w:r>
        <w:t>):</w:t>
      </w:r>
    </w:p>
    <w:p w14:paraId="4AE700D1" w14:textId="77777777" w:rsidR="008B3F01" w:rsidRDefault="008B3F01" w:rsidP="008B3F01">
      <w:pPr>
        <w:pStyle w:val="ListBullet"/>
      </w:pPr>
      <w:r>
        <w:t>financing refers to supplying the capital to pay the upfront investment costs of natural disaster management</w:t>
      </w:r>
    </w:p>
    <w:p w14:paraId="1B17252C" w14:textId="126A1BAF" w:rsidR="008B3F01" w:rsidRDefault="008B3F01" w:rsidP="008B3F01">
      <w:pPr>
        <w:pStyle w:val="ListBullet"/>
      </w:pPr>
      <w:r>
        <w:t xml:space="preserve">funding refers to revenue sources to pay for the </w:t>
      </w:r>
      <w:r w:rsidR="006F68E2">
        <w:t xml:space="preserve">financing </w:t>
      </w:r>
      <w:r>
        <w:t>cost</w:t>
      </w:r>
      <w:r w:rsidR="00F11975">
        <w:t>s</w:t>
      </w:r>
      <w:r>
        <w:t xml:space="preserve"> of natural disaster management.</w:t>
      </w:r>
    </w:p>
    <w:p w14:paraId="335C60E1" w14:textId="77777777" w:rsidR="00AA3DFE" w:rsidRDefault="00AA3DFE" w:rsidP="00AA3DFE">
      <w:pPr>
        <w:pStyle w:val="BodyText"/>
      </w:pPr>
      <w:r>
        <w:t>The Australian Government’s greater revenue raising capacity (vertical fiscal imbalance), has seen it assume the role of funding certain natural disaster management activities. The Australian Government provides some funding for recovery (mainly through the NDRRA) and resilience and mitigation (mainly through the NPANDR). Hence, although state, territory and local governments have formal responsibility for most disaster management activities and provide a significant proportion of the funding (either individually or collectively through the GST redistribution), the funding that the Australian Government provides inevitably influences the way lower levels of government manage natural disaster risks.</w:t>
      </w:r>
    </w:p>
    <w:p w14:paraId="495D3763" w14:textId="3166D86E" w:rsidR="008B3F01" w:rsidRPr="005A65BB" w:rsidRDefault="008B3F01" w:rsidP="00F36273">
      <w:pPr>
        <w:pStyle w:val="FigureTitle"/>
        <w:rPr>
          <w:sz w:val="26"/>
          <w:szCs w:val="26"/>
        </w:rPr>
      </w:pPr>
      <w:r w:rsidRPr="005A65BB">
        <w:rPr>
          <w:b w:val="0"/>
          <w:sz w:val="26"/>
          <w:szCs w:val="26"/>
        </w:rPr>
        <w:lastRenderedPageBreak/>
        <w:t xml:space="preserve">Figure </w:t>
      </w:r>
      <w:bookmarkStart w:id="8" w:name="OLE_LINK5"/>
      <w:r w:rsidR="007A66DD">
        <w:rPr>
          <w:b w:val="0"/>
          <w:noProof/>
          <w:sz w:val="26"/>
          <w:szCs w:val="26"/>
        </w:rPr>
        <w:t>3</w:t>
      </w:r>
      <w:bookmarkEnd w:id="8"/>
      <w:r w:rsidRPr="005A65BB">
        <w:rPr>
          <w:sz w:val="26"/>
          <w:szCs w:val="26"/>
        </w:rPr>
        <w:tab/>
      </w:r>
      <w:r w:rsidR="006852CC" w:rsidRPr="005A65BB">
        <w:rPr>
          <w:sz w:val="26"/>
          <w:szCs w:val="26"/>
        </w:rPr>
        <w:t>Responsibilities for funding and financing natural disaster management</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8B3F01" w14:paraId="0410DD3F" w14:textId="77777777">
        <w:tc>
          <w:tcPr>
            <w:tcW w:w="8777" w:type="dxa"/>
          </w:tcPr>
          <w:p w14:paraId="1822A496" w14:textId="7A330BFE" w:rsidR="008B3F01" w:rsidRDefault="000C6086">
            <w:pPr>
              <w:pStyle w:val="Figure"/>
            </w:pPr>
            <w:r>
              <w:rPr>
                <w:noProof/>
              </w:rPr>
              <w:drawing>
                <wp:inline distT="0" distB="0" distL="0" distR="0" wp14:anchorId="143F4036" wp14:editId="7923FE94">
                  <wp:extent cx="5563870" cy="2527300"/>
                  <wp:effectExtent l="0" t="0" r="0" b="6350"/>
                  <wp:docPr id="7" name="Picture 7" descr="Responsibilities for financing and funding natural disaster management are split across households, businesses, all levels of government, and the broader community. State and local governments finance resilience, mitigation and recovery and they obtain funding from commonwealth grants, own revenue, GST redistribution and debt. Charities and community groups finance resilience, mitigation and recovery and they obtain financing from donations, government grants and social capital. Households and businesses finance resilience, mitigation and recovery and they obtain funding from savings, access to capital markets and government grants. Insurance payouts finance recovery and are funded from insurance premiums." title="Responsibilities for funding and financing natural disaster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3870" cy="2527300"/>
                          </a:xfrm>
                          <a:prstGeom prst="rect">
                            <a:avLst/>
                          </a:prstGeom>
                          <a:noFill/>
                          <a:ln>
                            <a:noFill/>
                          </a:ln>
                        </pic:spPr>
                      </pic:pic>
                    </a:graphicData>
                  </a:graphic>
                </wp:inline>
              </w:drawing>
            </w:r>
          </w:p>
        </w:tc>
      </w:tr>
    </w:tbl>
    <w:p w14:paraId="31F4CF41" w14:textId="77777777" w:rsidR="001D4F37" w:rsidRDefault="001D4F37" w:rsidP="001D4F37">
      <w:pPr>
        <w:pStyle w:val="Heading3"/>
      </w:pPr>
      <w:r>
        <w:t>Natural Disaster Relief and Recovery Arrangements</w:t>
      </w:r>
    </w:p>
    <w:p w14:paraId="17BFAC7C" w14:textId="77777777" w:rsidR="00D9014B" w:rsidRDefault="001D4F37" w:rsidP="001D4F37">
      <w:pPr>
        <w:pStyle w:val="BodyText"/>
      </w:pPr>
      <w:r>
        <w:t xml:space="preserve">The </w:t>
      </w:r>
      <w:r w:rsidR="007D61BD" w:rsidRPr="007D61BD">
        <w:t xml:space="preserve">Natural Disaster Relief and Recovery Arrangements </w:t>
      </w:r>
      <w:r w:rsidR="007D61BD">
        <w:t>(</w:t>
      </w:r>
      <w:r>
        <w:t>NDRRA</w:t>
      </w:r>
      <w:r w:rsidR="007D61BD">
        <w:t>)</w:t>
      </w:r>
      <w:r>
        <w:t xml:space="preserve"> are the primary mechanism through which the Australian Government funds </w:t>
      </w:r>
      <w:r w:rsidR="003831EC">
        <w:t xml:space="preserve">disaster relief and </w:t>
      </w:r>
      <w:r>
        <w:t xml:space="preserve">recovery activities by state and territory governments, and </w:t>
      </w:r>
      <w:r w:rsidR="00E9135F">
        <w:t xml:space="preserve">over time have constituted </w:t>
      </w:r>
      <w:r>
        <w:t xml:space="preserve">the </w:t>
      </w:r>
      <w:r w:rsidR="00E9135F">
        <w:t>majority</w:t>
      </w:r>
      <w:r>
        <w:t xml:space="preserve"> of Australian Government spending on natural disasters. </w:t>
      </w:r>
    </w:p>
    <w:p w14:paraId="2F48C98B" w14:textId="257B5AC2" w:rsidR="00FD2E38" w:rsidRDefault="001D4F37" w:rsidP="00E9135F">
      <w:pPr>
        <w:pStyle w:val="BodyText"/>
      </w:pPr>
      <w:r>
        <w:t xml:space="preserve">The </w:t>
      </w:r>
      <w:r w:rsidR="00D9014B">
        <w:t>a</w:t>
      </w:r>
      <w:r>
        <w:t xml:space="preserve">rrangements were established in 1974 and are intended to assist state and territory governments with the </w:t>
      </w:r>
      <w:r w:rsidR="003825E4">
        <w:t xml:space="preserve">fiscal </w:t>
      </w:r>
      <w:r>
        <w:t>burden of large</w:t>
      </w:r>
      <w:r>
        <w:noBreakHyphen/>
        <w:t>scale expenditure on disaster relief and recovery payments and infrastructure restoration.</w:t>
      </w:r>
      <w:r w:rsidR="00C53FBC">
        <w:t xml:space="preserve"> The Australian Government sets the terms and conditions for payment of financial assistance in the NDRRA </w:t>
      </w:r>
      <w:r w:rsidR="00C53FBC" w:rsidRPr="00BE38D2">
        <w:rPr>
          <w:i/>
        </w:rPr>
        <w:t>Determination</w:t>
      </w:r>
      <w:r w:rsidR="00C53FBC">
        <w:t xml:space="preserve"> </w:t>
      </w:r>
      <w:r w:rsidR="00C53FBC" w:rsidRPr="00C53FBC">
        <w:rPr>
          <w:szCs w:val="24"/>
        </w:rPr>
        <w:t>(Attorney-General’s Department 2012b)</w:t>
      </w:r>
      <w:r w:rsidR="00C53FBC">
        <w:t>.</w:t>
      </w:r>
      <w:r w:rsidR="002D6D8B">
        <w:t xml:space="preserve"> </w:t>
      </w:r>
      <w:r w:rsidR="00E9135F">
        <w:t>The NDRRA operate by reimbursing states and territories for a portion of their expenditure on eligible disaster recovery activities and measures, once particular thresholds have been exceeded</w:t>
      </w:r>
      <w:r w:rsidR="00D452A4">
        <w:t xml:space="preserve"> (box </w:t>
      </w:r>
      <w:r w:rsidR="005A65BB">
        <w:t>4</w:t>
      </w:r>
      <w:r w:rsidR="00D452A4">
        <w:t>)</w:t>
      </w:r>
      <w:r w:rsidR="00E9135F">
        <w:t>.</w:t>
      </w:r>
    </w:p>
    <w:p w14:paraId="213B61D3" w14:textId="77777777" w:rsidR="00AA3DFE" w:rsidRDefault="00AA3DFE" w:rsidP="00AA3DFE">
      <w:pPr>
        <w:pStyle w:val="BodyText"/>
      </w:pPr>
      <w:r>
        <w:t>D</w:t>
      </w:r>
      <w:r w:rsidRPr="001A1C22">
        <w:t>ata on expenditure by category are not readily available for every jurisdiction</w:t>
      </w:r>
      <w:r>
        <w:t>. However, as an example of how payments have been allocated between the four categories</w:t>
      </w:r>
      <w:r w:rsidRPr="001A1C22">
        <w:t xml:space="preserve">, figures for Queensland indicate that </w:t>
      </w:r>
      <w:r>
        <w:t>in 2010-11:</w:t>
      </w:r>
    </w:p>
    <w:p w14:paraId="7E24AB4C" w14:textId="77777777" w:rsidR="00AA3DFE" w:rsidRDefault="00AA3DFE" w:rsidP="00AA3DFE">
      <w:pPr>
        <w:pStyle w:val="ListBullet"/>
      </w:pPr>
      <w:r w:rsidRPr="001A1C22">
        <w:t>around 90 per cent of eligible expenditure was on category B measures</w:t>
      </w:r>
    </w:p>
    <w:p w14:paraId="5FCC8608" w14:textId="77777777" w:rsidR="00AA3DFE" w:rsidRDefault="00AA3DFE" w:rsidP="00AA3DFE">
      <w:pPr>
        <w:pStyle w:val="ListBullet"/>
      </w:pPr>
      <w:r w:rsidRPr="001A1C22">
        <w:t xml:space="preserve">around 4 per cent </w:t>
      </w:r>
      <w:r>
        <w:t xml:space="preserve">was </w:t>
      </w:r>
      <w:r w:rsidRPr="001A1C22">
        <w:t>on category A</w:t>
      </w:r>
    </w:p>
    <w:p w14:paraId="443ED1D3" w14:textId="77777777" w:rsidR="00AA3DFE" w:rsidRDefault="00AA3DFE" w:rsidP="00AA3DFE">
      <w:pPr>
        <w:pStyle w:val="ListBullet"/>
      </w:pPr>
      <w:r w:rsidRPr="001A1C22">
        <w:t xml:space="preserve">5 per cent </w:t>
      </w:r>
      <w:r>
        <w:t xml:space="preserve">was </w:t>
      </w:r>
      <w:r w:rsidRPr="001A1C22">
        <w:t xml:space="preserve">on category C </w:t>
      </w:r>
    </w:p>
    <w:p w14:paraId="39045B3A" w14:textId="77777777" w:rsidR="00AA3DFE" w:rsidRDefault="00AA3DFE" w:rsidP="00AA3DFE">
      <w:pPr>
        <w:pStyle w:val="ListBullet"/>
      </w:pPr>
      <w:r>
        <w:t>1 per cent was on category D.</w:t>
      </w:r>
    </w:p>
    <w:p w14:paraId="772C9629" w14:textId="77777777" w:rsidR="00AA3DFE" w:rsidRDefault="00AA3DFE" w:rsidP="00AA3DFE">
      <w:pPr>
        <w:pStyle w:val="BodyText"/>
      </w:pPr>
      <w:r w:rsidRPr="001A1C22">
        <w:lastRenderedPageBreak/>
        <w:t>Over the decade from 2000</w:t>
      </w:r>
      <w:r>
        <w:noBreakHyphen/>
      </w:r>
      <w:r w:rsidRPr="001A1C22">
        <w:t>01, around 87 per cent of all Queensland’s expenditure on restoring essential public assets was spent on roads</w:t>
      </w:r>
      <w:r>
        <w:t xml:space="preserve"> </w:t>
      </w:r>
      <w:r w:rsidRPr="005A65BB">
        <w:rPr>
          <w:szCs w:val="24"/>
        </w:rPr>
        <w:t>(Finity Consulting 2012)</w:t>
      </w:r>
      <w:r>
        <w:t>.</w:t>
      </w:r>
    </w:p>
    <w:p w14:paraId="1668B1B1" w14:textId="33CAD37C" w:rsidR="00FD2E38" w:rsidRDefault="00FD2E38">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FD2E38" w14:paraId="3B8CBFCE" w14:textId="77777777">
        <w:tc>
          <w:tcPr>
            <w:tcW w:w="8771" w:type="dxa"/>
            <w:tcBorders>
              <w:top w:val="single" w:sz="6" w:space="0" w:color="auto"/>
              <w:bottom w:val="nil"/>
            </w:tcBorders>
          </w:tcPr>
          <w:p w14:paraId="49757EC2" w14:textId="31A9901C" w:rsidR="00FD2E38" w:rsidRDefault="00FD2E38" w:rsidP="00D452A4">
            <w:pPr>
              <w:pStyle w:val="BoxTitle"/>
            </w:pPr>
            <w:r>
              <w:rPr>
                <w:b w:val="0"/>
              </w:rPr>
              <w:t xml:space="preserve">Box </w:t>
            </w:r>
            <w:bookmarkStart w:id="9" w:name="OLE_LINK13"/>
            <w:r w:rsidR="007A66DD">
              <w:rPr>
                <w:b w:val="0"/>
                <w:noProof/>
              </w:rPr>
              <w:t>4</w:t>
            </w:r>
            <w:bookmarkEnd w:id="9"/>
            <w:r>
              <w:tab/>
            </w:r>
            <w:r w:rsidR="00D452A4">
              <w:t>NDRRA categories and thresholds</w:t>
            </w:r>
          </w:p>
        </w:tc>
      </w:tr>
      <w:tr w:rsidR="00FD2E38" w14:paraId="166C5173" w14:textId="77777777">
        <w:trPr>
          <w:cantSplit/>
        </w:trPr>
        <w:tc>
          <w:tcPr>
            <w:tcW w:w="8771" w:type="dxa"/>
            <w:tcBorders>
              <w:top w:val="nil"/>
              <w:left w:val="single" w:sz="6" w:space="0" w:color="auto"/>
              <w:bottom w:val="nil"/>
              <w:right w:val="single" w:sz="6" w:space="0" w:color="auto"/>
            </w:tcBorders>
          </w:tcPr>
          <w:p w14:paraId="21A707D2" w14:textId="77777777" w:rsidR="00FD2E38" w:rsidRDefault="00FD2E38" w:rsidP="00FD2E38">
            <w:pPr>
              <w:pStyle w:val="Box"/>
            </w:pPr>
            <w:r>
              <w:t>There are four categories of assistance.</w:t>
            </w:r>
          </w:p>
          <w:p w14:paraId="1FE3CFCB" w14:textId="77777777" w:rsidR="00FD2E38" w:rsidRDefault="00FD2E38" w:rsidP="00D452A4">
            <w:pPr>
              <w:pStyle w:val="BoxListBullet"/>
            </w:pPr>
            <w:r>
              <w:t>Category A — emergency assistance to individuals.</w:t>
            </w:r>
          </w:p>
          <w:p w14:paraId="01A763AF" w14:textId="77777777" w:rsidR="00FD2E38" w:rsidRDefault="00FD2E38" w:rsidP="00D452A4">
            <w:pPr>
              <w:pStyle w:val="BoxListBullet"/>
            </w:pPr>
            <w:r>
              <w:t>Category B — restoration of essential public assets; financial assistance to small businesses, primary producers, voluntary nonprofit bodies and individuals; and ‘counter disaster operations’ for public health and safety.</w:t>
            </w:r>
          </w:p>
          <w:p w14:paraId="0DA7E840" w14:textId="77777777" w:rsidR="00FD2E38" w:rsidRDefault="00FD2E38" w:rsidP="00D452A4">
            <w:pPr>
              <w:pStyle w:val="BoxListBullet"/>
            </w:pPr>
            <w:r>
              <w:t>Category C — community recovery packages and recovery grants to small businesses and primary producers.</w:t>
            </w:r>
          </w:p>
          <w:p w14:paraId="7D859126" w14:textId="77777777" w:rsidR="00FD2E38" w:rsidRDefault="00FD2E38" w:rsidP="00D452A4">
            <w:pPr>
              <w:pStyle w:val="BoxListBullet"/>
            </w:pPr>
            <w:r>
              <w:t>Category D — acts of relief or recovery carried out in circumstances deemed to be exceptional by the relevant Commonwealth Minister.</w:t>
            </w:r>
          </w:p>
          <w:p w14:paraId="081E6977" w14:textId="77777777" w:rsidR="00D452A4" w:rsidRDefault="00D452A4" w:rsidP="00D452A4">
            <w:pPr>
              <w:pStyle w:val="Box"/>
            </w:pPr>
            <w:r>
              <w:t>The level of reimbursement for these categories is determined by two thresholds for eligible</w:t>
            </w:r>
            <w:r w:rsidR="004B0343" w:rsidRPr="004B0343">
              <w:rPr>
                <w:rStyle w:val="NoteLabel"/>
              </w:rPr>
              <w:t>a</w:t>
            </w:r>
            <w:r>
              <w:t xml:space="preserve"> state expenditure on natural disasters in a financial year. </w:t>
            </w:r>
          </w:p>
          <w:p w14:paraId="11C09F79" w14:textId="77777777" w:rsidR="00D452A4" w:rsidRDefault="00D452A4" w:rsidP="00D452A4">
            <w:pPr>
              <w:pStyle w:val="BoxListBullet"/>
            </w:pPr>
            <w:r>
              <w:t>First threshold: 0.225 per cent of total state government revenue and grants in the financial year two years prior.</w:t>
            </w:r>
          </w:p>
          <w:p w14:paraId="16E834CD" w14:textId="1725A08C" w:rsidR="006528F4" w:rsidRDefault="00D452A4" w:rsidP="006528F4">
            <w:pPr>
              <w:pStyle w:val="BoxListBullet"/>
            </w:pPr>
            <w:r>
              <w:t>Second threshold: 1.75 times the first threshold.</w:t>
            </w:r>
          </w:p>
          <w:p w14:paraId="0AF47AA1" w14:textId="31231EF0" w:rsidR="003B174B" w:rsidRDefault="00FF0777">
            <w:pPr>
              <w:pStyle w:val="TableTitle"/>
            </w:pPr>
            <w:r>
              <w:t>St</w:t>
            </w:r>
            <w:r w:rsidR="003B174B">
              <w:t>ate and territory government NDRRA thresholds</w:t>
            </w:r>
            <w:r w:rsidR="00F11975">
              <w:t>, 2013-14</w:t>
            </w:r>
          </w:p>
          <w:tbl>
            <w:tblPr>
              <w:tblW w:w="8625" w:type="dxa"/>
              <w:tblLayout w:type="fixed"/>
              <w:tblCellMar>
                <w:left w:w="0" w:type="dxa"/>
                <w:right w:w="0" w:type="dxa"/>
              </w:tblCellMar>
              <w:tblLook w:val="0000" w:firstRow="0" w:lastRow="0" w:firstColumn="0" w:lastColumn="0" w:noHBand="0" w:noVBand="0"/>
            </w:tblPr>
            <w:tblGrid>
              <w:gridCol w:w="1826"/>
              <w:gridCol w:w="851"/>
              <w:gridCol w:w="850"/>
              <w:gridCol w:w="850"/>
              <w:gridCol w:w="850"/>
              <w:gridCol w:w="850"/>
              <w:gridCol w:w="850"/>
              <w:gridCol w:w="849"/>
              <w:gridCol w:w="849"/>
            </w:tblGrid>
            <w:tr w:rsidR="003B174B" w14:paraId="4609C309" w14:textId="7EEDC908" w:rsidTr="00FF0777">
              <w:tc>
                <w:tcPr>
                  <w:tcW w:w="1058" w:type="pct"/>
                  <w:tcBorders>
                    <w:top w:val="single" w:sz="6" w:space="0" w:color="auto"/>
                    <w:bottom w:val="single" w:sz="6" w:space="0" w:color="auto"/>
                  </w:tcBorders>
                  <w:shd w:val="clear" w:color="auto" w:fill="auto"/>
                </w:tcPr>
                <w:p w14:paraId="0DF87A40" w14:textId="77777777" w:rsidR="003B174B" w:rsidRDefault="003B174B" w:rsidP="0000649B">
                  <w:pPr>
                    <w:pStyle w:val="TableColumnHeading"/>
                    <w:jc w:val="left"/>
                  </w:pPr>
                </w:p>
              </w:tc>
              <w:tc>
                <w:tcPr>
                  <w:tcW w:w="493" w:type="pct"/>
                  <w:tcBorders>
                    <w:top w:val="single" w:sz="6" w:space="0" w:color="auto"/>
                    <w:bottom w:val="single" w:sz="6" w:space="0" w:color="auto"/>
                  </w:tcBorders>
                </w:tcPr>
                <w:p w14:paraId="6695343C" w14:textId="107CFF0A" w:rsidR="003B174B" w:rsidRDefault="003B174B" w:rsidP="0000649B">
                  <w:pPr>
                    <w:pStyle w:val="TableColumnHeading"/>
                  </w:pPr>
                  <w:r>
                    <w:t>NSW</w:t>
                  </w:r>
                </w:p>
              </w:tc>
              <w:tc>
                <w:tcPr>
                  <w:tcW w:w="493" w:type="pct"/>
                  <w:tcBorders>
                    <w:top w:val="single" w:sz="6" w:space="0" w:color="auto"/>
                    <w:bottom w:val="single" w:sz="6" w:space="0" w:color="auto"/>
                  </w:tcBorders>
                </w:tcPr>
                <w:p w14:paraId="5F459942" w14:textId="2650EA7E" w:rsidR="003B174B" w:rsidRDefault="003B174B" w:rsidP="0000649B">
                  <w:pPr>
                    <w:pStyle w:val="TableColumnHeading"/>
                  </w:pPr>
                  <w:r>
                    <w:t>Vic</w:t>
                  </w:r>
                </w:p>
              </w:tc>
              <w:tc>
                <w:tcPr>
                  <w:tcW w:w="493" w:type="pct"/>
                  <w:tcBorders>
                    <w:top w:val="single" w:sz="6" w:space="0" w:color="auto"/>
                    <w:bottom w:val="single" w:sz="6" w:space="0" w:color="auto"/>
                  </w:tcBorders>
                </w:tcPr>
                <w:p w14:paraId="36C6C72A" w14:textId="09409EAC" w:rsidR="003B174B" w:rsidRDefault="003B174B" w:rsidP="0000649B">
                  <w:pPr>
                    <w:pStyle w:val="TableColumnHeading"/>
                  </w:pPr>
                  <w:r>
                    <w:t>Qld</w:t>
                  </w:r>
                </w:p>
              </w:tc>
              <w:tc>
                <w:tcPr>
                  <w:tcW w:w="493" w:type="pct"/>
                  <w:tcBorders>
                    <w:top w:val="single" w:sz="6" w:space="0" w:color="auto"/>
                    <w:bottom w:val="single" w:sz="6" w:space="0" w:color="auto"/>
                  </w:tcBorders>
                </w:tcPr>
                <w:p w14:paraId="6046F8D8" w14:textId="0F13D71F" w:rsidR="003B174B" w:rsidRDefault="003B174B" w:rsidP="0000649B">
                  <w:pPr>
                    <w:pStyle w:val="TableColumnHeading"/>
                  </w:pPr>
                  <w:r>
                    <w:t>WA</w:t>
                  </w:r>
                </w:p>
              </w:tc>
              <w:tc>
                <w:tcPr>
                  <w:tcW w:w="493" w:type="pct"/>
                  <w:tcBorders>
                    <w:top w:val="single" w:sz="6" w:space="0" w:color="auto"/>
                    <w:bottom w:val="single" w:sz="6" w:space="0" w:color="auto"/>
                  </w:tcBorders>
                </w:tcPr>
                <w:p w14:paraId="51C2FB2B" w14:textId="0730814E" w:rsidR="003B174B" w:rsidRDefault="003B174B" w:rsidP="0000649B">
                  <w:pPr>
                    <w:pStyle w:val="TableColumnHeading"/>
                  </w:pPr>
                  <w:r>
                    <w:t>SA</w:t>
                  </w:r>
                </w:p>
              </w:tc>
              <w:tc>
                <w:tcPr>
                  <w:tcW w:w="493" w:type="pct"/>
                  <w:tcBorders>
                    <w:top w:val="single" w:sz="6" w:space="0" w:color="auto"/>
                    <w:bottom w:val="single" w:sz="6" w:space="0" w:color="auto"/>
                  </w:tcBorders>
                </w:tcPr>
                <w:p w14:paraId="13FCCB86" w14:textId="6ADD33EC" w:rsidR="003B174B" w:rsidRDefault="003B174B" w:rsidP="0000649B">
                  <w:pPr>
                    <w:pStyle w:val="TableColumnHeading"/>
                  </w:pPr>
                  <w:r>
                    <w:t>Tas</w:t>
                  </w:r>
                </w:p>
              </w:tc>
              <w:tc>
                <w:tcPr>
                  <w:tcW w:w="492" w:type="pct"/>
                  <w:tcBorders>
                    <w:top w:val="single" w:sz="6" w:space="0" w:color="auto"/>
                    <w:bottom w:val="single" w:sz="6" w:space="0" w:color="auto"/>
                  </w:tcBorders>
                </w:tcPr>
                <w:p w14:paraId="7C19CDCE" w14:textId="431DD37B" w:rsidR="003B174B" w:rsidRDefault="003B174B" w:rsidP="0000649B">
                  <w:pPr>
                    <w:pStyle w:val="TableColumnHeading"/>
                  </w:pPr>
                  <w:r>
                    <w:t>NT</w:t>
                  </w:r>
                </w:p>
              </w:tc>
              <w:tc>
                <w:tcPr>
                  <w:tcW w:w="494" w:type="pct"/>
                  <w:tcBorders>
                    <w:top w:val="single" w:sz="6" w:space="0" w:color="auto"/>
                    <w:bottom w:val="single" w:sz="6" w:space="0" w:color="auto"/>
                  </w:tcBorders>
                </w:tcPr>
                <w:p w14:paraId="03463929" w14:textId="6A46DAFD" w:rsidR="003B174B" w:rsidRDefault="003B174B" w:rsidP="00BE38D2">
                  <w:pPr>
                    <w:pStyle w:val="TableColumnHeading"/>
                  </w:pPr>
                  <w:r>
                    <w:t>ACT</w:t>
                  </w:r>
                </w:p>
              </w:tc>
            </w:tr>
            <w:tr w:rsidR="003B174B" w14:paraId="5EDA4DA1" w14:textId="380B9A1C" w:rsidTr="00FF0777">
              <w:tc>
                <w:tcPr>
                  <w:tcW w:w="1058" w:type="pct"/>
                  <w:tcBorders>
                    <w:top w:val="single" w:sz="6" w:space="0" w:color="auto"/>
                  </w:tcBorders>
                </w:tcPr>
                <w:p w14:paraId="7F8C0FE0" w14:textId="77777777" w:rsidR="003B174B" w:rsidRDefault="003B174B" w:rsidP="0000649B">
                  <w:pPr>
                    <w:pStyle w:val="TableUnitsRow"/>
                    <w:jc w:val="left"/>
                  </w:pPr>
                </w:p>
              </w:tc>
              <w:tc>
                <w:tcPr>
                  <w:tcW w:w="493" w:type="pct"/>
                  <w:tcBorders>
                    <w:top w:val="single" w:sz="6" w:space="0" w:color="auto"/>
                  </w:tcBorders>
                </w:tcPr>
                <w:p w14:paraId="3028FB23" w14:textId="2E8E7FB2" w:rsidR="003B174B" w:rsidRDefault="003B174B" w:rsidP="0000649B">
                  <w:pPr>
                    <w:pStyle w:val="TableUnitsRow"/>
                  </w:pPr>
                  <w:r>
                    <w:t>$m</w:t>
                  </w:r>
                </w:p>
              </w:tc>
              <w:tc>
                <w:tcPr>
                  <w:tcW w:w="493" w:type="pct"/>
                  <w:tcBorders>
                    <w:top w:val="single" w:sz="6" w:space="0" w:color="auto"/>
                  </w:tcBorders>
                </w:tcPr>
                <w:p w14:paraId="2C21EA8D" w14:textId="2A210150" w:rsidR="003B174B" w:rsidRDefault="003B174B" w:rsidP="0000649B">
                  <w:pPr>
                    <w:pStyle w:val="TableUnitsRow"/>
                  </w:pPr>
                  <w:r>
                    <w:t>$m</w:t>
                  </w:r>
                </w:p>
              </w:tc>
              <w:tc>
                <w:tcPr>
                  <w:tcW w:w="493" w:type="pct"/>
                  <w:tcBorders>
                    <w:top w:val="single" w:sz="6" w:space="0" w:color="auto"/>
                  </w:tcBorders>
                </w:tcPr>
                <w:p w14:paraId="020D9CF3" w14:textId="4F3C1601" w:rsidR="003B174B" w:rsidRDefault="003B174B" w:rsidP="0000649B">
                  <w:pPr>
                    <w:pStyle w:val="TableUnitsRow"/>
                  </w:pPr>
                  <w:r>
                    <w:t>$m</w:t>
                  </w:r>
                </w:p>
              </w:tc>
              <w:tc>
                <w:tcPr>
                  <w:tcW w:w="493" w:type="pct"/>
                  <w:tcBorders>
                    <w:top w:val="single" w:sz="6" w:space="0" w:color="auto"/>
                  </w:tcBorders>
                </w:tcPr>
                <w:p w14:paraId="3ADC7C5D" w14:textId="4F250A31" w:rsidR="003B174B" w:rsidRDefault="003B174B" w:rsidP="0000649B">
                  <w:pPr>
                    <w:pStyle w:val="TableUnitsRow"/>
                  </w:pPr>
                  <w:r>
                    <w:t>$m</w:t>
                  </w:r>
                </w:p>
              </w:tc>
              <w:tc>
                <w:tcPr>
                  <w:tcW w:w="493" w:type="pct"/>
                  <w:tcBorders>
                    <w:top w:val="single" w:sz="6" w:space="0" w:color="auto"/>
                  </w:tcBorders>
                </w:tcPr>
                <w:p w14:paraId="3A41002D" w14:textId="5B04CDDE" w:rsidR="003B174B" w:rsidRDefault="003B174B" w:rsidP="0000649B">
                  <w:pPr>
                    <w:pStyle w:val="TableUnitsRow"/>
                  </w:pPr>
                  <w:r>
                    <w:t>$m</w:t>
                  </w:r>
                </w:p>
              </w:tc>
              <w:tc>
                <w:tcPr>
                  <w:tcW w:w="493" w:type="pct"/>
                  <w:tcBorders>
                    <w:top w:val="single" w:sz="6" w:space="0" w:color="auto"/>
                  </w:tcBorders>
                </w:tcPr>
                <w:p w14:paraId="1D1CBA2A" w14:textId="625AB635" w:rsidR="003B174B" w:rsidRDefault="003B174B" w:rsidP="0000649B">
                  <w:pPr>
                    <w:pStyle w:val="TableUnitsRow"/>
                  </w:pPr>
                  <w:r>
                    <w:t>$m</w:t>
                  </w:r>
                </w:p>
              </w:tc>
              <w:tc>
                <w:tcPr>
                  <w:tcW w:w="492" w:type="pct"/>
                  <w:tcBorders>
                    <w:top w:val="single" w:sz="6" w:space="0" w:color="auto"/>
                  </w:tcBorders>
                </w:tcPr>
                <w:p w14:paraId="6B0CBC50" w14:textId="4D0CF30F" w:rsidR="003B174B" w:rsidRDefault="003B174B" w:rsidP="0000649B">
                  <w:pPr>
                    <w:pStyle w:val="TableUnitsRow"/>
                  </w:pPr>
                  <w:r>
                    <w:t>$m</w:t>
                  </w:r>
                </w:p>
              </w:tc>
              <w:tc>
                <w:tcPr>
                  <w:tcW w:w="494" w:type="pct"/>
                  <w:tcBorders>
                    <w:top w:val="single" w:sz="6" w:space="0" w:color="auto"/>
                  </w:tcBorders>
                </w:tcPr>
                <w:p w14:paraId="3023F134" w14:textId="04D55E32" w:rsidR="003B174B" w:rsidRDefault="003B174B" w:rsidP="00BE38D2">
                  <w:pPr>
                    <w:pStyle w:val="TableUnitsRow"/>
                  </w:pPr>
                  <w:r>
                    <w:t>$m</w:t>
                  </w:r>
                </w:p>
              </w:tc>
            </w:tr>
            <w:tr w:rsidR="003B174B" w14:paraId="6DA8EBB0" w14:textId="6DE917E0" w:rsidTr="00FF0777">
              <w:tc>
                <w:tcPr>
                  <w:tcW w:w="1058" w:type="pct"/>
                </w:tcPr>
                <w:p w14:paraId="77E104DC" w14:textId="28B15A35" w:rsidR="003B174B" w:rsidRPr="003B174B" w:rsidRDefault="003B174B" w:rsidP="003B174B">
                  <w:pPr>
                    <w:pStyle w:val="TableBodyText"/>
                    <w:jc w:val="left"/>
                  </w:pPr>
                  <w:r w:rsidRPr="003B174B">
                    <w:t>First threshold</w:t>
                  </w:r>
                </w:p>
              </w:tc>
              <w:tc>
                <w:tcPr>
                  <w:tcW w:w="493" w:type="pct"/>
                </w:tcPr>
                <w:p w14:paraId="735FAB2F" w14:textId="088B4C2E" w:rsidR="003B174B" w:rsidRDefault="003B174B" w:rsidP="003B174B">
                  <w:pPr>
                    <w:pStyle w:val="TableBodyText"/>
                  </w:pPr>
                  <w:r>
                    <w:t>140</w:t>
                  </w:r>
                </w:p>
              </w:tc>
              <w:tc>
                <w:tcPr>
                  <w:tcW w:w="493" w:type="pct"/>
                  <w:vAlign w:val="bottom"/>
                </w:tcPr>
                <w:p w14:paraId="475708A2" w14:textId="6A3802FA" w:rsidR="003B174B" w:rsidRPr="003B174B" w:rsidRDefault="003B174B" w:rsidP="003B174B">
                  <w:pPr>
                    <w:pStyle w:val="TableBodyText"/>
                  </w:pPr>
                  <w:r w:rsidRPr="003B174B">
                    <w:t>107</w:t>
                  </w:r>
                </w:p>
              </w:tc>
              <w:tc>
                <w:tcPr>
                  <w:tcW w:w="493" w:type="pct"/>
                  <w:vAlign w:val="bottom"/>
                </w:tcPr>
                <w:p w14:paraId="5580BEE2" w14:textId="01D71D8C" w:rsidR="003B174B" w:rsidRPr="003B174B" w:rsidRDefault="003B174B" w:rsidP="003B174B">
                  <w:pPr>
                    <w:pStyle w:val="TableBodyText"/>
                  </w:pPr>
                  <w:r w:rsidRPr="003B174B">
                    <w:t>103</w:t>
                  </w:r>
                </w:p>
              </w:tc>
              <w:tc>
                <w:tcPr>
                  <w:tcW w:w="493" w:type="pct"/>
                  <w:vAlign w:val="bottom"/>
                </w:tcPr>
                <w:p w14:paraId="7133E339" w14:textId="3495267A" w:rsidR="003B174B" w:rsidRPr="003B174B" w:rsidRDefault="003B174B" w:rsidP="003B174B">
                  <w:pPr>
                    <w:pStyle w:val="TableBodyText"/>
                  </w:pPr>
                  <w:r w:rsidRPr="003B174B">
                    <w:t>56</w:t>
                  </w:r>
                </w:p>
              </w:tc>
              <w:tc>
                <w:tcPr>
                  <w:tcW w:w="493" w:type="pct"/>
                  <w:vAlign w:val="bottom"/>
                </w:tcPr>
                <w:p w14:paraId="12444CB3" w14:textId="58F1ED03" w:rsidR="003B174B" w:rsidRPr="003B174B" w:rsidRDefault="003B174B" w:rsidP="003B174B">
                  <w:pPr>
                    <w:pStyle w:val="TableBodyText"/>
                  </w:pPr>
                  <w:r w:rsidRPr="003B174B">
                    <w:t>36</w:t>
                  </w:r>
                </w:p>
              </w:tc>
              <w:tc>
                <w:tcPr>
                  <w:tcW w:w="493" w:type="pct"/>
                  <w:vAlign w:val="bottom"/>
                </w:tcPr>
                <w:p w14:paraId="195B7134" w14:textId="541E8300" w:rsidR="003B174B" w:rsidRPr="003B174B" w:rsidRDefault="003B174B" w:rsidP="003B174B">
                  <w:pPr>
                    <w:pStyle w:val="TableBodyText"/>
                  </w:pPr>
                  <w:r w:rsidRPr="003B174B">
                    <w:t>11</w:t>
                  </w:r>
                </w:p>
              </w:tc>
              <w:tc>
                <w:tcPr>
                  <w:tcW w:w="492" w:type="pct"/>
                  <w:vAlign w:val="bottom"/>
                </w:tcPr>
                <w:p w14:paraId="5F3FB5FD" w14:textId="31947AF5" w:rsidR="003B174B" w:rsidRPr="003B174B" w:rsidRDefault="003B174B" w:rsidP="003B174B">
                  <w:pPr>
                    <w:pStyle w:val="TableBodyText"/>
                  </w:pPr>
                  <w:r w:rsidRPr="003B174B">
                    <w:t>11</w:t>
                  </w:r>
                </w:p>
              </w:tc>
              <w:tc>
                <w:tcPr>
                  <w:tcW w:w="494" w:type="pct"/>
                  <w:vAlign w:val="bottom"/>
                </w:tcPr>
                <w:p w14:paraId="2245F13A" w14:textId="283DC852" w:rsidR="003B174B" w:rsidRPr="003B174B" w:rsidRDefault="003B174B" w:rsidP="00BE38D2">
                  <w:pPr>
                    <w:pStyle w:val="TableBodyText"/>
                  </w:pPr>
                  <w:r w:rsidRPr="003B174B">
                    <w:t>9</w:t>
                  </w:r>
                </w:p>
              </w:tc>
            </w:tr>
            <w:tr w:rsidR="003B174B" w14:paraId="43158932" w14:textId="7043F37E" w:rsidTr="00FF0777">
              <w:tc>
                <w:tcPr>
                  <w:tcW w:w="1058" w:type="pct"/>
                  <w:tcBorders>
                    <w:bottom w:val="single" w:sz="6" w:space="0" w:color="auto"/>
                  </w:tcBorders>
                  <w:shd w:val="clear" w:color="auto" w:fill="auto"/>
                </w:tcPr>
                <w:p w14:paraId="04669EA0" w14:textId="0A16A332" w:rsidR="003B174B" w:rsidRPr="003B174B" w:rsidRDefault="003B174B" w:rsidP="003B174B">
                  <w:pPr>
                    <w:pStyle w:val="TableBodyText"/>
                    <w:jc w:val="left"/>
                  </w:pPr>
                  <w:r w:rsidRPr="003B174B">
                    <w:t>Second threshold</w:t>
                  </w:r>
                </w:p>
              </w:tc>
              <w:tc>
                <w:tcPr>
                  <w:tcW w:w="493" w:type="pct"/>
                  <w:tcBorders>
                    <w:bottom w:val="single" w:sz="6" w:space="0" w:color="auto"/>
                  </w:tcBorders>
                </w:tcPr>
                <w:p w14:paraId="33784458" w14:textId="62F63409" w:rsidR="003B174B" w:rsidRDefault="003B174B" w:rsidP="0000649B">
                  <w:pPr>
                    <w:pStyle w:val="TableBodyText"/>
                  </w:pPr>
                  <w:r>
                    <w:t>246</w:t>
                  </w:r>
                </w:p>
              </w:tc>
              <w:tc>
                <w:tcPr>
                  <w:tcW w:w="493" w:type="pct"/>
                  <w:tcBorders>
                    <w:bottom w:val="single" w:sz="6" w:space="0" w:color="auto"/>
                  </w:tcBorders>
                  <w:vAlign w:val="bottom"/>
                </w:tcPr>
                <w:p w14:paraId="3539F024" w14:textId="2EF955D5" w:rsidR="003B174B" w:rsidRPr="003B174B" w:rsidRDefault="003B174B" w:rsidP="003B174B">
                  <w:pPr>
                    <w:pStyle w:val="TableBodyText"/>
                  </w:pPr>
                  <w:r w:rsidRPr="003B174B">
                    <w:t>187</w:t>
                  </w:r>
                </w:p>
              </w:tc>
              <w:tc>
                <w:tcPr>
                  <w:tcW w:w="493" w:type="pct"/>
                  <w:tcBorders>
                    <w:bottom w:val="single" w:sz="6" w:space="0" w:color="auto"/>
                  </w:tcBorders>
                  <w:vAlign w:val="bottom"/>
                </w:tcPr>
                <w:p w14:paraId="5BE22A62" w14:textId="2E5E8AB8" w:rsidR="003B174B" w:rsidRPr="003B174B" w:rsidRDefault="003B174B" w:rsidP="003B174B">
                  <w:pPr>
                    <w:pStyle w:val="TableBodyText"/>
                  </w:pPr>
                  <w:r w:rsidRPr="003B174B">
                    <w:t>180</w:t>
                  </w:r>
                </w:p>
              </w:tc>
              <w:tc>
                <w:tcPr>
                  <w:tcW w:w="493" w:type="pct"/>
                  <w:tcBorders>
                    <w:bottom w:val="single" w:sz="6" w:space="0" w:color="auto"/>
                  </w:tcBorders>
                  <w:vAlign w:val="bottom"/>
                </w:tcPr>
                <w:p w14:paraId="320C96CE" w14:textId="7BFC937A" w:rsidR="003B174B" w:rsidRPr="003B174B" w:rsidRDefault="003B174B" w:rsidP="003B174B">
                  <w:pPr>
                    <w:pStyle w:val="TableBodyText"/>
                  </w:pPr>
                  <w:r w:rsidRPr="003B174B">
                    <w:t>99</w:t>
                  </w:r>
                </w:p>
              </w:tc>
              <w:tc>
                <w:tcPr>
                  <w:tcW w:w="493" w:type="pct"/>
                  <w:tcBorders>
                    <w:bottom w:val="single" w:sz="6" w:space="0" w:color="auto"/>
                  </w:tcBorders>
                  <w:vAlign w:val="bottom"/>
                </w:tcPr>
                <w:p w14:paraId="518B18F6" w14:textId="23B298F9" w:rsidR="003B174B" w:rsidRPr="003B174B" w:rsidRDefault="003B174B" w:rsidP="003B174B">
                  <w:pPr>
                    <w:pStyle w:val="TableBodyText"/>
                  </w:pPr>
                  <w:r w:rsidRPr="003B174B">
                    <w:t>62</w:t>
                  </w:r>
                </w:p>
              </w:tc>
              <w:tc>
                <w:tcPr>
                  <w:tcW w:w="493" w:type="pct"/>
                  <w:tcBorders>
                    <w:bottom w:val="single" w:sz="6" w:space="0" w:color="auto"/>
                  </w:tcBorders>
                  <w:vAlign w:val="bottom"/>
                </w:tcPr>
                <w:p w14:paraId="3A5BFA13" w14:textId="15A34048" w:rsidR="003B174B" w:rsidRPr="003B174B" w:rsidRDefault="003B174B" w:rsidP="003B174B">
                  <w:pPr>
                    <w:pStyle w:val="TableBodyText"/>
                  </w:pPr>
                  <w:r w:rsidRPr="003B174B">
                    <w:t>18</w:t>
                  </w:r>
                </w:p>
              </w:tc>
              <w:tc>
                <w:tcPr>
                  <w:tcW w:w="492" w:type="pct"/>
                  <w:tcBorders>
                    <w:bottom w:val="single" w:sz="6" w:space="0" w:color="auto"/>
                  </w:tcBorders>
                  <w:vAlign w:val="bottom"/>
                </w:tcPr>
                <w:p w14:paraId="62ED6304" w14:textId="32E5C9FF" w:rsidR="003B174B" w:rsidRPr="003B174B" w:rsidRDefault="003B174B" w:rsidP="003B174B">
                  <w:pPr>
                    <w:pStyle w:val="TableBodyText"/>
                  </w:pPr>
                  <w:r w:rsidRPr="003B174B">
                    <w:t>19</w:t>
                  </w:r>
                </w:p>
              </w:tc>
              <w:tc>
                <w:tcPr>
                  <w:tcW w:w="494" w:type="pct"/>
                  <w:tcBorders>
                    <w:bottom w:val="single" w:sz="6" w:space="0" w:color="auto"/>
                  </w:tcBorders>
                  <w:vAlign w:val="bottom"/>
                </w:tcPr>
                <w:p w14:paraId="79E1162A" w14:textId="34830C30" w:rsidR="003B174B" w:rsidRPr="003B174B" w:rsidRDefault="003B174B" w:rsidP="00BE38D2">
                  <w:pPr>
                    <w:pStyle w:val="TableBodyText"/>
                  </w:pPr>
                  <w:r w:rsidRPr="003B174B">
                    <w:t>16</w:t>
                  </w:r>
                </w:p>
              </w:tc>
            </w:tr>
          </w:tbl>
          <w:p w14:paraId="42461A5C" w14:textId="6A856AF1" w:rsidR="00D452A4" w:rsidRDefault="00D452A4" w:rsidP="00FD2E38">
            <w:pPr>
              <w:pStyle w:val="Box"/>
            </w:pPr>
            <w:r>
              <w:t>Expenditure below the first threshold is reimbursed at 50 per cent for category A and C measures (no reimbursement is provided for category B measures below this threshold). Any portion of expenditure between the first and second thresholds is reimbursed at 50 per cent, and any expenditure that exceeds the second threshold at 75 per cent (for categories A, B and C). Commonwealth assistance for category D (exceptional circumstances) measures is generally determined separately on a case</w:t>
            </w:r>
            <w:r w:rsidR="00F11975">
              <w:noBreakHyphen/>
            </w:r>
            <w:r>
              <w:t>by</w:t>
            </w:r>
            <w:r w:rsidR="004B0343">
              <w:t>-</w:t>
            </w:r>
            <w:r>
              <w:t>case basis.</w:t>
            </w:r>
          </w:p>
          <w:p w14:paraId="166E096D" w14:textId="3301D4DA" w:rsidR="00D452A4" w:rsidRDefault="004B0343" w:rsidP="00965B0F">
            <w:pPr>
              <w:pStyle w:val="FootnoteText"/>
            </w:pPr>
            <w:r w:rsidRPr="004B0343">
              <w:rPr>
                <w:rStyle w:val="NoteLabel"/>
              </w:rPr>
              <w:t>a</w:t>
            </w:r>
            <w:r>
              <w:rPr>
                <w:rStyle w:val="NoteLabel"/>
              </w:rPr>
              <w:t xml:space="preserve"> </w:t>
            </w:r>
            <w:r w:rsidR="00D452A4">
              <w:t xml:space="preserve">A natural disaster must meet the ‘small disaster criterion’, </w:t>
            </w:r>
            <w:r w:rsidR="00965B0F">
              <w:t>namely generate</w:t>
            </w:r>
            <w:r w:rsidR="002D6D8B">
              <w:t xml:space="preserve"> state expenditure </w:t>
            </w:r>
            <w:r w:rsidR="00D452A4">
              <w:t>of over $240 000, to be included as eligible expenditure.</w:t>
            </w:r>
          </w:p>
        </w:tc>
      </w:tr>
      <w:tr w:rsidR="00FD2E38" w14:paraId="680F7DDF" w14:textId="77777777">
        <w:trPr>
          <w:cantSplit/>
        </w:trPr>
        <w:tc>
          <w:tcPr>
            <w:tcW w:w="8771" w:type="dxa"/>
            <w:tcBorders>
              <w:top w:val="nil"/>
              <w:left w:val="single" w:sz="6" w:space="0" w:color="auto"/>
              <w:bottom w:val="single" w:sz="6" w:space="0" w:color="auto"/>
              <w:right w:val="single" w:sz="6" w:space="0" w:color="auto"/>
            </w:tcBorders>
          </w:tcPr>
          <w:p w14:paraId="547D5AC1" w14:textId="77777777" w:rsidR="00FD2E38" w:rsidRDefault="00FD2E38">
            <w:pPr>
              <w:pStyle w:val="Box"/>
              <w:spacing w:before="0" w:line="120" w:lineRule="exact"/>
            </w:pPr>
          </w:p>
        </w:tc>
      </w:tr>
      <w:tr w:rsidR="00FD2E38" w:rsidRPr="000863A5" w14:paraId="404F8CD1" w14:textId="77777777">
        <w:tc>
          <w:tcPr>
            <w:tcW w:w="8771" w:type="dxa"/>
            <w:tcBorders>
              <w:top w:val="nil"/>
              <w:left w:val="nil"/>
              <w:bottom w:val="nil"/>
              <w:right w:val="nil"/>
            </w:tcBorders>
          </w:tcPr>
          <w:p w14:paraId="355CB319" w14:textId="071FFCDD" w:rsidR="00FD2E38" w:rsidRPr="00626D32" w:rsidRDefault="00FD2E38" w:rsidP="00965B0F">
            <w:pPr>
              <w:pStyle w:val="BoxSpaceBelow"/>
            </w:pPr>
          </w:p>
        </w:tc>
      </w:tr>
    </w:tbl>
    <w:p w14:paraId="23F74B47" w14:textId="1B648BAD" w:rsidR="00BC41E0" w:rsidRDefault="00BC41E0" w:rsidP="001D4F37">
      <w:pPr>
        <w:pStyle w:val="BodyText"/>
      </w:pPr>
      <w:r>
        <w:t xml:space="preserve">State and territory governments are also required to meet </w:t>
      </w:r>
      <w:r w:rsidR="002D6D8B">
        <w:t xml:space="preserve">certain </w:t>
      </w:r>
      <w:r>
        <w:t xml:space="preserve">eligibility criteria. </w:t>
      </w:r>
      <w:r w:rsidR="00D8195E">
        <w:t>These include</w:t>
      </w:r>
      <w:r>
        <w:t xml:space="preserve"> adequate access to capital to fund infrastructure losses (such as insurance), </w:t>
      </w:r>
      <w:r w:rsidR="00D8195E">
        <w:t xml:space="preserve">to </w:t>
      </w:r>
      <w:r>
        <w:t xml:space="preserve">submit independent assessments of their insurance arrangements to the Australian Government, and </w:t>
      </w:r>
      <w:r w:rsidR="00D8195E">
        <w:t xml:space="preserve">to </w:t>
      </w:r>
      <w:r>
        <w:t>develop and implement disaster</w:t>
      </w:r>
      <w:r>
        <w:noBreakHyphen/>
        <w:t xml:space="preserve">mitigation strategies. Further, the financial assistance provided under the NDRRA ‘is intended </w:t>
      </w:r>
      <w:r>
        <w:lastRenderedPageBreak/>
        <w:t>to be directed to state measures that complement other strategies in relation to natural disasters, such as insurance and disaster mitigation planning and implementation’ (</w:t>
      </w:r>
      <w:r w:rsidR="00F11975" w:rsidRPr="00F11975">
        <w:t>Attorney-General’s Department 2012b</w:t>
      </w:r>
      <w:r w:rsidR="00F11975">
        <w:t>, p. 1</w:t>
      </w:r>
      <w:r>
        <w:t>).</w:t>
      </w:r>
    </w:p>
    <w:p w14:paraId="610FAD58" w14:textId="748E5134" w:rsidR="00D9014B" w:rsidRDefault="00F449EC" w:rsidP="001D4F37">
      <w:pPr>
        <w:pStyle w:val="BodyText"/>
      </w:pPr>
      <w:r>
        <w:t xml:space="preserve">The NDRRA </w:t>
      </w:r>
      <w:r w:rsidR="004057C5">
        <w:t xml:space="preserve">are </w:t>
      </w:r>
      <w:r w:rsidR="003825E4">
        <w:t xml:space="preserve">currently treated as </w:t>
      </w:r>
      <w:r>
        <w:t xml:space="preserve">a contingent liability for the Australian Government. </w:t>
      </w:r>
      <w:r w:rsidR="007D61BD">
        <w:t>Budget forward estimates include payments to states and territories in response to recent and past natural disasters</w:t>
      </w:r>
      <w:r w:rsidR="001063D7">
        <w:t xml:space="preserve"> (on a cash and accrual basis). </w:t>
      </w:r>
      <w:r w:rsidR="00D8195E">
        <w:t>N</w:t>
      </w:r>
      <w:r w:rsidR="006445C0">
        <w:t xml:space="preserve">o provision is made in </w:t>
      </w:r>
      <w:r w:rsidR="00E9135F">
        <w:t>Australian Government</w:t>
      </w:r>
      <w:r w:rsidR="003825E4">
        <w:t xml:space="preserve"> </w:t>
      </w:r>
      <w:r w:rsidR="006445C0">
        <w:t xml:space="preserve">budget forward estimates for </w:t>
      </w:r>
      <w:r w:rsidR="007D61BD">
        <w:t xml:space="preserve">potential </w:t>
      </w:r>
      <w:r w:rsidR="006445C0">
        <w:t xml:space="preserve">future </w:t>
      </w:r>
      <w:r w:rsidR="007D61BD">
        <w:t>natural disasters</w:t>
      </w:r>
      <w:r w:rsidR="006445C0">
        <w:t>.</w:t>
      </w:r>
      <w:r w:rsidR="001D4F37">
        <w:t xml:space="preserve"> </w:t>
      </w:r>
    </w:p>
    <w:p w14:paraId="3179FEE8" w14:textId="77777777" w:rsidR="001D4F37" w:rsidRDefault="001D4F37" w:rsidP="001D4F37">
      <w:pPr>
        <w:pStyle w:val="BodyText"/>
      </w:pPr>
      <w:r>
        <w:t xml:space="preserve">In recent years the costs of the </w:t>
      </w:r>
      <w:r w:rsidR="002238A2">
        <w:t>A</w:t>
      </w:r>
      <w:r>
        <w:t>rrangements have been at historically high levels. For example, over $5 billion has been reimbursed to Queensland (up to 2012</w:t>
      </w:r>
      <w:r>
        <w:noBreakHyphen/>
        <w:t xml:space="preserve">13) since </w:t>
      </w:r>
      <w:r w:rsidR="00D9014B">
        <w:t xml:space="preserve">the </w:t>
      </w:r>
      <w:r>
        <w:t xml:space="preserve">major floods and cyclones </w:t>
      </w:r>
      <w:r w:rsidR="00EE1FBB">
        <w:t>in</w:t>
      </w:r>
      <w:r>
        <w:t xml:space="preserve"> 2010</w:t>
      </w:r>
      <w:r>
        <w:noBreakHyphen/>
        <w:t>11, and around $775 million to Victoria following the 2009 bushfires and 2011 floods (figure</w:t>
      </w:r>
      <w:r w:rsidR="00860232">
        <w:t xml:space="preserve"> </w:t>
      </w:r>
      <w:r w:rsidR="002D6D8B">
        <w:t>4</w:t>
      </w:r>
      <w:r>
        <w:t>). The majority of this expenditure has been for the restoration or replacement of essential public assets, especially damaged roads.</w:t>
      </w:r>
    </w:p>
    <w:p w14:paraId="3034E060" w14:textId="1523499A" w:rsidR="001D4F37" w:rsidRDefault="001D4F37" w:rsidP="001D4F37">
      <w:pPr>
        <w:pStyle w:val="FigureTitle"/>
        <w:rPr>
          <w:b w:val="0"/>
          <w:position w:val="6"/>
          <w:sz w:val="18"/>
        </w:rPr>
      </w:pPr>
      <w:r w:rsidRPr="00860232">
        <w:rPr>
          <w:b w:val="0"/>
          <w:sz w:val="26"/>
          <w:szCs w:val="26"/>
        </w:rPr>
        <w:t xml:space="preserve">Figure </w:t>
      </w:r>
      <w:r w:rsidR="002D6D8B" w:rsidRPr="00024BF3">
        <w:rPr>
          <w:b w:val="0"/>
          <w:sz w:val="26"/>
          <w:szCs w:val="26"/>
        </w:rPr>
        <w:t>4</w:t>
      </w:r>
      <w:r w:rsidRPr="00860232">
        <w:rPr>
          <w:sz w:val="26"/>
          <w:szCs w:val="26"/>
        </w:rPr>
        <w:tab/>
        <w:t>Australian Government NDRRA payments</w:t>
      </w:r>
      <w:r w:rsidR="000B2564">
        <w:rPr>
          <w:sz w:val="26"/>
          <w:szCs w:val="26"/>
        </w:rPr>
        <w:t>, 1999–2016</w:t>
      </w:r>
      <w:r w:rsidRPr="000B2564">
        <w:rPr>
          <w:rStyle w:val="NoteLabel"/>
          <w:b/>
        </w:rPr>
        <w:t>a</w:t>
      </w:r>
    </w:p>
    <w:tbl>
      <w:tblPr>
        <w:tblW w:w="0" w:type="auto"/>
        <w:tblInd w:w="11" w:type="dxa"/>
        <w:tblBorders>
          <w:top w:val="single" w:sz="6" w:space="0" w:color="auto"/>
          <w:bottom w:val="single" w:sz="6" w:space="0" w:color="auto"/>
        </w:tblBorders>
        <w:tblLayout w:type="fixed"/>
        <w:tblCellMar>
          <w:left w:w="0" w:type="dxa"/>
          <w:right w:w="0" w:type="dxa"/>
        </w:tblCellMar>
        <w:tblLook w:val="04A0" w:firstRow="1" w:lastRow="0" w:firstColumn="1" w:lastColumn="0" w:noHBand="0" w:noVBand="1"/>
      </w:tblPr>
      <w:tblGrid>
        <w:gridCol w:w="8777"/>
      </w:tblGrid>
      <w:tr w:rsidR="001D4F37" w14:paraId="0026DDAF" w14:textId="77777777" w:rsidTr="001D4F37">
        <w:tc>
          <w:tcPr>
            <w:tcW w:w="8777" w:type="dxa"/>
            <w:tcBorders>
              <w:top w:val="single" w:sz="6" w:space="0" w:color="auto"/>
              <w:left w:val="nil"/>
              <w:bottom w:val="single" w:sz="6" w:space="0" w:color="auto"/>
              <w:right w:val="nil"/>
            </w:tcBorders>
            <w:hideMark/>
          </w:tcPr>
          <w:p w14:paraId="77909166" w14:textId="2DCDCC4D" w:rsidR="001D4F37" w:rsidRDefault="00CA68E8">
            <w:pPr>
              <w:pStyle w:val="Figure"/>
            </w:pPr>
            <w:r>
              <w:rPr>
                <w:noProof/>
              </w:rPr>
              <w:drawing>
                <wp:inline distT="0" distB="0" distL="0" distR="0" wp14:anchorId="29789D93" wp14:editId="0ADC98A9">
                  <wp:extent cx="5572125" cy="2867025"/>
                  <wp:effectExtent l="0" t="0" r="9525" b="9525"/>
                  <wp:docPr id="9" name="Picture 9" descr="This figure shows estimated Australian Government NDRRA payments over the period 1999 to 2016. For each year (ended June), the figure shows the breakdown of payments to Queensland, Victoria and other states and territories. Over the period 1999 to 2010, aggregate NDRRA payments were $1.1 billion. Over the period 2011 to 2016, estimated aggregate NDRRA payments are $11.6 billion. The bulk of NDRRA payments during this period are going to Queensland." title="Australian Government NDRRA pay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72125" cy="2867025"/>
                          </a:xfrm>
                          <a:prstGeom prst="rect">
                            <a:avLst/>
                          </a:prstGeom>
                          <a:noFill/>
                          <a:ln>
                            <a:noFill/>
                          </a:ln>
                        </pic:spPr>
                      </pic:pic>
                    </a:graphicData>
                  </a:graphic>
                </wp:inline>
              </w:drawing>
            </w:r>
          </w:p>
        </w:tc>
      </w:tr>
    </w:tbl>
    <w:p w14:paraId="6E133E24" w14:textId="77777777" w:rsidR="001D4F37" w:rsidRDefault="001D4F37" w:rsidP="001D4F37">
      <w:pPr>
        <w:pStyle w:val="Note"/>
      </w:pPr>
      <w:r>
        <w:rPr>
          <w:rStyle w:val="NoteLabel"/>
        </w:rPr>
        <w:t>a</w:t>
      </w:r>
      <w:r>
        <w:t xml:space="preserve"> Actual cash payments to the states and territories. Some payments may relate to natural disasters that occurred in previous years. Figures for 2014–2016 are forward estimates from the 2013</w:t>
      </w:r>
      <w:r>
        <w:noBreakHyphen/>
        <w:t>14 Mid</w:t>
      </w:r>
      <w:r>
        <w:noBreakHyphen/>
        <w:t>Year Economic and Fiscal Outlook.</w:t>
      </w:r>
    </w:p>
    <w:p w14:paraId="7343D46D" w14:textId="6D42FBBC" w:rsidR="001D4F37" w:rsidRDefault="001D4F37" w:rsidP="001D4F37">
      <w:pPr>
        <w:pStyle w:val="Note"/>
      </w:pPr>
      <w:r>
        <w:rPr>
          <w:i/>
        </w:rPr>
        <w:t>Sources</w:t>
      </w:r>
      <w:r>
        <w:t>: Attorney</w:t>
      </w:r>
      <w:r>
        <w:noBreakHyphen/>
        <w:t xml:space="preserve">General’s Department </w:t>
      </w:r>
      <w:r>
        <w:rPr>
          <w:rFonts w:cs="Arial"/>
        </w:rPr>
        <w:t>(2012a)</w:t>
      </w:r>
      <w:r>
        <w:t xml:space="preserve">; Commonwealth of Australia </w:t>
      </w:r>
      <w:r>
        <w:rPr>
          <w:rFonts w:cs="Arial"/>
        </w:rPr>
        <w:t>(2013)</w:t>
      </w:r>
      <w:r>
        <w:t xml:space="preserve">; Treasury </w:t>
      </w:r>
      <w:r>
        <w:rPr>
          <w:rFonts w:cs="Arial"/>
        </w:rPr>
        <w:t>(various years)</w:t>
      </w:r>
      <w:r>
        <w:t>.</w:t>
      </w:r>
    </w:p>
    <w:p w14:paraId="0C3950AA" w14:textId="7B4F2371" w:rsidR="001D4F37" w:rsidRDefault="001D4F37" w:rsidP="001D4F37">
      <w:pPr>
        <w:pStyle w:val="BodyText"/>
      </w:pPr>
      <w:r>
        <w:t>The conditions of the NDRRA also mean that Australian Government reimbursement is only available for restoring or replacing an essential public asset to its pre</w:t>
      </w:r>
      <w:r>
        <w:noBreakHyphen/>
        <w:t xml:space="preserve">disaster standard (in accordance with current building and engineering standards), regardless of the costs or benefits of doing so. However, a ‘betterment’ </w:t>
      </w:r>
      <w:r>
        <w:lastRenderedPageBreak/>
        <w:t>clause in the determination allows for additional funding for the ‘restoration or replacement of the asset to a more disaster</w:t>
      </w:r>
      <w:r>
        <w:noBreakHyphen/>
        <w:t>resilient standard than its pre</w:t>
      </w:r>
      <w:r>
        <w:noBreakHyphen/>
        <w:t>disaster standard’ (</w:t>
      </w:r>
      <w:r w:rsidR="00F11975" w:rsidRPr="00F11975">
        <w:t>Attorney-General’s Department 2012b</w:t>
      </w:r>
      <w:r w:rsidR="00F11975">
        <w:t>, p. 4</w:t>
      </w:r>
      <w:r>
        <w:t>).</w:t>
      </w:r>
    </w:p>
    <w:p w14:paraId="0DD82F00" w14:textId="77777777" w:rsidR="001D4F37" w:rsidRDefault="001D4F37" w:rsidP="001D4F37">
      <w:pPr>
        <w:pStyle w:val="BodyText"/>
      </w:pPr>
      <w:r>
        <w:t>There have been concerns raised in recent years about whether the NDRRA are meeti</w:t>
      </w:r>
      <w:r w:rsidR="008D5D8B">
        <w:t>ng their objectives effectively, including</w:t>
      </w:r>
      <w:r>
        <w:t>:</w:t>
      </w:r>
    </w:p>
    <w:p w14:paraId="398FD10B" w14:textId="358C5360" w:rsidR="001D4F37" w:rsidRDefault="001D4F37" w:rsidP="001D4F37">
      <w:pPr>
        <w:pStyle w:val="ListBullet"/>
        <w:numPr>
          <w:ilvl w:val="0"/>
          <w:numId w:val="43"/>
        </w:numPr>
      </w:pPr>
      <w:r>
        <w:t>the</w:t>
      </w:r>
      <w:r w:rsidR="008D5D8B">
        <w:t xml:space="preserve"> size of the</w:t>
      </w:r>
      <w:r>
        <w:t xml:space="preserve"> contingent liabilit</w:t>
      </w:r>
      <w:r w:rsidR="008D5D8B">
        <w:t>y for the Australian Government</w:t>
      </w:r>
      <w:r w:rsidR="003955E1">
        <w:t xml:space="preserve"> </w:t>
      </w:r>
      <w:r w:rsidR="00466614" w:rsidRPr="00901B81">
        <w:rPr>
          <w:szCs w:val="24"/>
        </w:rPr>
        <w:t>(Deloitte Access Economics 2013; National Commission of Audit 2014a)</w:t>
      </w:r>
      <w:r w:rsidR="003955E1" w:rsidDel="003955E1">
        <w:t xml:space="preserve"> </w:t>
      </w:r>
    </w:p>
    <w:p w14:paraId="5D5355C1" w14:textId="260F9DB7" w:rsidR="001D4F37" w:rsidRDefault="001D4F37" w:rsidP="001D4F37">
      <w:pPr>
        <w:pStyle w:val="ListBullet"/>
        <w:numPr>
          <w:ilvl w:val="0"/>
          <w:numId w:val="43"/>
        </w:numPr>
      </w:pPr>
      <w:r>
        <w:t>state and territory governments are not required to assess the costs and benefits of restoring an essential public asset to its pre</w:t>
      </w:r>
      <w:r>
        <w:noBreakHyphen/>
        <w:t>disaster standard</w:t>
      </w:r>
      <w:r w:rsidR="003955E1">
        <w:t xml:space="preserve"> </w:t>
      </w:r>
      <w:r w:rsidR="009A0A9C" w:rsidRPr="00AB50AF">
        <w:rPr>
          <w:szCs w:val="24"/>
        </w:rPr>
        <w:t>(PC 2013)</w:t>
      </w:r>
    </w:p>
    <w:p w14:paraId="610DC73F" w14:textId="30059907" w:rsidR="001D4F37" w:rsidRDefault="001D4F37" w:rsidP="001D4F37">
      <w:pPr>
        <w:pStyle w:val="ListBullet"/>
        <w:numPr>
          <w:ilvl w:val="0"/>
          <w:numId w:val="43"/>
        </w:numPr>
      </w:pPr>
      <w:r>
        <w:t>the betterment provisions have rarely been used</w:t>
      </w:r>
      <w:r w:rsidR="00D8195E">
        <w:t xml:space="preserve"> </w:t>
      </w:r>
      <w:r w:rsidR="009A0A9C" w:rsidRPr="00AB50AF">
        <w:rPr>
          <w:szCs w:val="24"/>
        </w:rPr>
        <w:t>(PC 2013; Suncorp Group 2013)</w:t>
      </w:r>
    </w:p>
    <w:p w14:paraId="68A19892" w14:textId="174A0841" w:rsidR="001D4F37" w:rsidRDefault="001D4F37" w:rsidP="001D4F37">
      <w:pPr>
        <w:pStyle w:val="ListBullet"/>
        <w:numPr>
          <w:ilvl w:val="0"/>
          <w:numId w:val="43"/>
        </w:numPr>
      </w:pPr>
      <w:r>
        <w:t xml:space="preserve">the NDRRA reduce the incentives of state and territory governments to </w:t>
      </w:r>
      <w:r w:rsidR="00874835">
        <w:t xml:space="preserve">provision for and </w:t>
      </w:r>
      <w:r>
        <w:t xml:space="preserve">adequately invest in disaster mitigation or take out insurance for essential public assets, since these governments do not bear the full cost of rebuilding following a natural disaster </w:t>
      </w:r>
      <w:r>
        <w:rPr>
          <w:szCs w:val="24"/>
        </w:rPr>
        <w:t>(Department of Finance and Deregulation 2012; PC 2013)</w:t>
      </w:r>
      <w:r>
        <w:t>.</w:t>
      </w:r>
    </w:p>
    <w:p w14:paraId="1A670D55" w14:textId="1CD1597D" w:rsidR="0054767C" w:rsidRDefault="0054767C" w:rsidP="00BC41E0">
      <w:pPr>
        <w:pStyle w:val="BodyText"/>
        <w:rPr>
          <w:i/>
        </w:rPr>
      </w:pPr>
      <w:r>
        <w:rPr>
          <w:i/>
        </w:rPr>
        <w:t>What are the policy objectives of the NDRRA? Have these change</w:t>
      </w:r>
      <w:r w:rsidR="006F68E2">
        <w:rPr>
          <w:i/>
        </w:rPr>
        <w:t>d</w:t>
      </w:r>
      <w:r>
        <w:rPr>
          <w:i/>
        </w:rPr>
        <w:t xml:space="preserve"> over time? Are current arrangements consistent with the achievement of these objectives?</w:t>
      </w:r>
    </w:p>
    <w:p w14:paraId="7E7725C1" w14:textId="2662CCE1" w:rsidR="00BC41E0" w:rsidRPr="00AB50AF" w:rsidRDefault="00BC41E0" w:rsidP="00BC41E0">
      <w:pPr>
        <w:pStyle w:val="BodyText"/>
        <w:rPr>
          <w:i/>
        </w:rPr>
      </w:pPr>
      <w:r w:rsidRPr="00AB50AF">
        <w:rPr>
          <w:i/>
        </w:rPr>
        <w:t xml:space="preserve">How effective are the eligibility criteria for NDRRA reimbursement in facilitating effective and </w:t>
      </w:r>
      <w:r>
        <w:rPr>
          <w:i/>
        </w:rPr>
        <w:t>sustainable</w:t>
      </w:r>
      <w:r w:rsidRPr="00AB50AF">
        <w:rPr>
          <w:i/>
        </w:rPr>
        <w:t xml:space="preserve"> natural disaster </w:t>
      </w:r>
      <w:r w:rsidR="006F68E2">
        <w:rPr>
          <w:i/>
        </w:rPr>
        <w:t>risk management</w:t>
      </w:r>
      <w:r>
        <w:rPr>
          <w:i/>
        </w:rPr>
        <w:t>, including mitigation of possible future disasters</w:t>
      </w:r>
      <w:r w:rsidRPr="00AB50AF">
        <w:rPr>
          <w:i/>
        </w:rPr>
        <w:t>? How rigorously have these criteria been enforced? What level of oversight is provided?</w:t>
      </w:r>
    </w:p>
    <w:p w14:paraId="3BF05FF0" w14:textId="77777777" w:rsidR="00746813" w:rsidRDefault="00387EB2" w:rsidP="00AB50AF">
      <w:pPr>
        <w:pStyle w:val="BodyText"/>
        <w:rPr>
          <w:i/>
        </w:rPr>
      </w:pPr>
      <w:r w:rsidRPr="00AB50AF">
        <w:rPr>
          <w:i/>
        </w:rPr>
        <w:t>Are the thresholds for NDRRA reimbursement set at an appropriate level?</w:t>
      </w:r>
    </w:p>
    <w:p w14:paraId="2287D863" w14:textId="375A9D9E" w:rsidR="00387EB2" w:rsidRPr="00AB50AF" w:rsidRDefault="00746813" w:rsidP="00AB50AF">
      <w:pPr>
        <w:pStyle w:val="BodyText"/>
        <w:rPr>
          <w:i/>
        </w:rPr>
      </w:pPr>
      <w:r>
        <w:rPr>
          <w:i/>
        </w:rPr>
        <w:t xml:space="preserve">Is the approach of providing assistance under four categories the most appropriate way of administering Australian Government </w:t>
      </w:r>
      <w:r w:rsidR="00D53F92">
        <w:rPr>
          <w:i/>
        </w:rPr>
        <w:t>grants</w:t>
      </w:r>
      <w:r>
        <w:rPr>
          <w:i/>
        </w:rPr>
        <w:t xml:space="preserve">? </w:t>
      </w:r>
      <w:r w:rsidR="00BC41E0">
        <w:rPr>
          <w:i/>
        </w:rPr>
        <w:t>Is the way the categories are defined sensible</w:t>
      </w:r>
      <w:r>
        <w:rPr>
          <w:i/>
        </w:rPr>
        <w:t>?</w:t>
      </w:r>
      <w:r w:rsidR="00D8195E">
        <w:rPr>
          <w:i/>
        </w:rPr>
        <w:t xml:space="preserve"> </w:t>
      </w:r>
      <w:r w:rsidR="00AB50AF">
        <w:rPr>
          <w:i/>
        </w:rPr>
        <w:t>Is</w:t>
      </w:r>
      <w:r w:rsidR="00AB50AF" w:rsidRPr="00AB50AF">
        <w:rPr>
          <w:i/>
        </w:rPr>
        <w:t xml:space="preserve"> </w:t>
      </w:r>
      <w:r w:rsidR="00387EB2" w:rsidRPr="00AB50AF">
        <w:rPr>
          <w:i/>
        </w:rPr>
        <w:t xml:space="preserve">the assistance </w:t>
      </w:r>
      <w:r w:rsidR="00AB50AF">
        <w:rPr>
          <w:i/>
        </w:rPr>
        <w:t>provided under</w:t>
      </w:r>
      <w:r w:rsidR="00387EB2" w:rsidRPr="00AB50AF">
        <w:rPr>
          <w:i/>
        </w:rPr>
        <w:t xml:space="preserve"> each of the four NDRRA categories set at an appropriate level?</w:t>
      </w:r>
    </w:p>
    <w:p w14:paraId="5085210F" w14:textId="77777777" w:rsidR="00387EB2" w:rsidRDefault="00387EB2" w:rsidP="00AB50AF">
      <w:pPr>
        <w:pStyle w:val="BodyText"/>
        <w:rPr>
          <w:i/>
        </w:rPr>
      </w:pPr>
      <w:r>
        <w:rPr>
          <w:i/>
        </w:rPr>
        <w:t xml:space="preserve">Are the ‘betterment’ provisions in the NDRRA effective in encouraging recovery that </w:t>
      </w:r>
      <w:r w:rsidR="00E9086A">
        <w:rPr>
          <w:i/>
        </w:rPr>
        <w:t xml:space="preserve">develops resilience and </w:t>
      </w:r>
      <w:r>
        <w:rPr>
          <w:i/>
        </w:rPr>
        <w:t xml:space="preserve">reduces the costs of </w:t>
      </w:r>
      <w:r w:rsidR="00E9086A">
        <w:rPr>
          <w:i/>
        </w:rPr>
        <w:t xml:space="preserve">future </w:t>
      </w:r>
      <w:r>
        <w:rPr>
          <w:i/>
        </w:rPr>
        <w:t>disasters?</w:t>
      </w:r>
      <w:r w:rsidR="007E4015">
        <w:rPr>
          <w:i/>
        </w:rPr>
        <w:t xml:space="preserve"> </w:t>
      </w:r>
    </w:p>
    <w:p w14:paraId="1E522726" w14:textId="40222C1A" w:rsidR="00D85EF3" w:rsidRDefault="00D85EF3" w:rsidP="00AB50AF">
      <w:pPr>
        <w:pStyle w:val="BodyText"/>
        <w:rPr>
          <w:i/>
        </w:rPr>
      </w:pPr>
      <w:r w:rsidRPr="00AB50AF">
        <w:rPr>
          <w:i/>
        </w:rPr>
        <w:t>Are the payments to farmers and small businesses through NDRRA categories B</w:t>
      </w:r>
      <w:r w:rsidR="00CD19E9">
        <w:rPr>
          <w:i/>
        </w:rPr>
        <w:t> </w:t>
      </w:r>
      <w:r w:rsidRPr="00AB50AF">
        <w:rPr>
          <w:i/>
        </w:rPr>
        <w:t>and C justified? Are they set at appropriate levels?</w:t>
      </w:r>
    </w:p>
    <w:p w14:paraId="50B4A975" w14:textId="77777777" w:rsidR="00512FA3" w:rsidRDefault="00512FA3" w:rsidP="00512FA3">
      <w:pPr>
        <w:pStyle w:val="BodyText"/>
        <w:rPr>
          <w:i/>
        </w:rPr>
      </w:pPr>
      <w:r>
        <w:rPr>
          <w:i/>
        </w:rPr>
        <w:t>How frequently has Category D (‘exceptional circumstances’) assistance been used? What is this assistance used for and how have decisions been made?</w:t>
      </w:r>
    </w:p>
    <w:p w14:paraId="3DD5C060" w14:textId="7B128592" w:rsidR="00965B0F" w:rsidRDefault="00965B0F" w:rsidP="00512FA3">
      <w:pPr>
        <w:pStyle w:val="BodyText"/>
        <w:rPr>
          <w:i/>
        </w:rPr>
      </w:pPr>
      <w:r>
        <w:rPr>
          <w:i/>
        </w:rPr>
        <w:lastRenderedPageBreak/>
        <w:t xml:space="preserve">Is the treatment of NDRRA expenditure in the Australian Government budget appropriate? Does it lead to </w:t>
      </w:r>
      <w:r w:rsidR="006F68E2">
        <w:rPr>
          <w:i/>
        </w:rPr>
        <w:t xml:space="preserve">effective risk management and </w:t>
      </w:r>
      <w:r>
        <w:rPr>
          <w:i/>
        </w:rPr>
        <w:t>efficient allocation of resources?</w:t>
      </w:r>
    </w:p>
    <w:p w14:paraId="4C41F8AB" w14:textId="77777777" w:rsidR="006445C0" w:rsidRDefault="006445C0" w:rsidP="006445C0">
      <w:pPr>
        <w:pStyle w:val="Heading3"/>
      </w:pPr>
      <w:r>
        <w:t>National Partnership Agreement on Natural Disaster Resilience</w:t>
      </w:r>
    </w:p>
    <w:p w14:paraId="19ED9123" w14:textId="2A5D93FC" w:rsidR="002D6D8B" w:rsidRDefault="006445C0" w:rsidP="002D6D8B">
      <w:pPr>
        <w:pStyle w:val="BodyText"/>
      </w:pPr>
      <w:r>
        <w:t xml:space="preserve">Under the </w:t>
      </w:r>
      <w:r w:rsidR="00D0075D" w:rsidRPr="00D0075D">
        <w:t xml:space="preserve">National Partnership Agreement on Natural Disaster Resilience </w:t>
      </w:r>
      <w:r w:rsidR="00D0075D">
        <w:t>(</w:t>
      </w:r>
      <w:r>
        <w:t>NPANDR</w:t>
      </w:r>
      <w:r w:rsidR="00D0075D">
        <w:t>)</w:t>
      </w:r>
      <w:r>
        <w:t xml:space="preserve">, the Australian Government provides funding for disaster resilience activities by the states and territories. </w:t>
      </w:r>
      <w:r w:rsidR="003831EC">
        <w:t>The focus of this funding is on mitigation</w:t>
      </w:r>
      <w:r w:rsidR="00BC41E0">
        <w:t xml:space="preserve"> and resilience</w:t>
      </w:r>
      <w:r w:rsidR="003831EC">
        <w:t xml:space="preserve"> activities. </w:t>
      </w:r>
      <w:r w:rsidR="002D6D8B">
        <w:t>Projects funded under the NPANDR are required to contribute to the community’s resilience to natural disasters</w:t>
      </w:r>
      <w:r w:rsidR="00966171">
        <w:t>,</w:t>
      </w:r>
      <w:r w:rsidR="002D6D8B">
        <w:t xml:space="preserve"> including by reducing the impact of disasters, improving emergency management capability and supporting volunteers. </w:t>
      </w:r>
    </w:p>
    <w:p w14:paraId="49E5BD76" w14:textId="7A02CB3E" w:rsidR="006445C0" w:rsidRDefault="006445C0" w:rsidP="006445C0">
      <w:pPr>
        <w:pStyle w:val="BodyText"/>
      </w:pPr>
      <w:r>
        <w:t xml:space="preserve">The NPANDR was signed by the Australian, state and territory governments in December 2009, with initial funding from the Commonwealth of $100 million spread over four years </w:t>
      </w:r>
      <w:r>
        <w:rPr>
          <w:szCs w:val="24"/>
        </w:rPr>
        <w:t>(COAG 2009)</w:t>
      </w:r>
      <w:r>
        <w:t>.</w:t>
      </w:r>
      <w:r w:rsidR="00C8750D">
        <w:t xml:space="preserve"> It replaced several existing programs that provided funding for natural disaster mitigation and resilience.</w:t>
      </w:r>
      <w:r>
        <w:t xml:space="preserve"> The agreement expired on 30 June 2013, and a new </w:t>
      </w:r>
      <w:r w:rsidR="008D5D8B">
        <w:t>two</w:t>
      </w:r>
      <w:r w:rsidR="008D5D8B">
        <w:noBreakHyphen/>
        <w:t xml:space="preserve">year </w:t>
      </w:r>
      <w:r>
        <w:t xml:space="preserve">Agreement was signed on 5 March 2014 with </w:t>
      </w:r>
      <w:r w:rsidR="00D0075D">
        <w:t xml:space="preserve">Australian Government </w:t>
      </w:r>
      <w:r>
        <w:t>funding of up to $52.2</w:t>
      </w:r>
      <w:r w:rsidR="00F873EC">
        <w:t> </w:t>
      </w:r>
      <w:r>
        <w:t>million for the 2013</w:t>
      </w:r>
      <w:r>
        <w:noBreakHyphen/>
        <w:t>14</w:t>
      </w:r>
      <w:r w:rsidR="00274C3E">
        <w:t> </w:t>
      </w:r>
      <w:r>
        <w:t>and 2014</w:t>
      </w:r>
      <w:r>
        <w:noBreakHyphen/>
        <w:t xml:space="preserve">15 financial years. </w:t>
      </w:r>
    </w:p>
    <w:p w14:paraId="090A68EE" w14:textId="6869A664" w:rsidR="0071156C" w:rsidRDefault="006445C0" w:rsidP="006445C0">
      <w:pPr>
        <w:pStyle w:val="BodyText"/>
      </w:pPr>
      <w:r>
        <w:t xml:space="preserve">The </w:t>
      </w:r>
      <w:r w:rsidR="00AB50AF">
        <w:t xml:space="preserve">current </w:t>
      </w:r>
      <w:r w:rsidR="00441EF1">
        <w:t xml:space="preserve">and previous </w:t>
      </w:r>
      <w:r>
        <w:t xml:space="preserve">NPANDR require each state or territory to </w:t>
      </w:r>
      <w:r w:rsidR="00AB50AF">
        <w:t xml:space="preserve">publish </w:t>
      </w:r>
      <w:r>
        <w:t>a natural disaster risk assessment and agree an implementation plan with the Australian Government. The Australian Government commits funding equal to 50 per cent of the estimated costs of activities specified in the implementation plans, up to a cap</w:t>
      </w:r>
      <w:r w:rsidR="00DD0B25">
        <w:t>. The cap is set for each state and is based on the state’s population, cost of disasters and relative disadvantage. The annual caps under the current agreement range from $1.3 million for Tas</w:t>
      </w:r>
      <w:r w:rsidR="008A58E8">
        <w:t>mania and the Territories to $6</w:t>
      </w:r>
      <w:r w:rsidR="00DD0B25">
        <w:t>.8 million for New South Wales.</w:t>
      </w:r>
    </w:p>
    <w:p w14:paraId="61D93179" w14:textId="2742D3D3" w:rsidR="006445C0" w:rsidRDefault="006445C0" w:rsidP="006445C0">
      <w:pPr>
        <w:pStyle w:val="BodyText"/>
      </w:pPr>
      <w:r>
        <w:t>Australian Government spending on the NPANDR is small relative to natural disaster recovery</w:t>
      </w:r>
      <w:r w:rsidR="008A58E8">
        <w:t xml:space="preserve"> expe</w:t>
      </w:r>
      <w:r w:rsidR="006F68E2">
        <w:t>nditure</w:t>
      </w:r>
      <w:r>
        <w:t xml:space="preserve">. </w:t>
      </w:r>
      <w:r w:rsidR="008622DE">
        <w:t>Under the 2009 Agreement, m</w:t>
      </w:r>
      <w:r>
        <w:t xml:space="preserve">any of the funds </w:t>
      </w:r>
      <w:r w:rsidR="008622DE">
        <w:t>were</w:t>
      </w:r>
      <w:r>
        <w:t xml:space="preserve"> spent on projects relating to emergency services capability and risk assessment rather than physical mitigation infrastructure. Some jurisdictions also cap</w:t>
      </w:r>
      <w:r w:rsidR="008622DE">
        <w:t>ped</w:t>
      </w:r>
      <w:r>
        <w:t xml:space="preserve"> the amount of funds distributed to individual projects (for example, </w:t>
      </w:r>
      <w:r w:rsidR="00C53FBC">
        <w:t xml:space="preserve">grants generally </w:t>
      </w:r>
      <w:r w:rsidR="008622DE">
        <w:t xml:space="preserve">did </w:t>
      </w:r>
      <w:r w:rsidR="00C53FBC">
        <w:t xml:space="preserve">not exceed </w:t>
      </w:r>
      <w:r>
        <w:t>$250 000 in Victoria</w:t>
      </w:r>
      <w:r w:rsidR="00C53FBC">
        <w:t xml:space="preserve"> </w:t>
      </w:r>
      <w:r w:rsidR="00C53FBC" w:rsidRPr="00C53FBC">
        <w:rPr>
          <w:szCs w:val="24"/>
        </w:rPr>
        <w:t>(Victorian Government 2013)</w:t>
      </w:r>
      <w:r>
        <w:t>).</w:t>
      </w:r>
    </w:p>
    <w:p w14:paraId="644BDDC6" w14:textId="333EA190" w:rsidR="00540327" w:rsidRDefault="00540327" w:rsidP="00540327">
      <w:pPr>
        <w:pStyle w:val="BodyText"/>
      </w:pPr>
      <w:r>
        <w:t>Aside from the NPANDR, the Australian Government has also funded some natural disaster mitigation projects (undertaken by local governments, community groups and others) through other infrastructure schemes. These include</w:t>
      </w:r>
      <w:r w:rsidR="008622DE">
        <w:t xml:space="preserve"> National Emergency Management Project grants,</w:t>
      </w:r>
      <w:r>
        <w:t xml:space="preserve"> the Regional Development Australia Fund, </w:t>
      </w:r>
      <w:r w:rsidR="00274C3E">
        <w:lastRenderedPageBreak/>
        <w:t xml:space="preserve">the </w:t>
      </w:r>
      <w:r>
        <w:t xml:space="preserve">Building Better Regional Cities Program and </w:t>
      </w:r>
      <w:r w:rsidR="00274C3E">
        <w:t xml:space="preserve">the </w:t>
      </w:r>
      <w:r>
        <w:t>Local Government Reform Fund.</w:t>
      </w:r>
    </w:p>
    <w:p w14:paraId="4D87E792" w14:textId="77777777" w:rsidR="009A0A9C" w:rsidRDefault="009A0A9C" w:rsidP="009A0A9C">
      <w:pPr>
        <w:pStyle w:val="BodyText"/>
        <w:rPr>
          <w:i/>
        </w:rPr>
      </w:pPr>
      <w:r>
        <w:rPr>
          <w:i/>
        </w:rPr>
        <w:t xml:space="preserve">How effective have NPANDR funded projects been at </w:t>
      </w:r>
      <w:r w:rsidR="004C4F8D">
        <w:rPr>
          <w:i/>
        </w:rPr>
        <w:t xml:space="preserve">promoting resilient communities and </w:t>
      </w:r>
      <w:r>
        <w:rPr>
          <w:i/>
        </w:rPr>
        <w:t xml:space="preserve">reducing the impacts and costs of natural disasters? </w:t>
      </w:r>
      <w:r w:rsidR="00D53F92">
        <w:rPr>
          <w:i/>
        </w:rPr>
        <w:t xml:space="preserve">Is the focus appropriate? </w:t>
      </w:r>
      <w:r w:rsidR="004C4F8D">
        <w:rPr>
          <w:i/>
        </w:rPr>
        <w:t xml:space="preserve">Have </w:t>
      </w:r>
      <w:r>
        <w:rPr>
          <w:i/>
        </w:rPr>
        <w:t>evaluations been undertaken of these projects and are these publicly available?</w:t>
      </w:r>
    </w:p>
    <w:p w14:paraId="71CBA26E" w14:textId="6B21F017" w:rsidR="009A0A9C" w:rsidRDefault="009A0A9C" w:rsidP="00540327">
      <w:pPr>
        <w:pStyle w:val="BodyText"/>
        <w:rPr>
          <w:i/>
        </w:rPr>
      </w:pPr>
      <w:r>
        <w:rPr>
          <w:i/>
        </w:rPr>
        <w:t xml:space="preserve">What limits have been placed on grant amounts by individual state or territory governments? </w:t>
      </w:r>
      <w:r w:rsidR="004C4F8D">
        <w:rPr>
          <w:i/>
        </w:rPr>
        <w:t xml:space="preserve">What is the rationale for setting individual grant limits? What have been their consequences (e.g. </w:t>
      </w:r>
      <w:r w:rsidR="00F14BC4">
        <w:rPr>
          <w:i/>
        </w:rPr>
        <w:t>h</w:t>
      </w:r>
      <w:r>
        <w:rPr>
          <w:i/>
        </w:rPr>
        <w:t xml:space="preserve">ave projects with </w:t>
      </w:r>
      <w:r w:rsidR="00622076">
        <w:rPr>
          <w:i/>
        </w:rPr>
        <w:t>large</w:t>
      </w:r>
      <w:r w:rsidR="00A52954">
        <w:rPr>
          <w:i/>
        </w:rPr>
        <w:t xml:space="preserve"> net</w:t>
      </w:r>
      <w:r>
        <w:rPr>
          <w:i/>
        </w:rPr>
        <w:t xml:space="preserve"> benefits not receiv</w:t>
      </w:r>
      <w:r w:rsidR="004C4F8D">
        <w:rPr>
          <w:i/>
        </w:rPr>
        <w:t>ed</w:t>
      </w:r>
      <w:r>
        <w:rPr>
          <w:i/>
        </w:rPr>
        <w:t xml:space="preserve"> funding</w:t>
      </w:r>
      <w:r w:rsidR="004C4F8D">
        <w:rPr>
          <w:i/>
        </w:rPr>
        <w:t>)</w:t>
      </w:r>
      <w:r>
        <w:rPr>
          <w:i/>
        </w:rPr>
        <w:t>?</w:t>
      </w:r>
    </w:p>
    <w:p w14:paraId="2C23405C" w14:textId="0F4B98FB" w:rsidR="00D53F92" w:rsidRDefault="00D53F92" w:rsidP="00D53F92">
      <w:pPr>
        <w:pStyle w:val="BodyText"/>
        <w:rPr>
          <w:i/>
        </w:rPr>
      </w:pPr>
      <w:r>
        <w:rPr>
          <w:i/>
        </w:rPr>
        <w:t xml:space="preserve">What is the most efficient way of allocating funding </w:t>
      </w:r>
      <w:r w:rsidR="00274C3E">
        <w:rPr>
          <w:i/>
        </w:rPr>
        <w:t xml:space="preserve">— </w:t>
      </w:r>
      <w:r>
        <w:rPr>
          <w:i/>
        </w:rPr>
        <w:t xml:space="preserve">between states and within states </w:t>
      </w:r>
      <w:r w:rsidR="00274C3E">
        <w:rPr>
          <w:i/>
        </w:rPr>
        <w:t xml:space="preserve">— </w:t>
      </w:r>
      <w:r>
        <w:rPr>
          <w:i/>
        </w:rPr>
        <w:t>under this national partnership?</w:t>
      </w:r>
    </w:p>
    <w:p w14:paraId="5F68E090" w14:textId="69E635EC" w:rsidR="00D53F92" w:rsidRDefault="00D53F92" w:rsidP="00D53F92">
      <w:pPr>
        <w:pStyle w:val="BodyText"/>
        <w:rPr>
          <w:i/>
        </w:rPr>
      </w:pPr>
      <w:r>
        <w:rPr>
          <w:i/>
        </w:rPr>
        <w:t xml:space="preserve">Is the amount of funding under the NPANDR adequate? How should the </w:t>
      </w:r>
      <w:r w:rsidR="00F14BC4">
        <w:rPr>
          <w:i/>
        </w:rPr>
        <w:t xml:space="preserve">Australian Government </w:t>
      </w:r>
      <w:r w:rsidR="00966171">
        <w:rPr>
          <w:i/>
        </w:rPr>
        <w:t xml:space="preserve">determine how much it </w:t>
      </w:r>
      <w:r>
        <w:rPr>
          <w:i/>
        </w:rPr>
        <w:t>contribute</w:t>
      </w:r>
      <w:r w:rsidR="00966171">
        <w:rPr>
          <w:i/>
        </w:rPr>
        <w:t>s</w:t>
      </w:r>
      <w:r>
        <w:rPr>
          <w:i/>
        </w:rPr>
        <w:t xml:space="preserve"> to disaster </w:t>
      </w:r>
      <w:r w:rsidR="00F14BC4">
        <w:rPr>
          <w:i/>
        </w:rPr>
        <w:t xml:space="preserve">mitigation and </w:t>
      </w:r>
      <w:r>
        <w:rPr>
          <w:i/>
        </w:rPr>
        <w:t>resilience activities?</w:t>
      </w:r>
    </w:p>
    <w:p w14:paraId="557BD7AB" w14:textId="389FBC2A" w:rsidR="00F873EC" w:rsidRDefault="00F873EC" w:rsidP="00D53F92">
      <w:pPr>
        <w:pStyle w:val="BodyText"/>
        <w:rPr>
          <w:i/>
        </w:rPr>
      </w:pPr>
      <w:r>
        <w:rPr>
          <w:i/>
        </w:rPr>
        <w:t xml:space="preserve">Is the balance of Australian Government funding on mitigation </w:t>
      </w:r>
      <w:r w:rsidR="00F14BC4">
        <w:rPr>
          <w:i/>
        </w:rPr>
        <w:t xml:space="preserve">and resilience </w:t>
      </w:r>
      <w:r>
        <w:rPr>
          <w:i/>
        </w:rPr>
        <w:t>activities relative to recovery activities appropriate?</w:t>
      </w:r>
      <w:r w:rsidR="00AA3DFE">
        <w:rPr>
          <w:i/>
        </w:rPr>
        <w:t xml:space="preserve"> How should this assessment be made?</w:t>
      </w:r>
    </w:p>
    <w:p w14:paraId="0B0D8F6B" w14:textId="100489AF" w:rsidR="00C8750D" w:rsidRDefault="004C4F8D" w:rsidP="00D53F92">
      <w:pPr>
        <w:pStyle w:val="BodyText"/>
        <w:rPr>
          <w:i/>
        </w:rPr>
      </w:pPr>
      <w:r>
        <w:rPr>
          <w:i/>
        </w:rPr>
        <w:t>How effectively d</w:t>
      </w:r>
      <w:r w:rsidR="00C8750D">
        <w:rPr>
          <w:i/>
        </w:rPr>
        <w:t xml:space="preserve">oes the National Emergency Management Projects program contribute </w:t>
      </w:r>
      <w:r w:rsidR="00F14BC4">
        <w:rPr>
          <w:i/>
        </w:rPr>
        <w:t>to</w:t>
      </w:r>
      <w:r w:rsidR="003D00CE">
        <w:rPr>
          <w:i/>
        </w:rPr>
        <w:t xml:space="preserve"> </w:t>
      </w:r>
      <w:r w:rsidR="00C8750D">
        <w:rPr>
          <w:i/>
        </w:rPr>
        <w:t>sustainable natural disaster mitigation and resilience?</w:t>
      </w:r>
    </w:p>
    <w:p w14:paraId="1BA7841E" w14:textId="1922C4A3" w:rsidR="006445C0" w:rsidRDefault="006445C0" w:rsidP="006445C0">
      <w:pPr>
        <w:pStyle w:val="Heading3"/>
      </w:pPr>
      <w:r>
        <w:t xml:space="preserve">Australian Government assistance to </w:t>
      </w:r>
      <w:r w:rsidR="00F14BC4">
        <w:t>individuals</w:t>
      </w:r>
    </w:p>
    <w:p w14:paraId="04842567" w14:textId="4441299E" w:rsidR="006445C0" w:rsidRDefault="006445C0" w:rsidP="00B73B23">
      <w:pPr>
        <w:pStyle w:val="BodyText"/>
      </w:pPr>
      <w:r>
        <w:t>The Australian Government provides financial assistance to households through the Australian Government Disaster Recovery Payment (AGDRP) and the Disaster Recovery Allowance</w:t>
      </w:r>
      <w:r w:rsidR="00967EC6">
        <w:t xml:space="preserve"> (DRA)</w:t>
      </w:r>
      <w:r>
        <w:t>.</w:t>
      </w:r>
    </w:p>
    <w:p w14:paraId="5C9BA43A" w14:textId="22EDFD99" w:rsidR="00325D04" w:rsidRDefault="006445C0" w:rsidP="004C4F8D">
      <w:pPr>
        <w:pStyle w:val="BodyText"/>
      </w:pPr>
      <w:r>
        <w:t>The AGDRP is a one-off, non means</w:t>
      </w:r>
      <w:r>
        <w:noBreakHyphen/>
        <w:t xml:space="preserve">tested payment of $1000 for eligible adults and $400 for eligible children who are adversely affected by a major disaster. </w:t>
      </w:r>
      <w:r w:rsidR="00756034">
        <w:t>Governments have applied different definitions of ‘adversely affected’ for particular disasters, leading to variations in the eligibility criteria for AGDRP assistance.</w:t>
      </w:r>
      <w:r w:rsidR="00C53FBC">
        <w:t xml:space="preserve"> </w:t>
      </w:r>
      <w:r w:rsidR="00325D04">
        <w:t>Expenditure on the payment has varied signi</w:t>
      </w:r>
      <w:r w:rsidR="00542451">
        <w:t>ficantly in recent years (table </w:t>
      </w:r>
      <w:r w:rsidR="00325D04">
        <w:t>1).</w:t>
      </w:r>
    </w:p>
    <w:p w14:paraId="59F82DAB" w14:textId="32024754" w:rsidR="00325D04" w:rsidRPr="00E94523" w:rsidRDefault="00325D04" w:rsidP="00325D04">
      <w:pPr>
        <w:pStyle w:val="TableTitle"/>
        <w:rPr>
          <w:sz w:val="26"/>
          <w:szCs w:val="26"/>
        </w:rPr>
      </w:pPr>
      <w:r w:rsidRPr="00E94523">
        <w:rPr>
          <w:b w:val="0"/>
          <w:sz w:val="26"/>
          <w:szCs w:val="26"/>
        </w:rPr>
        <w:lastRenderedPageBreak/>
        <w:t xml:space="preserve">Table </w:t>
      </w:r>
      <w:bookmarkStart w:id="10" w:name="OLE_LINK6"/>
      <w:r w:rsidR="007A66DD">
        <w:rPr>
          <w:b w:val="0"/>
          <w:noProof/>
          <w:sz w:val="26"/>
          <w:szCs w:val="26"/>
        </w:rPr>
        <w:t>1</w:t>
      </w:r>
      <w:bookmarkEnd w:id="10"/>
      <w:r w:rsidRPr="00E94523">
        <w:rPr>
          <w:sz w:val="26"/>
          <w:szCs w:val="26"/>
        </w:rPr>
        <w:tab/>
        <w:t>Expenditure on the AGDRP</w:t>
      </w:r>
      <w:r w:rsidR="000B2564">
        <w:rPr>
          <w:sz w:val="26"/>
          <w:szCs w:val="26"/>
        </w:rPr>
        <w:t>, 2007-08 to 2012-13</w:t>
      </w:r>
    </w:p>
    <w:tbl>
      <w:tblPr>
        <w:tblW w:w="5000" w:type="pct"/>
        <w:tblCellMar>
          <w:left w:w="0" w:type="dxa"/>
          <w:right w:w="0" w:type="dxa"/>
        </w:tblCellMar>
        <w:tblLook w:val="04A0" w:firstRow="1" w:lastRow="0" w:firstColumn="1" w:lastColumn="0" w:noHBand="0" w:noVBand="1"/>
      </w:tblPr>
      <w:tblGrid>
        <w:gridCol w:w="2203"/>
        <w:gridCol w:w="2197"/>
        <w:gridCol w:w="2195"/>
        <w:gridCol w:w="2194"/>
      </w:tblGrid>
      <w:tr w:rsidR="00325D04" w14:paraId="40D32B48" w14:textId="77777777" w:rsidTr="00325D04">
        <w:tc>
          <w:tcPr>
            <w:tcW w:w="1253" w:type="pct"/>
            <w:tcBorders>
              <w:top w:val="single" w:sz="6" w:space="0" w:color="auto"/>
              <w:left w:val="nil"/>
              <w:bottom w:val="single" w:sz="6" w:space="0" w:color="auto"/>
              <w:right w:val="nil"/>
            </w:tcBorders>
            <w:hideMark/>
          </w:tcPr>
          <w:p w14:paraId="20FCE8D7" w14:textId="77777777" w:rsidR="00325D04" w:rsidRDefault="00325D04">
            <w:pPr>
              <w:pStyle w:val="TableColumnHeading"/>
              <w:jc w:val="left"/>
            </w:pPr>
            <w:r>
              <w:t>Year</w:t>
            </w:r>
          </w:p>
        </w:tc>
        <w:tc>
          <w:tcPr>
            <w:tcW w:w="1250" w:type="pct"/>
            <w:tcBorders>
              <w:top w:val="single" w:sz="6" w:space="0" w:color="auto"/>
              <w:left w:val="nil"/>
              <w:bottom w:val="single" w:sz="6" w:space="0" w:color="auto"/>
              <w:right w:val="nil"/>
            </w:tcBorders>
            <w:hideMark/>
          </w:tcPr>
          <w:p w14:paraId="217D5347" w14:textId="77777777" w:rsidR="00325D04" w:rsidRDefault="00325D04">
            <w:pPr>
              <w:pStyle w:val="TableColumnHeading"/>
            </w:pPr>
            <w:r>
              <w:t>Number of events</w:t>
            </w:r>
          </w:p>
        </w:tc>
        <w:tc>
          <w:tcPr>
            <w:tcW w:w="1249" w:type="pct"/>
            <w:tcBorders>
              <w:top w:val="single" w:sz="6" w:space="0" w:color="auto"/>
              <w:left w:val="nil"/>
              <w:bottom w:val="single" w:sz="6" w:space="0" w:color="auto"/>
              <w:right w:val="nil"/>
            </w:tcBorders>
            <w:hideMark/>
          </w:tcPr>
          <w:p w14:paraId="5FF09618" w14:textId="77777777" w:rsidR="00325D04" w:rsidRDefault="00325D04">
            <w:pPr>
              <w:pStyle w:val="TableColumnHeading"/>
              <w:ind w:right="28"/>
            </w:pPr>
            <w:r>
              <w:t>Number of claimants</w:t>
            </w:r>
          </w:p>
        </w:tc>
        <w:tc>
          <w:tcPr>
            <w:tcW w:w="1248" w:type="pct"/>
            <w:tcBorders>
              <w:top w:val="single" w:sz="6" w:space="0" w:color="auto"/>
              <w:left w:val="nil"/>
              <w:bottom w:val="single" w:sz="6" w:space="0" w:color="auto"/>
              <w:right w:val="nil"/>
            </w:tcBorders>
            <w:hideMark/>
          </w:tcPr>
          <w:p w14:paraId="2BBB059D" w14:textId="77777777" w:rsidR="00325D04" w:rsidRDefault="00325D04">
            <w:pPr>
              <w:pStyle w:val="TableColumnHeading"/>
              <w:ind w:right="28"/>
            </w:pPr>
            <w:r>
              <w:t>Expenditure</w:t>
            </w:r>
          </w:p>
        </w:tc>
      </w:tr>
      <w:tr w:rsidR="00325D04" w14:paraId="5EC288C8" w14:textId="77777777" w:rsidTr="00325D04">
        <w:tc>
          <w:tcPr>
            <w:tcW w:w="1253" w:type="pct"/>
          </w:tcPr>
          <w:p w14:paraId="00303B6F" w14:textId="77777777" w:rsidR="00325D04" w:rsidRDefault="00325D04">
            <w:pPr>
              <w:pStyle w:val="TableBodyText"/>
              <w:jc w:val="left"/>
            </w:pPr>
          </w:p>
        </w:tc>
        <w:tc>
          <w:tcPr>
            <w:tcW w:w="1250" w:type="pct"/>
          </w:tcPr>
          <w:p w14:paraId="5564AF5F" w14:textId="77777777" w:rsidR="00325D04" w:rsidRDefault="00325D04">
            <w:pPr>
              <w:pStyle w:val="TableBodyText"/>
            </w:pPr>
          </w:p>
        </w:tc>
        <w:tc>
          <w:tcPr>
            <w:tcW w:w="1249" w:type="pct"/>
          </w:tcPr>
          <w:p w14:paraId="12A8A323" w14:textId="77777777" w:rsidR="00325D04" w:rsidRDefault="00325D04">
            <w:pPr>
              <w:pStyle w:val="TableBodyText"/>
              <w:ind w:right="28"/>
            </w:pPr>
          </w:p>
        </w:tc>
        <w:tc>
          <w:tcPr>
            <w:tcW w:w="1248" w:type="pct"/>
            <w:hideMark/>
          </w:tcPr>
          <w:p w14:paraId="6A872C7C" w14:textId="77777777" w:rsidR="00325D04" w:rsidRDefault="00325D04">
            <w:pPr>
              <w:pStyle w:val="TableUnitsRow"/>
            </w:pPr>
            <w:r>
              <w:t>$m</w:t>
            </w:r>
          </w:p>
        </w:tc>
      </w:tr>
      <w:tr w:rsidR="00325D04" w14:paraId="7E83E4F9" w14:textId="77777777" w:rsidTr="00325D04">
        <w:tc>
          <w:tcPr>
            <w:tcW w:w="1253" w:type="pct"/>
            <w:hideMark/>
          </w:tcPr>
          <w:p w14:paraId="68064489" w14:textId="77777777" w:rsidR="00325D04" w:rsidRDefault="00325D04">
            <w:pPr>
              <w:pStyle w:val="TableBodyText"/>
              <w:jc w:val="left"/>
            </w:pPr>
            <w:r>
              <w:t>2007-08</w:t>
            </w:r>
          </w:p>
        </w:tc>
        <w:tc>
          <w:tcPr>
            <w:tcW w:w="1250" w:type="pct"/>
            <w:hideMark/>
          </w:tcPr>
          <w:p w14:paraId="53801A7A" w14:textId="77777777" w:rsidR="00325D04" w:rsidRDefault="00325D04">
            <w:pPr>
              <w:pStyle w:val="TableBodyText"/>
            </w:pPr>
            <w:r>
              <w:t>4</w:t>
            </w:r>
          </w:p>
        </w:tc>
        <w:tc>
          <w:tcPr>
            <w:tcW w:w="1249" w:type="pct"/>
            <w:hideMark/>
          </w:tcPr>
          <w:p w14:paraId="7484AAEF" w14:textId="77777777" w:rsidR="00325D04" w:rsidRDefault="00325D04">
            <w:pPr>
              <w:pStyle w:val="TableBodyText"/>
              <w:ind w:right="28"/>
            </w:pPr>
            <w:r>
              <w:t>41 000</w:t>
            </w:r>
          </w:p>
        </w:tc>
        <w:tc>
          <w:tcPr>
            <w:tcW w:w="1248" w:type="pct"/>
            <w:hideMark/>
          </w:tcPr>
          <w:p w14:paraId="209E9341" w14:textId="77777777" w:rsidR="00325D04" w:rsidRDefault="00325D04">
            <w:pPr>
              <w:pStyle w:val="TableBodyText"/>
              <w:ind w:right="28"/>
            </w:pPr>
            <w:r>
              <w:t>47</w:t>
            </w:r>
          </w:p>
        </w:tc>
      </w:tr>
      <w:tr w:rsidR="00325D04" w14:paraId="320B7A9D" w14:textId="77777777" w:rsidTr="00325D04">
        <w:tc>
          <w:tcPr>
            <w:tcW w:w="1253" w:type="pct"/>
            <w:hideMark/>
          </w:tcPr>
          <w:p w14:paraId="24F425C9" w14:textId="77777777" w:rsidR="00325D04" w:rsidRDefault="00325D04">
            <w:pPr>
              <w:pStyle w:val="TableBodyText"/>
              <w:jc w:val="left"/>
            </w:pPr>
            <w:r>
              <w:t>2008-09</w:t>
            </w:r>
          </w:p>
        </w:tc>
        <w:tc>
          <w:tcPr>
            <w:tcW w:w="1250" w:type="pct"/>
            <w:hideMark/>
          </w:tcPr>
          <w:p w14:paraId="455A5747" w14:textId="77777777" w:rsidR="00325D04" w:rsidRDefault="00325D04">
            <w:pPr>
              <w:pStyle w:val="TableBodyText"/>
            </w:pPr>
            <w:r>
              <w:t>5</w:t>
            </w:r>
          </w:p>
        </w:tc>
        <w:tc>
          <w:tcPr>
            <w:tcW w:w="1249" w:type="pct"/>
            <w:hideMark/>
          </w:tcPr>
          <w:p w14:paraId="35D30EAB" w14:textId="77777777" w:rsidR="00325D04" w:rsidRDefault="00325D04">
            <w:pPr>
              <w:pStyle w:val="TableBodyText"/>
              <w:ind w:right="28"/>
            </w:pPr>
            <w:r>
              <w:t>114 000</w:t>
            </w:r>
          </w:p>
        </w:tc>
        <w:tc>
          <w:tcPr>
            <w:tcW w:w="1248" w:type="pct"/>
            <w:hideMark/>
          </w:tcPr>
          <w:p w14:paraId="7CE681B8" w14:textId="77777777" w:rsidR="00325D04" w:rsidRDefault="00325D04">
            <w:pPr>
              <w:pStyle w:val="TableBodyText"/>
              <w:ind w:right="28"/>
            </w:pPr>
            <w:r>
              <w:t>131</w:t>
            </w:r>
          </w:p>
        </w:tc>
      </w:tr>
      <w:tr w:rsidR="00325D04" w14:paraId="09432DDB" w14:textId="77777777" w:rsidTr="00325D04">
        <w:tc>
          <w:tcPr>
            <w:tcW w:w="1253" w:type="pct"/>
            <w:hideMark/>
          </w:tcPr>
          <w:p w14:paraId="7D6B9BCB" w14:textId="77777777" w:rsidR="00325D04" w:rsidRDefault="00325D04">
            <w:pPr>
              <w:pStyle w:val="TableBodyText"/>
              <w:jc w:val="left"/>
            </w:pPr>
            <w:r>
              <w:t>2009-10</w:t>
            </w:r>
          </w:p>
        </w:tc>
        <w:tc>
          <w:tcPr>
            <w:tcW w:w="1250" w:type="pct"/>
            <w:hideMark/>
          </w:tcPr>
          <w:p w14:paraId="2444B4E2" w14:textId="77777777" w:rsidR="00325D04" w:rsidRDefault="00325D04">
            <w:pPr>
              <w:pStyle w:val="TableBodyText"/>
            </w:pPr>
            <w:r>
              <w:t>At least 6</w:t>
            </w:r>
          </w:p>
        </w:tc>
        <w:tc>
          <w:tcPr>
            <w:tcW w:w="1249" w:type="pct"/>
            <w:hideMark/>
          </w:tcPr>
          <w:p w14:paraId="7ADBF892" w14:textId="77777777" w:rsidR="00325D04" w:rsidRDefault="00325D04">
            <w:pPr>
              <w:pStyle w:val="TableBodyText"/>
              <w:ind w:right="28"/>
            </w:pPr>
            <w:r>
              <w:t>35 071</w:t>
            </w:r>
          </w:p>
        </w:tc>
        <w:tc>
          <w:tcPr>
            <w:tcW w:w="1248" w:type="pct"/>
            <w:hideMark/>
          </w:tcPr>
          <w:p w14:paraId="63DBFB43" w14:textId="77777777" w:rsidR="00325D04" w:rsidRDefault="00325D04">
            <w:pPr>
              <w:pStyle w:val="TableBodyText"/>
              <w:ind w:right="28"/>
            </w:pPr>
            <w:r>
              <w:t>42</w:t>
            </w:r>
          </w:p>
        </w:tc>
      </w:tr>
      <w:tr w:rsidR="00325D04" w14:paraId="0649F32E" w14:textId="77777777" w:rsidTr="00325D04">
        <w:tc>
          <w:tcPr>
            <w:tcW w:w="1253" w:type="pct"/>
            <w:hideMark/>
          </w:tcPr>
          <w:p w14:paraId="7142EF57" w14:textId="77777777" w:rsidR="00325D04" w:rsidRDefault="00325D04">
            <w:pPr>
              <w:pStyle w:val="TableBodyText"/>
              <w:jc w:val="left"/>
            </w:pPr>
            <w:r>
              <w:t>2010-11</w:t>
            </w:r>
          </w:p>
        </w:tc>
        <w:tc>
          <w:tcPr>
            <w:tcW w:w="1250" w:type="pct"/>
            <w:hideMark/>
          </w:tcPr>
          <w:p w14:paraId="2FE4D312" w14:textId="77777777" w:rsidR="00325D04" w:rsidRDefault="00325D04">
            <w:pPr>
              <w:pStyle w:val="TableBodyText"/>
            </w:pPr>
            <w:r>
              <w:t>6</w:t>
            </w:r>
          </w:p>
        </w:tc>
        <w:tc>
          <w:tcPr>
            <w:tcW w:w="1249" w:type="pct"/>
            <w:hideMark/>
          </w:tcPr>
          <w:p w14:paraId="788213C1" w14:textId="77777777" w:rsidR="00325D04" w:rsidRDefault="00325D04">
            <w:pPr>
              <w:pStyle w:val="TableBodyText"/>
              <w:ind w:right="28"/>
            </w:pPr>
            <w:r>
              <w:t>715 000</w:t>
            </w:r>
          </w:p>
        </w:tc>
        <w:tc>
          <w:tcPr>
            <w:tcW w:w="1248" w:type="pct"/>
            <w:hideMark/>
          </w:tcPr>
          <w:p w14:paraId="313CD87D" w14:textId="77777777" w:rsidR="00325D04" w:rsidRDefault="00325D04">
            <w:pPr>
              <w:pStyle w:val="TableBodyText"/>
              <w:ind w:right="28"/>
            </w:pPr>
            <w:r>
              <w:t>823</w:t>
            </w:r>
          </w:p>
        </w:tc>
      </w:tr>
      <w:tr w:rsidR="00325D04" w14:paraId="682245D0" w14:textId="77777777" w:rsidTr="00325D04">
        <w:tc>
          <w:tcPr>
            <w:tcW w:w="1253" w:type="pct"/>
            <w:hideMark/>
          </w:tcPr>
          <w:p w14:paraId="5E02CEED" w14:textId="77777777" w:rsidR="00325D04" w:rsidRDefault="00325D04">
            <w:pPr>
              <w:pStyle w:val="TableBodyText"/>
              <w:jc w:val="left"/>
            </w:pPr>
            <w:r>
              <w:t>2011-12</w:t>
            </w:r>
          </w:p>
        </w:tc>
        <w:tc>
          <w:tcPr>
            <w:tcW w:w="1250" w:type="pct"/>
            <w:hideMark/>
          </w:tcPr>
          <w:p w14:paraId="2CC9422D" w14:textId="77777777" w:rsidR="00325D04" w:rsidRDefault="00325D04">
            <w:pPr>
              <w:pStyle w:val="TableBodyText"/>
            </w:pPr>
            <w:r>
              <w:t>4</w:t>
            </w:r>
          </w:p>
        </w:tc>
        <w:tc>
          <w:tcPr>
            <w:tcW w:w="1249" w:type="pct"/>
            <w:hideMark/>
          </w:tcPr>
          <w:p w14:paraId="3FFC774A" w14:textId="77777777" w:rsidR="00325D04" w:rsidRDefault="00325D04">
            <w:pPr>
              <w:pStyle w:val="TableBodyText"/>
              <w:ind w:right="28"/>
            </w:pPr>
            <w:r>
              <w:t>64 000</w:t>
            </w:r>
          </w:p>
        </w:tc>
        <w:tc>
          <w:tcPr>
            <w:tcW w:w="1248" w:type="pct"/>
            <w:hideMark/>
          </w:tcPr>
          <w:p w14:paraId="53791B89" w14:textId="77777777" w:rsidR="00325D04" w:rsidRDefault="00325D04">
            <w:pPr>
              <w:pStyle w:val="TableBodyText"/>
              <w:ind w:right="28"/>
            </w:pPr>
            <w:r>
              <w:t>78</w:t>
            </w:r>
          </w:p>
        </w:tc>
      </w:tr>
      <w:tr w:rsidR="00325D04" w14:paraId="0FC97BF4" w14:textId="77777777" w:rsidTr="00325D04">
        <w:tc>
          <w:tcPr>
            <w:tcW w:w="1253" w:type="pct"/>
            <w:tcBorders>
              <w:top w:val="nil"/>
              <w:left w:val="nil"/>
              <w:bottom w:val="single" w:sz="6" w:space="0" w:color="auto"/>
              <w:right w:val="nil"/>
            </w:tcBorders>
            <w:hideMark/>
          </w:tcPr>
          <w:p w14:paraId="05DD1DC0" w14:textId="77777777" w:rsidR="00325D04" w:rsidRDefault="00325D04">
            <w:pPr>
              <w:pStyle w:val="TableBodyText"/>
              <w:jc w:val="left"/>
            </w:pPr>
            <w:r>
              <w:t>2012-13</w:t>
            </w:r>
          </w:p>
        </w:tc>
        <w:tc>
          <w:tcPr>
            <w:tcW w:w="1250" w:type="pct"/>
            <w:tcBorders>
              <w:top w:val="nil"/>
              <w:left w:val="nil"/>
              <w:bottom w:val="single" w:sz="6" w:space="0" w:color="auto"/>
              <w:right w:val="nil"/>
            </w:tcBorders>
            <w:hideMark/>
          </w:tcPr>
          <w:p w14:paraId="0ECAF26B" w14:textId="77777777" w:rsidR="00325D04" w:rsidRDefault="00325D04">
            <w:pPr>
              <w:pStyle w:val="TableBodyText"/>
            </w:pPr>
            <w:r>
              <w:t>4</w:t>
            </w:r>
          </w:p>
        </w:tc>
        <w:tc>
          <w:tcPr>
            <w:tcW w:w="1249" w:type="pct"/>
            <w:tcBorders>
              <w:top w:val="nil"/>
              <w:left w:val="nil"/>
              <w:bottom w:val="single" w:sz="6" w:space="0" w:color="auto"/>
              <w:right w:val="nil"/>
            </w:tcBorders>
            <w:hideMark/>
          </w:tcPr>
          <w:p w14:paraId="1AC2B808" w14:textId="77777777" w:rsidR="00325D04" w:rsidRDefault="00325D04">
            <w:pPr>
              <w:pStyle w:val="TableBodyText"/>
              <w:ind w:right="28"/>
            </w:pPr>
            <w:r>
              <w:t>142 000</w:t>
            </w:r>
          </w:p>
        </w:tc>
        <w:tc>
          <w:tcPr>
            <w:tcW w:w="1248" w:type="pct"/>
            <w:tcBorders>
              <w:top w:val="nil"/>
              <w:left w:val="nil"/>
              <w:bottom w:val="single" w:sz="6" w:space="0" w:color="auto"/>
              <w:right w:val="nil"/>
            </w:tcBorders>
            <w:hideMark/>
          </w:tcPr>
          <w:p w14:paraId="3B1AD77C" w14:textId="77777777" w:rsidR="00325D04" w:rsidRDefault="00325D04">
            <w:pPr>
              <w:pStyle w:val="TableBodyText"/>
              <w:ind w:right="28"/>
            </w:pPr>
            <w:r>
              <w:t>170</w:t>
            </w:r>
          </w:p>
        </w:tc>
      </w:tr>
    </w:tbl>
    <w:p w14:paraId="3FA4F331" w14:textId="77777777" w:rsidR="00325D04" w:rsidRDefault="00325D04" w:rsidP="00325D04">
      <w:pPr>
        <w:pStyle w:val="Source"/>
      </w:pPr>
      <w:r>
        <w:rPr>
          <w:i/>
        </w:rPr>
        <w:t>Sources</w:t>
      </w:r>
      <w:r>
        <w:t>: Attorney-General’s Department Annual Report (various years); FaHCSIA Annual Report (various years).</w:t>
      </w:r>
    </w:p>
    <w:p w14:paraId="03494BE3" w14:textId="62388716" w:rsidR="0000663E" w:rsidRDefault="00F22896" w:rsidP="00F22896">
      <w:pPr>
        <w:pStyle w:val="BodyText"/>
      </w:pPr>
      <w:r>
        <w:t xml:space="preserve">The </w:t>
      </w:r>
      <w:r w:rsidR="00F14BC4">
        <w:t xml:space="preserve">DRA </w:t>
      </w:r>
      <w:r>
        <w:t xml:space="preserve">is an ex-gratia payment to individuals including employees, small business people and farmers who can demonstrate loss of income as a direct result of a disaster. </w:t>
      </w:r>
      <w:r w:rsidR="00967EC6">
        <w:t>DRA</w:t>
      </w:r>
      <w:r>
        <w:t xml:space="preserve"> payments are made for up to 13 weeks at a rate equivalent to the maximum rate of Newstart Allowance or Youth Allowance. </w:t>
      </w:r>
    </w:p>
    <w:p w14:paraId="36127771" w14:textId="13B72073" w:rsidR="00F22896" w:rsidRDefault="00F22896" w:rsidP="00F22896">
      <w:pPr>
        <w:pStyle w:val="BodyText"/>
      </w:pPr>
      <w:r>
        <w:t xml:space="preserve">To date, the DRA has only been offered to individuals affected by the NSW bushfires of October 2013 </w:t>
      </w:r>
      <w:r>
        <w:rPr>
          <w:szCs w:val="24"/>
        </w:rPr>
        <w:t>(NSW Ministry for Police &amp; Emergency Services 2013)</w:t>
      </w:r>
      <w:r>
        <w:t>. Government expenditure on the DRA has not yet been published.</w:t>
      </w:r>
      <w:r w:rsidR="007134B6">
        <w:t xml:space="preserve"> (The DRA replaced the Disaster Income Recovery Subsidy. The terms of the programs were essentially the same</w:t>
      </w:r>
      <w:r w:rsidR="001C7311">
        <w:t>)</w:t>
      </w:r>
      <w:r w:rsidR="007134B6">
        <w:t xml:space="preserve">. </w:t>
      </w:r>
    </w:p>
    <w:p w14:paraId="7D7CFF51" w14:textId="77777777" w:rsidR="003955E1" w:rsidRDefault="003955E1" w:rsidP="00F22896">
      <w:pPr>
        <w:pStyle w:val="BodyText"/>
        <w:rPr>
          <w:i/>
        </w:rPr>
      </w:pPr>
      <w:r>
        <w:rPr>
          <w:i/>
        </w:rPr>
        <w:t xml:space="preserve">What is the </w:t>
      </w:r>
      <w:r w:rsidR="00D53F92">
        <w:rPr>
          <w:i/>
        </w:rPr>
        <w:t>objective</w:t>
      </w:r>
      <w:r>
        <w:rPr>
          <w:i/>
        </w:rPr>
        <w:t xml:space="preserve"> of the AGDRP?</w:t>
      </w:r>
      <w:r w:rsidR="00D53F92" w:rsidRPr="00D53F92">
        <w:rPr>
          <w:i/>
        </w:rPr>
        <w:t xml:space="preserve"> </w:t>
      </w:r>
      <w:r w:rsidR="00D53F92">
        <w:rPr>
          <w:i/>
        </w:rPr>
        <w:t>Does the scheme in its current form achieve those objectives?</w:t>
      </w:r>
      <w:r w:rsidR="001C7311">
        <w:rPr>
          <w:i/>
        </w:rPr>
        <w:t xml:space="preserve"> </w:t>
      </w:r>
      <w:r w:rsidR="008A3CEE">
        <w:rPr>
          <w:i/>
        </w:rPr>
        <w:t xml:space="preserve">If not, what changes do you </w:t>
      </w:r>
      <w:r w:rsidR="00A53231">
        <w:rPr>
          <w:i/>
        </w:rPr>
        <w:t>consider</w:t>
      </w:r>
      <w:r w:rsidR="008A3CEE">
        <w:rPr>
          <w:i/>
        </w:rPr>
        <w:t xml:space="preserve"> are needed</w:t>
      </w:r>
      <w:r w:rsidR="00A53231">
        <w:rPr>
          <w:i/>
        </w:rPr>
        <w:t>?</w:t>
      </w:r>
    </w:p>
    <w:p w14:paraId="3F5BBB64" w14:textId="77777777" w:rsidR="00D53F92" w:rsidRDefault="00D53F92" w:rsidP="00F22896">
      <w:pPr>
        <w:pStyle w:val="BodyText"/>
        <w:rPr>
          <w:i/>
        </w:rPr>
      </w:pPr>
      <w:r>
        <w:rPr>
          <w:i/>
        </w:rPr>
        <w:t>Are there any unintended consequences from the AGDRP?</w:t>
      </w:r>
    </w:p>
    <w:p w14:paraId="3D30B3A2" w14:textId="65DE4E52" w:rsidR="007134B6" w:rsidRDefault="008056D6" w:rsidP="00F22896">
      <w:pPr>
        <w:pStyle w:val="BodyText"/>
        <w:rPr>
          <w:i/>
        </w:rPr>
      </w:pPr>
      <w:r>
        <w:rPr>
          <w:i/>
        </w:rPr>
        <w:t xml:space="preserve">Does the AGDRP overlap with state and territory government assistance to </w:t>
      </w:r>
      <w:r w:rsidR="00F14BC4">
        <w:rPr>
          <w:i/>
        </w:rPr>
        <w:t>individuals</w:t>
      </w:r>
      <w:r>
        <w:rPr>
          <w:i/>
        </w:rPr>
        <w:t>?</w:t>
      </w:r>
    </w:p>
    <w:p w14:paraId="1068328F" w14:textId="77777777" w:rsidR="007134B6" w:rsidRDefault="007134B6" w:rsidP="00F22896">
      <w:pPr>
        <w:pStyle w:val="BodyText"/>
        <w:rPr>
          <w:i/>
        </w:rPr>
      </w:pPr>
      <w:r w:rsidRPr="00860232">
        <w:rPr>
          <w:i/>
        </w:rPr>
        <w:t xml:space="preserve">What expenditure was made under the Disaster Income </w:t>
      </w:r>
      <w:r w:rsidR="00D53F92">
        <w:rPr>
          <w:i/>
        </w:rPr>
        <w:t>R</w:t>
      </w:r>
      <w:r w:rsidRPr="00860232">
        <w:rPr>
          <w:i/>
        </w:rPr>
        <w:t>ecovery Subsidy over the past decade?</w:t>
      </w:r>
    </w:p>
    <w:p w14:paraId="08685039" w14:textId="77777777" w:rsidR="00A204FF" w:rsidRDefault="00A204FF" w:rsidP="00540327">
      <w:pPr>
        <w:pStyle w:val="Heading3"/>
      </w:pPr>
      <w:r>
        <w:t>State, territory and local governments</w:t>
      </w:r>
    </w:p>
    <w:p w14:paraId="24DA5DFF" w14:textId="303D1948" w:rsidR="008F11F4" w:rsidRDefault="00305DA2" w:rsidP="00A204FF">
      <w:pPr>
        <w:pStyle w:val="BodyText"/>
      </w:pPr>
      <w:r>
        <w:t>The g</w:t>
      </w:r>
      <w:r w:rsidR="00A204FF">
        <w:t>overnance and institutional arrangements for managing natural disaster risks vary by jurisdiction</w:t>
      </w:r>
      <w:r w:rsidR="00A53231">
        <w:t>, with r</w:t>
      </w:r>
      <w:r w:rsidR="008F11F4">
        <w:t xml:space="preserve">oles and responsibilities for natural disaster mitigation, resilience and recovery dispersed through </w:t>
      </w:r>
      <w:r w:rsidR="00A53231">
        <w:t xml:space="preserve">multiple </w:t>
      </w:r>
      <w:r w:rsidR="008F11F4">
        <w:t>agencies.</w:t>
      </w:r>
    </w:p>
    <w:p w14:paraId="6854B775" w14:textId="77777777" w:rsidR="008F11F4" w:rsidRDefault="00A204FF" w:rsidP="008F11F4">
      <w:pPr>
        <w:pStyle w:val="ListBullet"/>
      </w:pPr>
      <w:r>
        <w:t xml:space="preserve">All </w:t>
      </w:r>
      <w:r w:rsidR="00305DA2">
        <w:t xml:space="preserve">state and territory governments </w:t>
      </w:r>
      <w:r>
        <w:t>have a designated department or agency with primary responsibility for natural disaster res</w:t>
      </w:r>
      <w:r w:rsidR="008F11F4">
        <w:t>ponse and emergency management.</w:t>
      </w:r>
    </w:p>
    <w:p w14:paraId="150EE9B6" w14:textId="271E96EB" w:rsidR="008F11F4" w:rsidRDefault="008F11F4" w:rsidP="008F11F4">
      <w:pPr>
        <w:pStyle w:val="ListBullet"/>
      </w:pPr>
      <w:r>
        <w:lastRenderedPageBreak/>
        <w:t xml:space="preserve">Natural disaster mitigation and resilience activities are undertaken as part of </w:t>
      </w:r>
      <w:r w:rsidR="00AD3142">
        <w:t>the</w:t>
      </w:r>
      <w:r>
        <w:t xml:space="preserve"> normal operations</w:t>
      </w:r>
      <w:r w:rsidR="00AD3142">
        <w:t xml:space="preserve"> in a range of </w:t>
      </w:r>
      <w:r>
        <w:t>policy areas such as land</w:t>
      </w:r>
      <w:r>
        <w:noBreakHyphen/>
        <w:t>use planning, infrastructure provision, road maintenance, health care, social assistance and environmental management</w:t>
      </w:r>
      <w:r w:rsidR="00274C3E">
        <w:t>.</w:t>
      </w:r>
    </w:p>
    <w:p w14:paraId="7828954C" w14:textId="77777777" w:rsidR="00A204FF" w:rsidRDefault="00A204FF" w:rsidP="008F11F4">
      <w:pPr>
        <w:pStyle w:val="ListBullet"/>
      </w:pPr>
      <w:r>
        <w:t>In some states, bodies have been established to oversee recovery from major natural disasters — such as the Queensland Reconstruction Authority and the Victorian Bushfire Reconstruction and R</w:t>
      </w:r>
      <w:r w:rsidR="00305DA2">
        <w:t>ecovery Authority (now closed).</w:t>
      </w:r>
    </w:p>
    <w:p w14:paraId="47F48EED" w14:textId="431FAA3B" w:rsidR="00D44960" w:rsidRDefault="007134B6" w:rsidP="00542451">
      <w:pPr>
        <w:pStyle w:val="BodyText"/>
      </w:pPr>
      <w:r>
        <w:t>To</w:t>
      </w:r>
      <w:r w:rsidR="00305DA2">
        <w:t xml:space="preserve"> assess the </w:t>
      </w:r>
      <w:r w:rsidR="008F11F4">
        <w:t xml:space="preserve">effectiveness and sustainability of the national natural disaster funding arrangements the Commission </w:t>
      </w:r>
      <w:r>
        <w:t>is requesting</w:t>
      </w:r>
      <w:r w:rsidR="008F11F4">
        <w:t xml:space="preserve"> detailed information on the activities that state and territory governments undertake</w:t>
      </w:r>
      <w:r w:rsidR="008C0510">
        <w:t xml:space="preserve"> and fund</w:t>
      </w:r>
      <w:r w:rsidR="00542451">
        <w:t xml:space="preserve"> (box</w:t>
      </w:r>
      <w:r w:rsidR="005A65BB">
        <w:t xml:space="preserve"> 5</w:t>
      </w:r>
      <w:r w:rsidR="00542451">
        <w:t>).</w:t>
      </w:r>
    </w:p>
    <w:p w14:paraId="0C1BFFEE" w14:textId="77777777" w:rsidR="009A0A9C" w:rsidRDefault="009A0A9C" w:rsidP="009A0A9C">
      <w:pPr>
        <w:pStyle w:val="BodyText"/>
        <w:rPr>
          <w:i/>
        </w:rPr>
      </w:pPr>
      <w:r>
        <w:rPr>
          <w:i/>
        </w:rPr>
        <w:t>What are the governance and institutional arrangements relating to natural disaster mitigation</w:t>
      </w:r>
      <w:r w:rsidR="00FD3307">
        <w:rPr>
          <w:i/>
        </w:rPr>
        <w:t>, resilience</w:t>
      </w:r>
      <w:r>
        <w:rPr>
          <w:i/>
        </w:rPr>
        <w:t xml:space="preserve"> and recovery in each state and territory?</w:t>
      </w:r>
      <w:r w:rsidR="00A53231">
        <w:rPr>
          <w:i/>
        </w:rPr>
        <w:t xml:space="preserve"> What are your views on how these </w:t>
      </w:r>
      <w:r w:rsidR="001C7311">
        <w:rPr>
          <w:i/>
        </w:rPr>
        <w:t>arrangements</w:t>
      </w:r>
      <w:r w:rsidR="00A53231">
        <w:rPr>
          <w:i/>
        </w:rPr>
        <w:t xml:space="preserve"> could be improved?</w:t>
      </w:r>
    </w:p>
    <w:p w14:paraId="2935FB2B" w14:textId="77777777" w:rsidR="009A0A9C" w:rsidRDefault="009A0A9C" w:rsidP="009A0A9C">
      <w:pPr>
        <w:pStyle w:val="BodyText"/>
        <w:rPr>
          <w:i/>
        </w:rPr>
      </w:pPr>
      <w:r>
        <w:rPr>
          <w:i/>
        </w:rPr>
        <w:t>Which state, territory and local government policies cover natural disaster mitigation</w:t>
      </w:r>
      <w:r w:rsidR="00FD3307">
        <w:rPr>
          <w:i/>
        </w:rPr>
        <w:t>, resilience</w:t>
      </w:r>
      <w:r>
        <w:rPr>
          <w:i/>
        </w:rPr>
        <w:t xml:space="preserve"> and recovery? What processes are used to manage natural disaster </w:t>
      </w:r>
      <w:r w:rsidR="00FD3307">
        <w:rPr>
          <w:i/>
        </w:rPr>
        <w:t>risks in government activities?</w:t>
      </w:r>
    </w:p>
    <w:p w14:paraId="4234279B" w14:textId="77777777" w:rsidR="006F68E2" w:rsidRDefault="003D00CE" w:rsidP="009A0A9C">
      <w:pPr>
        <w:pStyle w:val="BodyText"/>
        <w:rPr>
          <w:i/>
        </w:rPr>
      </w:pPr>
      <w:r>
        <w:rPr>
          <w:i/>
        </w:rPr>
        <w:t>Have states and terri</w:t>
      </w:r>
      <w:r w:rsidR="00F14BC4">
        <w:rPr>
          <w:i/>
        </w:rPr>
        <w:t>tori</w:t>
      </w:r>
      <w:r>
        <w:rPr>
          <w:i/>
        </w:rPr>
        <w:t>es made any changes to the ways in which they fund natural disaster mitigation, resilience and recove</w:t>
      </w:r>
      <w:r w:rsidR="00F14BC4">
        <w:rPr>
          <w:i/>
        </w:rPr>
        <w:t>r</w:t>
      </w:r>
      <w:r>
        <w:rPr>
          <w:i/>
        </w:rPr>
        <w:t>y activities?</w:t>
      </w:r>
      <w:r w:rsidR="006F68E2">
        <w:rPr>
          <w:i/>
        </w:rPr>
        <w:t xml:space="preserve"> </w:t>
      </w:r>
    </w:p>
    <w:p w14:paraId="5CD2A0AC" w14:textId="25B23D85" w:rsidR="003D00CE" w:rsidRDefault="006F68E2" w:rsidP="009A0A9C">
      <w:pPr>
        <w:pStyle w:val="BodyText"/>
        <w:rPr>
          <w:i/>
        </w:rPr>
      </w:pPr>
      <w:r>
        <w:rPr>
          <w:i/>
        </w:rPr>
        <w:t xml:space="preserve">How do respective states and territories undertake analysis and decision making when allocating funding across mitigation, resilience and recovery of natural disaster risks?  </w:t>
      </w:r>
    </w:p>
    <w:p w14:paraId="732E061F" w14:textId="72428122" w:rsidR="00027A73" w:rsidRDefault="00027A73" w:rsidP="009A0A9C">
      <w:pPr>
        <w:pStyle w:val="BodyText"/>
        <w:rPr>
          <w:i/>
        </w:rPr>
      </w:pPr>
      <w:r>
        <w:rPr>
          <w:i/>
        </w:rPr>
        <w:t>Do state and territory governments have the capacity to fund natural disaster risk management?</w:t>
      </w:r>
    </w:p>
    <w:p w14:paraId="176ADB3A" w14:textId="77777777" w:rsidR="009A0A9C" w:rsidRDefault="009A0A9C" w:rsidP="009A0A9C">
      <w:pPr>
        <w:pStyle w:val="BodyText"/>
      </w:pPr>
      <w:r>
        <w:rPr>
          <w:i/>
        </w:rPr>
        <w:t>What influence does Australian Government funding (such as through the NDRRA and NPANDR) have on state, territory and local government prioritisation and funding of infrastructure projects? How does this funding affect the mix of projects funded through other means?</w:t>
      </w:r>
    </w:p>
    <w:p w14:paraId="7968F365" w14:textId="36145AA5" w:rsidR="00D065C5" w:rsidRDefault="00D065C5" w:rsidP="00D065C5">
      <w:pPr>
        <w:pStyle w:val="BodyText"/>
        <w:rPr>
          <w:i/>
        </w:rPr>
      </w:pPr>
      <w:r>
        <w:rPr>
          <w:i/>
        </w:rPr>
        <w:t xml:space="preserve">Do the collective requirements of the </w:t>
      </w:r>
      <w:r w:rsidR="003D00CE">
        <w:rPr>
          <w:i/>
        </w:rPr>
        <w:t>Australian</w:t>
      </w:r>
      <w:r>
        <w:rPr>
          <w:i/>
        </w:rPr>
        <w:t xml:space="preserve"> </w:t>
      </w:r>
      <w:r w:rsidR="003D00CE">
        <w:rPr>
          <w:i/>
        </w:rPr>
        <w:t>G</w:t>
      </w:r>
      <w:r>
        <w:rPr>
          <w:i/>
        </w:rPr>
        <w:t>overnment under the</w:t>
      </w:r>
      <w:r w:rsidR="00274C3E">
        <w:rPr>
          <w:i/>
        </w:rPr>
        <w:t xml:space="preserve"> NDRRA and the</w:t>
      </w:r>
      <w:r>
        <w:rPr>
          <w:i/>
        </w:rPr>
        <w:t xml:space="preserve"> NPANDR </w:t>
      </w:r>
      <w:r w:rsidR="001C7311">
        <w:rPr>
          <w:i/>
        </w:rPr>
        <w:t>provide</w:t>
      </w:r>
      <w:r>
        <w:rPr>
          <w:i/>
        </w:rPr>
        <w:t xml:space="preserve"> incentives </w:t>
      </w:r>
      <w:r w:rsidR="001B1BB5">
        <w:rPr>
          <w:i/>
        </w:rPr>
        <w:t xml:space="preserve">to </w:t>
      </w:r>
      <w:r>
        <w:rPr>
          <w:i/>
        </w:rPr>
        <w:t>the states and territories to effectively manage natural disaster risk</w:t>
      </w:r>
      <w:r w:rsidR="00B037D3">
        <w:rPr>
          <w:i/>
        </w:rPr>
        <w:t xml:space="preserve"> that would exist</w:t>
      </w:r>
      <w:r>
        <w:rPr>
          <w:i/>
        </w:rPr>
        <w:t xml:space="preserve"> in the absence of federal funding</w:t>
      </w:r>
      <w:r w:rsidR="00E547EC">
        <w:rPr>
          <w:i/>
        </w:rPr>
        <w:t xml:space="preserve"> coupled with </w:t>
      </w:r>
      <w:r w:rsidR="00274C3E">
        <w:rPr>
          <w:i/>
        </w:rPr>
        <w:t xml:space="preserve">Commonwealth Grants Commission </w:t>
      </w:r>
      <w:r w:rsidR="00E547EC">
        <w:rPr>
          <w:i/>
        </w:rPr>
        <w:t>equalisation payments</w:t>
      </w:r>
      <w:r>
        <w:rPr>
          <w:i/>
        </w:rPr>
        <w:t>?</w:t>
      </w:r>
    </w:p>
    <w:p w14:paraId="433EC942" w14:textId="77777777" w:rsidR="009A0A9C" w:rsidRDefault="009A0A9C" w:rsidP="00542451">
      <w:pPr>
        <w:pStyle w:val="BodyText"/>
      </w:pPr>
    </w:p>
    <w:p w14:paraId="5ABBB7E0" w14:textId="71346254" w:rsidR="00F22C99" w:rsidRDefault="00F22C99">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F22C99" w14:paraId="3CDB6BEF" w14:textId="77777777">
        <w:tc>
          <w:tcPr>
            <w:tcW w:w="8771" w:type="dxa"/>
            <w:tcBorders>
              <w:top w:val="single" w:sz="6" w:space="0" w:color="auto"/>
              <w:bottom w:val="nil"/>
            </w:tcBorders>
          </w:tcPr>
          <w:p w14:paraId="6E89F07A" w14:textId="44F935A7" w:rsidR="00F22C99" w:rsidRDefault="00F22C99" w:rsidP="007134B6">
            <w:pPr>
              <w:pStyle w:val="BoxTitle"/>
            </w:pPr>
            <w:r>
              <w:rPr>
                <w:b w:val="0"/>
              </w:rPr>
              <w:t xml:space="preserve">Box </w:t>
            </w:r>
            <w:bookmarkStart w:id="11" w:name="OLE_LINK9"/>
            <w:r w:rsidR="007A66DD">
              <w:rPr>
                <w:b w:val="0"/>
                <w:noProof/>
              </w:rPr>
              <w:t>5</w:t>
            </w:r>
            <w:bookmarkEnd w:id="11"/>
            <w:r>
              <w:tab/>
              <w:t xml:space="preserve">The Commission’s information </w:t>
            </w:r>
            <w:r w:rsidR="007134B6">
              <w:t>request for</w:t>
            </w:r>
            <w:r>
              <w:t xml:space="preserve"> state and territory governments</w:t>
            </w:r>
          </w:p>
        </w:tc>
      </w:tr>
      <w:tr w:rsidR="00F22C99" w14:paraId="6602EFA1" w14:textId="77777777">
        <w:trPr>
          <w:cantSplit/>
        </w:trPr>
        <w:tc>
          <w:tcPr>
            <w:tcW w:w="8771" w:type="dxa"/>
            <w:tcBorders>
              <w:top w:val="nil"/>
              <w:left w:val="single" w:sz="6" w:space="0" w:color="auto"/>
              <w:bottom w:val="nil"/>
              <w:right w:val="single" w:sz="6" w:space="0" w:color="auto"/>
            </w:tcBorders>
          </w:tcPr>
          <w:p w14:paraId="48C89427" w14:textId="77777777" w:rsidR="00F22C99" w:rsidRDefault="00F22C99" w:rsidP="00F22C99">
            <w:pPr>
              <w:pStyle w:val="Box"/>
            </w:pPr>
            <w:r>
              <w:t>The Commission requests the following information from state and territory governments</w:t>
            </w:r>
            <w:r w:rsidR="008C0510">
              <w:t xml:space="preserve"> for the period 2002-03 to 2012-13</w:t>
            </w:r>
            <w:r w:rsidR="007134B6">
              <w:t xml:space="preserve"> (on a financial year cash basis)</w:t>
            </w:r>
            <w:r w:rsidR="008C0510">
              <w:t>, and budget forward estimates where available</w:t>
            </w:r>
            <w:r>
              <w:t>.</w:t>
            </w:r>
          </w:p>
          <w:p w14:paraId="51E87E53" w14:textId="77777777" w:rsidR="00F22C99" w:rsidRPr="00687AE4" w:rsidRDefault="00F22C99" w:rsidP="00F22C99">
            <w:pPr>
              <w:pStyle w:val="BoxListBullet"/>
            </w:pPr>
            <w:r w:rsidRPr="00687AE4">
              <w:t>All expenditure on natural disaster mitigation and resilience (covering both structural and non-structural measures), including:</w:t>
            </w:r>
          </w:p>
          <w:p w14:paraId="5F430E0B" w14:textId="77777777" w:rsidR="00F22C99" w:rsidRPr="00687AE4" w:rsidRDefault="00F22C99" w:rsidP="00F22C99">
            <w:pPr>
              <w:pStyle w:val="BoxListBullet2"/>
            </w:pPr>
            <w:r w:rsidRPr="00687AE4">
              <w:t xml:space="preserve">expenditure funded through the National Partnership Agreement on Natural Disaster Resilience, </w:t>
            </w:r>
            <w:r>
              <w:t>including where possible a list of projects indicating the type of project and amount of funding provided</w:t>
            </w:r>
          </w:p>
          <w:p w14:paraId="2A7E984F" w14:textId="2B89186E" w:rsidR="00F22C99" w:rsidRPr="00687AE4" w:rsidRDefault="00F22C99" w:rsidP="00F22C99">
            <w:pPr>
              <w:pStyle w:val="BoxListBullet2"/>
            </w:pPr>
            <w:r w:rsidRPr="00687AE4">
              <w:t xml:space="preserve">expenditure funded through other </w:t>
            </w:r>
            <w:r w:rsidR="00274C3E">
              <w:t>s</w:t>
            </w:r>
            <w:r w:rsidR="00274C3E" w:rsidRPr="00687AE4">
              <w:t>tate</w:t>
            </w:r>
            <w:r w:rsidRPr="00687AE4">
              <w:t>/</w:t>
            </w:r>
            <w:r w:rsidR="00274C3E">
              <w:t>t</w:t>
            </w:r>
            <w:r w:rsidR="00274C3E" w:rsidRPr="00687AE4">
              <w:t xml:space="preserve">erritory </w:t>
            </w:r>
            <w:r w:rsidRPr="00687AE4">
              <w:t>schemes or grant programs</w:t>
            </w:r>
            <w:r>
              <w:t xml:space="preserve"> (such as general infrastructure budgets)</w:t>
            </w:r>
          </w:p>
          <w:p w14:paraId="55A5E025" w14:textId="77777777" w:rsidR="00F22C99" w:rsidRPr="00687AE4" w:rsidRDefault="00F22C99" w:rsidP="00F22C99">
            <w:pPr>
              <w:pStyle w:val="BoxListBullet2"/>
            </w:pPr>
            <w:r w:rsidRPr="00687AE4">
              <w:t>any other expenditure that contributes to natural disaster mitigation and resilience</w:t>
            </w:r>
            <w:r>
              <w:t xml:space="preserve"> (for example</w:t>
            </w:r>
            <w:r w:rsidRPr="00687AE4">
              <w:t xml:space="preserve"> flood mapping or early warning systems)</w:t>
            </w:r>
            <w:r w:rsidR="00F14BC4">
              <w:t>.</w:t>
            </w:r>
          </w:p>
          <w:p w14:paraId="5794D64A" w14:textId="77777777" w:rsidR="00F22C99" w:rsidRPr="00687AE4" w:rsidRDefault="00F22C99" w:rsidP="00F22C99">
            <w:pPr>
              <w:pStyle w:val="BoxListBullet"/>
            </w:pPr>
            <w:r w:rsidRPr="00687AE4">
              <w:t>All expenditure on natural disaster recovery, including:</w:t>
            </w:r>
          </w:p>
          <w:p w14:paraId="03EDAF7A" w14:textId="457AED82" w:rsidR="00F22C99" w:rsidRPr="00687AE4" w:rsidRDefault="00F22C99" w:rsidP="00F22C99">
            <w:pPr>
              <w:pStyle w:val="BoxListBullet2"/>
            </w:pPr>
            <w:r w:rsidRPr="00687AE4">
              <w:t xml:space="preserve">expenditure funded through the </w:t>
            </w:r>
            <w:r w:rsidR="00274C3E">
              <w:t>Natural Disaster Relief and Recovery Arrangements (NDRRA)</w:t>
            </w:r>
            <w:r w:rsidRPr="00687AE4">
              <w:t>, disaggregated by NDRRA category</w:t>
            </w:r>
          </w:p>
          <w:p w14:paraId="50717F96" w14:textId="17F65AE3" w:rsidR="00F22C99" w:rsidRPr="00687AE4" w:rsidRDefault="00F22C99" w:rsidP="00F22C99">
            <w:pPr>
              <w:pStyle w:val="BoxListBullet2"/>
            </w:pPr>
            <w:r w:rsidRPr="00687AE4">
              <w:t xml:space="preserve">recovery expenditure on essential public assets, categorised by </w:t>
            </w:r>
            <w:r>
              <w:t>infrastructure class (</w:t>
            </w:r>
            <w:r w:rsidRPr="00687AE4">
              <w:t>road and non-road assets</w:t>
            </w:r>
            <w:r>
              <w:t>)</w:t>
            </w:r>
          </w:p>
          <w:p w14:paraId="2D387409" w14:textId="77777777" w:rsidR="00F22C99" w:rsidRPr="00687AE4" w:rsidRDefault="00F22C99" w:rsidP="00F22C99">
            <w:pPr>
              <w:pStyle w:val="BoxListBullet2"/>
            </w:pPr>
            <w:r w:rsidRPr="00687AE4">
              <w:t>expenditure on projects funded through the betterment provision of the NDRRA</w:t>
            </w:r>
          </w:p>
          <w:p w14:paraId="69C84F3D" w14:textId="77777777" w:rsidR="00F22C99" w:rsidRPr="00687AE4" w:rsidRDefault="00F22C99" w:rsidP="00F22C99">
            <w:pPr>
              <w:pStyle w:val="BoxListBullet2"/>
            </w:pPr>
            <w:r w:rsidRPr="00687AE4">
              <w:t>NDRRA reimbursements received from the Commonwealth</w:t>
            </w:r>
          </w:p>
          <w:p w14:paraId="4494CC6C" w14:textId="42D8A136" w:rsidR="00F22C99" w:rsidRPr="00687AE4" w:rsidRDefault="00F22C99" w:rsidP="00F22C99">
            <w:pPr>
              <w:pStyle w:val="BoxListBullet2"/>
            </w:pPr>
            <w:r w:rsidRPr="00687AE4">
              <w:t xml:space="preserve">expenditure funded through other </w:t>
            </w:r>
            <w:r w:rsidR="00274C3E">
              <w:t>s</w:t>
            </w:r>
            <w:r w:rsidR="00274C3E" w:rsidRPr="00687AE4">
              <w:t>tate</w:t>
            </w:r>
            <w:r w:rsidRPr="00687AE4">
              <w:t>/</w:t>
            </w:r>
            <w:r w:rsidR="00274C3E">
              <w:t>t</w:t>
            </w:r>
            <w:r w:rsidR="00274C3E" w:rsidRPr="00687AE4">
              <w:t xml:space="preserve">erritory </w:t>
            </w:r>
            <w:r w:rsidRPr="00687AE4">
              <w:t>schemes or grant programs</w:t>
            </w:r>
          </w:p>
          <w:p w14:paraId="1B732F57" w14:textId="77777777" w:rsidR="00F22C99" w:rsidRPr="00687AE4" w:rsidRDefault="00F22C99" w:rsidP="00F22C99">
            <w:pPr>
              <w:pStyle w:val="BoxListBullet2"/>
            </w:pPr>
            <w:r w:rsidRPr="00687AE4">
              <w:t>any other natural disaster recovery expenditure</w:t>
            </w:r>
            <w:r w:rsidR="00F14BC4">
              <w:t>.</w:t>
            </w:r>
          </w:p>
          <w:p w14:paraId="2CEBE9DC" w14:textId="3F9F6EB2" w:rsidR="00F22C99" w:rsidRPr="00687AE4" w:rsidRDefault="00F22C99" w:rsidP="00F22C99">
            <w:pPr>
              <w:pStyle w:val="BoxListBullet"/>
            </w:pPr>
            <w:r w:rsidRPr="00687AE4">
              <w:t xml:space="preserve">Data on the cost of damage to the </w:t>
            </w:r>
            <w:r w:rsidR="00274C3E">
              <w:t>s</w:t>
            </w:r>
            <w:r w:rsidR="00274C3E" w:rsidRPr="00687AE4">
              <w:t>tate</w:t>
            </w:r>
            <w:r w:rsidRPr="00687AE4">
              <w:t>/</w:t>
            </w:r>
            <w:r w:rsidR="00274C3E">
              <w:t>t</w:t>
            </w:r>
            <w:r w:rsidR="00274C3E" w:rsidRPr="00687AE4">
              <w:t xml:space="preserve">erritory </w:t>
            </w:r>
            <w:r w:rsidRPr="00687AE4">
              <w:t>from natural disasters over the past 10 years (or longer if available), categorised by type of disaster event</w:t>
            </w:r>
            <w:r w:rsidR="00274C3E">
              <w:t>.</w:t>
            </w:r>
          </w:p>
          <w:p w14:paraId="71775ACF" w14:textId="62E788DF" w:rsidR="00F22C99" w:rsidRPr="00687AE4" w:rsidRDefault="00F22C99" w:rsidP="00F22C99">
            <w:pPr>
              <w:pStyle w:val="BoxListBullet"/>
            </w:pPr>
            <w:r w:rsidRPr="00687AE4">
              <w:t xml:space="preserve">The total value of </w:t>
            </w:r>
            <w:r w:rsidR="00274C3E">
              <w:t>s</w:t>
            </w:r>
            <w:r w:rsidR="00274C3E" w:rsidRPr="00687AE4">
              <w:t>tate</w:t>
            </w:r>
            <w:r w:rsidRPr="00687AE4">
              <w:t>/</w:t>
            </w:r>
            <w:r w:rsidR="00274C3E">
              <w:t>t</w:t>
            </w:r>
            <w:r w:rsidR="00274C3E" w:rsidRPr="00687AE4">
              <w:t xml:space="preserve">erritory </w:t>
            </w:r>
            <w:r w:rsidRPr="00687AE4">
              <w:t>and local government assets that are insured and uninsured, categorised by road and non-road assets</w:t>
            </w:r>
            <w:r w:rsidR="00274C3E">
              <w:t>.</w:t>
            </w:r>
          </w:p>
          <w:p w14:paraId="0AE3B8C1" w14:textId="0ACE84B2" w:rsidR="00F22C99" w:rsidRPr="00687AE4" w:rsidRDefault="00F22C99" w:rsidP="00BE38D2">
            <w:pPr>
              <w:pStyle w:val="BoxListBullet"/>
            </w:pPr>
            <w:r w:rsidRPr="00687AE4">
              <w:t>Insurance claims by government agencies, triggered by natural disasters</w:t>
            </w:r>
            <w:r w:rsidR="00274C3E">
              <w:t>.</w:t>
            </w:r>
          </w:p>
          <w:p w14:paraId="5D3379D6" w14:textId="321E3DEA" w:rsidR="00F22C99" w:rsidRPr="00687AE4" w:rsidRDefault="00F22C99" w:rsidP="00BE38D2">
            <w:pPr>
              <w:pStyle w:val="BoxListBullet"/>
            </w:pPr>
            <w:r w:rsidRPr="00687AE4">
              <w:t xml:space="preserve">Premiums paid to external </w:t>
            </w:r>
            <w:r w:rsidR="00274C3E">
              <w:t xml:space="preserve">insurers and </w:t>
            </w:r>
            <w:r w:rsidRPr="00687AE4">
              <w:t>reinsurers</w:t>
            </w:r>
            <w:r w:rsidR="00F14BC4">
              <w:t>.</w:t>
            </w:r>
          </w:p>
          <w:p w14:paraId="1DEAC7AA" w14:textId="45816734" w:rsidR="006F68E2" w:rsidRPr="00687AE4" w:rsidRDefault="00F22C99" w:rsidP="00F22C99">
            <w:pPr>
              <w:pStyle w:val="BoxListBullet"/>
            </w:pPr>
            <w:r w:rsidRPr="00687AE4">
              <w:t>Any other general expenditure that is not explicitly directed at, but is likely to have a significant impact on natural disaster mitigation, resilience or recovery.</w:t>
            </w:r>
          </w:p>
          <w:p w14:paraId="1B715628" w14:textId="77777777" w:rsidR="00F22C99" w:rsidRDefault="00F22C99" w:rsidP="00F22C99">
            <w:pPr>
              <w:pStyle w:val="Box"/>
            </w:pPr>
            <w:r w:rsidRPr="00687AE4">
              <w:t xml:space="preserve">All types of expenses should be included in the above data. </w:t>
            </w:r>
            <w:r>
              <w:t>These</w:t>
            </w:r>
            <w:r w:rsidRPr="00687AE4">
              <w:t xml:space="preserve"> include </w:t>
            </w:r>
            <w:r>
              <w:t xml:space="preserve">capital costs, </w:t>
            </w:r>
            <w:r w:rsidRPr="00687AE4">
              <w:t xml:space="preserve">employee expenses, administration costs, depreciation and amortisation costs, interest expenses, </w:t>
            </w:r>
            <w:r>
              <w:t xml:space="preserve">and </w:t>
            </w:r>
            <w:r w:rsidRPr="00687AE4">
              <w:t>oth</w:t>
            </w:r>
            <w:r>
              <w:t xml:space="preserve">er on-costs or </w:t>
            </w:r>
            <w:r w:rsidRPr="00687AE4">
              <w:t>overheads.</w:t>
            </w:r>
          </w:p>
        </w:tc>
      </w:tr>
      <w:tr w:rsidR="00F22C99" w14:paraId="0D7266FF" w14:textId="77777777">
        <w:trPr>
          <w:cantSplit/>
        </w:trPr>
        <w:tc>
          <w:tcPr>
            <w:tcW w:w="8771" w:type="dxa"/>
            <w:tcBorders>
              <w:top w:val="nil"/>
              <w:left w:val="single" w:sz="6" w:space="0" w:color="auto"/>
              <w:bottom w:val="single" w:sz="6" w:space="0" w:color="auto"/>
              <w:right w:val="single" w:sz="6" w:space="0" w:color="auto"/>
            </w:tcBorders>
          </w:tcPr>
          <w:p w14:paraId="19AFEF0C" w14:textId="77777777" w:rsidR="00F22C99" w:rsidRDefault="00F22C99">
            <w:pPr>
              <w:pStyle w:val="Box"/>
              <w:spacing w:before="0" w:line="120" w:lineRule="exact"/>
            </w:pPr>
          </w:p>
        </w:tc>
      </w:tr>
      <w:tr w:rsidR="00F22C99" w:rsidRPr="000863A5" w14:paraId="2766D97D" w14:textId="77777777">
        <w:tc>
          <w:tcPr>
            <w:tcW w:w="8771" w:type="dxa"/>
            <w:tcBorders>
              <w:top w:val="nil"/>
              <w:left w:val="nil"/>
              <w:bottom w:val="nil"/>
              <w:right w:val="nil"/>
            </w:tcBorders>
          </w:tcPr>
          <w:p w14:paraId="78E5EA9F" w14:textId="01AD2BA0" w:rsidR="00F22C99" w:rsidRPr="00626D32" w:rsidRDefault="00F22C99" w:rsidP="00A73117">
            <w:pPr>
              <w:pStyle w:val="BoxSpaceBelow"/>
            </w:pPr>
          </w:p>
        </w:tc>
      </w:tr>
    </w:tbl>
    <w:p w14:paraId="243AD847" w14:textId="71773BF4" w:rsidR="00AA3DFE" w:rsidRDefault="00AA3DFE" w:rsidP="00AA3DFE">
      <w:pPr>
        <w:pStyle w:val="BodyText"/>
        <w:rPr>
          <w:i/>
        </w:rPr>
      </w:pPr>
      <w:r>
        <w:rPr>
          <w:i/>
        </w:rPr>
        <w:t xml:space="preserve">How effective are each state and territory’s natural disaster relief </w:t>
      </w:r>
      <w:r w:rsidR="00274C3E">
        <w:rPr>
          <w:i/>
        </w:rPr>
        <w:t xml:space="preserve">and recovery </w:t>
      </w:r>
      <w:r>
        <w:rPr>
          <w:i/>
        </w:rPr>
        <w:t>measures relating to individuals, businesses, primary producers and voluntary organisations (including those part</w:t>
      </w:r>
      <w:r>
        <w:rPr>
          <w:i/>
        </w:rPr>
        <w:noBreakHyphen/>
        <w:t>funded by the NDRRA)? Are these arrangements targeted sufficiently closely to those in the greatest need?</w:t>
      </w:r>
    </w:p>
    <w:p w14:paraId="0087EE5E" w14:textId="77777777" w:rsidR="00AA3DFE" w:rsidRDefault="00AA3DFE" w:rsidP="00AA3DFE">
      <w:pPr>
        <w:pStyle w:val="BodyText"/>
        <w:rPr>
          <w:i/>
        </w:rPr>
      </w:pPr>
      <w:r>
        <w:rPr>
          <w:i/>
        </w:rPr>
        <w:lastRenderedPageBreak/>
        <w:t>How well are natural disaster mitigation and recovery coordinated across governments and agencies at the Commonwealth, state/territory and local levels? Is there evidence of duplication or overlaps?</w:t>
      </w:r>
    </w:p>
    <w:p w14:paraId="79D04611" w14:textId="77777777" w:rsidR="00AA3DFE" w:rsidRDefault="00AA3DFE" w:rsidP="00AA3DFE">
      <w:pPr>
        <w:pStyle w:val="BodyText"/>
        <w:rPr>
          <w:i/>
        </w:rPr>
      </w:pPr>
      <w:r>
        <w:rPr>
          <w:i/>
        </w:rPr>
        <w:t>What progress have state and territory governments made in implementing the recommendations of past inquiries relating to natural disasters? Do any of the recommendations relate to funding arrangements? Are there major recommendations that remain to be implemented?</w:t>
      </w:r>
    </w:p>
    <w:p w14:paraId="2FB2507A" w14:textId="77777777" w:rsidR="00D44960" w:rsidRDefault="00D44960" w:rsidP="00D44960">
      <w:pPr>
        <w:pStyle w:val="Heading3"/>
      </w:pPr>
      <w:r>
        <w:t>Interactions with broader Commonwealth–state financial arrangements</w:t>
      </w:r>
    </w:p>
    <w:p w14:paraId="66C61768" w14:textId="0E6A3995" w:rsidR="00F873EC" w:rsidRDefault="007A1782" w:rsidP="007A1782">
      <w:pPr>
        <w:pStyle w:val="BodyText"/>
      </w:pPr>
      <w:r>
        <w:t xml:space="preserve">Expenditure on natural disasters has implications for the distribution of GST revenues between jurisdictions. The Commonwealth Grants Commission </w:t>
      </w:r>
      <w:r w:rsidR="00466614">
        <w:t xml:space="preserve">(CGC) </w:t>
      </w:r>
      <w:r>
        <w:t>distributes these revenues to ensure that each state and territory has the same capacity to provide</w:t>
      </w:r>
      <w:r w:rsidR="00F22C99">
        <w:t xml:space="preserve"> government services (a process</w:t>
      </w:r>
      <w:r>
        <w:t xml:space="preserve"> termed horizontal fiscal equalisation</w:t>
      </w:r>
      <w:r w:rsidR="00901B81">
        <w:t xml:space="preserve"> (HFE)</w:t>
      </w:r>
      <w:r>
        <w:t xml:space="preserve">). In doing so, it assumes that all states and territories adhere to the same spending policies on natural disaster relief, and that differences in expenditure only reflect differences in the severity </w:t>
      </w:r>
      <w:r w:rsidR="001B1BB5">
        <w:t xml:space="preserve">and incidence </w:t>
      </w:r>
      <w:r>
        <w:t xml:space="preserve">of natural disasters </w:t>
      </w:r>
      <w:r w:rsidR="00086A80" w:rsidRPr="003D00CE">
        <w:rPr>
          <w:szCs w:val="24"/>
        </w:rPr>
        <w:t>(CGC 2013)</w:t>
      </w:r>
      <w:r>
        <w:t xml:space="preserve">. </w:t>
      </w:r>
    </w:p>
    <w:p w14:paraId="587CEEBC" w14:textId="251FB7E4" w:rsidR="007A1782" w:rsidRDefault="00F873EC" w:rsidP="007A1782">
      <w:pPr>
        <w:pStyle w:val="BodyText"/>
      </w:pPr>
      <w:r>
        <w:t>Commonwealth payments through the NDRRA have no effect on the GST distribution. Re</w:t>
      </w:r>
      <w:r w:rsidR="006F68E2">
        <w:t>sidual</w:t>
      </w:r>
      <w:r>
        <w:t xml:space="preserve"> expenses incurred by the states and territories do affect the GST distribution. Namely, </w:t>
      </w:r>
      <w:r w:rsidR="007A1782">
        <w:t xml:space="preserve">state spending on natural disasters that exceeds the average of all states is partly funded by a reduction in other states’ GST shares </w:t>
      </w:r>
      <w:r w:rsidR="007A1782" w:rsidRPr="0057505C">
        <w:rPr>
          <w:szCs w:val="24"/>
        </w:rPr>
        <w:t>(ERC 2011)</w:t>
      </w:r>
      <w:r w:rsidR="007A1782">
        <w:t>. The extent will depend on the level of natural disaster expenditure in each state within the financial year.</w:t>
      </w:r>
      <w:r w:rsidRPr="00F873EC">
        <w:t xml:space="preserve"> </w:t>
      </w:r>
      <w:r>
        <w:t>In essence, the CGC treatment distributes natural disaster costs across all jurisdictions on a per capita basis, regardless of where the natural disaster occurs.</w:t>
      </w:r>
    </w:p>
    <w:p w14:paraId="599B6603" w14:textId="77777777" w:rsidR="007E4015" w:rsidRDefault="009A0A9C" w:rsidP="007A1782">
      <w:pPr>
        <w:pStyle w:val="BodyText"/>
        <w:rPr>
          <w:i/>
        </w:rPr>
      </w:pPr>
      <w:r>
        <w:rPr>
          <w:i/>
        </w:rPr>
        <w:t>How do Australian, state and territory government expenditures on natural disaster</w:t>
      </w:r>
      <w:r w:rsidR="007E4015">
        <w:rPr>
          <w:i/>
        </w:rPr>
        <w:t xml:space="preserve"> mitigation, resilience and</w:t>
      </w:r>
      <w:r>
        <w:rPr>
          <w:i/>
        </w:rPr>
        <w:t xml:space="preserve"> recovery spending interact with </w:t>
      </w:r>
      <w:r w:rsidR="003D00CE">
        <w:rPr>
          <w:i/>
        </w:rPr>
        <w:t xml:space="preserve">other </w:t>
      </w:r>
      <w:r>
        <w:rPr>
          <w:i/>
        </w:rPr>
        <w:t>Commonwealth–state financial arrangements?</w:t>
      </w:r>
    </w:p>
    <w:p w14:paraId="39A56A71" w14:textId="77777777" w:rsidR="007E4015" w:rsidRDefault="007E4015" w:rsidP="007E4015">
      <w:pPr>
        <w:pStyle w:val="BodyText"/>
        <w:rPr>
          <w:i/>
        </w:rPr>
      </w:pPr>
      <w:r>
        <w:rPr>
          <w:i/>
        </w:rPr>
        <w:t xml:space="preserve">Do </w:t>
      </w:r>
      <w:r w:rsidR="00D065C5">
        <w:rPr>
          <w:i/>
        </w:rPr>
        <w:t xml:space="preserve">current </w:t>
      </w:r>
      <w:r>
        <w:rPr>
          <w:i/>
        </w:rPr>
        <w:t>horizontal fiscal equalisation arrangements have implications for incentives for natural disaster risk management by state and territory governments?</w:t>
      </w:r>
    </w:p>
    <w:p w14:paraId="19F1335D" w14:textId="77777777" w:rsidR="003D00CE" w:rsidRPr="00AB50AF" w:rsidRDefault="003D00CE" w:rsidP="007E4015">
      <w:pPr>
        <w:pStyle w:val="BodyText"/>
        <w:rPr>
          <w:i/>
        </w:rPr>
      </w:pPr>
      <w:r>
        <w:rPr>
          <w:i/>
        </w:rPr>
        <w:t>Do all states adhere to the same policy on natural disaster risk management?</w:t>
      </w:r>
    </w:p>
    <w:p w14:paraId="554C471B" w14:textId="7E7A3963" w:rsidR="007A1782" w:rsidRDefault="007A66DD" w:rsidP="007A1782">
      <w:pPr>
        <w:pStyle w:val="Heading2"/>
      </w:pPr>
      <w:r>
        <w:rPr>
          <w:noProof/>
        </w:rPr>
        <w:lastRenderedPageBreak/>
        <w:t>3</w:t>
      </w:r>
      <w:r w:rsidR="007A1782">
        <w:tab/>
      </w:r>
      <w:r w:rsidR="00A55F9B">
        <w:t>A</w:t>
      </w:r>
      <w:r w:rsidR="007A1782">
        <w:t>ssessing the current arrangements</w:t>
      </w:r>
    </w:p>
    <w:p w14:paraId="6A50CC38" w14:textId="275B90BC" w:rsidR="00575A11" w:rsidRDefault="00575A11" w:rsidP="00575A11">
      <w:pPr>
        <w:pStyle w:val="BodyText"/>
      </w:pPr>
      <w:r>
        <w:t>The following sections set out</w:t>
      </w:r>
      <w:r w:rsidR="009621DF">
        <w:t xml:space="preserve"> some of the</w:t>
      </w:r>
      <w:r>
        <w:t xml:space="preserve"> issues that the Commission will consider when making its assessment</w:t>
      </w:r>
      <w:r w:rsidR="009621DF">
        <w:t xml:space="preserve"> of whether the current natural disaster funding arrangements are effective, sustainable and coherent</w:t>
      </w:r>
      <w:r w:rsidR="00457B47">
        <w:t xml:space="preserve">, and contribute to </w:t>
      </w:r>
      <w:r w:rsidR="006F68E2">
        <w:t xml:space="preserve">effective risk management and therefore </w:t>
      </w:r>
      <w:r w:rsidR="00457B47">
        <w:t>increasing the wellbeing of the Australian community.</w:t>
      </w:r>
    </w:p>
    <w:p w14:paraId="794829EC" w14:textId="77777777" w:rsidR="00457B47" w:rsidRDefault="00457B47" w:rsidP="00457B47">
      <w:pPr>
        <w:pStyle w:val="BodyText"/>
        <w:rPr>
          <w:i/>
        </w:rPr>
      </w:pPr>
      <w:r>
        <w:rPr>
          <w:i/>
        </w:rPr>
        <w:t>What should be the objectives of the natural disaster funding arrangements?</w:t>
      </w:r>
    </w:p>
    <w:p w14:paraId="3241BB8C" w14:textId="77777777" w:rsidR="00DE67F0" w:rsidRDefault="00DE67F0" w:rsidP="00DE67F0">
      <w:pPr>
        <w:pStyle w:val="BodyText"/>
        <w:rPr>
          <w:i/>
        </w:rPr>
      </w:pPr>
      <w:r>
        <w:rPr>
          <w:i/>
        </w:rPr>
        <w:t xml:space="preserve">What do </w:t>
      </w:r>
      <w:r w:rsidR="00B94FFA">
        <w:rPr>
          <w:i/>
        </w:rPr>
        <w:t xml:space="preserve">‘coherent’, </w:t>
      </w:r>
      <w:r>
        <w:rPr>
          <w:i/>
        </w:rPr>
        <w:t>‘effective’ and ‘sustainable’ mean in the context of natural disaster funding arrangements?</w:t>
      </w:r>
    </w:p>
    <w:p w14:paraId="7BD9CF9D" w14:textId="073B89D3" w:rsidR="00575A11" w:rsidRDefault="009B502C" w:rsidP="00575A11">
      <w:pPr>
        <w:pStyle w:val="Heading3"/>
      </w:pPr>
      <w:r>
        <w:t>R</w:t>
      </w:r>
      <w:r w:rsidR="00575A11">
        <w:t>oles and responsibilities</w:t>
      </w:r>
      <w:r w:rsidR="00B2363E">
        <w:t xml:space="preserve"> for risk management</w:t>
      </w:r>
    </w:p>
    <w:p w14:paraId="5D89A6F2" w14:textId="6B59F96E" w:rsidR="00575A11" w:rsidRDefault="00575A11" w:rsidP="000F6199">
      <w:pPr>
        <w:pStyle w:val="BodyText"/>
      </w:pPr>
      <w:r>
        <w:t xml:space="preserve">A </w:t>
      </w:r>
      <w:r w:rsidR="00AE20A9">
        <w:t xml:space="preserve">prerequisite </w:t>
      </w:r>
      <w:r>
        <w:t>for effective risk management is that the responsibility for managing risks should be allocated to the party that is best able to deal with them</w:t>
      </w:r>
      <w:r w:rsidR="000910EC">
        <w:t>, and as</w:t>
      </w:r>
      <w:r w:rsidR="000910EC" w:rsidRPr="000910EC">
        <w:t xml:space="preserve"> a general rule, th</w:t>
      </w:r>
      <w:r w:rsidR="000910EC">
        <w:t>is corresponds to th</w:t>
      </w:r>
      <w:r w:rsidR="000910EC" w:rsidRPr="000910EC">
        <w:t>e parties that own an asset.</w:t>
      </w:r>
      <w:r>
        <w:t xml:space="preserve"> </w:t>
      </w:r>
      <w:r w:rsidR="000910EC">
        <w:t>In practice</w:t>
      </w:r>
      <w:r w:rsidR="00C86B20">
        <w:t>,</w:t>
      </w:r>
      <w:r w:rsidR="000910EC">
        <w:t xml:space="preserve"> </w:t>
      </w:r>
      <w:r>
        <w:t>effective and sustainable natural disaster risk management is more likely when there is alignment between:</w:t>
      </w:r>
    </w:p>
    <w:p w14:paraId="04D669F5" w14:textId="77777777" w:rsidR="00575A11" w:rsidRDefault="00575A11" w:rsidP="00575A11">
      <w:pPr>
        <w:pStyle w:val="ListBullet"/>
      </w:pPr>
      <w:r>
        <w:t>the incidence of risk</w:t>
      </w:r>
    </w:p>
    <w:p w14:paraId="30AB9FE4" w14:textId="16A12428" w:rsidR="00575A11" w:rsidRDefault="00575A11" w:rsidP="00575A11">
      <w:pPr>
        <w:pStyle w:val="ListBullet"/>
      </w:pPr>
      <w:r>
        <w:t xml:space="preserve">the responsibility for </w:t>
      </w:r>
      <w:r w:rsidR="00BD4B48">
        <w:t xml:space="preserve">financing risk management and </w:t>
      </w:r>
      <w:r>
        <w:t>taking actions</w:t>
      </w:r>
    </w:p>
    <w:p w14:paraId="4321B708" w14:textId="77777777" w:rsidR="005F1937" w:rsidRDefault="00575A11" w:rsidP="00046AD2">
      <w:pPr>
        <w:pStyle w:val="ListBullet"/>
      </w:pPr>
      <w:r>
        <w:t>the responsibility for funding risk management.</w:t>
      </w:r>
    </w:p>
    <w:p w14:paraId="7F779980" w14:textId="2195A719" w:rsidR="005F1937" w:rsidRDefault="005F1937" w:rsidP="005F1937">
      <w:pPr>
        <w:pStyle w:val="BodyText"/>
      </w:pPr>
      <w:r>
        <w:t xml:space="preserve">The NDRRA </w:t>
      </w:r>
      <w:r>
        <w:rPr>
          <w:i/>
        </w:rPr>
        <w:t>Determination</w:t>
      </w:r>
      <w:r>
        <w:t xml:space="preserve"> states that the general principles of the Arrangements are that:</w:t>
      </w:r>
    </w:p>
    <w:p w14:paraId="2A48BD69" w14:textId="014909AB" w:rsidR="005F1937" w:rsidRDefault="005F1937" w:rsidP="005F1937">
      <w:pPr>
        <w:pStyle w:val="Quote"/>
      </w:pPr>
      <w:r>
        <w:t xml:space="preserve">… </w:t>
      </w:r>
      <w:r w:rsidRPr="00732220">
        <w:t>its assistance is not to supplant, or operate as a disincentive for, self-help by way of either access to capital or appropriate strategies of disaster mitigation</w:t>
      </w:r>
      <w:r>
        <w:t xml:space="preserve">; and </w:t>
      </w:r>
      <w:r w:rsidRPr="00732220">
        <w:t>as far as practicable, its assistance is to be designed to achieve an efficient allocation of resources.</w:t>
      </w:r>
      <w:r w:rsidR="00F14BC4">
        <w:t xml:space="preserve"> </w:t>
      </w:r>
      <w:r w:rsidRPr="00732220">
        <w:rPr>
          <w:szCs w:val="24"/>
        </w:rPr>
        <w:t>(Attorney-General’s Department 2012b)</w:t>
      </w:r>
    </w:p>
    <w:p w14:paraId="43972D00" w14:textId="5186FC95" w:rsidR="00CB4249" w:rsidRDefault="005F1937" w:rsidP="00CB4249">
      <w:pPr>
        <w:pStyle w:val="BodyText"/>
      </w:pPr>
      <w:r>
        <w:t xml:space="preserve">These conditions attempt to replicate, through prescription, incentives for state and territory governments to </w:t>
      </w:r>
      <w:r w:rsidR="0052090F">
        <w:t xml:space="preserve">behave in a way that is consistent with roles and responsibilities for risk management being allocated to the owners of assets. </w:t>
      </w:r>
      <w:r w:rsidR="00CB7F38">
        <w:t>T</w:t>
      </w:r>
      <w:r w:rsidR="00CB4249">
        <w:t xml:space="preserve">he current </w:t>
      </w:r>
      <w:r w:rsidR="00CB7F38">
        <w:t xml:space="preserve">funding </w:t>
      </w:r>
      <w:r w:rsidR="00CB4249">
        <w:t xml:space="preserve">arrangements </w:t>
      </w:r>
      <w:r w:rsidR="00CB7F38">
        <w:t>al</w:t>
      </w:r>
      <w:r w:rsidR="00C86B20">
        <w:t>s</w:t>
      </w:r>
      <w:r w:rsidR="00CB7F38">
        <w:t xml:space="preserve">o pose a further issue to the extent there is </w:t>
      </w:r>
      <w:r w:rsidR="00CB4249">
        <w:t>scope for state and territory governments</w:t>
      </w:r>
      <w:r w:rsidR="00F14BC4">
        <w:t xml:space="preserve"> to</w:t>
      </w:r>
      <w:r w:rsidR="00CB4249">
        <w:t xml:space="preserve"> transfer the costs of </w:t>
      </w:r>
      <w:r w:rsidR="00F14BC4">
        <w:t xml:space="preserve">core </w:t>
      </w:r>
      <w:r w:rsidR="00CB7F38">
        <w:t xml:space="preserve">risk management </w:t>
      </w:r>
      <w:r w:rsidR="00CB4249">
        <w:t xml:space="preserve">activities to the </w:t>
      </w:r>
      <w:r w:rsidR="00F14BC4">
        <w:t>Australian Government</w:t>
      </w:r>
      <w:r w:rsidR="00CB4249">
        <w:t xml:space="preserve"> </w:t>
      </w:r>
      <w:r w:rsidR="00CB7F38">
        <w:t xml:space="preserve">and other states </w:t>
      </w:r>
      <w:r w:rsidR="00CB4249">
        <w:t>(‘cost-shifting’).</w:t>
      </w:r>
    </w:p>
    <w:p w14:paraId="19A63A42" w14:textId="77777777" w:rsidR="00C34002" w:rsidRDefault="00C34002" w:rsidP="00C34002">
      <w:pPr>
        <w:pStyle w:val="BodyText"/>
        <w:rPr>
          <w:i/>
        </w:rPr>
      </w:pPr>
      <w:r>
        <w:rPr>
          <w:i/>
        </w:rPr>
        <w:t>Under current institutional arrangements, are roles and responsibilities for natural disaster risk management allocated appropriately?</w:t>
      </w:r>
    </w:p>
    <w:p w14:paraId="1915C6FA" w14:textId="77777777" w:rsidR="00C34002" w:rsidRDefault="00C34002" w:rsidP="00C34002">
      <w:pPr>
        <w:pStyle w:val="BodyText"/>
        <w:rPr>
          <w:i/>
        </w:rPr>
      </w:pPr>
      <w:r>
        <w:rPr>
          <w:i/>
        </w:rPr>
        <w:lastRenderedPageBreak/>
        <w:t>What should be the role of the Australian Government in natural disaster risk management?</w:t>
      </w:r>
    </w:p>
    <w:p w14:paraId="737F25DB" w14:textId="4D3A0037" w:rsidR="003E7CE5" w:rsidRDefault="003E7CE5" w:rsidP="003E7CE5">
      <w:pPr>
        <w:pStyle w:val="BodyText"/>
        <w:rPr>
          <w:i/>
        </w:rPr>
      </w:pPr>
      <w:r>
        <w:rPr>
          <w:i/>
        </w:rPr>
        <w:t>How can individuals, business</w:t>
      </w:r>
      <w:r w:rsidR="00274C3E">
        <w:rPr>
          <w:i/>
        </w:rPr>
        <w:t>es</w:t>
      </w:r>
      <w:r>
        <w:rPr>
          <w:i/>
        </w:rPr>
        <w:t>, the community and different levels of government most effectively fund natural disaster risk management?</w:t>
      </w:r>
    </w:p>
    <w:p w14:paraId="6FDC35DF" w14:textId="77777777" w:rsidR="00046AD2" w:rsidRDefault="00046AD2" w:rsidP="00C34002">
      <w:pPr>
        <w:pStyle w:val="BodyText"/>
        <w:rPr>
          <w:i/>
        </w:rPr>
      </w:pPr>
      <w:r>
        <w:rPr>
          <w:i/>
        </w:rPr>
        <w:t>What is the best way to ensure effective risk management when risk funding and financing are not fully aligned (due to vertical or horizontal fiscal inequity)?</w:t>
      </w:r>
    </w:p>
    <w:p w14:paraId="11682B66" w14:textId="4294CA14" w:rsidR="0052090F" w:rsidRDefault="0052090F" w:rsidP="0052090F">
      <w:pPr>
        <w:pStyle w:val="BodyText"/>
        <w:rPr>
          <w:i/>
        </w:rPr>
      </w:pPr>
      <w:r>
        <w:rPr>
          <w:i/>
        </w:rPr>
        <w:t>Are the prescriptive arrangements in the NDRRA Determination consistent with effective risk management?</w:t>
      </w:r>
      <w:r w:rsidR="003D00CE">
        <w:rPr>
          <w:i/>
        </w:rPr>
        <w:t xml:space="preserve"> Do they impose a</w:t>
      </w:r>
      <w:r w:rsidR="00CB7F38">
        <w:rPr>
          <w:i/>
        </w:rPr>
        <w:t xml:space="preserve"> justified </w:t>
      </w:r>
      <w:r w:rsidR="003D00CE">
        <w:rPr>
          <w:i/>
        </w:rPr>
        <w:t xml:space="preserve"> compliance burden on states and territories?</w:t>
      </w:r>
    </w:p>
    <w:p w14:paraId="6455953C" w14:textId="45271F63" w:rsidR="0052090F" w:rsidRDefault="0052090F" w:rsidP="00F82165">
      <w:pPr>
        <w:pStyle w:val="BodyText"/>
        <w:rPr>
          <w:i/>
        </w:rPr>
      </w:pPr>
      <w:r>
        <w:rPr>
          <w:i/>
        </w:rPr>
        <w:t xml:space="preserve">Are the provisions in the </w:t>
      </w:r>
      <w:r w:rsidR="00274C3E">
        <w:rPr>
          <w:i/>
        </w:rPr>
        <w:t xml:space="preserve">NDRRA </w:t>
      </w:r>
      <w:r>
        <w:rPr>
          <w:i/>
        </w:rPr>
        <w:t>Determination adequately enforced? Are there material consequences for governments that do not behave in a manner that is consistent with the provisions?</w:t>
      </w:r>
    </w:p>
    <w:p w14:paraId="424B0CF1" w14:textId="0C32AC22" w:rsidR="00CB4249" w:rsidRPr="00AB50AF" w:rsidRDefault="00CB4249" w:rsidP="00CB4249">
      <w:pPr>
        <w:pStyle w:val="BodyText"/>
        <w:rPr>
          <w:i/>
        </w:rPr>
      </w:pPr>
      <w:r w:rsidRPr="00AB50AF">
        <w:rPr>
          <w:i/>
        </w:rPr>
        <w:t xml:space="preserve">Do state and territory governments shift the costs of their own core </w:t>
      </w:r>
      <w:r>
        <w:rPr>
          <w:i/>
        </w:rPr>
        <w:t xml:space="preserve">asset and liability management </w:t>
      </w:r>
      <w:r w:rsidRPr="00AB50AF">
        <w:rPr>
          <w:i/>
        </w:rPr>
        <w:t xml:space="preserve">activities to the Australian Government </w:t>
      </w:r>
      <w:r w:rsidR="00CB7F38">
        <w:rPr>
          <w:i/>
        </w:rPr>
        <w:t xml:space="preserve">and other state and territory governments </w:t>
      </w:r>
      <w:r w:rsidRPr="00AB50AF">
        <w:rPr>
          <w:i/>
        </w:rPr>
        <w:t>through the natural disaster funding arrangements</w:t>
      </w:r>
      <w:r w:rsidR="00CB7F38">
        <w:rPr>
          <w:i/>
        </w:rPr>
        <w:t xml:space="preserve"> coupled with HFE arrangements</w:t>
      </w:r>
      <w:r w:rsidRPr="00AB50AF">
        <w:rPr>
          <w:i/>
        </w:rPr>
        <w:t>?</w:t>
      </w:r>
    </w:p>
    <w:p w14:paraId="543C53D7" w14:textId="77777777" w:rsidR="00F82165" w:rsidRDefault="00ED7DA1" w:rsidP="00046AD2">
      <w:pPr>
        <w:pStyle w:val="Heading3"/>
      </w:pPr>
      <w:r>
        <w:t xml:space="preserve">Providing </w:t>
      </w:r>
      <w:r w:rsidR="00F62E1D">
        <w:t>i</w:t>
      </w:r>
      <w:r w:rsidR="00F82165">
        <w:t>ncentives for effective risk management</w:t>
      </w:r>
    </w:p>
    <w:p w14:paraId="2969343A" w14:textId="68EF913C" w:rsidR="00F82165" w:rsidRDefault="00046AD2" w:rsidP="00046AD2">
      <w:pPr>
        <w:pStyle w:val="BodyText"/>
      </w:pPr>
      <w:r>
        <w:t xml:space="preserve">Governments </w:t>
      </w:r>
      <w:r w:rsidR="00274C3E">
        <w:t>—</w:t>
      </w:r>
      <w:r>
        <w:t xml:space="preserve"> as policy setters </w:t>
      </w:r>
      <w:r w:rsidR="00274C3E">
        <w:t>—</w:t>
      </w:r>
      <w:r>
        <w:t xml:space="preserve"> have a role in providing the framework for effective risk management</w:t>
      </w:r>
      <w:r w:rsidR="00CB4249">
        <w:t xml:space="preserve"> by private individuals</w:t>
      </w:r>
      <w:r w:rsidR="00CB7F38">
        <w:t xml:space="preserve">, </w:t>
      </w:r>
      <w:r w:rsidR="00CB4249">
        <w:t>businesses</w:t>
      </w:r>
      <w:r w:rsidR="00CB7F38">
        <w:t xml:space="preserve"> and themselves</w:t>
      </w:r>
      <w:r w:rsidR="00CB4249">
        <w:t xml:space="preserve">. </w:t>
      </w:r>
      <w:r w:rsidR="003E7CE5">
        <w:t>T</w:t>
      </w:r>
      <w:r w:rsidR="00F82165">
        <w:t>he natural disaster funding arrangements influence the incentives for governments</w:t>
      </w:r>
      <w:r w:rsidR="00CB4249">
        <w:t>,</w:t>
      </w:r>
      <w:r w:rsidR="00F82165">
        <w:t xml:space="preserve"> households</w:t>
      </w:r>
      <w:r w:rsidR="00CB4249">
        <w:t xml:space="preserve"> and businesses</w:t>
      </w:r>
      <w:r w:rsidR="00F82165">
        <w:t xml:space="preserve"> to manage natural disaster risks to their assets. </w:t>
      </w:r>
    </w:p>
    <w:p w14:paraId="6AD02A05" w14:textId="564952B9" w:rsidR="00B2363E" w:rsidRPr="00B74C4F" w:rsidRDefault="00B2363E" w:rsidP="00B2363E">
      <w:pPr>
        <w:pStyle w:val="BodyText"/>
      </w:pPr>
      <w:r>
        <w:t>One issue with the current arrangements is ‘moral hazard’</w:t>
      </w:r>
      <w:r w:rsidR="00C1516A">
        <w:t xml:space="preserve"> — a situation that can arise when a party has insurance, and because the insurer is not able to monitor their behaviour or sanction them for inadequate risk management the party opts to under</w:t>
      </w:r>
      <w:r w:rsidR="00C1516A">
        <w:noBreakHyphen/>
        <w:t>invest in risk reduction. There</w:t>
      </w:r>
      <w:r>
        <w:t xml:space="preserve"> is some evidence that </w:t>
      </w:r>
      <w:r w:rsidR="006944E7">
        <w:t>it</w:t>
      </w:r>
      <w:r>
        <w:t xml:space="preserve"> has affected the implementation of risk management measures by governments</w:t>
      </w:r>
      <w:r w:rsidR="006944E7">
        <w:t>, households and businesses</w:t>
      </w:r>
      <w:r>
        <w:t>.</w:t>
      </w:r>
      <w:r w:rsidR="00CB4249">
        <w:t xml:space="preserve"> </w:t>
      </w:r>
      <w:r w:rsidR="006944E7">
        <w:t>For example, r</w:t>
      </w:r>
      <w:r>
        <w:t xml:space="preserve">esearch shows that </w:t>
      </w:r>
      <w:r w:rsidRPr="0076260C">
        <w:t>private individuals tend to underinvest in disaster prevention and mitigation</w:t>
      </w:r>
      <w:r>
        <w:t xml:space="preserve"> or underinsure</w:t>
      </w:r>
      <w:r w:rsidRPr="0076260C">
        <w:t>, due to the expectation of public transfers after disaster</w:t>
      </w:r>
      <w:r>
        <w:t xml:space="preserve"> </w:t>
      </w:r>
      <w:r w:rsidR="00274C3E">
        <w:t xml:space="preserve">— </w:t>
      </w:r>
      <w:r>
        <w:t>sometimes called ‘charity hazard’</w:t>
      </w:r>
      <w:r w:rsidR="00274C3E">
        <w:t xml:space="preserve"> </w:t>
      </w:r>
      <w:r w:rsidR="00274C3E" w:rsidRPr="006921BE">
        <w:rPr>
          <w:szCs w:val="24"/>
        </w:rPr>
        <w:t>(Kelly and Kleffner 2003</w:t>
      </w:r>
      <w:r w:rsidR="00274C3E">
        <w:rPr>
          <w:szCs w:val="24"/>
        </w:rPr>
        <w:t xml:space="preserve">, </w:t>
      </w:r>
      <w:r w:rsidR="00274C3E" w:rsidRPr="0031120F">
        <w:rPr>
          <w:szCs w:val="24"/>
        </w:rPr>
        <w:t>Neumeyer, Plumper and Barthel 2013</w:t>
      </w:r>
      <w:r w:rsidR="00274C3E" w:rsidRPr="006921BE">
        <w:rPr>
          <w:szCs w:val="24"/>
        </w:rPr>
        <w:t>)</w:t>
      </w:r>
      <w:r>
        <w:t xml:space="preserve">. This is further exacerbated by the asset prices for these ‘at risk’ assets not capturing the cost of managing these risks.  </w:t>
      </w:r>
    </w:p>
    <w:p w14:paraId="58FCEE39" w14:textId="77777777" w:rsidR="00046AD2" w:rsidRDefault="00046AD2" w:rsidP="00046AD2">
      <w:pPr>
        <w:pStyle w:val="BodyText"/>
        <w:rPr>
          <w:i/>
        </w:rPr>
      </w:pPr>
      <w:r>
        <w:rPr>
          <w:i/>
        </w:rPr>
        <w:lastRenderedPageBreak/>
        <w:t>Do governments provide the right framework for effective risk management by private individuals and businesses?</w:t>
      </w:r>
      <w:r w:rsidR="00F14BC4">
        <w:rPr>
          <w:i/>
        </w:rPr>
        <w:t xml:space="preserve"> What could governments do differently?</w:t>
      </w:r>
    </w:p>
    <w:p w14:paraId="7A4BD8F8" w14:textId="5FBD2599" w:rsidR="00CB4249" w:rsidRDefault="00F14BC4" w:rsidP="00CB4249">
      <w:pPr>
        <w:pStyle w:val="BodyText"/>
        <w:rPr>
          <w:i/>
        </w:rPr>
      </w:pPr>
      <w:r>
        <w:rPr>
          <w:i/>
        </w:rPr>
        <w:t>Is there evidence that</w:t>
      </w:r>
      <w:r w:rsidR="00CB4249" w:rsidRPr="00AB50AF">
        <w:rPr>
          <w:i/>
        </w:rPr>
        <w:t xml:space="preserve"> natural disaster funding arrangements induce ‘moral hazard’ </w:t>
      </w:r>
      <w:r w:rsidR="00CB4249">
        <w:rPr>
          <w:i/>
        </w:rPr>
        <w:t>behaviour by</w:t>
      </w:r>
      <w:r w:rsidR="00CB4249" w:rsidRPr="00AB50AF">
        <w:rPr>
          <w:i/>
        </w:rPr>
        <w:t xml:space="preserve"> governments, households and businesses?</w:t>
      </w:r>
    </w:p>
    <w:p w14:paraId="4ACFA13F" w14:textId="3ED7F8D9" w:rsidR="009B502C" w:rsidRDefault="00F82165" w:rsidP="00B2363E">
      <w:pPr>
        <w:pStyle w:val="BodyText"/>
        <w:rPr>
          <w:i/>
        </w:rPr>
      </w:pPr>
      <w:r>
        <w:rPr>
          <w:i/>
        </w:rPr>
        <w:t xml:space="preserve">Does the fact that </w:t>
      </w:r>
      <w:r w:rsidRPr="00BC6C97">
        <w:rPr>
          <w:i/>
        </w:rPr>
        <w:t>the states and territories do not bear the full costs of natural disaster reconstruction diminish their incentive</w:t>
      </w:r>
      <w:r w:rsidR="00274C3E">
        <w:rPr>
          <w:i/>
        </w:rPr>
        <w:t>s</w:t>
      </w:r>
      <w:r w:rsidRPr="00BC6C97">
        <w:rPr>
          <w:i/>
        </w:rPr>
        <w:t xml:space="preserve"> for investment in risk management, including mitigation and insurance</w:t>
      </w:r>
      <w:r>
        <w:rPr>
          <w:i/>
        </w:rPr>
        <w:t>?</w:t>
      </w:r>
    </w:p>
    <w:p w14:paraId="1A69D12B" w14:textId="55F75B9F" w:rsidR="00B2363E" w:rsidRDefault="00B2363E" w:rsidP="00B2363E">
      <w:pPr>
        <w:pStyle w:val="BodyText"/>
        <w:rPr>
          <w:i/>
        </w:rPr>
      </w:pPr>
      <w:r>
        <w:rPr>
          <w:i/>
        </w:rPr>
        <w:t>To what extent is moral hazard a</w:t>
      </w:r>
      <w:r w:rsidRPr="00610578">
        <w:rPr>
          <w:i/>
        </w:rPr>
        <w:t xml:space="preserve"> significant </w:t>
      </w:r>
      <w:r>
        <w:rPr>
          <w:i/>
        </w:rPr>
        <w:t xml:space="preserve">problem </w:t>
      </w:r>
      <w:r w:rsidRPr="00610578">
        <w:rPr>
          <w:i/>
        </w:rPr>
        <w:t>at the household and business level in Australia</w:t>
      </w:r>
      <w:r w:rsidR="00274C3E">
        <w:rPr>
          <w:i/>
        </w:rPr>
        <w:t>? Does it</w:t>
      </w:r>
      <w:r w:rsidRPr="00610578">
        <w:rPr>
          <w:i/>
        </w:rPr>
        <w:t xml:space="preserve"> result in inefficient and ineffective </w:t>
      </w:r>
      <w:r w:rsidR="00CB7F38">
        <w:rPr>
          <w:i/>
        </w:rPr>
        <w:t xml:space="preserve">natural disaster </w:t>
      </w:r>
      <w:r w:rsidRPr="00610578">
        <w:rPr>
          <w:i/>
        </w:rPr>
        <w:t>risk management</w:t>
      </w:r>
      <w:r>
        <w:rPr>
          <w:i/>
        </w:rPr>
        <w:t>?</w:t>
      </w:r>
    </w:p>
    <w:p w14:paraId="17C4CE24" w14:textId="77777777" w:rsidR="00BC0ED2" w:rsidRDefault="00ED7DA1" w:rsidP="00BC0ED2">
      <w:pPr>
        <w:pStyle w:val="Heading3"/>
      </w:pPr>
      <w:r>
        <w:t>Providing i</w:t>
      </w:r>
      <w:r w:rsidR="005F1937">
        <w:t>ncentives to use insurance</w:t>
      </w:r>
    </w:p>
    <w:p w14:paraId="0A59BA8D" w14:textId="181ECF2A" w:rsidR="006944E7" w:rsidRDefault="00BC0ED2" w:rsidP="00BC0ED2">
      <w:pPr>
        <w:pStyle w:val="BodyText"/>
      </w:pPr>
      <w:r>
        <w:t>The role of well-functioning insurance markets is important, as insurance provides</w:t>
      </w:r>
      <w:r w:rsidRPr="00311B71">
        <w:t xml:space="preserve"> </w:t>
      </w:r>
      <w:r>
        <w:t>households, businesses and governments with financial protection from some of the financial impacts of natural disasters. (Insurance payouts provide finance for disaster recovery. Insurance premiums provide the funding.)</w:t>
      </w:r>
      <w:r w:rsidR="005F1937">
        <w:t xml:space="preserve"> </w:t>
      </w:r>
      <w:r w:rsidR="006944E7">
        <w:t xml:space="preserve">By </w:t>
      </w:r>
      <w:r>
        <w:t>pooling risks</w:t>
      </w:r>
      <w:r w:rsidR="006944E7">
        <w:t>, insurance</w:t>
      </w:r>
      <w:r>
        <w:t xml:space="preserve"> enable</w:t>
      </w:r>
      <w:r w:rsidR="006944E7">
        <w:t>s</w:t>
      </w:r>
      <w:r>
        <w:t xml:space="preserve"> policy holders to spread the risks of natural disasters across the community. </w:t>
      </w:r>
    </w:p>
    <w:p w14:paraId="7424EBC7" w14:textId="768DC982" w:rsidR="00BC0ED2" w:rsidRDefault="00BC0ED2" w:rsidP="00BC0ED2">
      <w:pPr>
        <w:pStyle w:val="BodyText"/>
      </w:pPr>
      <w:r>
        <w:t xml:space="preserve">Premiums are charged based on the level of risk, and the size of premiums is an integral mechanism for signalling to property owners the level of risk they face and </w:t>
      </w:r>
      <w:r w:rsidR="00BB5BE4">
        <w:t>e</w:t>
      </w:r>
      <w:r>
        <w:t>mbedding the pricing of that risk in the asset price over time. Any impediments that prevent asset owners</w:t>
      </w:r>
      <w:r w:rsidR="00D57EC0">
        <w:t>, be they governments, businesses or households,</w:t>
      </w:r>
      <w:r>
        <w:t xml:space="preserve"> from taking out insurance or distort the level of premiums</w:t>
      </w:r>
      <w:r w:rsidR="00274C3E">
        <w:t xml:space="preserve"> would</w:t>
      </w:r>
      <w:r>
        <w:t xml:space="preserve"> distort asset prices and reduces the incentive for and the ability of parties to effectively manage the</w:t>
      </w:r>
      <w:r w:rsidR="00CB7F38">
        <w:t>se</w:t>
      </w:r>
      <w:r>
        <w:t xml:space="preserve"> risks.</w:t>
      </w:r>
    </w:p>
    <w:p w14:paraId="4776340B" w14:textId="0D82C97E" w:rsidR="00BC0ED2" w:rsidRDefault="00BC0ED2" w:rsidP="00BC0ED2">
      <w:pPr>
        <w:pStyle w:val="BodyText"/>
      </w:pPr>
      <w:r>
        <w:t xml:space="preserve">There appears to be some </w:t>
      </w:r>
      <w:r>
        <w:rPr>
          <w:i/>
        </w:rPr>
        <w:t>prima facie</w:t>
      </w:r>
      <w:r>
        <w:t xml:space="preserve"> evidence that the current arrangements reduce the incentives for governments to take out insurance. The NDRRA effectively provide a form of default insurance at </w:t>
      </w:r>
      <w:r w:rsidR="00B96946">
        <w:t>low</w:t>
      </w:r>
      <w:r>
        <w:t xml:space="preserve"> cost to state and territory governments for damage to some assets. These provisions significantly reduce or eliminate the net benefits to state and territory governments of taking out insurance.</w:t>
      </w:r>
    </w:p>
    <w:p w14:paraId="5D6A9331" w14:textId="6D789B5F" w:rsidR="00CF6A34" w:rsidRDefault="00BC0ED2" w:rsidP="00BC0ED2">
      <w:pPr>
        <w:pStyle w:val="BodyText"/>
      </w:pPr>
      <w:r>
        <w:t xml:space="preserve">The </w:t>
      </w:r>
      <w:r w:rsidR="00274C3E">
        <w:t xml:space="preserve">Australian Government </w:t>
      </w:r>
      <w:r>
        <w:t xml:space="preserve">has attempted to counter these disincentives through administrative provisions aimed to replicate risk management behaviour that would arise if asset ownership, risk incidence and risk funding were aligned. Specifically, under the NDRRA </w:t>
      </w:r>
      <w:r w:rsidRPr="00E01E4F">
        <w:rPr>
          <w:i/>
        </w:rPr>
        <w:t>Determination</w:t>
      </w:r>
      <w:r>
        <w:t xml:space="preserve"> state and territory governments are required to </w:t>
      </w:r>
      <w:r w:rsidRPr="00F06D50">
        <w:t>have adequate access to capital to fund infrastructure losses, such as through insurance</w:t>
      </w:r>
      <w:r>
        <w:t xml:space="preserve"> and must </w:t>
      </w:r>
      <w:r w:rsidRPr="00F06D50">
        <w:t xml:space="preserve">submit independent assessments of their insurance arrangements </w:t>
      </w:r>
      <w:r w:rsidRPr="00F06D50">
        <w:lastRenderedPageBreak/>
        <w:t>to the Commonwealth and respond appropriately to recommended changes (otherwise funds may be reduced)</w:t>
      </w:r>
      <w:r>
        <w:t xml:space="preserve">. </w:t>
      </w:r>
    </w:p>
    <w:p w14:paraId="1CB7627D" w14:textId="4BCF49E3" w:rsidR="00BC0ED2" w:rsidRDefault="00BC0ED2" w:rsidP="00BC0ED2">
      <w:pPr>
        <w:pStyle w:val="BodyText"/>
      </w:pPr>
      <w:r>
        <w:t>A recent review of state and territory governments’ insurance arrangements found a</w:t>
      </w:r>
      <w:r w:rsidR="00CB7F38">
        <w:t xml:space="preserve"> </w:t>
      </w:r>
      <w:r>
        <w:t>significant disparity in their levels of insurance (table 2). Given the proportion of NDRRA expenditure that goes to road reconstruction, it is particularly significant that most state and territory governments do not have adequate insurance for roads. Part of the explanation for this is that commercial insurance for roads is not available</w:t>
      </w:r>
      <w:r w:rsidR="00751E6B">
        <w:t>.</w:t>
      </w:r>
    </w:p>
    <w:p w14:paraId="424A1CBE" w14:textId="70013F03" w:rsidR="00BC0ED2" w:rsidRPr="00E94523" w:rsidRDefault="00BC0ED2" w:rsidP="00BC0ED2">
      <w:pPr>
        <w:pStyle w:val="TableTitle"/>
        <w:rPr>
          <w:sz w:val="26"/>
          <w:szCs w:val="26"/>
        </w:rPr>
      </w:pPr>
      <w:r w:rsidRPr="00E94523">
        <w:rPr>
          <w:b w:val="0"/>
          <w:sz w:val="26"/>
          <w:szCs w:val="26"/>
        </w:rPr>
        <w:t xml:space="preserve">Table </w:t>
      </w:r>
      <w:r w:rsidR="007A66DD">
        <w:rPr>
          <w:b w:val="0"/>
          <w:noProof/>
          <w:sz w:val="26"/>
          <w:szCs w:val="26"/>
        </w:rPr>
        <w:t>2</w:t>
      </w:r>
      <w:r w:rsidRPr="00E94523">
        <w:rPr>
          <w:sz w:val="26"/>
          <w:szCs w:val="26"/>
        </w:rPr>
        <w:tab/>
        <w:t>State and territory government insurance coverage, 2011</w:t>
      </w:r>
    </w:p>
    <w:tbl>
      <w:tblPr>
        <w:tblW w:w="5000" w:type="pct"/>
        <w:tblCellMar>
          <w:left w:w="0" w:type="dxa"/>
          <w:right w:w="0" w:type="dxa"/>
        </w:tblCellMar>
        <w:tblLook w:val="0000" w:firstRow="0" w:lastRow="0" w:firstColumn="0" w:lastColumn="0" w:noHBand="0" w:noVBand="0"/>
      </w:tblPr>
      <w:tblGrid>
        <w:gridCol w:w="2267"/>
        <w:gridCol w:w="815"/>
        <w:gridCol w:w="815"/>
        <w:gridCol w:w="816"/>
        <w:gridCol w:w="816"/>
        <w:gridCol w:w="816"/>
        <w:gridCol w:w="816"/>
        <w:gridCol w:w="816"/>
        <w:gridCol w:w="812"/>
      </w:tblGrid>
      <w:tr w:rsidR="00BC0ED2" w14:paraId="735F8B91" w14:textId="77777777" w:rsidTr="00757FBB">
        <w:tc>
          <w:tcPr>
            <w:tcW w:w="1290" w:type="pct"/>
            <w:tcBorders>
              <w:top w:val="single" w:sz="6" w:space="0" w:color="auto"/>
              <w:bottom w:val="single" w:sz="6" w:space="0" w:color="auto"/>
            </w:tcBorders>
            <w:shd w:val="clear" w:color="auto" w:fill="auto"/>
          </w:tcPr>
          <w:p w14:paraId="303D7BDE" w14:textId="77777777" w:rsidR="00BC0ED2" w:rsidRDefault="00BC0ED2" w:rsidP="00757FBB">
            <w:pPr>
              <w:pStyle w:val="TableColumnHeading"/>
              <w:jc w:val="left"/>
            </w:pPr>
          </w:p>
        </w:tc>
        <w:tc>
          <w:tcPr>
            <w:tcW w:w="464" w:type="pct"/>
            <w:tcBorders>
              <w:top w:val="single" w:sz="6" w:space="0" w:color="auto"/>
              <w:bottom w:val="single" w:sz="6" w:space="0" w:color="auto"/>
            </w:tcBorders>
            <w:shd w:val="clear" w:color="auto" w:fill="auto"/>
          </w:tcPr>
          <w:p w14:paraId="41C5BB21" w14:textId="77777777" w:rsidR="00BC0ED2" w:rsidRDefault="00BC0ED2" w:rsidP="00757FBB">
            <w:pPr>
              <w:pStyle w:val="TableColumnHeading"/>
            </w:pPr>
            <w:r>
              <w:t>NSW</w:t>
            </w:r>
          </w:p>
        </w:tc>
        <w:tc>
          <w:tcPr>
            <w:tcW w:w="464" w:type="pct"/>
            <w:tcBorders>
              <w:top w:val="single" w:sz="6" w:space="0" w:color="auto"/>
              <w:bottom w:val="single" w:sz="6" w:space="0" w:color="auto"/>
            </w:tcBorders>
            <w:shd w:val="clear" w:color="auto" w:fill="auto"/>
          </w:tcPr>
          <w:p w14:paraId="59A8C5C4" w14:textId="77777777" w:rsidR="00BC0ED2" w:rsidRDefault="00BC0ED2" w:rsidP="00757FBB">
            <w:pPr>
              <w:pStyle w:val="TableColumnHeading"/>
            </w:pPr>
            <w:r>
              <w:t>Vic</w:t>
            </w:r>
          </w:p>
        </w:tc>
        <w:tc>
          <w:tcPr>
            <w:tcW w:w="464" w:type="pct"/>
            <w:tcBorders>
              <w:top w:val="single" w:sz="6" w:space="0" w:color="auto"/>
              <w:bottom w:val="single" w:sz="6" w:space="0" w:color="auto"/>
            </w:tcBorders>
          </w:tcPr>
          <w:p w14:paraId="3AB7D5CE" w14:textId="77777777" w:rsidR="00BC0ED2" w:rsidRDefault="00BC0ED2" w:rsidP="00757FBB">
            <w:pPr>
              <w:pStyle w:val="TableColumnHeading"/>
            </w:pPr>
            <w:r>
              <w:t>Qld</w:t>
            </w:r>
          </w:p>
        </w:tc>
        <w:tc>
          <w:tcPr>
            <w:tcW w:w="464" w:type="pct"/>
            <w:tcBorders>
              <w:top w:val="single" w:sz="6" w:space="0" w:color="auto"/>
              <w:bottom w:val="single" w:sz="6" w:space="0" w:color="auto"/>
            </w:tcBorders>
          </w:tcPr>
          <w:p w14:paraId="3992255D" w14:textId="77777777" w:rsidR="00BC0ED2" w:rsidRDefault="00BC0ED2" w:rsidP="00757FBB">
            <w:pPr>
              <w:pStyle w:val="TableColumnHeading"/>
            </w:pPr>
            <w:r>
              <w:t>WA</w:t>
            </w:r>
          </w:p>
        </w:tc>
        <w:tc>
          <w:tcPr>
            <w:tcW w:w="464" w:type="pct"/>
            <w:tcBorders>
              <w:top w:val="single" w:sz="6" w:space="0" w:color="auto"/>
              <w:bottom w:val="single" w:sz="6" w:space="0" w:color="auto"/>
            </w:tcBorders>
            <w:shd w:val="clear" w:color="auto" w:fill="auto"/>
          </w:tcPr>
          <w:p w14:paraId="36B03F58" w14:textId="77777777" w:rsidR="00BC0ED2" w:rsidRDefault="00BC0ED2" w:rsidP="00757FBB">
            <w:pPr>
              <w:pStyle w:val="TableColumnHeading"/>
            </w:pPr>
            <w:r>
              <w:t>SA</w:t>
            </w:r>
          </w:p>
        </w:tc>
        <w:tc>
          <w:tcPr>
            <w:tcW w:w="464" w:type="pct"/>
            <w:tcBorders>
              <w:top w:val="single" w:sz="6" w:space="0" w:color="auto"/>
              <w:bottom w:val="single" w:sz="6" w:space="0" w:color="auto"/>
            </w:tcBorders>
            <w:shd w:val="clear" w:color="auto" w:fill="auto"/>
          </w:tcPr>
          <w:p w14:paraId="227AF5A7" w14:textId="77777777" w:rsidR="00BC0ED2" w:rsidRDefault="00BC0ED2" w:rsidP="00757FBB">
            <w:pPr>
              <w:pStyle w:val="TableColumnHeading"/>
            </w:pPr>
            <w:r>
              <w:t>Tas</w:t>
            </w:r>
          </w:p>
        </w:tc>
        <w:tc>
          <w:tcPr>
            <w:tcW w:w="464" w:type="pct"/>
            <w:tcBorders>
              <w:top w:val="single" w:sz="6" w:space="0" w:color="auto"/>
              <w:bottom w:val="single" w:sz="6" w:space="0" w:color="auto"/>
            </w:tcBorders>
            <w:shd w:val="clear" w:color="auto" w:fill="auto"/>
          </w:tcPr>
          <w:p w14:paraId="622EC39C" w14:textId="77777777" w:rsidR="00BC0ED2" w:rsidRDefault="00BC0ED2" w:rsidP="00757FBB">
            <w:pPr>
              <w:pStyle w:val="TableColumnHeading"/>
            </w:pPr>
            <w:r>
              <w:t>ACT</w:t>
            </w:r>
          </w:p>
        </w:tc>
        <w:tc>
          <w:tcPr>
            <w:tcW w:w="462" w:type="pct"/>
            <w:tcBorders>
              <w:top w:val="single" w:sz="6" w:space="0" w:color="auto"/>
              <w:bottom w:val="single" w:sz="6" w:space="0" w:color="auto"/>
            </w:tcBorders>
            <w:shd w:val="clear" w:color="auto" w:fill="auto"/>
          </w:tcPr>
          <w:p w14:paraId="37131D80" w14:textId="77777777" w:rsidR="00BC0ED2" w:rsidRDefault="00BC0ED2" w:rsidP="00757FBB">
            <w:pPr>
              <w:pStyle w:val="TableColumnHeading"/>
              <w:ind w:right="28"/>
            </w:pPr>
            <w:r>
              <w:t>NT</w:t>
            </w:r>
          </w:p>
        </w:tc>
      </w:tr>
      <w:tr w:rsidR="00BC0ED2" w14:paraId="21F156F1" w14:textId="77777777" w:rsidTr="00757FBB">
        <w:tc>
          <w:tcPr>
            <w:tcW w:w="1290" w:type="pct"/>
          </w:tcPr>
          <w:p w14:paraId="337A323D" w14:textId="77777777" w:rsidR="00BC0ED2" w:rsidRDefault="00BC0ED2" w:rsidP="00757FBB">
            <w:pPr>
              <w:pStyle w:val="TableBodyText"/>
              <w:jc w:val="left"/>
            </w:pPr>
            <w:r>
              <w:t>Total asset value ($b)</w:t>
            </w:r>
          </w:p>
        </w:tc>
        <w:tc>
          <w:tcPr>
            <w:tcW w:w="464" w:type="pct"/>
          </w:tcPr>
          <w:p w14:paraId="71E60BAC" w14:textId="77777777" w:rsidR="00BC0ED2" w:rsidRDefault="00BC0ED2" w:rsidP="00757FBB">
            <w:pPr>
              <w:pStyle w:val="TableBodyText"/>
            </w:pPr>
            <w:r>
              <w:t>351</w:t>
            </w:r>
          </w:p>
        </w:tc>
        <w:tc>
          <w:tcPr>
            <w:tcW w:w="464" w:type="pct"/>
          </w:tcPr>
          <w:p w14:paraId="215ACA8F" w14:textId="77777777" w:rsidR="00BC0ED2" w:rsidRDefault="00BC0ED2" w:rsidP="00757FBB">
            <w:pPr>
              <w:pStyle w:val="TableBodyText"/>
            </w:pPr>
            <w:r>
              <w:t>170</w:t>
            </w:r>
          </w:p>
        </w:tc>
        <w:tc>
          <w:tcPr>
            <w:tcW w:w="464" w:type="pct"/>
          </w:tcPr>
          <w:p w14:paraId="33199A34" w14:textId="77777777" w:rsidR="00BC0ED2" w:rsidRDefault="00BC0ED2" w:rsidP="00757FBB">
            <w:pPr>
              <w:pStyle w:val="TableBodyText"/>
            </w:pPr>
            <w:r>
              <w:t>173</w:t>
            </w:r>
          </w:p>
        </w:tc>
        <w:tc>
          <w:tcPr>
            <w:tcW w:w="464" w:type="pct"/>
          </w:tcPr>
          <w:p w14:paraId="783D96F4" w14:textId="77777777" w:rsidR="00BC0ED2" w:rsidRDefault="00BC0ED2" w:rsidP="00757FBB">
            <w:pPr>
              <w:pStyle w:val="TableBodyText"/>
            </w:pPr>
            <w:r>
              <w:t>124</w:t>
            </w:r>
          </w:p>
        </w:tc>
        <w:tc>
          <w:tcPr>
            <w:tcW w:w="464" w:type="pct"/>
          </w:tcPr>
          <w:p w14:paraId="6DD4F537" w14:textId="77777777" w:rsidR="00BC0ED2" w:rsidRDefault="00BC0ED2" w:rsidP="00757FBB">
            <w:pPr>
              <w:pStyle w:val="TableBodyText"/>
            </w:pPr>
            <w:r>
              <w:t>102</w:t>
            </w:r>
          </w:p>
        </w:tc>
        <w:tc>
          <w:tcPr>
            <w:tcW w:w="464" w:type="pct"/>
          </w:tcPr>
          <w:p w14:paraId="1DD03273" w14:textId="77777777" w:rsidR="00BC0ED2" w:rsidRDefault="00BC0ED2" w:rsidP="00757FBB">
            <w:pPr>
              <w:pStyle w:val="TableBodyText"/>
            </w:pPr>
            <w:r>
              <w:t>19</w:t>
            </w:r>
          </w:p>
        </w:tc>
        <w:tc>
          <w:tcPr>
            <w:tcW w:w="464" w:type="pct"/>
          </w:tcPr>
          <w:p w14:paraId="572C15CE" w14:textId="77777777" w:rsidR="00BC0ED2" w:rsidRDefault="00BC0ED2" w:rsidP="00757FBB">
            <w:pPr>
              <w:pStyle w:val="TableBodyText"/>
            </w:pPr>
            <w:r>
              <w:t>21</w:t>
            </w:r>
          </w:p>
        </w:tc>
        <w:tc>
          <w:tcPr>
            <w:tcW w:w="462" w:type="pct"/>
          </w:tcPr>
          <w:p w14:paraId="514D6A3C" w14:textId="77777777" w:rsidR="00BC0ED2" w:rsidRDefault="00BC0ED2" w:rsidP="00757FBB">
            <w:pPr>
              <w:pStyle w:val="TableBodyText"/>
              <w:ind w:right="28"/>
            </w:pPr>
            <w:r>
              <w:t>15</w:t>
            </w:r>
          </w:p>
        </w:tc>
      </w:tr>
      <w:tr w:rsidR="00BC0ED2" w14:paraId="1B492358" w14:textId="77777777" w:rsidTr="00757FBB">
        <w:tc>
          <w:tcPr>
            <w:tcW w:w="1290" w:type="pct"/>
          </w:tcPr>
          <w:p w14:paraId="42A1188B" w14:textId="77777777" w:rsidR="00BC0ED2" w:rsidRDefault="00BC0ED2" w:rsidP="00757FBB">
            <w:pPr>
              <w:pStyle w:val="TableBodyText"/>
              <w:jc w:val="left"/>
            </w:pPr>
            <w:r>
              <w:t>Roads (% of total value)</w:t>
            </w:r>
          </w:p>
        </w:tc>
        <w:tc>
          <w:tcPr>
            <w:tcW w:w="464" w:type="pct"/>
          </w:tcPr>
          <w:p w14:paraId="393760CB" w14:textId="77777777" w:rsidR="00BC0ED2" w:rsidRDefault="00BC0ED2" w:rsidP="00757FBB">
            <w:pPr>
              <w:pStyle w:val="TableBodyText"/>
              <w:spacing w:before="40"/>
            </w:pPr>
            <w:r>
              <w:t>28</w:t>
            </w:r>
          </w:p>
        </w:tc>
        <w:tc>
          <w:tcPr>
            <w:tcW w:w="464" w:type="pct"/>
          </w:tcPr>
          <w:p w14:paraId="1C890C7D" w14:textId="77777777" w:rsidR="00BC0ED2" w:rsidRDefault="00BC0ED2" w:rsidP="00757FBB">
            <w:pPr>
              <w:pStyle w:val="TableBodyText"/>
              <w:spacing w:before="40"/>
            </w:pPr>
            <w:r>
              <w:t>39</w:t>
            </w:r>
          </w:p>
        </w:tc>
        <w:tc>
          <w:tcPr>
            <w:tcW w:w="464" w:type="pct"/>
          </w:tcPr>
          <w:p w14:paraId="50B0C87D" w14:textId="77777777" w:rsidR="00BC0ED2" w:rsidRDefault="00BC0ED2" w:rsidP="00757FBB">
            <w:pPr>
              <w:pStyle w:val="TableBodyText"/>
              <w:spacing w:before="40"/>
            </w:pPr>
            <w:r>
              <w:t>47</w:t>
            </w:r>
          </w:p>
        </w:tc>
        <w:tc>
          <w:tcPr>
            <w:tcW w:w="464" w:type="pct"/>
          </w:tcPr>
          <w:p w14:paraId="29083C47" w14:textId="77777777" w:rsidR="00BC0ED2" w:rsidRDefault="00BC0ED2" w:rsidP="00757FBB">
            <w:pPr>
              <w:pStyle w:val="TableBodyText"/>
              <w:spacing w:before="40"/>
            </w:pPr>
            <w:r>
              <w:t>17</w:t>
            </w:r>
          </w:p>
        </w:tc>
        <w:tc>
          <w:tcPr>
            <w:tcW w:w="464" w:type="pct"/>
          </w:tcPr>
          <w:p w14:paraId="3BFD339B" w14:textId="77777777" w:rsidR="00BC0ED2" w:rsidRDefault="00BC0ED2" w:rsidP="00757FBB">
            <w:pPr>
              <w:pStyle w:val="TableBodyText"/>
              <w:spacing w:before="40"/>
            </w:pPr>
            <w:r>
              <w:t>28</w:t>
            </w:r>
          </w:p>
        </w:tc>
        <w:tc>
          <w:tcPr>
            <w:tcW w:w="464" w:type="pct"/>
          </w:tcPr>
          <w:p w14:paraId="7BB1838B" w14:textId="77777777" w:rsidR="00BC0ED2" w:rsidRDefault="00BC0ED2" w:rsidP="00757FBB">
            <w:pPr>
              <w:pStyle w:val="TableBodyText"/>
              <w:spacing w:before="40"/>
            </w:pPr>
            <w:r>
              <w:t>44</w:t>
            </w:r>
          </w:p>
        </w:tc>
        <w:tc>
          <w:tcPr>
            <w:tcW w:w="464" w:type="pct"/>
          </w:tcPr>
          <w:p w14:paraId="64105B36" w14:textId="77777777" w:rsidR="00BC0ED2" w:rsidRDefault="00BC0ED2" w:rsidP="00757FBB">
            <w:pPr>
              <w:pStyle w:val="TableBodyText"/>
              <w:spacing w:before="40"/>
            </w:pPr>
            <w:r>
              <w:t>16</w:t>
            </w:r>
          </w:p>
        </w:tc>
        <w:tc>
          <w:tcPr>
            <w:tcW w:w="462" w:type="pct"/>
          </w:tcPr>
          <w:p w14:paraId="62882039" w14:textId="77777777" w:rsidR="00BC0ED2" w:rsidRDefault="00BC0ED2" w:rsidP="00757FBB">
            <w:pPr>
              <w:pStyle w:val="TableBodyText"/>
              <w:spacing w:before="40"/>
              <w:ind w:right="28"/>
            </w:pPr>
            <w:r>
              <w:t>27</w:t>
            </w:r>
          </w:p>
        </w:tc>
      </w:tr>
      <w:tr w:rsidR="00BC0ED2" w14:paraId="1376F1C9" w14:textId="77777777" w:rsidTr="00757FBB">
        <w:tc>
          <w:tcPr>
            <w:tcW w:w="1290" w:type="pct"/>
          </w:tcPr>
          <w:p w14:paraId="5FDDAB60" w14:textId="77777777" w:rsidR="00BC0ED2" w:rsidRDefault="00BC0ED2" w:rsidP="00757FBB">
            <w:pPr>
              <w:pStyle w:val="TableBodyText"/>
              <w:jc w:val="left"/>
            </w:pPr>
            <w:r>
              <w:t>Insured (% of total value)</w:t>
            </w:r>
          </w:p>
        </w:tc>
        <w:tc>
          <w:tcPr>
            <w:tcW w:w="464" w:type="pct"/>
          </w:tcPr>
          <w:p w14:paraId="56047BDB" w14:textId="77777777" w:rsidR="00BC0ED2" w:rsidRDefault="00BC0ED2" w:rsidP="00757FBB">
            <w:pPr>
              <w:pStyle w:val="TableBodyText"/>
            </w:pPr>
            <w:r>
              <w:t>67</w:t>
            </w:r>
          </w:p>
        </w:tc>
        <w:tc>
          <w:tcPr>
            <w:tcW w:w="464" w:type="pct"/>
          </w:tcPr>
          <w:p w14:paraId="051075AD" w14:textId="77777777" w:rsidR="00BC0ED2" w:rsidRDefault="00BC0ED2" w:rsidP="00757FBB">
            <w:pPr>
              <w:pStyle w:val="TableBodyText"/>
            </w:pPr>
            <w:r>
              <w:t>82</w:t>
            </w:r>
          </w:p>
        </w:tc>
        <w:tc>
          <w:tcPr>
            <w:tcW w:w="464" w:type="pct"/>
          </w:tcPr>
          <w:p w14:paraId="637F1DA6" w14:textId="77777777" w:rsidR="00BC0ED2" w:rsidRDefault="00BC0ED2" w:rsidP="00757FBB">
            <w:pPr>
              <w:pStyle w:val="TableBodyText"/>
            </w:pPr>
            <w:r>
              <w:t>54</w:t>
            </w:r>
          </w:p>
        </w:tc>
        <w:tc>
          <w:tcPr>
            <w:tcW w:w="464" w:type="pct"/>
          </w:tcPr>
          <w:p w14:paraId="1EA1652A" w14:textId="77777777" w:rsidR="00BC0ED2" w:rsidRDefault="00BC0ED2" w:rsidP="00757FBB">
            <w:pPr>
              <w:pStyle w:val="TableBodyText"/>
            </w:pPr>
            <w:r>
              <w:t>50</w:t>
            </w:r>
          </w:p>
        </w:tc>
        <w:tc>
          <w:tcPr>
            <w:tcW w:w="464" w:type="pct"/>
          </w:tcPr>
          <w:p w14:paraId="30B2B967" w14:textId="77777777" w:rsidR="00BC0ED2" w:rsidRDefault="00BC0ED2" w:rsidP="00757FBB">
            <w:pPr>
              <w:pStyle w:val="TableBodyText"/>
            </w:pPr>
            <w:r>
              <w:t>72</w:t>
            </w:r>
          </w:p>
        </w:tc>
        <w:tc>
          <w:tcPr>
            <w:tcW w:w="464" w:type="pct"/>
          </w:tcPr>
          <w:p w14:paraId="537F6049" w14:textId="77777777" w:rsidR="00BC0ED2" w:rsidRDefault="00BC0ED2" w:rsidP="00757FBB">
            <w:pPr>
              <w:pStyle w:val="TableBodyText"/>
            </w:pPr>
            <w:r>
              <w:t>8</w:t>
            </w:r>
          </w:p>
        </w:tc>
        <w:tc>
          <w:tcPr>
            <w:tcW w:w="464" w:type="pct"/>
          </w:tcPr>
          <w:p w14:paraId="589DAF61" w14:textId="77777777" w:rsidR="00BC0ED2" w:rsidRDefault="00BC0ED2" w:rsidP="00757FBB">
            <w:pPr>
              <w:pStyle w:val="TableBodyText"/>
            </w:pPr>
            <w:r>
              <w:t>100</w:t>
            </w:r>
          </w:p>
        </w:tc>
        <w:tc>
          <w:tcPr>
            <w:tcW w:w="462" w:type="pct"/>
          </w:tcPr>
          <w:p w14:paraId="345DF46E" w14:textId="77777777" w:rsidR="00BC0ED2" w:rsidRDefault="00BC0ED2" w:rsidP="00757FBB">
            <w:pPr>
              <w:pStyle w:val="TableBodyText"/>
              <w:ind w:right="28"/>
            </w:pPr>
            <w:r>
              <w:t>32</w:t>
            </w:r>
          </w:p>
        </w:tc>
      </w:tr>
      <w:tr w:rsidR="00BC0ED2" w14:paraId="3E2FC588" w14:textId="77777777" w:rsidTr="00757FBB">
        <w:tc>
          <w:tcPr>
            <w:tcW w:w="5000" w:type="pct"/>
            <w:gridSpan w:val="9"/>
          </w:tcPr>
          <w:p w14:paraId="55266CFB" w14:textId="77777777" w:rsidR="00BC0ED2" w:rsidRDefault="00BC0ED2" w:rsidP="00757FBB">
            <w:pPr>
              <w:pStyle w:val="TableBodyText"/>
              <w:ind w:right="28"/>
              <w:jc w:val="left"/>
            </w:pPr>
            <w:r>
              <w:t>Adequate insurance arrangements according to the Department of Finance</w:t>
            </w:r>
          </w:p>
        </w:tc>
      </w:tr>
      <w:tr w:rsidR="00BC0ED2" w14:paraId="72208D7C" w14:textId="77777777" w:rsidTr="00757FBB">
        <w:tc>
          <w:tcPr>
            <w:tcW w:w="1290" w:type="pct"/>
          </w:tcPr>
          <w:p w14:paraId="49B9BEE8" w14:textId="77777777" w:rsidR="00BC0ED2" w:rsidRDefault="00BC0ED2" w:rsidP="00757FBB">
            <w:pPr>
              <w:pStyle w:val="TableBodyText"/>
              <w:jc w:val="left"/>
            </w:pPr>
            <w:r>
              <w:t>Roads</w:t>
            </w:r>
          </w:p>
        </w:tc>
        <w:tc>
          <w:tcPr>
            <w:tcW w:w="464" w:type="pct"/>
          </w:tcPr>
          <w:p w14:paraId="75DDB593" w14:textId="77777777" w:rsidR="00BC0ED2" w:rsidRDefault="00BC0ED2" w:rsidP="00757FBB">
            <w:pPr>
              <w:pStyle w:val="TableBodyText"/>
            </w:pPr>
            <w:r>
              <w:sym w:font="Wingdings" w:char="F0FB"/>
            </w:r>
          </w:p>
        </w:tc>
        <w:tc>
          <w:tcPr>
            <w:tcW w:w="464" w:type="pct"/>
          </w:tcPr>
          <w:p w14:paraId="558BCCCD" w14:textId="77777777" w:rsidR="00BC0ED2" w:rsidRDefault="00BC0ED2" w:rsidP="00757FBB">
            <w:pPr>
              <w:pStyle w:val="TableBodyText"/>
            </w:pPr>
            <w:r>
              <w:sym w:font="Wingdings" w:char="F0FC"/>
            </w:r>
          </w:p>
        </w:tc>
        <w:tc>
          <w:tcPr>
            <w:tcW w:w="464" w:type="pct"/>
          </w:tcPr>
          <w:p w14:paraId="6F3CACD0" w14:textId="77777777" w:rsidR="00BC0ED2" w:rsidRDefault="00BC0ED2" w:rsidP="00757FBB">
            <w:pPr>
              <w:pStyle w:val="TableBodyText"/>
            </w:pPr>
            <w:r>
              <w:sym w:font="Wingdings" w:char="F0FB"/>
            </w:r>
          </w:p>
        </w:tc>
        <w:tc>
          <w:tcPr>
            <w:tcW w:w="464" w:type="pct"/>
          </w:tcPr>
          <w:p w14:paraId="05BE8753" w14:textId="77777777" w:rsidR="00BC0ED2" w:rsidRDefault="00BC0ED2" w:rsidP="00757FBB">
            <w:pPr>
              <w:pStyle w:val="TableBodyText"/>
            </w:pPr>
            <w:r>
              <w:sym w:font="Wingdings" w:char="F0FB"/>
            </w:r>
          </w:p>
        </w:tc>
        <w:tc>
          <w:tcPr>
            <w:tcW w:w="464" w:type="pct"/>
          </w:tcPr>
          <w:p w14:paraId="795A3405" w14:textId="77777777" w:rsidR="00BC0ED2" w:rsidRDefault="00BC0ED2" w:rsidP="00757FBB">
            <w:pPr>
              <w:pStyle w:val="TableBodyText"/>
            </w:pPr>
            <w:r>
              <w:sym w:font="Wingdings" w:char="F0FB"/>
            </w:r>
          </w:p>
        </w:tc>
        <w:tc>
          <w:tcPr>
            <w:tcW w:w="464" w:type="pct"/>
          </w:tcPr>
          <w:p w14:paraId="148A9EDA" w14:textId="77777777" w:rsidR="00BC0ED2" w:rsidRDefault="00BC0ED2" w:rsidP="00757FBB">
            <w:pPr>
              <w:pStyle w:val="TableBodyText"/>
            </w:pPr>
            <w:r>
              <w:sym w:font="Wingdings" w:char="F0FB"/>
            </w:r>
          </w:p>
        </w:tc>
        <w:tc>
          <w:tcPr>
            <w:tcW w:w="464" w:type="pct"/>
          </w:tcPr>
          <w:p w14:paraId="24FCCE90" w14:textId="77777777" w:rsidR="00BC0ED2" w:rsidRDefault="00BC0ED2" w:rsidP="00757FBB">
            <w:pPr>
              <w:pStyle w:val="TableBodyText"/>
            </w:pPr>
            <w:r>
              <w:sym w:font="Wingdings" w:char="F0FC"/>
            </w:r>
          </w:p>
        </w:tc>
        <w:tc>
          <w:tcPr>
            <w:tcW w:w="462" w:type="pct"/>
          </w:tcPr>
          <w:p w14:paraId="118D3B17" w14:textId="77777777" w:rsidR="00BC0ED2" w:rsidRDefault="00BC0ED2" w:rsidP="00757FBB">
            <w:pPr>
              <w:pStyle w:val="TableBodyText"/>
              <w:ind w:right="28"/>
            </w:pPr>
            <w:r>
              <w:sym w:font="Wingdings" w:char="F0FB"/>
            </w:r>
          </w:p>
        </w:tc>
      </w:tr>
      <w:tr w:rsidR="00BC0ED2" w14:paraId="328C4330" w14:textId="77777777" w:rsidTr="00757FBB">
        <w:tc>
          <w:tcPr>
            <w:tcW w:w="1290" w:type="pct"/>
            <w:tcBorders>
              <w:bottom w:val="single" w:sz="6" w:space="0" w:color="auto"/>
            </w:tcBorders>
            <w:shd w:val="clear" w:color="auto" w:fill="auto"/>
          </w:tcPr>
          <w:p w14:paraId="65E0CDB9" w14:textId="77777777" w:rsidR="00BC0ED2" w:rsidRDefault="00BC0ED2" w:rsidP="00757FBB">
            <w:pPr>
              <w:pStyle w:val="TableBodyText"/>
              <w:jc w:val="left"/>
            </w:pPr>
            <w:r>
              <w:t>Other assets</w:t>
            </w:r>
          </w:p>
        </w:tc>
        <w:tc>
          <w:tcPr>
            <w:tcW w:w="464" w:type="pct"/>
            <w:tcBorders>
              <w:bottom w:val="single" w:sz="6" w:space="0" w:color="auto"/>
            </w:tcBorders>
            <w:shd w:val="clear" w:color="auto" w:fill="auto"/>
          </w:tcPr>
          <w:p w14:paraId="7C411FD3" w14:textId="77777777" w:rsidR="00BC0ED2" w:rsidRDefault="00BC0ED2" w:rsidP="00757FBB">
            <w:pPr>
              <w:pStyle w:val="TableBodyText"/>
              <w:spacing w:before="40"/>
            </w:pPr>
            <w:r>
              <w:sym w:font="Wingdings" w:char="F0FC"/>
            </w:r>
          </w:p>
        </w:tc>
        <w:tc>
          <w:tcPr>
            <w:tcW w:w="464" w:type="pct"/>
            <w:tcBorders>
              <w:bottom w:val="single" w:sz="6" w:space="0" w:color="auto"/>
            </w:tcBorders>
            <w:shd w:val="clear" w:color="auto" w:fill="auto"/>
          </w:tcPr>
          <w:p w14:paraId="696ED7E3" w14:textId="77777777" w:rsidR="00BC0ED2" w:rsidRDefault="00BC0ED2" w:rsidP="00757FBB">
            <w:pPr>
              <w:pStyle w:val="TableBodyText"/>
              <w:spacing w:before="40"/>
            </w:pPr>
            <w:r>
              <w:sym w:font="Wingdings" w:char="F0FC"/>
            </w:r>
          </w:p>
        </w:tc>
        <w:tc>
          <w:tcPr>
            <w:tcW w:w="464" w:type="pct"/>
            <w:tcBorders>
              <w:bottom w:val="single" w:sz="6" w:space="0" w:color="auto"/>
            </w:tcBorders>
          </w:tcPr>
          <w:p w14:paraId="5C5D1194" w14:textId="77777777" w:rsidR="00BC0ED2" w:rsidRDefault="00BC0ED2" w:rsidP="00757FBB">
            <w:pPr>
              <w:pStyle w:val="TableBodyText"/>
              <w:spacing w:before="40"/>
            </w:pPr>
            <w:r>
              <w:sym w:font="Wingdings" w:char="F0FC"/>
            </w:r>
          </w:p>
        </w:tc>
        <w:tc>
          <w:tcPr>
            <w:tcW w:w="464" w:type="pct"/>
            <w:tcBorders>
              <w:bottom w:val="single" w:sz="6" w:space="0" w:color="auto"/>
            </w:tcBorders>
          </w:tcPr>
          <w:p w14:paraId="79784D1A" w14:textId="77777777" w:rsidR="00BC0ED2" w:rsidRDefault="00BC0ED2" w:rsidP="00757FBB">
            <w:pPr>
              <w:pStyle w:val="TableBodyText"/>
              <w:spacing w:before="40"/>
            </w:pPr>
            <w:r>
              <w:sym w:font="Wingdings" w:char="F0FC"/>
            </w:r>
          </w:p>
        </w:tc>
        <w:tc>
          <w:tcPr>
            <w:tcW w:w="464" w:type="pct"/>
            <w:tcBorders>
              <w:bottom w:val="single" w:sz="6" w:space="0" w:color="auto"/>
            </w:tcBorders>
            <w:shd w:val="clear" w:color="auto" w:fill="auto"/>
          </w:tcPr>
          <w:p w14:paraId="1732E5B2" w14:textId="77777777" w:rsidR="00BC0ED2" w:rsidRDefault="00BC0ED2" w:rsidP="00757FBB">
            <w:pPr>
              <w:pStyle w:val="TableBodyText"/>
              <w:spacing w:before="40"/>
            </w:pPr>
            <w:r>
              <w:sym w:font="Wingdings" w:char="F0FC"/>
            </w:r>
          </w:p>
        </w:tc>
        <w:tc>
          <w:tcPr>
            <w:tcW w:w="464" w:type="pct"/>
            <w:tcBorders>
              <w:bottom w:val="single" w:sz="6" w:space="0" w:color="auto"/>
            </w:tcBorders>
            <w:shd w:val="clear" w:color="auto" w:fill="auto"/>
          </w:tcPr>
          <w:p w14:paraId="16A28BE6" w14:textId="77777777" w:rsidR="00BC0ED2" w:rsidRDefault="00BC0ED2" w:rsidP="00757FBB">
            <w:pPr>
              <w:pStyle w:val="TableBodyText"/>
              <w:spacing w:before="40"/>
            </w:pPr>
            <w:r>
              <w:sym w:font="Wingdings" w:char="F0FB"/>
            </w:r>
          </w:p>
        </w:tc>
        <w:tc>
          <w:tcPr>
            <w:tcW w:w="464" w:type="pct"/>
            <w:tcBorders>
              <w:bottom w:val="single" w:sz="6" w:space="0" w:color="auto"/>
            </w:tcBorders>
            <w:shd w:val="clear" w:color="auto" w:fill="auto"/>
          </w:tcPr>
          <w:p w14:paraId="74DDACCD" w14:textId="77777777" w:rsidR="00BC0ED2" w:rsidRDefault="00BC0ED2" w:rsidP="00757FBB">
            <w:pPr>
              <w:pStyle w:val="TableBodyText"/>
              <w:spacing w:before="40"/>
            </w:pPr>
            <w:r>
              <w:sym w:font="Wingdings" w:char="F0FC"/>
            </w:r>
          </w:p>
        </w:tc>
        <w:tc>
          <w:tcPr>
            <w:tcW w:w="462" w:type="pct"/>
            <w:tcBorders>
              <w:bottom w:val="single" w:sz="6" w:space="0" w:color="auto"/>
            </w:tcBorders>
            <w:shd w:val="clear" w:color="auto" w:fill="auto"/>
          </w:tcPr>
          <w:p w14:paraId="773B21CA" w14:textId="77777777" w:rsidR="00BC0ED2" w:rsidRDefault="00BC0ED2" w:rsidP="00757FBB">
            <w:pPr>
              <w:pStyle w:val="TableBodyText"/>
              <w:spacing w:before="40"/>
              <w:ind w:right="28"/>
            </w:pPr>
            <w:r>
              <w:sym w:font="Wingdings" w:char="F0FB"/>
            </w:r>
          </w:p>
        </w:tc>
      </w:tr>
    </w:tbl>
    <w:p w14:paraId="49FA4534" w14:textId="2A2F7106" w:rsidR="00BC0ED2" w:rsidRPr="00311B71" w:rsidRDefault="00BC0ED2" w:rsidP="00BC0ED2">
      <w:pPr>
        <w:pStyle w:val="Source"/>
      </w:pPr>
      <w:r>
        <w:rPr>
          <w:i/>
        </w:rPr>
        <w:t>Sources</w:t>
      </w:r>
      <w:r>
        <w:t xml:space="preserve">: Department of Finance and Deregulation </w:t>
      </w:r>
      <w:r w:rsidRPr="00E2400E">
        <w:rPr>
          <w:rFonts w:cs="Arial"/>
        </w:rPr>
        <w:t>(2012)</w:t>
      </w:r>
      <w:r>
        <w:t xml:space="preserve">, KPMG Actuarial </w:t>
      </w:r>
      <w:r w:rsidRPr="00F14AE8">
        <w:rPr>
          <w:rFonts w:cs="Arial"/>
        </w:rPr>
        <w:t>(2012)</w:t>
      </w:r>
      <w:r>
        <w:t>.</w:t>
      </w:r>
    </w:p>
    <w:p w14:paraId="213DC1A5" w14:textId="77777777" w:rsidR="00BC0ED2" w:rsidRDefault="00BC0ED2" w:rsidP="00BC0ED2">
      <w:pPr>
        <w:pStyle w:val="BodyText"/>
      </w:pPr>
      <w:r>
        <w:t xml:space="preserve">The availability of commercial insurance for households and businesses has also been raised as an issue that is relevant for natural disaster management and funding. In recent years some property owners have been unable to find insurers that are willing to offer insurance, or will provide it only for very high premiums. </w:t>
      </w:r>
    </w:p>
    <w:p w14:paraId="03025DEA" w14:textId="487E6923" w:rsidR="00BE38D2" w:rsidRDefault="00BE38D2" w:rsidP="00BE38D2">
      <w:pPr>
        <w:pStyle w:val="BodyText"/>
      </w:pPr>
      <w:r>
        <w:t>Concerns about the level of insurance cover in the community and behaviour of insurers have regularly arisen after major natural disasters. For example, following the Queensland floods some households found they did not have cover for riverine flooding (leading to disputes between policyholders and insurers), and many households and businesses lacked property insurance altogether.</w:t>
      </w:r>
    </w:p>
    <w:p w14:paraId="00E4507F" w14:textId="079060C5" w:rsidR="00BE38D2" w:rsidRDefault="00D57EC0" w:rsidP="00BE38D2">
      <w:pPr>
        <w:pStyle w:val="BodyText"/>
      </w:pPr>
      <w:r>
        <w:t>The</w:t>
      </w:r>
      <w:r w:rsidR="00BE38D2">
        <w:t xml:space="preserve"> Australian Government commissioned the Natural Disaster Insurance Review (NDIR 2011) after the Queensland floods to investigate options to improve the extent and affordability of flood insurance. While its main recommendations were not adopted, several regulatory and market changes did occur. Regulations now require insurers to use a standard definition of ‘flood’ and provide consumers with a one page summary of their insurance policy. Insurers have also sought to better understand flood risks and offer flood cover to more households.</w:t>
      </w:r>
    </w:p>
    <w:p w14:paraId="62D7A688" w14:textId="330E87C3" w:rsidR="00D57EC0" w:rsidRDefault="00D57EC0" w:rsidP="00BE38D2">
      <w:pPr>
        <w:pStyle w:val="BodyText"/>
      </w:pPr>
      <w:r>
        <w:t>Government funding arrangements may also potentially impact the take up of insurance (and therefore natural disaster provisioning) by households and business.</w:t>
      </w:r>
    </w:p>
    <w:p w14:paraId="593AA40B" w14:textId="77777777" w:rsidR="00BC0ED2" w:rsidRDefault="00BC0ED2" w:rsidP="00BC0ED2">
      <w:pPr>
        <w:pStyle w:val="BodyText"/>
        <w:rPr>
          <w:i/>
        </w:rPr>
      </w:pPr>
      <w:r>
        <w:rPr>
          <w:i/>
        </w:rPr>
        <w:lastRenderedPageBreak/>
        <w:t>What are the current arrangements for insurance of essential public assets owned or managed by state and territory governments?</w:t>
      </w:r>
    </w:p>
    <w:p w14:paraId="39B41050" w14:textId="46ED78FB" w:rsidR="00BC0ED2" w:rsidRDefault="00BC0ED2" w:rsidP="00BC0ED2">
      <w:pPr>
        <w:pStyle w:val="BodyText"/>
        <w:rPr>
          <w:i/>
        </w:rPr>
      </w:pPr>
      <w:r>
        <w:rPr>
          <w:i/>
        </w:rPr>
        <w:t>What explains the disparities in natural disaster insurance coverage by state and territory governments?</w:t>
      </w:r>
    </w:p>
    <w:p w14:paraId="4BE2B07E" w14:textId="77777777" w:rsidR="00BC0ED2" w:rsidRDefault="00BC0ED2" w:rsidP="00BC0ED2">
      <w:pPr>
        <w:pStyle w:val="BodyText"/>
        <w:rPr>
          <w:i/>
        </w:rPr>
      </w:pPr>
      <w:r>
        <w:rPr>
          <w:i/>
        </w:rPr>
        <w:t>What impacts do the structure and design of the NDRRA have on the incentives of state and territory governments to insure essential public assets?</w:t>
      </w:r>
    </w:p>
    <w:p w14:paraId="7454BEFA" w14:textId="20C578FC" w:rsidR="00D57EC0" w:rsidRDefault="00D57EC0" w:rsidP="00BC0ED2">
      <w:pPr>
        <w:pStyle w:val="BodyText"/>
        <w:rPr>
          <w:i/>
        </w:rPr>
      </w:pPr>
      <w:r>
        <w:rPr>
          <w:i/>
        </w:rPr>
        <w:t>What impacts do the structure and design of the NDRRA have on the incentives of households and business to insure their property?</w:t>
      </w:r>
    </w:p>
    <w:p w14:paraId="5299AD09" w14:textId="77777777" w:rsidR="00BC0ED2" w:rsidRDefault="00BC0ED2" w:rsidP="00BC0ED2">
      <w:pPr>
        <w:pStyle w:val="BodyText"/>
        <w:rPr>
          <w:i/>
        </w:rPr>
      </w:pPr>
      <w:r w:rsidRPr="00AB50AF">
        <w:rPr>
          <w:i/>
        </w:rPr>
        <w:t>Do problems exist</w:t>
      </w:r>
      <w:r>
        <w:rPr>
          <w:i/>
        </w:rPr>
        <w:t xml:space="preserve"> in insurance markets</w:t>
      </w:r>
      <w:r w:rsidRPr="00AB50AF">
        <w:rPr>
          <w:i/>
        </w:rPr>
        <w:t xml:space="preserve"> that prevent households and businesses from taking out insurance for natural disaster risks?</w:t>
      </w:r>
      <w:r>
        <w:rPr>
          <w:i/>
        </w:rPr>
        <w:t xml:space="preserve"> What are the causes and consequences of these problems? What possible solutions might be available?</w:t>
      </w:r>
    </w:p>
    <w:p w14:paraId="6C90153F" w14:textId="77777777" w:rsidR="00BC0ED2" w:rsidRDefault="00BC0ED2" w:rsidP="00BC0ED2">
      <w:pPr>
        <w:pStyle w:val="BodyText"/>
        <w:rPr>
          <w:i/>
        </w:rPr>
      </w:pPr>
      <w:r>
        <w:rPr>
          <w:i/>
        </w:rPr>
        <w:t>Is non-insurance and underinsurance by households and businesses against natural disaster risks a significant problem?</w:t>
      </w:r>
    </w:p>
    <w:p w14:paraId="6E8C1010" w14:textId="62914765" w:rsidR="00BC0ED2" w:rsidRDefault="00BC0ED2" w:rsidP="00BC0ED2">
      <w:pPr>
        <w:pStyle w:val="BodyText"/>
        <w:rPr>
          <w:i/>
        </w:rPr>
      </w:pPr>
      <w:r>
        <w:rPr>
          <w:i/>
        </w:rPr>
        <w:t xml:space="preserve">Are high insurance premiums for households in some areas </w:t>
      </w:r>
      <w:r w:rsidRPr="00A169B5">
        <w:rPr>
          <w:i/>
        </w:rPr>
        <w:t xml:space="preserve">reflective of the risk </w:t>
      </w:r>
      <w:r>
        <w:rPr>
          <w:i/>
        </w:rPr>
        <w:t xml:space="preserve">in those areas, </w:t>
      </w:r>
      <w:r w:rsidRPr="00A169B5">
        <w:rPr>
          <w:i/>
        </w:rPr>
        <w:t>or</w:t>
      </w:r>
      <w:r>
        <w:rPr>
          <w:i/>
        </w:rPr>
        <w:t xml:space="preserve"> are they</w:t>
      </w:r>
      <w:r w:rsidRPr="00A169B5">
        <w:rPr>
          <w:i/>
        </w:rPr>
        <w:t xml:space="preserve"> </w:t>
      </w:r>
      <w:r w:rsidR="00751E6B">
        <w:rPr>
          <w:i/>
        </w:rPr>
        <w:t>reflective of</w:t>
      </w:r>
      <w:r w:rsidRPr="00A169B5">
        <w:rPr>
          <w:i/>
        </w:rPr>
        <w:t xml:space="preserve"> information asymmetries</w:t>
      </w:r>
      <w:r>
        <w:rPr>
          <w:i/>
        </w:rPr>
        <w:t xml:space="preserve"> or other problems in the insurance market?</w:t>
      </w:r>
    </w:p>
    <w:p w14:paraId="10F6F873" w14:textId="6F7A2247" w:rsidR="00BC0ED2" w:rsidRPr="005A65BB" w:rsidRDefault="00BC0ED2" w:rsidP="005A65BB">
      <w:pPr>
        <w:pStyle w:val="BodyText"/>
        <w:rPr>
          <w:i/>
        </w:rPr>
      </w:pPr>
      <w:r w:rsidRPr="00B14563">
        <w:rPr>
          <w:i/>
        </w:rPr>
        <w:t>What impact is mitigation activity likely to have on insurance premiums? What evidence is available to assess this?</w:t>
      </w:r>
    </w:p>
    <w:p w14:paraId="6DA60767" w14:textId="5F5CA5BB" w:rsidR="00575A11" w:rsidRDefault="00575A11" w:rsidP="00575A11">
      <w:pPr>
        <w:pStyle w:val="Heading3"/>
      </w:pPr>
      <w:r>
        <w:t>Allocating resources to natural disaster risk management</w:t>
      </w:r>
    </w:p>
    <w:p w14:paraId="4D5EEDFE" w14:textId="6D0332FC" w:rsidR="00085954" w:rsidRDefault="00575A11" w:rsidP="000F6199">
      <w:pPr>
        <w:pStyle w:val="BodyText"/>
      </w:pPr>
      <w:r>
        <w:t>Natural disaster funding arrangements influence the amount of resources that governments allocate to mitigation, resi</w:t>
      </w:r>
      <w:r w:rsidR="00085954">
        <w:t>lience and recovery activities.</w:t>
      </w:r>
      <w:r w:rsidR="00995BB2">
        <w:t xml:space="preserve"> </w:t>
      </w:r>
      <w:r w:rsidR="00085954">
        <w:t>One issue is the treatment of contingent liabilities in government budgets. In treating natural disaster recovery as a contingent liability, governments do not necessarily make provision for the future costs of natural disaster recovery in budgets.</w:t>
      </w:r>
      <w:r w:rsidR="00995BB2">
        <w:t xml:space="preserve"> </w:t>
      </w:r>
      <w:r w:rsidR="00085954">
        <w:t>By contrast, natural disaster mitigation and resilience expenditure is accounted for in budget forward estimates, and as such is traded off against other spending priorities.</w:t>
      </w:r>
      <w:r w:rsidR="004601E8">
        <w:t xml:space="preserve"> Betterment activities (under the NDRRA) receive no budget allocation, and must be funded by savings elsewhere in the Attorney-General’s portfolio.</w:t>
      </w:r>
      <w:r w:rsidR="00995BB2" w:rsidRPr="00995BB2">
        <w:t xml:space="preserve"> </w:t>
      </w:r>
      <w:r w:rsidR="00995BB2">
        <w:t>These budget accounting conventions could lead to inadequate asset and liability management arrangements (box</w:t>
      </w:r>
      <w:r w:rsidR="005A65BB">
        <w:t xml:space="preserve"> 6</w:t>
      </w:r>
      <w:r w:rsidR="00995BB2">
        <w:t>).</w:t>
      </w:r>
    </w:p>
    <w:p w14:paraId="5D58BDB7" w14:textId="6B6F5D62" w:rsidR="00575A11" w:rsidRDefault="00575A11" w:rsidP="00575A11">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75A11" w14:paraId="43F512BB" w14:textId="77777777" w:rsidTr="00651AC3">
        <w:tc>
          <w:tcPr>
            <w:tcW w:w="8771" w:type="dxa"/>
            <w:tcBorders>
              <w:top w:val="single" w:sz="6" w:space="0" w:color="auto"/>
              <w:bottom w:val="nil"/>
            </w:tcBorders>
          </w:tcPr>
          <w:p w14:paraId="3072ECD9" w14:textId="6691F539" w:rsidR="00575A11" w:rsidRDefault="00575A11" w:rsidP="00651AC3">
            <w:pPr>
              <w:pStyle w:val="BoxTitle"/>
            </w:pPr>
            <w:r>
              <w:rPr>
                <w:b w:val="0"/>
              </w:rPr>
              <w:t>Box</w:t>
            </w:r>
            <w:bookmarkStart w:id="12" w:name="OLE_LINK10"/>
            <w:r>
              <w:rPr>
                <w:b w:val="0"/>
              </w:rPr>
              <w:t xml:space="preserve"> </w:t>
            </w:r>
            <w:bookmarkStart w:id="13" w:name="OLE_LINK7"/>
            <w:r w:rsidR="007A66DD">
              <w:rPr>
                <w:b w:val="0"/>
                <w:noProof/>
              </w:rPr>
              <w:t>6</w:t>
            </w:r>
            <w:bookmarkEnd w:id="12"/>
            <w:bookmarkEnd w:id="13"/>
            <w:r>
              <w:tab/>
              <w:t>Asset and liability management</w:t>
            </w:r>
          </w:p>
        </w:tc>
      </w:tr>
      <w:tr w:rsidR="00575A11" w14:paraId="7E03D043" w14:textId="77777777" w:rsidTr="00651AC3">
        <w:trPr>
          <w:cantSplit/>
        </w:trPr>
        <w:tc>
          <w:tcPr>
            <w:tcW w:w="8771" w:type="dxa"/>
            <w:tcBorders>
              <w:top w:val="nil"/>
              <w:left w:val="single" w:sz="6" w:space="0" w:color="auto"/>
              <w:bottom w:val="nil"/>
              <w:right w:val="single" w:sz="6" w:space="0" w:color="auto"/>
            </w:tcBorders>
          </w:tcPr>
          <w:p w14:paraId="2BDC57DE" w14:textId="0B5F3A9A" w:rsidR="00575A11" w:rsidRDefault="00575A11" w:rsidP="00651AC3">
            <w:pPr>
              <w:pStyle w:val="Box"/>
            </w:pPr>
            <w:r w:rsidRPr="00C1516A">
              <w:t>Asset and liability management (ALM)</w:t>
            </w:r>
            <w:r>
              <w:t xml:space="preserve"> is an approach used by organisations to jointly manage risks to their assets and liabilities in order to achieve their financial objectives. The approach was originally developed by banks to identify and manage the risks that changes in interest rates would present to their balance sheets. Over time ALM has been adopted by other organisations (including governments</w:t>
            </w:r>
            <w:r w:rsidR="00DC0057">
              <w:t xml:space="preserve"> and superannuation funds</w:t>
            </w:r>
            <w:r>
              <w:t>) and the range of risks that are considered as part of the approach has been broadened</w:t>
            </w:r>
            <w:r w:rsidR="00457B47">
              <w:t>, such as environmental, social and governance risk</w:t>
            </w:r>
            <w:r w:rsidR="00A72BE1">
              <w:t>s</w:t>
            </w:r>
            <w:r>
              <w:t>.</w:t>
            </w:r>
          </w:p>
          <w:p w14:paraId="3F23A183" w14:textId="0645D1C4" w:rsidR="00575A11" w:rsidRDefault="00575A11" w:rsidP="00651AC3">
            <w:pPr>
              <w:pStyle w:val="Box"/>
            </w:pPr>
            <w:r>
              <w:t>The IMF stated that the role of asset and liability management by governments is focused on:</w:t>
            </w:r>
          </w:p>
          <w:p w14:paraId="54F7EB77" w14:textId="523FCA1C" w:rsidR="00575A11" w:rsidRDefault="00575A11" w:rsidP="00BE38D2">
            <w:pPr>
              <w:pStyle w:val="BoxQuote"/>
            </w:pPr>
            <w:r>
              <w:t>… managing and containing the financial risk exposure of the public sector as a whole, so as to preserve a sound balance sheet needed to support a sustainable policy path and economic growth.</w:t>
            </w:r>
            <w:r w:rsidR="00246816">
              <w:t xml:space="preserve"> </w:t>
            </w:r>
            <w:r w:rsidR="00246816" w:rsidRPr="00622076">
              <w:rPr>
                <w:rFonts w:cs="Arial"/>
                <w:szCs w:val="24"/>
              </w:rPr>
              <w:t>(Das et al. 2012</w:t>
            </w:r>
            <w:r w:rsidR="00246816">
              <w:rPr>
                <w:rFonts w:cs="Arial"/>
                <w:szCs w:val="24"/>
              </w:rPr>
              <w:t>, p. 3</w:t>
            </w:r>
            <w:r w:rsidR="00246816" w:rsidRPr="00622076">
              <w:rPr>
                <w:rFonts w:cs="Arial"/>
                <w:szCs w:val="24"/>
              </w:rPr>
              <w:t>)</w:t>
            </w:r>
          </w:p>
          <w:p w14:paraId="46111C02" w14:textId="68937737" w:rsidR="00575A11" w:rsidRDefault="00575A11" w:rsidP="00651AC3">
            <w:pPr>
              <w:pStyle w:val="Box"/>
            </w:pPr>
            <w:r>
              <w:t xml:space="preserve">ALM is a </w:t>
            </w:r>
            <w:r w:rsidR="00B26779">
              <w:t xml:space="preserve">part </w:t>
            </w:r>
            <w:r>
              <w:t xml:space="preserve">of overall risk management and is </w:t>
            </w:r>
            <w:r w:rsidR="0012645C">
              <w:t xml:space="preserve">a </w:t>
            </w:r>
            <w:r>
              <w:t xml:space="preserve">tool for achieving other economic and wellbeing objectives. Effective ALM can assist governments to achieve a strong sovereign financial position and sustainable policy making, and to better prepare for future uncertainties </w:t>
            </w:r>
            <w:r w:rsidRPr="007319A6">
              <w:rPr>
                <w:rFonts w:cs="Arial"/>
                <w:szCs w:val="24"/>
              </w:rPr>
              <w:t>(Romanyuk 2010)</w:t>
            </w:r>
            <w:r w:rsidR="00086A80">
              <w:t xml:space="preserve"> and intergenerational challenges</w:t>
            </w:r>
            <w:r>
              <w:t>.</w:t>
            </w:r>
          </w:p>
          <w:p w14:paraId="6932D2AB" w14:textId="24064A5A" w:rsidR="00086A80" w:rsidRDefault="00457B47" w:rsidP="00622076">
            <w:pPr>
              <w:pStyle w:val="Box"/>
            </w:pPr>
            <w:r>
              <w:t xml:space="preserve">The ability to apply natural disaster risk to </w:t>
            </w:r>
            <w:r w:rsidRPr="00457B47">
              <w:t xml:space="preserve">ALM </w:t>
            </w:r>
            <w:r>
              <w:t>is complicated by measurement issues</w:t>
            </w:r>
            <w:r w:rsidRPr="00457B47">
              <w:t>.</w:t>
            </w:r>
            <w:r>
              <w:t xml:space="preserve"> </w:t>
            </w:r>
            <w:r w:rsidR="00575A11">
              <w:t>Natural disasters are a</w:t>
            </w:r>
            <w:r>
              <w:t>n implicit</w:t>
            </w:r>
            <w:r w:rsidR="00575A11">
              <w:t xml:space="preserve"> </w:t>
            </w:r>
            <w:r w:rsidR="00575A11" w:rsidRPr="00C1516A">
              <w:t>contingent liability</w:t>
            </w:r>
            <w:r w:rsidR="00575A11">
              <w:t xml:space="preserve"> for governments. </w:t>
            </w:r>
            <w:r w:rsidR="00086A80">
              <w:t>Their</w:t>
            </w:r>
            <w:r w:rsidR="00575A11">
              <w:t xml:space="preserve"> existence and budgetary impact are dependent on future events that may or may not occur and that are not under the control of the government. </w:t>
            </w:r>
            <w:r w:rsidR="00086A80">
              <w:t>Hence, while</w:t>
            </w:r>
            <w:r w:rsidR="00575A11">
              <w:t xml:space="preserve"> they can represent a significant risk to a </w:t>
            </w:r>
            <w:r w:rsidR="00086A80">
              <w:t>government</w:t>
            </w:r>
            <w:r w:rsidR="00575A11">
              <w:t>’s fiscal position, the uncertainty surrounding estimates of contingent liabilities means these estimates are not included</w:t>
            </w:r>
            <w:r w:rsidR="00086A80">
              <w:t xml:space="preserve"> in official financial statements</w:t>
            </w:r>
            <w:r w:rsidR="00575A11">
              <w:t xml:space="preserve">. </w:t>
            </w:r>
            <w:r w:rsidR="00CB7F38">
              <w:t>Effective asset and liability management would at a minimum require sensitivity analysis for such risk factors in the absence of probability weighted provisioning.</w:t>
            </w:r>
          </w:p>
          <w:p w14:paraId="7D068406" w14:textId="0A2806B6" w:rsidR="00575A11" w:rsidRDefault="00086A80" w:rsidP="00CB7F38">
            <w:pPr>
              <w:pStyle w:val="Box"/>
            </w:pPr>
            <w:r>
              <w:t xml:space="preserve">This gives rise to an important trade-off for policymakers. If these risks are not explicitly accounted for, policy makers </w:t>
            </w:r>
            <w:r w:rsidR="00CB7F38">
              <w:t xml:space="preserve">will not </w:t>
            </w:r>
            <w:r>
              <w:t xml:space="preserve"> </w:t>
            </w:r>
            <w:r w:rsidR="00751E6B">
              <w:t xml:space="preserve">necessarily </w:t>
            </w:r>
            <w:r>
              <w:t>provision for the</w:t>
            </w:r>
            <w:r w:rsidR="00751E6B">
              <w:t>m</w:t>
            </w:r>
            <w:r>
              <w:t xml:space="preserve">, and this could lead to a systemic misrepresentation of the underlying budget position </w:t>
            </w:r>
            <w:r w:rsidRPr="005A65BB">
              <w:rPr>
                <w:rFonts w:cs="Arial"/>
                <w:szCs w:val="24"/>
              </w:rPr>
              <w:t>(OECD 2013)</w:t>
            </w:r>
            <w:r>
              <w:t>. However, the quality of information about the risks needs to be high</w:t>
            </w:r>
            <w:r w:rsidR="00751E6B">
              <w:t xml:space="preserve"> enough</w:t>
            </w:r>
            <w:r>
              <w:t xml:space="preserve"> to enable informed and effective decision-making</w:t>
            </w:r>
            <w:r w:rsidR="00751E6B">
              <w:t>.</w:t>
            </w:r>
          </w:p>
        </w:tc>
      </w:tr>
      <w:tr w:rsidR="00575A11" w14:paraId="2B0EBDA7" w14:textId="77777777" w:rsidTr="00651AC3">
        <w:trPr>
          <w:cantSplit/>
        </w:trPr>
        <w:tc>
          <w:tcPr>
            <w:tcW w:w="8771" w:type="dxa"/>
            <w:tcBorders>
              <w:top w:val="nil"/>
              <w:left w:val="single" w:sz="6" w:space="0" w:color="auto"/>
              <w:bottom w:val="single" w:sz="6" w:space="0" w:color="auto"/>
              <w:right w:val="single" w:sz="6" w:space="0" w:color="auto"/>
            </w:tcBorders>
          </w:tcPr>
          <w:p w14:paraId="2867A417" w14:textId="77777777" w:rsidR="00575A11" w:rsidRDefault="00575A11" w:rsidP="00651AC3">
            <w:pPr>
              <w:pStyle w:val="Box"/>
              <w:spacing w:before="0" w:line="120" w:lineRule="exact"/>
            </w:pPr>
          </w:p>
        </w:tc>
      </w:tr>
      <w:tr w:rsidR="00575A11" w:rsidRPr="000863A5" w14:paraId="4A88CE89" w14:textId="77777777" w:rsidTr="00651AC3">
        <w:tc>
          <w:tcPr>
            <w:tcW w:w="8771" w:type="dxa"/>
            <w:tcBorders>
              <w:top w:val="nil"/>
              <w:left w:val="nil"/>
              <w:bottom w:val="nil"/>
              <w:right w:val="nil"/>
            </w:tcBorders>
          </w:tcPr>
          <w:p w14:paraId="6F8E8B74" w14:textId="2A5E64A7" w:rsidR="00575A11" w:rsidRPr="00626D32" w:rsidRDefault="00575A11" w:rsidP="00651AC3">
            <w:pPr>
              <w:pStyle w:val="BoxSpaceBelow"/>
            </w:pPr>
          </w:p>
        </w:tc>
      </w:tr>
    </w:tbl>
    <w:p w14:paraId="40E61C9A" w14:textId="77777777" w:rsidR="00D57EC0" w:rsidRDefault="00D57EC0" w:rsidP="00D57EC0">
      <w:pPr>
        <w:pStyle w:val="BodyText"/>
      </w:pPr>
      <w:r w:rsidRPr="00EA682A">
        <w:t xml:space="preserve">The level </w:t>
      </w:r>
      <w:r>
        <w:t xml:space="preserve">and composition </w:t>
      </w:r>
      <w:r w:rsidRPr="00EA682A">
        <w:t xml:space="preserve">of resources allocated to natural disaster risks </w:t>
      </w:r>
      <w:r>
        <w:t>is</w:t>
      </w:r>
      <w:r w:rsidRPr="00EA682A">
        <w:t xml:space="preserve"> </w:t>
      </w:r>
      <w:r>
        <w:t xml:space="preserve">also </w:t>
      </w:r>
      <w:r w:rsidRPr="00EA682A">
        <w:t xml:space="preserve">inevitably influenced by political economy realities. </w:t>
      </w:r>
      <w:r>
        <w:t xml:space="preserve">For example, research suggests that the political incentives for mitigation funding are not strong. Governments gain more ‘political capital’ from spending on disaster relief, which is immediate, observable and provides private benefits to individuals. Healy and Malhorta </w:t>
      </w:r>
      <w:r w:rsidRPr="001434FB">
        <w:t>(2009)</w:t>
      </w:r>
      <w:r>
        <w:t xml:space="preserve"> analysed United States voter responses to spending on disaster preparedness and disaster relief. They found that voters reward incumbent politicians for disaster relief spending, but not for spending on preparedness.</w:t>
      </w:r>
    </w:p>
    <w:p w14:paraId="56E42087" w14:textId="77777777" w:rsidR="00D57EC0" w:rsidRDefault="00D57EC0" w:rsidP="00D57EC0">
      <w:pPr>
        <w:pStyle w:val="BodyText"/>
      </w:pPr>
      <w:r>
        <w:lastRenderedPageBreak/>
        <w:t>This finding, coupled with a misalignment of risk incidence and funding and the treatment of contingent liabilities compared with mitigation and resilience expenditure, suggests that governments have incentives to under</w:t>
      </w:r>
      <w:r>
        <w:noBreakHyphen/>
        <w:t>invest in disaster mitigation, and potentially to over</w:t>
      </w:r>
      <w:r>
        <w:noBreakHyphen/>
        <w:t>invest in disaster recovery.</w:t>
      </w:r>
    </w:p>
    <w:p w14:paraId="08C0BA0E" w14:textId="77777777" w:rsidR="00D57EC0" w:rsidRDefault="00D57EC0" w:rsidP="00D57EC0">
      <w:pPr>
        <w:pStyle w:val="BodyText"/>
        <w:rPr>
          <w:i/>
        </w:rPr>
      </w:pPr>
      <w:r>
        <w:rPr>
          <w:i/>
        </w:rPr>
        <w:t>Are current natural disaster funding arrangements consistent with effective and sustainable allocation of resources to natural disaster mitigation, resilience and recovery?</w:t>
      </w:r>
    </w:p>
    <w:p w14:paraId="64AE6AD9" w14:textId="77777777" w:rsidR="00D57EC0" w:rsidRDefault="00D57EC0" w:rsidP="00D57EC0">
      <w:pPr>
        <w:pStyle w:val="BodyText"/>
        <w:rPr>
          <w:i/>
        </w:rPr>
      </w:pPr>
      <w:r>
        <w:rPr>
          <w:i/>
        </w:rPr>
        <w:t>What are the effects on risk management and resource allocation of treating natural disaster recovery as a contingent liability? Should the budget treatment of natural disaster funding be changed?</w:t>
      </w:r>
    </w:p>
    <w:p w14:paraId="1245F6C7" w14:textId="77777777" w:rsidR="00D57EC0" w:rsidRDefault="00D57EC0" w:rsidP="00D57EC0">
      <w:pPr>
        <w:pStyle w:val="BodyText"/>
        <w:rPr>
          <w:i/>
        </w:rPr>
      </w:pPr>
      <w:r>
        <w:rPr>
          <w:i/>
        </w:rPr>
        <w:t>What information and skill sets are required for more effective budget management of natural disaster risk, at both the Commonwealth and state level?</w:t>
      </w:r>
    </w:p>
    <w:p w14:paraId="2118F202" w14:textId="77777777" w:rsidR="00D57EC0" w:rsidRPr="005A65BB" w:rsidRDefault="00D57EC0" w:rsidP="00D57EC0">
      <w:pPr>
        <w:pStyle w:val="BodyText"/>
        <w:rPr>
          <w:i/>
        </w:rPr>
      </w:pPr>
      <w:r w:rsidRPr="00AB50AF">
        <w:rPr>
          <w:i/>
        </w:rPr>
        <w:t xml:space="preserve">Do </w:t>
      </w:r>
      <w:r>
        <w:rPr>
          <w:i/>
        </w:rPr>
        <w:t>current funding arrangements exacerbate the political economy</w:t>
      </w:r>
      <w:r w:rsidRPr="00AB50AF">
        <w:rPr>
          <w:i/>
        </w:rPr>
        <w:t xml:space="preserve"> incentive</w:t>
      </w:r>
      <w:r>
        <w:rPr>
          <w:i/>
        </w:rPr>
        <w:t xml:space="preserve"> for</w:t>
      </w:r>
      <w:r w:rsidRPr="00AB50AF">
        <w:rPr>
          <w:i/>
        </w:rPr>
        <w:t xml:space="preserve"> governments to under</w:t>
      </w:r>
      <w:r w:rsidRPr="00AB50AF">
        <w:rPr>
          <w:i/>
        </w:rPr>
        <w:noBreakHyphen/>
        <w:t>invest in natural disaster mitigation and/or over</w:t>
      </w:r>
      <w:r w:rsidRPr="00AB50AF">
        <w:rPr>
          <w:i/>
        </w:rPr>
        <w:noBreakHyphen/>
        <w:t>invest in natural disaster recovery?</w:t>
      </w:r>
    </w:p>
    <w:p w14:paraId="7D683F19" w14:textId="77777777" w:rsidR="00575A11" w:rsidRDefault="00575A11" w:rsidP="00575A11">
      <w:pPr>
        <w:pStyle w:val="Heading3"/>
      </w:pPr>
      <w:r>
        <w:t>Getting the balance right between mitigation, resilience and recovery</w:t>
      </w:r>
    </w:p>
    <w:p w14:paraId="241145AB" w14:textId="61CC58F5" w:rsidR="004F1E09" w:rsidRDefault="00575A11" w:rsidP="00575A11">
      <w:pPr>
        <w:pStyle w:val="BodyText"/>
      </w:pPr>
      <w:r>
        <w:t>An important consideration for the inquiry is whether the current arrangements achieve a</w:t>
      </w:r>
      <w:r w:rsidR="004025E6">
        <w:t xml:space="preserve"> </w:t>
      </w:r>
      <w:r>
        <w:t xml:space="preserve">balance of expenditure on mitigation, resilience, recovery and insurance that is consistent with </w:t>
      </w:r>
      <w:r w:rsidR="00CB7F38">
        <w:t xml:space="preserve">effective risk management and therefore </w:t>
      </w:r>
      <w:r>
        <w:t xml:space="preserve">maximising community wellbeing. </w:t>
      </w:r>
    </w:p>
    <w:p w14:paraId="6D97F4A9" w14:textId="66A86D63" w:rsidR="004F1E09" w:rsidRDefault="004F1E09" w:rsidP="004F1E09">
      <w:pPr>
        <w:pStyle w:val="BodyText"/>
      </w:pPr>
      <w:r>
        <w:t>Several parties have previously expressed concern that the balance of mitigation and recovery expenditure is not appropriate</w:t>
      </w:r>
      <w:r w:rsidR="009F444A">
        <w:t>, pointing to the high potential net benefits of mitigation activities</w:t>
      </w:r>
      <w:r>
        <w:t xml:space="preserve">. For example, in 2002 a group of </w:t>
      </w:r>
      <w:r w:rsidR="00751E6B">
        <w:t>h</w:t>
      </w:r>
      <w:r>
        <w:t>igh</w:t>
      </w:r>
      <w:r>
        <w:noBreakHyphen/>
      </w:r>
      <w:r w:rsidR="00751E6B">
        <w:t>l</w:t>
      </w:r>
      <w:r>
        <w:t xml:space="preserve">evel </w:t>
      </w:r>
      <w:r w:rsidR="00751E6B">
        <w:t>o</w:t>
      </w:r>
      <w:r>
        <w:t>fficials reported to COAG that a weakness of the natural disaster management arrangements that were in place at the time was:</w:t>
      </w:r>
    </w:p>
    <w:p w14:paraId="7991F353" w14:textId="24663211" w:rsidR="004F1E09" w:rsidRDefault="004F1E09" w:rsidP="004F1E09">
      <w:pPr>
        <w:pStyle w:val="Quote"/>
      </w:pPr>
      <w:r>
        <w:t xml:space="preserve">… </w:t>
      </w:r>
      <w:r w:rsidRPr="008647B5">
        <w:t>a focus on response and reaction at the expense of prevention, mitigation and recovery of affected communities</w:t>
      </w:r>
      <w:r>
        <w:t xml:space="preserve">. </w:t>
      </w:r>
      <w:r w:rsidRPr="00AB50AF">
        <w:rPr>
          <w:sz w:val="26"/>
          <w:szCs w:val="24"/>
        </w:rPr>
        <w:t>(COAG 2002, p. 9)</w:t>
      </w:r>
    </w:p>
    <w:p w14:paraId="6F30A1C6" w14:textId="77777777" w:rsidR="004F1E09" w:rsidRDefault="004F1E09" w:rsidP="004F1E09">
      <w:pPr>
        <w:pStyle w:val="BodyText"/>
      </w:pPr>
      <w:r>
        <w:t xml:space="preserve">More recently in its report </w:t>
      </w:r>
      <w:r>
        <w:rPr>
          <w:i/>
        </w:rPr>
        <w:t>Barriers to Effective Climate Change Adaptation</w:t>
      </w:r>
      <w:r>
        <w:t>, the Productivity Commission stated:</w:t>
      </w:r>
    </w:p>
    <w:p w14:paraId="37BB150D" w14:textId="7FE8A690" w:rsidR="004F1E09" w:rsidRDefault="004F1E09" w:rsidP="004F1E09">
      <w:pPr>
        <w:pStyle w:val="Quote"/>
      </w:pPr>
      <w:r>
        <w:t xml:space="preserve">… </w:t>
      </w:r>
      <w:r w:rsidRPr="008647B5">
        <w:t>the low levels of expenditure on mitigation, and the potential for disaster-mitigation expenditure to reduce very high levels of recovery expenditure, suggest that a greater emphasis on prevention would increase the wellbeing of the community</w:t>
      </w:r>
      <w:r>
        <w:t xml:space="preserve"> </w:t>
      </w:r>
      <w:r w:rsidRPr="008647B5">
        <w:rPr>
          <w:szCs w:val="24"/>
        </w:rPr>
        <w:t>(PC 2013, p. 256)</w:t>
      </w:r>
    </w:p>
    <w:p w14:paraId="1F2371C3" w14:textId="3A06322F" w:rsidR="004F1E09" w:rsidRDefault="004F1E09" w:rsidP="004F1E09">
      <w:pPr>
        <w:pStyle w:val="BodyText"/>
      </w:pPr>
      <w:r>
        <w:lastRenderedPageBreak/>
        <w:t xml:space="preserve">It is difficult to identify the optimal level of expenditure on natural disaster mitigation and resilience (either in absolute terms or relative to recovery expenditure). The number of actions involved, the uncertainty about future benefits and the need to discount future benefits and costs all complicate the analysis. However, it is important to bear in mind that there is, in principle, an ‘optimal’ level. This means that the community </w:t>
      </w:r>
      <w:r w:rsidR="00AA3DFE">
        <w:t xml:space="preserve">could be devoting </w:t>
      </w:r>
      <w:r>
        <w:t xml:space="preserve">too few resources to mitigation and resilience, </w:t>
      </w:r>
      <w:r w:rsidR="00AA3DFE">
        <w:t>or it could be devoting</w:t>
      </w:r>
      <w:r>
        <w:t xml:space="preserve"> too many. </w:t>
      </w:r>
    </w:p>
    <w:p w14:paraId="2DCFF7BE" w14:textId="77777777" w:rsidR="004F1E09" w:rsidRDefault="004F1E09" w:rsidP="004F1E09">
      <w:pPr>
        <w:pStyle w:val="BodyText"/>
        <w:rPr>
          <w:i/>
        </w:rPr>
      </w:pPr>
      <w:r w:rsidRPr="00AB50AF">
        <w:rPr>
          <w:i/>
        </w:rPr>
        <w:t>How should the Commission assess the appropriateness of the level of mitigation, resilience and recovery expenditure?</w:t>
      </w:r>
    </w:p>
    <w:p w14:paraId="27696238" w14:textId="10E9D736" w:rsidR="009F444A" w:rsidRDefault="009F444A" w:rsidP="004F1E09">
      <w:pPr>
        <w:pStyle w:val="BodyText"/>
        <w:rPr>
          <w:i/>
        </w:rPr>
      </w:pPr>
      <w:r>
        <w:rPr>
          <w:i/>
        </w:rPr>
        <w:t>Is there evidence on the cost-effectiveness of mitigation expenditure (in terms of reducing future disaster costs)?</w:t>
      </w:r>
    </w:p>
    <w:p w14:paraId="1E600CD1" w14:textId="77777777" w:rsidR="004F1E09" w:rsidRDefault="004F1E09" w:rsidP="004F1E09">
      <w:pPr>
        <w:pStyle w:val="BodyText"/>
        <w:rPr>
          <w:i/>
        </w:rPr>
      </w:pPr>
      <w:r>
        <w:rPr>
          <w:i/>
        </w:rPr>
        <w:t xml:space="preserve">Are the current governance and institutional arrangements capable of achieving </w:t>
      </w:r>
      <w:r w:rsidRPr="00C36FC1">
        <w:rPr>
          <w:i/>
        </w:rPr>
        <w:t>an effective and sustainable balance of mitigation</w:t>
      </w:r>
      <w:r>
        <w:rPr>
          <w:i/>
        </w:rPr>
        <w:t>, resilience</w:t>
      </w:r>
      <w:r w:rsidRPr="00C36FC1">
        <w:rPr>
          <w:i/>
        </w:rPr>
        <w:t xml:space="preserve"> and recovery expenditure</w:t>
      </w:r>
      <w:r>
        <w:rPr>
          <w:i/>
        </w:rPr>
        <w:t>?</w:t>
      </w:r>
    </w:p>
    <w:p w14:paraId="65D86AC4" w14:textId="66795803" w:rsidR="004F1E09" w:rsidRDefault="004F1E09" w:rsidP="004F1E09">
      <w:pPr>
        <w:pStyle w:val="BodyText"/>
        <w:rPr>
          <w:i/>
        </w:rPr>
      </w:pPr>
      <w:r>
        <w:rPr>
          <w:i/>
        </w:rPr>
        <w:t>Are</w:t>
      </w:r>
      <w:r w:rsidRPr="00AB50AF">
        <w:rPr>
          <w:i/>
        </w:rPr>
        <w:t xml:space="preserve"> the </w:t>
      </w:r>
      <w:r>
        <w:rPr>
          <w:i/>
        </w:rPr>
        <w:t xml:space="preserve">level and </w:t>
      </w:r>
      <w:r w:rsidRPr="00AB50AF">
        <w:rPr>
          <w:i/>
        </w:rPr>
        <w:t>balance of natural disaster mitigation, resilience and recovery activities appropriate?</w:t>
      </w:r>
      <w:r>
        <w:rPr>
          <w:i/>
        </w:rPr>
        <w:t xml:space="preserve"> Is there a case for changing them, either in absolute or relative terms?</w:t>
      </w:r>
    </w:p>
    <w:p w14:paraId="3A84CDED" w14:textId="77777777" w:rsidR="004F1E09" w:rsidRPr="00AB50AF" w:rsidRDefault="004F1E09" w:rsidP="004F1E09">
      <w:pPr>
        <w:pStyle w:val="BodyText"/>
        <w:rPr>
          <w:i/>
        </w:rPr>
      </w:pPr>
      <w:r>
        <w:rPr>
          <w:i/>
        </w:rPr>
        <w:t>In the absence of an alignment of asset ownership, risk incidence and risk funding, is it possible for parties to move towards optimal risk management?</w:t>
      </w:r>
    </w:p>
    <w:p w14:paraId="13DCC615" w14:textId="77777777" w:rsidR="00575A11" w:rsidRDefault="00575A11" w:rsidP="00575A11">
      <w:pPr>
        <w:pStyle w:val="Heading3"/>
      </w:pPr>
      <w:r>
        <w:t>Allocating resources to the right mitigation, resilience and recovery options</w:t>
      </w:r>
    </w:p>
    <w:p w14:paraId="34BD0E9D" w14:textId="51CFFDCC" w:rsidR="00DE51CC" w:rsidRDefault="00AA12A4" w:rsidP="004F1E09">
      <w:pPr>
        <w:pStyle w:val="BodyText"/>
      </w:pPr>
      <w:r>
        <w:t>M</w:t>
      </w:r>
      <w:r w:rsidR="004F1E09">
        <w:t xml:space="preserve">itigation, resilience and recovery projects </w:t>
      </w:r>
      <w:r w:rsidR="00DE51CC">
        <w:t xml:space="preserve">have benefits and costs, and arrangements should </w:t>
      </w:r>
      <w:r w:rsidR="00C06F97">
        <w:t>provide incentives</w:t>
      </w:r>
      <w:r>
        <w:t xml:space="preserve"> and lead</w:t>
      </w:r>
      <w:r w:rsidR="00C06F97">
        <w:t xml:space="preserve"> governments</w:t>
      </w:r>
      <w:r w:rsidR="00DE51CC">
        <w:t xml:space="preserve"> to identify and implement the options that have the largest benefit</w:t>
      </w:r>
      <w:r w:rsidR="00246816">
        <w:t>–</w:t>
      </w:r>
      <w:r w:rsidR="00DE51CC">
        <w:t>cost ratios.</w:t>
      </w:r>
      <w:r w:rsidR="004F1E09">
        <w:t xml:space="preserve"> </w:t>
      </w:r>
      <w:r w:rsidR="00ED7DA1">
        <w:t>Relevant issues for consideration in this area include:</w:t>
      </w:r>
    </w:p>
    <w:p w14:paraId="53E6633E" w14:textId="33484DFB" w:rsidR="00ED7DA1" w:rsidRDefault="00246816" w:rsidP="005A65BB">
      <w:pPr>
        <w:pStyle w:val="ListBullet"/>
      </w:pPr>
      <w:r>
        <w:t xml:space="preserve">the </w:t>
      </w:r>
      <w:r w:rsidR="00ED7DA1">
        <w:t>way state and territory governments prioritise mitigation expenditure (including expenditure supported by the NPANDR)</w:t>
      </w:r>
    </w:p>
    <w:p w14:paraId="487A22EE" w14:textId="77E46BF9" w:rsidR="00ED7DA1" w:rsidRDefault="00246816" w:rsidP="005A65BB">
      <w:pPr>
        <w:pStyle w:val="ListBullet"/>
      </w:pPr>
      <w:r>
        <w:t xml:space="preserve">whether </w:t>
      </w:r>
      <w:r w:rsidR="00ED7DA1">
        <w:t xml:space="preserve">state and territory governments make adequate use of cost–benefit analysis when </w:t>
      </w:r>
      <w:r w:rsidR="0052090F">
        <w:t xml:space="preserve">allocating funds for natural disaster </w:t>
      </w:r>
      <w:r w:rsidR="00CB7F38">
        <w:t xml:space="preserve">mitigation and </w:t>
      </w:r>
      <w:r w:rsidR="0052090F">
        <w:t>reconstruction</w:t>
      </w:r>
    </w:p>
    <w:p w14:paraId="109AE366" w14:textId="110F2ED7" w:rsidR="0052090F" w:rsidRDefault="00246816" w:rsidP="005A65BB">
      <w:pPr>
        <w:pStyle w:val="ListBullet"/>
      </w:pPr>
      <w:r>
        <w:t xml:space="preserve">the </w:t>
      </w:r>
      <w:r w:rsidR="0052090F">
        <w:t>effects of the ‘betterment’ provisions in the NDRRA on the allocation of resources for reconstruction.</w:t>
      </w:r>
    </w:p>
    <w:p w14:paraId="5CB310E5" w14:textId="77777777" w:rsidR="004F1E09" w:rsidRDefault="004F1E09" w:rsidP="004F1E09">
      <w:pPr>
        <w:pStyle w:val="BodyText"/>
        <w:rPr>
          <w:i/>
        </w:rPr>
      </w:pPr>
      <w:r>
        <w:rPr>
          <w:i/>
        </w:rPr>
        <w:lastRenderedPageBreak/>
        <w:t>What mechanisms and models are governments using to evaluate and prioritise natural disaster mitigation options?</w:t>
      </w:r>
      <w:r w:rsidRPr="00C9313C">
        <w:rPr>
          <w:i/>
        </w:rPr>
        <w:t xml:space="preserve"> </w:t>
      </w:r>
      <w:r w:rsidR="00AE628D">
        <w:rPr>
          <w:i/>
        </w:rPr>
        <w:t>What mechanisms are used in other federations, such as the United States and Canada?</w:t>
      </w:r>
    </w:p>
    <w:p w14:paraId="5C9C08E4" w14:textId="77777777" w:rsidR="004F1E09" w:rsidRDefault="004F1E09" w:rsidP="004F1E09">
      <w:pPr>
        <w:pStyle w:val="BodyText"/>
        <w:rPr>
          <w:i/>
        </w:rPr>
      </w:pPr>
      <w:r w:rsidRPr="00AB50AF">
        <w:rPr>
          <w:i/>
        </w:rPr>
        <w:t>What other</w:t>
      </w:r>
      <w:r w:rsidRPr="00F815E6">
        <w:rPr>
          <w:i/>
        </w:rPr>
        <w:t xml:space="preserve"> </w:t>
      </w:r>
      <w:r w:rsidRPr="00304807">
        <w:rPr>
          <w:i/>
        </w:rPr>
        <w:t>approaches</w:t>
      </w:r>
      <w:r w:rsidRPr="00AB50AF">
        <w:rPr>
          <w:i/>
        </w:rPr>
        <w:t xml:space="preserve"> could be used to prioritise mitigation options?</w:t>
      </w:r>
    </w:p>
    <w:p w14:paraId="690DFBA7" w14:textId="0E84997E" w:rsidR="00F17315" w:rsidRDefault="00F17315" w:rsidP="004F1E09">
      <w:pPr>
        <w:pStyle w:val="BodyText"/>
        <w:rPr>
          <w:i/>
        </w:rPr>
      </w:pPr>
      <w:r>
        <w:rPr>
          <w:i/>
        </w:rPr>
        <w:t>Do local governments in particular have appropriate capabilities to undertake cost</w:t>
      </w:r>
      <w:r w:rsidR="00246816">
        <w:rPr>
          <w:i/>
        </w:rPr>
        <w:t>–</w:t>
      </w:r>
      <w:r>
        <w:rPr>
          <w:i/>
        </w:rPr>
        <w:t>benefit analysis of mitigation activities?</w:t>
      </w:r>
    </w:p>
    <w:p w14:paraId="587C13ED" w14:textId="77777777" w:rsidR="0052090F" w:rsidRDefault="0052090F" w:rsidP="004F1E09">
      <w:pPr>
        <w:pStyle w:val="BodyText"/>
        <w:rPr>
          <w:i/>
        </w:rPr>
      </w:pPr>
      <w:r w:rsidRPr="00AB50AF">
        <w:rPr>
          <w:i/>
        </w:rPr>
        <w:t>Do the current arrangements provide an incentive for excessive rebuilding?</w:t>
      </w:r>
    </w:p>
    <w:p w14:paraId="2B155845" w14:textId="77777777" w:rsidR="0052090F" w:rsidRDefault="0052090F" w:rsidP="004F1E09">
      <w:pPr>
        <w:pStyle w:val="BodyText"/>
        <w:rPr>
          <w:i/>
        </w:rPr>
      </w:pPr>
      <w:r>
        <w:rPr>
          <w:i/>
        </w:rPr>
        <w:t>Does the requirement for governments to show that ‘betterment’ options are ‘cost</w:t>
      </w:r>
      <w:r>
        <w:rPr>
          <w:i/>
        </w:rPr>
        <w:noBreakHyphen/>
        <w:t>effective’ reduce the likelihood of betterment projects being implemented?</w:t>
      </w:r>
    </w:p>
    <w:p w14:paraId="6CE81B7E" w14:textId="77777777" w:rsidR="004F1E09" w:rsidRDefault="004F1E09" w:rsidP="004F1E09">
      <w:pPr>
        <w:pStyle w:val="BodyText"/>
        <w:rPr>
          <w:i/>
        </w:rPr>
      </w:pPr>
      <w:r w:rsidRPr="00B14563">
        <w:rPr>
          <w:i/>
        </w:rPr>
        <w:t>What mechanisms are available for businesses and communities to contribute to the costs of mitigation and recovery, where appropriate (for example, through the use of property-specific charges to fund some mitigation works)?</w:t>
      </w:r>
    </w:p>
    <w:p w14:paraId="6D45755C" w14:textId="77777777" w:rsidR="00010610" w:rsidRDefault="00104C3D" w:rsidP="00104C3D">
      <w:pPr>
        <w:pStyle w:val="Heading3"/>
      </w:pPr>
      <w:r>
        <w:t>Are land</w:t>
      </w:r>
      <w:r>
        <w:noBreakHyphen/>
        <w:t>use planning and infrastructure policies consistent with effective natural disaster risk management?</w:t>
      </w:r>
    </w:p>
    <w:p w14:paraId="1CB432A6" w14:textId="2D92A07E" w:rsidR="00E70671" w:rsidRDefault="00B14563" w:rsidP="00B14563">
      <w:pPr>
        <w:pStyle w:val="BodyText"/>
      </w:pPr>
      <w:r>
        <w:t xml:space="preserve">The terms of reference ask the Commission </w:t>
      </w:r>
      <w:r w:rsidR="00E70671">
        <w:t>to consider ‘options for urban planning, land use policy and infrastructure investment that support cost</w:t>
      </w:r>
      <w:r w:rsidR="00E70671">
        <w:noBreakHyphen/>
        <w:t>effective risk management’.</w:t>
      </w:r>
      <w:r w:rsidR="002D61AF">
        <w:t xml:space="preserve"> These policy areas</w:t>
      </w:r>
      <w:r w:rsidR="00751E6B">
        <w:t xml:space="preserve"> are part of the broader framework for effective risk management</w:t>
      </w:r>
      <w:r w:rsidR="00F17315">
        <w:t xml:space="preserve"> and</w:t>
      </w:r>
      <w:r w:rsidR="002D61AF">
        <w:t xml:space="preserve"> affect the way assets are </w:t>
      </w:r>
      <w:r w:rsidR="00632809">
        <w:t xml:space="preserve">priced, </w:t>
      </w:r>
      <w:r w:rsidR="002D61AF">
        <w:t>located, constructed and managed over time. Each of these factors influences the level of risk that natural disasters pose to assets, and as such they are a</w:t>
      </w:r>
      <w:r w:rsidR="00AA12A4">
        <w:t>n important</w:t>
      </w:r>
      <w:r w:rsidR="002D61AF">
        <w:t xml:space="preserve"> component of effective and sustainable risk management.</w:t>
      </w:r>
    </w:p>
    <w:p w14:paraId="4807D742" w14:textId="26BC1937" w:rsidR="005F209C" w:rsidRDefault="002D61AF" w:rsidP="00B14563">
      <w:pPr>
        <w:pStyle w:val="BodyText"/>
      </w:pPr>
      <w:r>
        <w:t xml:space="preserve">Previously the Commission has </w:t>
      </w:r>
      <w:r w:rsidR="00B36874">
        <w:t>identified some potential weaknesses in land</w:t>
      </w:r>
      <w:r w:rsidR="00B36874">
        <w:noBreakHyphen/>
        <w:t>use planning systems, including that they are not always sufficiently flexible to enable a risk management approach and that some local governments may not have the resources to administer more sophisticated risk</w:t>
      </w:r>
      <w:r w:rsidR="00B36874">
        <w:noBreakHyphen/>
        <w:t>based planning system</w:t>
      </w:r>
      <w:r w:rsidR="005F209C">
        <w:t>s</w:t>
      </w:r>
      <w:r w:rsidR="00466614">
        <w:t xml:space="preserve"> </w:t>
      </w:r>
      <w:r w:rsidR="00466614" w:rsidRPr="00466614">
        <w:rPr>
          <w:szCs w:val="24"/>
        </w:rPr>
        <w:t>(PC 2013)</w:t>
      </w:r>
      <w:r w:rsidR="005F209C">
        <w:t>.</w:t>
      </w:r>
      <w:r w:rsidR="00F17315">
        <w:t xml:space="preserve"> Others have pointed to possible information asymmetries, and whether governments have or are willing to disclose the full extent o</w:t>
      </w:r>
      <w:r w:rsidR="009F444A">
        <w:t>f</w:t>
      </w:r>
      <w:r w:rsidR="00F17315">
        <w:t xml:space="preserve"> natural disaster risk when undertaking planning and land-release activities.</w:t>
      </w:r>
    </w:p>
    <w:p w14:paraId="6FD9C75B" w14:textId="77777777" w:rsidR="00B14563" w:rsidRDefault="005F209C" w:rsidP="00104C3D">
      <w:pPr>
        <w:pStyle w:val="BodyText"/>
      </w:pPr>
      <w:r>
        <w:t xml:space="preserve">The Commission is seeking input from participants on the effects </w:t>
      </w:r>
      <w:r w:rsidR="009E1C2E">
        <w:t>that</w:t>
      </w:r>
      <w:r>
        <w:t xml:space="preserve"> current regulations regarding land</w:t>
      </w:r>
      <w:r>
        <w:noBreakHyphen/>
        <w:t>use planning</w:t>
      </w:r>
      <w:r w:rsidR="009E1C2E">
        <w:t xml:space="preserve"> and infrastructure investment have on natural disaster risk management.</w:t>
      </w:r>
    </w:p>
    <w:p w14:paraId="10C1D9BC" w14:textId="100130C5" w:rsidR="00381C7E" w:rsidRDefault="00381C7E" w:rsidP="00104C3D">
      <w:pPr>
        <w:pStyle w:val="BodyText"/>
        <w:rPr>
          <w:i/>
        </w:rPr>
      </w:pPr>
      <w:r>
        <w:rPr>
          <w:i/>
        </w:rPr>
        <w:t>What impacts do policies regarding land</w:t>
      </w:r>
      <w:r w:rsidR="00246816">
        <w:rPr>
          <w:i/>
        </w:rPr>
        <w:noBreakHyphen/>
      </w:r>
      <w:r>
        <w:rPr>
          <w:i/>
        </w:rPr>
        <w:t>use planning and infrastructure have for natural disaster risk management at the state and local government levels?</w:t>
      </w:r>
    </w:p>
    <w:p w14:paraId="77CAB585" w14:textId="77777777" w:rsidR="00F17315" w:rsidRDefault="00F17315" w:rsidP="00104C3D">
      <w:pPr>
        <w:pStyle w:val="BodyText"/>
        <w:rPr>
          <w:i/>
        </w:rPr>
      </w:pPr>
      <w:r>
        <w:rPr>
          <w:i/>
        </w:rPr>
        <w:lastRenderedPageBreak/>
        <w:t>Is there a need for greater information provision and disclosure in planning decisions?</w:t>
      </w:r>
    </w:p>
    <w:p w14:paraId="36A2A04F" w14:textId="18B8BFAC" w:rsidR="00B14563" w:rsidRDefault="00B14563" w:rsidP="00104C3D">
      <w:pPr>
        <w:pStyle w:val="BodyText"/>
        <w:rPr>
          <w:i/>
        </w:rPr>
      </w:pPr>
      <w:r w:rsidRPr="00B14563">
        <w:rPr>
          <w:i/>
        </w:rPr>
        <w:t xml:space="preserve">What impact do the current </w:t>
      </w:r>
      <w:r w:rsidR="00B36874">
        <w:rPr>
          <w:i/>
        </w:rPr>
        <w:t xml:space="preserve">natural disaster funding </w:t>
      </w:r>
      <w:r w:rsidRPr="00B14563">
        <w:rPr>
          <w:i/>
        </w:rPr>
        <w:t>arrangements have on land</w:t>
      </w:r>
      <w:r w:rsidR="00246816">
        <w:rPr>
          <w:i/>
        </w:rPr>
        <w:noBreakHyphen/>
      </w:r>
      <w:r w:rsidRPr="00B14563">
        <w:rPr>
          <w:i/>
        </w:rPr>
        <w:t xml:space="preserve">use </w:t>
      </w:r>
      <w:r w:rsidR="00632809">
        <w:rPr>
          <w:i/>
        </w:rPr>
        <w:t xml:space="preserve">planning, risk reflective asset pricing </w:t>
      </w:r>
      <w:r w:rsidRPr="00B14563">
        <w:rPr>
          <w:i/>
        </w:rPr>
        <w:t>and infrastructure investment decisions at the state and local levels?</w:t>
      </w:r>
    </w:p>
    <w:p w14:paraId="17ECCD3F" w14:textId="4D4CE3B8" w:rsidR="00B14563" w:rsidRDefault="00B14563" w:rsidP="00104C3D">
      <w:pPr>
        <w:pStyle w:val="BodyText"/>
        <w:rPr>
          <w:i/>
        </w:rPr>
      </w:pPr>
      <w:r w:rsidRPr="00B14563">
        <w:rPr>
          <w:i/>
        </w:rPr>
        <w:t xml:space="preserve">What reforms to land-use planning </w:t>
      </w:r>
      <w:r w:rsidR="00381C7E">
        <w:rPr>
          <w:i/>
        </w:rPr>
        <w:t>and</w:t>
      </w:r>
      <w:r w:rsidR="00381C7E" w:rsidRPr="00B14563">
        <w:rPr>
          <w:i/>
        </w:rPr>
        <w:t xml:space="preserve"> </w:t>
      </w:r>
      <w:r w:rsidRPr="00B14563">
        <w:rPr>
          <w:i/>
        </w:rPr>
        <w:t xml:space="preserve">infrastructure investment would best support </w:t>
      </w:r>
      <w:r w:rsidR="00381C7E">
        <w:rPr>
          <w:i/>
        </w:rPr>
        <w:t>cost</w:t>
      </w:r>
      <w:r w:rsidR="00F17315">
        <w:rPr>
          <w:i/>
        </w:rPr>
        <w:t>-</w:t>
      </w:r>
      <w:r w:rsidR="00381C7E">
        <w:rPr>
          <w:i/>
        </w:rPr>
        <w:t>effective risk management and understanding of the changes to the risk profile</w:t>
      </w:r>
      <w:r w:rsidRPr="00B14563">
        <w:rPr>
          <w:i/>
        </w:rPr>
        <w:t>?</w:t>
      </w:r>
    </w:p>
    <w:p w14:paraId="313D46C5" w14:textId="0052F7F7" w:rsidR="00E11DEE" w:rsidRDefault="007A66DD" w:rsidP="0002339A">
      <w:pPr>
        <w:pStyle w:val="Heading2"/>
      </w:pPr>
      <w:r>
        <w:rPr>
          <w:noProof/>
        </w:rPr>
        <w:t>4</w:t>
      </w:r>
      <w:r w:rsidR="0002339A">
        <w:tab/>
        <w:t>What reform options are available?</w:t>
      </w:r>
    </w:p>
    <w:p w14:paraId="16D0CF22" w14:textId="04E1F6A7" w:rsidR="0002339A" w:rsidRDefault="00557893" w:rsidP="0002339A">
      <w:pPr>
        <w:pStyle w:val="BodyText"/>
      </w:pPr>
      <w:r>
        <w:t xml:space="preserve">The terms of reference </w:t>
      </w:r>
      <w:r w:rsidR="00381C7E">
        <w:t xml:space="preserve">invite </w:t>
      </w:r>
      <w:r>
        <w:t xml:space="preserve">the Commission to consider a </w:t>
      </w:r>
      <w:r w:rsidR="00381C7E">
        <w:t xml:space="preserve">full </w:t>
      </w:r>
      <w:r>
        <w:t>range of options for reforms to the natural disaster funding arrangements, including:</w:t>
      </w:r>
    </w:p>
    <w:p w14:paraId="63A6FD7A" w14:textId="543A6967" w:rsidR="00557893" w:rsidRDefault="00FD70ED" w:rsidP="00557893">
      <w:pPr>
        <w:pStyle w:val="ListBullet"/>
      </w:pPr>
      <w:r>
        <w:t>e</w:t>
      </w:r>
      <w:r w:rsidR="00632809">
        <w:t xml:space="preserve">nhancements and </w:t>
      </w:r>
      <w:r w:rsidR="00557893">
        <w:t>modifications to the current arrangements</w:t>
      </w:r>
    </w:p>
    <w:p w14:paraId="18571F05" w14:textId="43BF1BAB" w:rsidR="00557893" w:rsidRDefault="00FD70ED" w:rsidP="007B36BD">
      <w:pPr>
        <w:pStyle w:val="ListBullet"/>
      </w:pPr>
      <w:r>
        <w:t>f</w:t>
      </w:r>
      <w:r w:rsidR="00632809">
        <w:t xml:space="preserve">undamental </w:t>
      </w:r>
      <w:r w:rsidR="00557893">
        <w:t>changes to the design and operation of the natural disaster funding arrangements</w:t>
      </w:r>
      <w:r w:rsidR="007B36BD">
        <w:t>.</w:t>
      </w:r>
    </w:p>
    <w:p w14:paraId="614DB34B" w14:textId="32AF302F" w:rsidR="009F0EBF" w:rsidRPr="0002339A" w:rsidRDefault="009F0EBF" w:rsidP="005A65BB">
      <w:pPr>
        <w:pStyle w:val="BodyText"/>
      </w:pPr>
      <w:r>
        <w:t>The recently</w:t>
      </w:r>
      <w:r>
        <w:noBreakHyphen/>
        <w:t>released report of the National Commission of Audit recommended substantial chan</w:t>
      </w:r>
      <w:r w:rsidR="00D27A48">
        <w:t>ge to the natural disaster funding arrangements</w:t>
      </w:r>
      <w:r>
        <w:t xml:space="preserve">, and proposed an alternative option of </w:t>
      </w:r>
      <w:r w:rsidR="00D27A48">
        <w:t>retaining the NDRRA, but changing some aspects of the arrangements</w:t>
      </w:r>
      <w:r w:rsidR="006649D0">
        <w:t xml:space="preserve"> </w:t>
      </w:r>
      <w:r>
        <w:t>(box</w:t>
      </w:r>
      <w:r w:rsidR="005A65BB">
        <w:t xml:space="preserve"> 7</w:t>
      </w:r>
      <w:r>
        <w:t xml:space="preserve">). It recommended that changes to mitigation funding should be considered </w:t>
      </w:r>
      <w:r w:rsidR="00CB7F38">
        <w:t>following, and informed by, the findings of</w:t>
      </w:r>
      <w:r>
        <w:t xml:space="preserve"> the Productivity Commission inquiry.</w:t>
      </w:r>
    </w:p>
    <w:p w14:paraId="7CE43216" w14:textId="3B7FF449" w:rsidR="007B36BD" w:rsidRDefault="007B36BD" w:rsidP="007B36BD">
      <w:pPr>
        <w:pStyle w:val="BodyText"/>
      </w:pPr>
      <w:r>
        <w:t xml:space="preserve">The Commission is seeking submissions on possible </w:t>
      </w:r>
      <w:r w:rsidR="00632809">
        <w:t xml:space="preserve">funding </w:t>
      </w:r>
      <w:r>
        <w:t>reform options.</w:t>
      </w:r>
    </w:p>
    <w:p w14:paraId="635D414C" w14:textId="6B36230D" w:rsidR="0016138F" w:rsidRDefault="0016138F">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138F" w14:paraId="699F2EE5" w14:textId="77777777">
        <w:tc>
          <w:tcPr>
            <w:tcW w:w="8771" w:type="dxa"/>
            <w:tcBorders>
              <w:top w:val="single" w:sz="6" w:space="0" w:color="auto"/>
              <w:bottom w:val="nil"/>
            </w:tcBorders>
          </w:tcPr>
          <w:p w14:paraId="0B9EE40B" w14:textId="2806CB3C" w:rsidR="0016138F" w:rsidRDefault="0016138F" w:rsidP="0016138F">
            <w:pPr>
              <w:pStyle w:val="BoxTitle"/>
            </w:pPr>
            <w:r>
              <w:rPr>
                <w:b w:val="0"/>
              </w:rPr>
              <w:t xml:space="preserve">Box </w:t>
            </w:r>
            <w:r>
              <w:rPr>
                <w:b w:val="0"/>
              </w:rPr>
              <w:fldChar w:fldCharType="begin"/>
            </w:r>
            <w:r>
              <w:rPr>
                <w:b w:val="0"/>
              </w:rPr>
              <w:instrText xml:space="preserve"> COMMENTS  \* MERGEFORMAT </w:instrText>
            </w:r>
            <w:r>
              <w:rPr>
                <w:b w:val="0"/>
              </w:rPr>
              <w:fldChar w:fldCharType="end"/>
            </w:r>
            <w:r>
              <w:rPr>
                <w:b w:val="0"/>
              </w:rPr>
              <w:t>7</w:t>
            </w:r>
            <w:r>
              <w:tab/>
              <w:t>Reform options proposed by the Commission of Audit</w:t>
            </w:r>
          </w:p>
        </w:tc>
      </w:tr>
      <w:tr w:rsidR="0016138F" w14:paraId="41E271CD" w14:textId="77777777">
        <w:trPr>
          <w:cantSplit/>
        </w:trPr>
        <w:tc>
          <w:tcPr>
            <w:tcW w:w="8771" w:type="dxa"/>
            <w:tcBorders>
              <w:top w:val="nil"/>
              <w:left w:val="single" w:sz="6" w:space="0" w:color="auto"/>
              <w:bottom w:val="nil"/>
              <w:right w:val="single" w:sz="6" w:space="0" w:color="auto"/>
            </w:tcBorders>
          </w:tcPr>
          <w:p w14:paraId="57E17515" w14:textId="77777777" w:rsidR="0016138F" w:rsidRDefault="0016138F" w:rsidP="0016138F">
            <w:pPr>
              <w:pStyle w:val="BoxHeading1"/>
            </w:pPr>
            <w:r>
              <w:t>Option 1 — Substantially reduce Commonwealth involvement in disaster recovery funding (preferred by the National Commission of Audit)</w:t>
            </w:r>
          </w:p>
          <w:p w14:paraId="7F5580EA" w14:textId="77777777" w:rsidR="0016138F" w:rsidRDefault="0016138F" w:rsidP="0016138F">
            <w:pPr>
              <w:pStyle w:val="BoxListBullet"/>
            </w:pPr>
            <w:r>
              <w:t>Retain the AGDRP, but with payments only to ‘individuals severely affected by natural disasters’</w:t>
            </w:r>
          </w:p>
          <w:p w14:paraId="0D741A20" w14:textId="77777777" w:rsidR="0016138F" w:rsidRDefault="0016138F" w:rsidP="0016138F">
            <w:pPr>
              <w:pStyle w:val="BoxListBullet"/>
            </w:pPr>
            <w:r>
              <w:t>Replace the NDRRA with a grant — paid upfront or in instalments — to the states and territories in the event of a significant natural disaster. Grant levels to vary depending on the size of the disaster and the capacity of the Commonwealth but could be set at between 25 and 33 per cent of the estimated cost of reconstruction.</w:t>
            </w:r>
          </w:p>
          <w:p w14:paraId="1AD6EA2D" w14:textId="5487D99A" w:rsidR="0016138F" w:rsidRDefault="0016138F" w:rsidP="0016138F">
            <w:pPr>
              <w:pStyle w:val="Continued"/>
            </w:pPr>
            <w:r>
              <w:t>(Continued next page)</w:t>
            </w:r>
          </w:p>
        </w:tc>
      </w:tr>
      <w:tr w:rsidR="0016138F" w14:paraId="7FB80BFE" w14:textId="77777777">
        <w:trPr>
          <w:cantSplit/>
        </w:trPr>
        <w:tc>
          <w:tcPr>
            <w:tcW w:w="8771" w:type="dxa"/>
            <w:tcBorders>
              <w:top w:val="nil"/>
              <w:left w:val="single" w:sz="6" w:space="0" w:color="auto"/>
              <w:bottom w:val="single" w:sz="6" w:space="0" w:color="auto"/>
              <w:right w:val="single" w:sz="6" w:space="0" w:color="auto"/>
            </w:tcBorders>
          </w:tcPr>
          <w:p w14:paraId="0BF2E140" w14:textId="77777777" w:rsidR="0016138F" w:rsidRDefault="0016138F">
            <w:pPr>
              <w:pStyle w:val="Box"/>
              <w:spacing w:before="0" w:line="120" w:lineRule="exact"/>
            </w:pPr>
          </w:p>
        </w:tc>
      </w:tr>
      <w:tr w:rsidR="0016138F" w:rsidRPr="000863A5" w14:paraId="6E7A83C1" w14:textId="77777777">
        <w:tc>
          <w:tcPr>
            <w:tcW w:w="8771" w:type="dxa"/>
            <w:tcBorders>
              <w:top w:val="nil"/>
              <w:left w:val="nil"/>
              <w:bottom w:val="nil"/>
              <w:right w:val="nil"/>
            </w:tcBorders>
          </w:tcPr>
          <w:p w14:paraId="52B114DF" w14:textId="16EB8849" w:rsidR="0016138F" w:rsidRPr="00626D32" w:rsidRDefault="0016138F" w:rsidP="00537BB4">
            <w:pPr>
              <w:pStyle w:val="BoxSpaceBelow"/>
            </w:pPr>
          </w:p>
        </w:tc>
      </w:tr>
    </w:tbl>
    <w:p w14:paraId="59628122" w14:textId="2455D075" w:rsidR="004C2D79" w:rsidRDefault="004C2D79">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C2D79" w14:paraId="42DF880A" w14:textId="77777777">
        <w:tc>
          <w:tcPr>
            <w:tcW w:w="8771" w:type="dxa"/>
            <w:tcBorders>
              <w:top w:val="single" w:sz="6" w:space="0" w:color="auto"/>
              <w:bottom w:val="nil"/>
            </w:tcBorders>
          </w:tcPr>
          <w:p w14:paraId="3300DB08" w14:textId="1D24E07B" w:rsidR="004C2D79" w:rsidRDefault="004C2D79" w:rsidP="0016138F">
            <w:pPr>
              <w:pStyle w:val="BoxTitle"/>
            </w:pPr>
            <w:r>
              <w:rPr>
                <w:b w:val="0"/>
              </w:rPr>
              <w:t xml:space="preserve">Box </w:t>
            </w:r>
            <w:bookmarkStart w:id="14" w:name="OLE_LINK14"/>
            <w:r w:rsidR="007A66DD">
              <w:rPr>
                <w:b w:val="0"/>
                <w:noProof/>
              </w:rPr>
              <w:t>7</w:t>
            </w:r>
            <w:bookmarkEnd w:id="14"/>
            <w:r>
              <w:tab/>
            </w:r>
            <w:r w:rsidR="0016138F">
              <w:rPr>
                <w:b w:val="0"/>
                <w:sz w:val="18"/>
                <w:szCs w:val="18"/>
              </w:rPr>
              <w:t>(c</w:t>
            </w:r>
            <w:r w:rsidR="0016138F" w:rsidRPr="0016138F">
              <w:rPr>
                <w:b w:val="0"/>
                <w:sz w:val="18"/>
                <w:szCs w:val="18"/>
              </w:rPr>
              <w:t>ontinued</w:t>
            </w:r>
            <w:r w:rsidR="0016138F">
              <w:rPr>
                <w:b w:val="0"/>
                <w:sz w:val="18"/>
                <w:szCs w:val="18"/>
              </w:rPr>
              <w:t>)</w:t>
            </w:r>
          </w:p>
        </w:tc>
      </w:tr>
      <w:tr w:rsidR="004C2D79" w14:paraId="4E70A8F7" w14:textId="77777777">
        <w:trPr>
          <w:cantSplit/>
        </w:trPr>
        <w:tc>
          <w:tcPr>
            <w:tcW w:w="8771" w:type="dxa"/>
            <w:tcBorders>
              <w:top w:val="nil"/>
              <w:left w:val="single" w:sz="6" w:space="0" w:color="auto"/>
              <w:bottom w:val="nil"/>
              <w:right w:val="single" w:sz="6" w:space="0" w:color="auto"/>
            </w:tcBorders>
          </w:tcPr>
          <w:p w14:paraId="20AF0C96" w14:textId="77777777" w:rsidR="004C2D79" w:rsidRDefault="004C2D79" w:rsidP="004C2D79">
            <w:pPr>
              <w:pStyle w:val="BoxHeading1"/>
            </w:pPr>
            <w:r>
              <w:t>Option 2 — Retain the basic structure of the NDRRA but amend thresholds and contribution rates</w:t>
            </w:r>
          </w:p>
          <w:p w14:paraId="7682AC6F" w14:textId="77777777" w:rsidR="004C2D79" w:rsidRDefault="004C2D79" w:rsidP="004C2D79">
            <w:pPr>
              <w:pStyle w:val="BoxListBullet"/>
            </w:pPr>
            <w:r>
              <w:t xml:space="preserve">Lower Commonwealth contributions for infrastructure funding (Category B) to either 25 or 33 per cent of government contributions. </w:t>
            </w:r>
            <w:r w:rsidRPr="000420B6">
              <w:t>State and local governments to share the remaining reconstruction costs.</w:t>
            </w:r>
          </w:p>
          <w:p w14:paraId="0E1E0547" w14:textId="3499A76F" w:rsidR="004C2D79" w:rsidRDefault="004C2D79" w:rsidP="004C2D79">
            <w:pPr>
              <w:pStyle w:val="BoxListBullet"/>
            </w:pPr>
            <w:r>
              <w:t>Significantly increase the threshold for eligibility for each disaster (say, $50 million for the larger three States, $20 million for South Australia and Western Australia and $5 million for Tasmania and the two Territories)</w:t>
            </w:r>
            <w:r w:rsidR="00246816">
              <w:t>.</w:t>
            </w:r>
          </w:p>
          <w:p w14:paraId="30BD3E73" w14:textId="77777777" w:rsidR="004C2D79" w:rsidRDefault="004C2D79" w:rsidP="004C2D79">
            <w:pPr>
              <w:pStyle w:val="BoxListBullet"/>
            </w:pPr>
            <w:r>
              <w:t>Increase the threshold for state expenditure from 0.225 per cent of state revenue to 0.5 per cent.</w:t>
            </w:r>
          </w:p>
          <w:p w14:paraId="26F98BB0" w14:textId="071489AA" w:rsidR="004C2D79" w:rsidRDefault="004C2D79" w:rsidP="004C2D79">
            <w:pPr>
              <w:pStyle w:val="BoxListBullet"/>
            </w:pPr>
            <w:r>
              <w:t>Assets that are capable of being commercially insured would be excluded.</w:t>
            </w:r>
          </w:p>
        </w:tc>
      </w:tr>
      <w:tr w:rsidR="004C2D79" w14:paraId="00304532" w14:textId="77777777">
        <w:trPr>
          <w:cantSplit/>
        </w:trPr>
        <w:tc>
          <w:tcPr>
            <w:tcW w:w="8771" w:type="dxa"/>
            <w:tcBorders>
              <w:top w:val="nil"/>
              <w:left w:val="single" w:sz="6" w:space="0" w:color="auto"/>
              <w:bottom w:val="nil"/>
              <w:right w:val="single" w:sz="6" w:space="0" w:color="auto"/>
            </w:tcBorders>
          </w:tcPr>
          <w:p w14:paraId="530EF740" w14:textId="029DF59E" w:rsidR="004C2D79" w:rsidRDefault="004C2D79" w:rsidP="00BD7CCB">
            <w:pPr>
              <w:pStyle w:val="BoxSource"/>
            </w:pPr>
            <w:r>
              <w:rPr>
                <w:i/>
              </w:rPr>
              <w:t>Source</w:t>
            </w:r>
            <w:r w:rsidRPr="00167F06">
              <w:t xml:space="preserve">: </w:t>
            </w:r>
            <w:r w:rsidR="00466614" w:rsidRPr="00466614">
              <w:rPr>
                <w:rFonts w:cs="Arial"/>
                <w:szCs w:val="24"/>
              </w:rPr>
              <w:t>National Commission of Audit </w:t>
            </w:r>
            <w:r w:rsidR="00246816">
              <w:rPr>
                <w:rFonts w:cs="Arial"/>
                <w:szCs w:val="24"/>
              </w:rPr>
              <w:t>(</w:t>
            </w:r>
            <w:r w:rsidR="00466614" w:rsidRPr="00466614">
              <w:rPr>
                <w:rFonts w:cs="Arial"/>
                <w:szCs w:val="24"/>
              </w:rPr>
              <w:t>2014a)</w:t>
            </w:r>
          </w:p>
        </w:tc>
      </w:tr>
      <w:tr w:rsidR="004C2D79" w14:paraId="3281B74F" w14:textId="77777777">
        <w:trPr>
          <w:cantSplit/>
        </w:trPr>
        <w:tc>
          <w:tcPr>
            <w:tcW w:w="8771" w:type="dxa"/>
            <w:tcBorders>
              <w:top w:val="nil"/>
              <w:left w:val="single" w:sz="6" w:space="0" w:color="auto"/>
              <w:bottom w:val="single" w:sz="6" w:space="0" w:color="auto"/>
              <w:right w:val="single" w:sz="6" w:space="0" w:color="auto"/>
            </w:tcBorders>
          </w:tcPr>
          <w:p w14:paraId="56DB34B4" w14:textId="77777777" w:rsidR="004C2D79" w:rsidRDefault="004C2D79">
            <w:pPr>
              <w:pStyle w:val="Box"/>
              <w:spacing w:before="0" w:line="120" w:lineRule="exact"/>
            </w:pPr>
          </w:p>
        </w:tc>
      </w:tr>
      <w:tr w:rsidR="004C2D79" w:rsidRPr="000863A5" w14:paraId="0E674A43" w14:textId="77777777">
        <w:tc>
          <w:tcPr>
            <w:tcW w:w="8771" w:type="dxa"/>
            <w:tcBorders>
              <w:top w:val="nil"/>
              <w:left w:val="nil"/>
              <w:bottom w:val="nil"/>
              <w:right w:val="nil"/>
            </w:tcBorders>
          </w:tcPr>
          <w:p w14:paraId="3562125D" w14:textId="0B2AD3A1" w:rsidR="004C2D79" w:rsidRPr="00626D32" w:rsidRDefault="004C2D79" w:rsidP="00704D92">
            <w:pPr>
              <w:pStyle w:val="BoxSpaceBelow"/>
            </w:pPr>
          </w:p>
        </w:tc>
      </w:tr>
    </w:tbl>
    <w:p w14:paraId="19B0A12B" w14:textId="77777777" w:rsidR="0002339A" w:rsidRDefault="00557893" w:rsidP="00557893">
      <w:pPr>
        <w:pStyle w:val="Heading3"/>
      </w:pPr>
      <w:r>
        <w:t>Modifications to the current arrangements</w:t>
      </w:r>
    </w:p>
    <w:p w14:paraId="2823B462" w14:textId="77777777" w:rsidR="00557893" w:rsidRDefault="00557893" w:rsidP="0002339A">
      <w:pPr>
        <w:pStyle w:val="BodyText"/>
      </w:pPr>
      <w:r>
        <w:t>The design of the current funding arrangements provide scope for changes to specif</w:t>
      </w:r>
      <w:r w:rsidR="007B36BD">
        <w:t>ics and policy parameters. Options include, but are not limited to:</w:t>
      </w:r>
    </w:p>
    <w:p w14:paraId="7CCBCB32" w14:textId="77777777" w:rsidR="00557893" w:rsidRDefault="00557893" w:rsidP="00557893">
      <w:pPr>
        <w:pStyle w:val="ListBullet"/>
      </w:pPr>
      <w:r w:rsidRPr="00557893">
        <w:t>changing the NDRRA thresholds</w:t>
      </w:r>
      <w:r w:rsidR="00381C7E">
        <w:t>, eligibility criteria</w:t>
      </w:r>
      <w:r w:rsidRPr="00557893">
        <w:t xml:space="preserve"> and reimbursement levels</w:t>
      </w:r>
    </w:p>
    <w:p w14:paraId="02401DE5" w14:textId="3167B83F" w:rsidR="009F444A" w:rsidRPr="00557893" w:rsidRDefault="009F444A" w:rsidP="00557893">
      <w:pPr>
        <w:pStyle w:val="ListBullet"/>
      </w:pPr>
      <w:r>
        <w:t>having separate arrangements for roads reconstruction relative to other natural disaster recovery</w:t>
      </w:r>
    </w:p>
    <w:p w14:paraId="313F34D3" w14:textId="77777777" w:rsidR="00557893" w:rsidRDefault="00557893" w:rsidP="00557893">
      <w:pPr>
        <w:pStyle w:val="ListBullet"/>
      </w:pPr>
      <w:r>
        <w:t>providing increased funding for mitigation through the NPANDR and state and territory expenditure</w:t>
      </w:r>
    </w:p>
    <w:p w14:paraId="60DA5FA3" w14:textId="77777777" w:rsidR="00557893" w:rsidRDefault="00557893" w:rsidP="00557893">
      <w:pPr>
        <w:pStyle w:val="ListBullet"/>
      </w:pPr>
      <w:r>
        <w:t xml:space="preserve">making Commonwealth </w:t>
      </w:r>
      <w:r w:rsidR="007B36BD">
        <w:t xml:space="preserve">natural disaster </w:t>
      </w:r>
      <w:r>
        <w:t xml:space="preserve">funding conditional on state and territory governments implementing </w:t>
      </w:r>
      <w:r w:rsidR="00632809">
        <w:t xml:space="preserve">asset and liability management and </w:t>
      </w:r>
      <w:r>
        <w:t>governance arrangements for natural disaster risk management, such as:</w:t>
      </w:r>
    </w:p>
    <w:p w14:paraId="3493DA04" w14:textId="77777777" w:rsidR="00557893" w:rsidRDefault="006E2560" w:rsidP="00557893">
      <w:pPr>
        <w:pStyle w:val="ListBullet2"/>
      </w:pPr>
      <w:r>
        <w:t xml:space="preserve">making provision for </w:t>
      </w:r>
      <w:r w:rsidR="00557893">
        <w:t xml:space="preserve">natural disaster contingent liabilities in </w:t>
      </w:r>
      <w:r>
        <w:t xml:space="preserve">budget </w:t>
      </w:r>
      <w:r w:rsidR="00557893">
        <w:t>frameworks</w:t>
      </w:r>
    </w:p>
    <w:p w14:paraId="271F9137" w14:textId="77777777" w:rsidR="007B36BD" w:rsidRDefault="00D85EF3" w:rsidP="00557893">
      <w:pPr>
        <w:pStyle w:val="ListBullet2"/>
      </w:pPr>
      <w:r>
        <w:t>increased adoption of external insurance or self-insurance to manage these contingent liabilities</w:t>
      </w:r>
    </w:p>
    <w:p w14:paraId="0112A295" w14:textId="77777777" w:rsidR="007B36BD" w:rsidRDefault="007B36BD" w:rsidP="00557893">
      <w:pPr>
        <w:pStyle w:val="ListBullet2"/>
      </w:pPr>
      <w:r>
        <w:t xml:space="preserve">requiring a </w:t>
      </w:r>
      <w:r w:rsidR="00381C7E">
        <w:t xml:space="preserve">proportion or </w:t>
      </w:r>
      <w:r>
        <w:t>higher level of expenditure on mitigation and resilience (in addition to expenditure that would have occurred anyway)</w:t>
      </w:r>
    </w:p>
    <w:p w14:paraId="42F3D910" w14:textId="77777777" w:rsidR="00E11DEE" w:rsidRDefault="00557893" w:rsidP="00E11DEE">
      <w:pPr>
        <w:pStyle w:val="ListBullet2"/>
      </w:pPr>
      <w:r>
        <w:t>expanding the use of cost–benefit analysis</w:t>
      </w:r>
      <w:r w:rsidR="0013176F">
        <w:t xml:space="preserve"> in mitigation a</w:t>
      </w:r>
      <w:r w:rsidR="007B36BD">
        <w:t>nd resilience program selection</w:t>
      </w:r>
    </w:p>
    <w:p w14:paraId="1FDB17BA" w14:textId="77777777" w:rsidR="007B36BD" w:rsidRDefault="007B36BD" w:rsidP="00E11DEE">
      <w:pPr>
        <w:pStyle w:val="ListBullet2"/>
      </w:pPr>
      <w:r>
        <w:lastRenderedPageBreak/>
        <w:t>requiring changes to land</w:t>
      </w:r>
      <w:r>
        <w:noBreakHyphen/>
        <w:t>use planning</w:t>
      </w:r>
      <w:r w:rsidR="00D85EF3">
        <w:t xml:space="preserve"> frameworks</w:t>
      </w:r>
      <w:r>
        <w:t xml:space="preserve"> to facilitate effective and sustainable risk management</w:t>
      </w:r>
    </w:p>
    <w:p w14:paraId="332A0281" w14:textId="77777777" w:rsidR="004C2D79" w:rsidRDefault="004C2D79" w:rsidP="00E11DEE">
      <w:pPr>
        <w:pStyle w:val="ListBullet2"/>
      </w:pPr>
      <w:r>
        <w:t>simplifying claim processes</w:t>
      </w:r>
    </w:p>
    <w:p w14:paraId="6DAED0B9" w14:textId="77777777" w:rsidR="007B36BD" w:rsidRDefault="007B36BD" w:rsidP="00E11DEE">
      <w:pPr>
        <w:pStyle w:val="ListBullet2"/>
      </w:pPr>
      <w:r>
        <w:t xml:space="preserve">increasing the monitoring and enforcement of the conditions of the NDRRA </w:t>
      </w:r>
      <w:r>
        <w:rPr>
          <w:i/>
        </w:rPr>
        <w:t>Determination</w:t>
      </w:r>
      <w:r>
        <w:t>.</w:t>
      </w:r>
    </w:p>
    <w:p w14:paraId="668A3C72" w14:textId="77777777" w:rsidR="0013176F" w:rsidRDefault="0013176F" w:rsidP="0013176F">
      <w:pPr>
        <w:pStyle w:val="Heading3"/>
      </w:pPr>
      <w:r>
        <w:t>Substantial changes to the system</w:t>
      </w:r>
    </w:p>
    <w:p w14:paraId="603DC957" w14:textId="1608A2AF" w:rsidR="007B36BD" w:rsidRDefault="00B155B4" w:rsidP="0013176F">
      <w:pPr>
        <w:pStyle w:val="BodyText"/>
      </w:pPr>
      <w:r>
        <w:t>If the Commission’s analysis indicates that the quantum, coherence, effectiveness and sustainability of the current funding arrangements cannot be made consistent with effective risk management the Commission may recommend a significant overhaul to the system</w:t>
      </w:r>
      <w:r w:rsidR="007B36BD">
        <w:t>. This could include consideration of:</w:t>
      </w:r>
    </w:p>
    <w:p w14:paraId="3D61E5F9" w14:textId="77777777" w:rsidR="0013176F" w:rsidRDefault="007B36BD" w:rsidP="007B36BD">
      <w:pPr>
        <w:pStyle w:val="ListBullet"/>
      </w:pPr>
      <w:r>
        <w:t xml:space="preserve">whether the Commonwealth should provide any </w:t>
      </w:r>
      <w:r w:rsidR="00725F49">
        <w:t xml:space="preserve">direct </w:t>
      </w:r>
      <w:r>
        <w:t>funding to the states for natural disaster mitigation, resilience and recovery</w:t>
      </w:r>
      <w:r w:rsidR="00D85EF3">
        <w:t>, and whether such funding should be tied to specific purposes or provided as block funding</w:t>
      </w:r>
    </w:p>
    <w:p w14:paraId="6FC0535A" w14:textId="7963690A" w:rsidR="00681ADE" w:rsidRDefault="00681ADE" w:rsidP="007B36BD">
      <w:pPr>
        <w:pStyle w:val="ListBullet"/>
      </w:pPr>
      <w:r>
        <w:t xml:space="preserve">whether the current </w:t>
      </w:r>
      <w:r w:rsidR="004C2D79">
        <w:t>C</w:t>
      </w:r>
      <w:r w:rsidR="009F444A">
        <w:t>GC treatment of natural disaster payments and expenditure in the</w:t>
      </w:r>
      <w:r>
        <w:t xml:space="preserve"> GST allocation should be changed to provide incentives for asset and liability management (in state budgets) and thereby</w:t>
      </w:r>
      <w:r w:rsidR="009F444A">
        <w:t xml:space="preserve"> </w:t>
      </w:r>
      <w:r w:rsidR="00BD7CCB">
        <w:t>more</w:t>
      </w:r>
      <w:r>
        <w:t xml:space="preserve"> effective risk management at the state level</w:t>
      </w:r>
    </w:p>
    <w:p w14:paraId="404A91FD" w14:textId="77777777" w:rsidR="0013176F" w:rsidRDefault="007B36BD" w:rsidP="007B36BD">
      <w:pPr>
        <w:pStyle w:val="ListBullet"/>
      </w:pPr>
      <w:r>
        <w:t>whether state and territory governments should pay a premium to the Commonwealth for the insurance that it provides through the NDRRA</w:t>
      </w:r>
    </w:p>
    <w:p w14:paraId="07CF7F24" w14:textId="77777777" w:rsidR="007B36BD" w:rsidRDefault="007B36BD" w:rsidP="007B36BD">
      <w:pPr>
        <w:pStyle w:val="ListBullet"/>
      </w:pPr>
      <w:r>
        <w:t>eliminating some Commonwealth natural disaster assistance programs if there is evidence that they overlap with other Commonweal</w:t>
      </w:r>
      <w:r w:rsidR="00902F5D">
        <w:t>th, state or territory programs</w:t>
      </w:r>
    </w:p>
    <w:p w14:paraId="3E4D2E97" w14:textId="1006AF12" w:rsidR="00902F5D" w:rsidRDefault="00902F5D" w:rsidP="007B36BD">
      <w:pPr>
        <w:pStyle w:val="ListBullet"/>
      </w:pPr>
      <w:r>
        <w:t>changes to urban planning, land use policy and policies relating to investment in and management of infrastructure.</w:t>
      </w:r>
    </w:p>
    <w:p w14:paraId="32013EA2" w14:textId="6F598647" w:rsidR="00F815E6" w:rsidRDefault="00725F49" w:rsidP="00F815E6">
      <w:pPr>
        <w:pStyle w:val="BodyText"/>
        <w:rPr>
          <w:i/>
        </w:rPr>
      </w:pPr>
      <w:r>
        <w:rPr>
          <w:i/>
        </w:rPr>
        <w:t>Do you have proposals for substantial</w:t>
      </w:r>
      <w:r w:rsidR="00F815E6">
        <w:rPr>
          <w:i/>
        </w:rPr>
        <w:t xml:space="preserve"> reform options </w:t>
      </w:r>
      <w:r>
        <w:rPr>
          <w:i/>
        </w:rPr>
        <w:t>to</w:t>
      </w:r>
      <w:r w:rsidR="00F815E6">
        <w:rPr>
          <w:i/>
        </w:rPr>
        <w:t xml:space="preserve"> natural disaster funding arrangements </w:t>
      </w:r>
      <w:r w:rsidR="00B155B4">
        <w:rPr>
          <w:i/>
        </w:rPr>
        <w:t xml:space="preserve">for </w:t>
      </w:r>
      <w:r w:rsidR="00F815E6">
        <w:rPr>
          <w:i/>
        </w:rPr>
        <w:t>the Australian</w:t>
      </w:r>
      <w:r w:rsidR="00B155B4">
        <w:rPr>
          <w:i/>
        </w:rPr>
        <w:t xml:space="preserve"> and</w:t>
      </w:r>
      <w:r w:rsidR="00F815E6">
        <w:rPr>
          <w:i/>
        </w:rPr>
        <w:t xml:space="preserve"> state and territory governments?</w:t>
      </w:r>
    </w:p>
    <w:p w14:paraId="74CC9647" w14:textId="77777777" w:rsidR="00F815E6" w:rsidRPr="004C2D79" w:rsidRDefault="00F815E6" w:rsidP="004C2D79">
      <w:pPr>
        <w:pStyle w:val="BodyText"/>
        <w:rPr>
          <w:i/>
        </w:rPr>
      </w:pPr>
      <w:r w:rsidRPr="004C2D79">
        <w:rPr>
          <w:i/>
        </w:rPr>
        <w:t xml:space="preserve">What impact would </w:t>
      </w:r>
      <w:r w:rsidR="00D85EF3" w:rsidRPr="004C2D79">
        <w:rPr>
          <w:i/>
        </w:rPr>
        <w:t xml:space="preserve">each option </w:t>
      </w:r>
      <w:r w:rsidRPr="004C2D79">
        <w:rPr>
          <w:i/>
        </w:rPr>
        <w:t xml:space="preserve">have on the incentives of each level of government to make good </w:t>
      </w:r>
      <w:r w:rsidR="00681ADE" w:rsidRPr="004C2D79">
        <w:rPr>
          <w:i/>
        </w:rPr>
        <w:t xml:space="preserve">risk management </w:t>
      </w:r>
      <w:r w:rsidRPr="004C2D79">
        <w:rPr>
          <w:i/>
        </w:rPr>
        <w:t>decisions?</w:t>
      </w:r>
    </w:p>
    <w:p w14:paraId="67AE224B" w14:textId="588143AF" w:rsidR="00F815E6" w:rsidRPr="004C2D79" w:rsidRDefault="00F815E6" w:rsidP="004C2D79">
      <w:pPr>
        <w:pStyle w:val="BodyText"/>
        <w:rPr>
          <w:i/>
        </w:rPr>
      </w:pPr>
      <w:r w:rsidRPr="004C2D79">
        <w:rPr>
          <w:i/>
        </w:rPr>
        <w:t xml:space="preserve">What impact would </w:t>
      </w:r>
      <w:r w:rsidR="00D85EF3" w:rsidRPr="004C2D79">
        <w:rPr>
          <w:i/>
        </w:rPr>
        <w:t xml:space="preserve">each option </w:t>
      </w:r>
      <w:r w:rsidRPr="004C2D79">
        <w:rPr>
          <w:i/>
        </w:rPr>
        <w:t>have on the costs and incentives of individuals, businesses and non</w:t>
      </w:r>
      <w:r w:rsidRPr="004C2D79">
        <w:rPr>
          <w:i/>
        </w:rPr>
        <w:noBreakHyphen/>
        <w:t>government organisations</w:t>
      </w:r>
      <w:r w:rsidR="005B400B">
        <w:rPr>
          <w:i/>
        </w:rPr>
        <w:t xml:space="preserve"> to manage natural disaster risks</w:t>
      </w:r>
      <w:r w:rsidRPr="004C2D79">
        <w:rPr>
          <w:i/>
        </w:rPr>
        <w:t>?</w:t>
      </w:r>
    </w:p>
    <w:p w14:paraId="1E6684DE" w14:textId="77777777" w:rsidR="00F815E6" w:rsidRPr="004C2D79" w:rsidRDefault="00725F49" w:rsidP="004C2D79">
      <w:pPr>
        <w:pStyle w:val="BodyText"/>
        <w:rPr>
          <w:i/>
        </w:rPr>
      </w:pPr>
      <w:r w:rsidRPr="004C2D79">
        <w:rPr>
          <w:i/>
        </w:rPr>
        <w:t>How would they</w:t>
      </w:r>
      <w:r w:rsidR="00F815E6" w:rsidRPr="004C2D79">
        <w:rPr>
          <w:i/>
        </w:rPr>
        <w:t xml:space="preserve"> impact on the Australian economy and each level of government, relative to current arrangements?</w:t>
      </w:r>
    </w:p>
    <w:p w14:paraId="5E040885" w14:textId="77777777" w:rsidR="00F815E6" w:rsidRDefault="00F815E6" w:rsidP="00AB50AF">
      <w:pPr>
        <w:pStyle w:val="BodyText"/>
        <w:rPr>
          <w:i/>
        </w:rPr>
      </w:pPr>
      <w:r w:rsidRPr="00AB50AF">
        <w:rPr>
          <w:i/>
        </w:rPr>
        <w:lastRenderedPageBreak/>
        <w:t>Should conditions be attached to Australian Government financial assistance to other levels of government? Should funding be linked to particular reforms by state or territory governments?</w:t>
      </w:r>
    </w:p>
    <w:p w14:paraId="5BC7C848" w14:textId="77777777" w:rsidR="004C2D79" w:rsidRDefault="004C2D79" w:rsidP="004C2D79">
      <w:pPr>
        <w:pStyle w:val="BodyText"/>
        <w:rPr>
          <w:i/>
        </w:rPr>
      </w:pPr>
      <w:r w:rsidRPr="006431C2">
        <w:rPr>
          <w:i/>
        </w:rPr>
        <w:t>What would be the advantages and disadvantages of making substantial changes to the natural disaster recovery funding arrangements (such as recommended by the National Commission of Audit)?</w:t>
      </w:r>
    </w:p>
    <w:p w14:paraId="1A5B5690" w14:textId="77777777" w:rsidR="004C2D79" w:rsidRDefault="004C2D79" w:rsidP="00AB50AF">
      <w:pPr>
        <w:pStyle w:val="BodyText"/>
        <w:rPr>
          <w:i/>
        </w:rPr>
      </w:pPr>
      <w:r w:rsidRPr="004038C8">
        <w:rPr>
          <w:i/>
        </w:rPr>
        <w:t>What would be the advantages and disadvantages of retaining the current NDRRA, but with reforms to the thresholds and contribution levels?</w:t>
      </w:r>
    </w:p>
    <w:p w14:paraId="3D149513" w14:textId="77777777" w:rsidR="00F815E6" w:rsidRDefault="00F815E6" w:rsidP="00F815E6">
      <w:pPr>
        <w:pStyle w:val="BodyText"/>
        <w:rPr>
          <w:i/>
        </w:rPr>
      </w:pPr>
      <w:r>
        <w:rPr>
          <w:i/>
        </w:rPr>
        <w:t>What lessons have been learnt in other countries that may be applicable for Australia? Are there natural disaster funding or governance models used elsewhere that may be suitable for Australia?</w:t>
      </w:r>
    </w:p>
    <w:p w14:paraId="59A7CDAC" w14:textId="22870BEE" w:rsidR="0013176F" w:rsidRDefault="007A66DD" w:rsidP="007B36BD">
      <w:pPr>
        <w:pStyle w:val="Heading2"/>
      </w:pPr>
      <w:r>
        <w:rPr>
          <w:noProof/>
        </w:rPr>
        <w:t>5</w:t>
      </w:r>
      <w:r w:rsidR="007B36BD">
        <w:tab/>
        <w:t>Implementing reforms</w:t>
      </w:r>
    </w:p>
    <w:p w14:paraId="158A1C2C" w14:textId="1CE38A8A" w:rsidR="00BE1E31" w:rsidRDefault="00BE1E31" w:rsidP="00BE1E31">
      <w:pPr>
        <w:pStyle w:val="BodyText"/>
      </w:pPr>
      <w:r>
        <w:t xml:space="preserve">Reforms to natural disaster funding arrangements could have material effects on some members of the community, </w:t>
      </w:r>
      <w:r w:rsidR="00B155B4">
        <w:t xml:space="preserve">notably </w:t>
      </w:r>
      <w:r>
        <w:t>on asset values. Given these potential effects, governments need to consider implementation options, such as phased implementation or transitional a</w:t>
      </w:r>
      <w:r w:rsidR="005B400B">
        <w:t>rrangements</w:t>
      </w:r>
      <w:r>
        <w:t xml:space="preserve">. </w:t>
      </w:r>
    </w:p>
    <w:p w14:paraId="6E6791E8" w14:textId="54C481BB" w:rsidR="00BE1E31" w:rsidRDefault="00BE1E31" w:rsidP="00BE1E31">
      <w:pPr>
        <w:pStyle w:val="BodyText"/>
      </w:pPr>
      <w:r>
        <w:t xml:space="preserve">The Commission is seeking comment on the impact and timing of reforms and on transitional arrangements. For example, the National Commission of Audit considered that </w:t>
      </w:r>
      <w:r w:rsidR="005B400B">
        <w:t xml:space="preserve">the proposed </w:t>
      </w:r>
      <w:r>
        <w:t xml:space="preserve">reforms could be implemented </w:t>
      </w:r>
      <w:r w:rsidR="005B400B">
        <w:t>in the near term</w:t>
      </w:r>
      <w:r>
        <w:t xml:space="preserve">. It stated that either of its proposed reforms to the NDRRA ‘could be implemented </w:t>
      </w:r>
      <w:r w:rsidRPr="004038C8">
        <w:t>before the 2014-15 disaster season</w:t>
      </w:r>
      <w:r>
        <w:t>’</w:t>
      </w:r>
      <w:r w:rsidR="00466614" w:rsidRPr="00466614">
        <w:rPr>
          <w:szCs w:val="24"/>
        </w:rPr>
        <w:t>(National Commission of Audit 2014a, p. 98)</w:t>
      </w:r>
      <w:r>
        <w:t>.</w:t>
      </w:r>
    </w:p>
    <w:p w14:paraId="67975707" w14:textId="77777777" w:rsidR="00B037D3" w:rsidRDefault="00B037D3" w:rsidP="00B037D3">
      <w:pPr>
        <w:pStyle w:val="ListBullet"/>
        <w:numPr>
          <w:ilvl w:val="0"/>
          <w:numId w:val="0"/>
        </w:numPr>
        <w:tabs>
          <w:tab w:val="left" w:pos="720"/>
        </w:tabs>
        <w:spacing w:before="240"/>
        <w:rPr>
          <w:i/>
          <w:iCs/>
        </w:rPr>
      </w:pPr>
      <w:r>
        <w:rPr>
          <w:i/>
          <w:iCs/>
        </w:rPr>
        <w:t>What transitional arrangements should be considered to assist with the implementation of reforms?</w:t>
      </w:r>
    </w:p>
    <w:p w14:paraId="33F2A580" w14:textId="77777777" w:rsidR="00B037D3" w:rsidRPr="00B155B4" w:rsidRDefault="00B037D3" w:rsidP="00B155B4">
      <w:pPr>
        <w:pStyle w:val="BodyText"/>
        <w:rPr>
          <w:i/>
        </w:rPr>
      </w:pPr>
      <w:r w:rsidRPr="00B155B4">
        <w:rPr>
          <w:i/>
        </w:rPr>
        <w:t>Over what timeframe should reforms be implemented?</w:t>
      </w:r>
    </w:p>
    <w:p w14:paraId="7EC3DFEF" w14:textId="77777777" w:rsidR="00B037D3" w:rsidRPr="00B155B4" w:rsidRDefault="00B037D3" w:rsidP="00B155B4">
      <w:pPr>
        <w:pStyle w:val="BodyText"/>
        <w:rPr>
          <w:i/>
        </w:rPr>
      </w:pPr>
      <w:r w:rsidRPr="00B155B4">
        <w:rPr>
          <w:i/>
        </w:rPr>
        <w:t>How should reforms be sequenced?</w:t>
      </w:r>
    </w:p>
    <w:p w14:paraId="3B72DC1F" w14:textId="29E55838" w:rsidR="00B037D3" w:rsidRPr="00B155B4" w:rsidRDefault="00B037D3" w:rsidP="00B155B4">
      <w:pPr>
        <w:pStyle w:val="BodyText"/>
        <w:rPr>
          <w:i/>
        </w:rPr>
      </w:pPr>
      <w:r w:rsidRPr="00B155B4">
        <w:rPr>
          <w:i/>
        </w:rPr>
        <w:t>Who should be responsible for implementing the reforms?</w:t>
      </w:r>
    </w:p>
    <w:p w14:paraId="2376BD6F" w14:textId="35EA059B" w:rsidR="00B037D3" w:rsidRPr="00B155B4" w:rsidRDefault="005B400B" w:rsidP="00B155B4">
      <w:pPr>
        <w:pStyle w:val="BodyText"/>
        <w:rPr>
          <w:i/>
        </w:rPr>
      </w:pPr>
      <w:r w:rsidRPr="00B155B4">
        <w:rPr>
          <w:i/>
        </w:rPr>
        <w:t>Are</w:t>
      </w:r>
      <w:r w:rsidR="00B037D3" w:rsidRPr="00B155B4">
        <w:rPr>
          <w:i/>
        </w:rPr>
        <w:t xml:space="preserve"> transitional financial a</w:t>
      </w:r>
      <w:r w:rsidRPr="00B155B4">
        <w:rPr>
          <w:i/>
        </w:rPr>
        <w:t xml:space="preserve">rrangements </w:t>
      </w:r>
      <w:r w:rsidR="00B037D3" w:rsidRPr="00B155B4">
        <w:rPr>
          <w:i/>
        </w:rPr>
        <w:t>required?</w:t>
      </w:r>
    </w:p>
    <w:p w14:paraId="57E96577" w14:textId="77777777" w:rsidR="00B037D3" w:rsidRPr="00B155B4" w:rsidRDefault="00B037D3" w:rsidP="00B155B4">
      <w:pPr>
        <w:pStyle w:val="BodyText"/>
        <w:rPr>
          <w:i/>
        </w:rPr>
      </w:pPr>
      <w:r w:rsidRPr="00B155B4">
        <w:rPr>
          <w:i/>
        </w:rPr>
        <w:t>When should the reforms be reviewed and evaluated?</w:t>
      </w:r>
    </w:p>
    <w:p w14:paraId="5F16481A" w14:textId="77777777" w:rsidR="00B80E94" w:rsidRDefault="00B80E94" w:rsidP="00B037D3">
      <w:pPr>
        <w:pStyle w:val="BodyText"/>
      </w:pPr>
    </w:p>
    <w:p w14:paraId="74D9027B" w14:textId="149B6070" w:rsidR="00B80E94" w:rsidRDefault="00B80E94" w:rsidP="00B80E94">
      <w:pPr>
        <w:pStyle w:val="Heading1"/>
      </w:pPr>
      <w:r>
        <w:lastRenderedPageBreak/>
        <w:t>References</w:t>
      </w:r>
    </w:p>
    <w:p w14:paraId="630AAFCA" w14:textId="2D376E43" w:rsidR="0000649B" w:rsidRPr="0000649B" w:rsidRDefault="0000649B" w:rsidP="0000649B">
      <w:pPr>
        <w:pStyle w:val="Reference"/>
      </w:pPr>
      <w:r w:rsidRPr="0000649B">
        <w:t xml:space="preserve">ANAO (Australian National Audit Office) 2013a, </w:t>
      </w:r>
      <w:r w:rsidRPr="0000649B">
        <w:rPr>
          <w:i/>
        </w:rPr>
        <w:t>The Australian Government Reconstruction Inspectorate’s Conduct of Value for Money Reviews of Flood Reconstruction Projects in Queensland</w:t>
      </w:r>
      <w:r w:rsidRPr="0000649B">
        <w:t>, Audit Report No. 8 2013-14, Canberra.</w:t>
      </w:r>
    </w:p>
    <w:p w14:paraId="2C06B392" w14:textId="27514646" w:rsidR="0000649B" w:rsidRPr="0000649B" w:rsidRDefault="0000649B" w:rsidP="0000649B">
      <w:pPr>
        <w:pStyle w:val="Reference"/>
      </w:pPr>
      <w:r w:rsidRPr="0000649B">
        <w:t>——</w:t>
      </w:r>
      <w:r>
        <w:t xml:space="preserve"> </w:t>
      </w:r>
      <w:r w:rsidRPr="0000649B">
        <w:t xml:space="preserve">2013b, </w:t>
      </w:r>
      <w:r w:rsidRPr="0000649B">
        <w:rPr>
          <w:i/>
        </w:rPr>
        <w:t>The Australian Government Reconstruction Inspectorate’s Conduct of Value for Money Reviews of Flood Reconstruction Projects in Victoria</w:t>
      </w:r>
      <w:r w:rsidRPr="0000649B">
        <w:t>, Canberra.</w:t>
      </w:r>
    </w:p>
    <w:p w14:paraId="1823C40E" w14:textId="77777777" w:rsidR="0000649B" w:rsidRPr="0000649B" w:rsidRDefault="0000649B" w:rsidP="0000649B">
      <w:pPr>
        <w:pStyle w:val="Reference"/>
      </w:pPr>
      <w:r w:rsidRPr="0000649B">
        <w:t xml:space="preserve">Attorney-General’s Department 2012a, </w:t>
      </w:r>
      <w:r w:rsidRPr="0000649B">
        <w:rPr>
          <w:i/>
        </w:rPr>
        <w:t>Attorney-General’s Department Submission to the Environment and Communications Reference Committee</w:t>
      </w:r>
      <w:r w:rsidRPr="0000649B">
        <w:t>, Canberra.</w:t>
      </w:r>
    </w:p>
    <w:p w14:paraId="2F2502A9" w14:textId="77777777" w:rsidR="0000649B" w:rsidRPr="0000649B" w:rsidRDefault="0000649B" w:rsidP="0000649B">
      <w:pPr>
        <w:pStyle w:val="Reference"/>
      </w:pPr>
      <w:r w:rsidRPr="0000649B">
        <w:t xml:space="preserve">—— 2012b, </w:t>
      </w:r>
      <w:r w:rsidRPr="0000649B">
        <w:rPr>
          <w:i/>
        </w:rPr>
        <w:t>Natural Disaster Relief and Recovery Arrangements: 2012 Determination</w:t>
      </w:r>
      <w:r w:rsidRPr="0000649B">
        <w:t>, Version 1, Canberra.</w:t>
      </w:r>
    </w:p>
    <w:p w14:paraId="39E3E25D" w14:textId="77777777" w:rsidR="0000649B" w:rsidRPr="0000649B" w:rsidRDefault="0000649B" w:rsidP="0000649B">
      <w:pPr>
        <w:pStyle w:val="Reference"/>
      </w:pPr>
      <w:r w:rsidRPr="0000649B">
        <w:t xml:space="preserve">CGC (Commonwealth Grants Commission) 2013, </w:t>
      </w:r>
      <w:r w:rsidRPr="0000649B">
        <w:rPr>
          <w:i/>
        </w:rPr>
        <w:t>Report on GST Revenue Sharing Relativities 2013 Update</w:t>
      </w:r>
      <w:r w:rsidRPr="0000649B">
        <w:t>, Canberra.</w:t>
      </w:r>
    </w:p>
    <w:p w14:paraId="766FE2DF" w14:textId="6AFB0D55" w:rsidR="0000649B" w:rsidRPr="0000649B" w:rsidRDefault="0000649B" w:rsidP="0000649B">
      <w:pPr>
        <w:pStyle w:val="Reference"/>
      </w:pPr>
      <w:r w:rsidRPr="0000649B">
        <w:t xml:space="preserve">COAG (Council of Australian Governments) 2002, </w:t>
      </w:r>
      <w:r w:rsidRPr="0000649B">
        <w:rPr>
          <w:i/>
        </w:rPr>
        <w:t>Natural Disasters in Australia: Reforming Mitigation, Relief and Recovery Arrangements, report to the Council of Australian Governments by a high level offic</w:t>
      </w:r>
      <w:r>
        <w:rPr>
          <w:i/>
        </w:rPr>
        <w:t>i</w:t>
      </w:r>
      <w:r w:rsidRPr="0000649B">
        <w:rPr>
          <w:i/>
        </w:rPr>
        <w:t>als’ group</w:t>
      </w:r>
      <w:r w:rsidRPr="0000649B">
        <w:t>, Canberra.</w:t>
      </w:r>
    </w:p>
    <w:p w14:paraId="3D5F8417" w14:textId="77777777" w:rsidR="0000649B" w:rsidRDefault="0000649B" w:rsidP="0000649B">
      <w:pPr>
        <w:pStyle w:val="Reference"/>
      </w:pPr>
      <w:r w:rsidRPr="0000649B">
        <w:t xml:space="preserve">—— (Council of Australian Governments) 2009, </w:t>
      </w:r>
      <w:r w:rsidRPr="0000649B">
        <w:rPr>
          <w:i/>
        </w:rPr>
        <w:t>National Partnership Agreement on Natural Disaster Resilience</w:t>
      </w:r>
      <w:r w:rsidRPr="0000649B">
        <w:t>, Canberra.</w:t>
      </w:r>
    </w:p>
    <w:p w14:paraId="09E7114F" w14:textId="68BBED2C" w:rsidR="00DF3FF8" w:rsidRPr="0000649B" w:rsidRDefault="00DF3FF8" w:rsidP="0000649B">
      <w:pPr>
        <w:pStyle w:val="Reference"/>
      </w:pPr>
      <w:r w:rsidRPr="0000649B">
        <w:t>—— (Council of Australian Governments) 20</w:t>
      </w:r>
      <w:r>
        <w:t>14</w:t>
      </w:r>
      <w:r w:rsidRPr="0000649B">
        <w:t xml:space="preserve">, </w:t>
      </w:r>
      <w:r w:rsidRPr="0000649B">
        <w:rPr>
          <w:i/>
        </w:rPr>
        <w:t>National Partnership Agreement on Natural Disaster Resilience</w:t>
      </w:r>
      <w:r w:rsidRPr="0000649B">
        <w:t>, Canberra.</w:t>
      </w:r>
    </w:p>
    <w:p w14:paraId="145B4298" w14:textId="71C14655" w:rsidR="0000649B" w:rsidRPr="0000649B" w:rsidRDefault="0000649B" w:rsidP="0000649B">
      <w:pPr>
        <w:pStyle w:val="Reference"/>
      </w:pPr>
      <w:r w:rsidRPr="0000649B">
        <w:t xml:space="preserve">Commonwealth of Australia 2013, </w:t>
      </w:r>
      <w:r w:rsidRPr="0000649B">
        <w:rPr>
          <w:i/>
        </w:rPr>
        <w:t>Mid-Year Ec</w:t>
      </w:r>
      <w:r>
        <w:rPr>
          <w:i/>
        </w:rPr>
        <w:t>onomic and Fiscal Outlook: 2013</w:t>
      </w:r>
      <w:r>
        <w:rPr>
          <w:i/>
        </w:rPr>
        <w:noBreakHyphen/>
      </w:r>
      <w:r w:rsidRPr="0000649B">
        <w:rPr>
          <w:i/>
        </w:rPr>
        <w:t>14</w:t>
      </w:r>
      <w:r w:rsidRPr="0000649B">
        <w:t>, Canberra.</w:t>
      </w:r>
    </w:p>
    <w:p w14:paraId="0C168BB3" w14:textId="01305304" w:rsidR="0000649B" w:rsidRPr="0000649B" w:rsidRDefault="0000649B" w:rsidP="0000649B">
      <w:pPr>
        <w:pStyle w:val="Reference"/>
      </w:pPr>
      <w:r w:rsidRPr="0000649B">
        <w:t xml:space="preserve">Das, U.S., Lu, Y., </w:t>
      </w:r>
      <w:proofErr w:type="spellStart"/>
      <w:r w:rsidRPr="0000649B">
        <w:t>Papaioannou</w:t>
      </w:r>
      <w:proofErr w:type="spellEnd"/>
      <w:r w:rsidRPr="0000649B">
        <w:t xml:space="preserve">, </w:t>
      </w:r>
      <w:proofErr w:type="spellStart"/>
      <w:r w:rsidRPr="0000649B">
        <w:t>M.G</w:t>
      </w:r>
      <w:proofErr w:type="spellEnd"/>
      <w:r w:rsidRPr="0000649B">
        <w:t xml:space="preserve">. and </w:t>
      </w:r>
      <w:proofErr w:type="spellStart"/>
      <w:r w:rsidRPr="0000649B">
        <w:t>Petrova</w:t>
      </w:r>
      <w:proofErr w:type="spellEnd"/>
      <w:r w:rsidRPr="0000649B">
        <w:t xml:space="preserve">, I. 2012, </w:t>
      </w:r>
      <w:r w:rsidRPr="0000649B">
        <w:rPr>
          <w:i/>
        </w:rPr>
        <w:t>Sovereign Risk and Asset and Liability Management</w:t>
      </w:r>
      <w:r>
        <w:rPr>
          <w:i/>
        </w:rPr>
        <w:t xml:space="preserve"> </w:t>
      </w:r>
      <w:r w:rsidRPr="0000649B">
        <w:rPr>
          <w:i/>
        </w:rPr>
        <w:t>—</w:t>
      </w:r>
      <w:r>
        <w:rPr>
          <w:i/>
        </w:rPr>
        <w:t xml:space="preserve"> </w:t>
      </w:r>
      <w:r w:rsidRPr="0000649B">
        <w:rPr>
          <w:i/>
        </w:rPr>
        <w:t>Conceptual Issues</w:t>
      </w:r>
      <w:r w:rsidRPr="0000649B">
        <w:t>, IMF Working Paper, October, WP/12/241, International Monetary Fund.</w:t>
      </w:r>
    </w:p>
    <w:p w14:paraId="57FA1AA2" w14:textId="77777777" w:rsidR="0000649B" w:rsidRPr="0000649B" w:rsidRDefault="0000649B" w:rsidP="0000649B">
      <w:pPr>
        <w:pStyle w:val="Reference"/>
      </w:pPr>
      <w:r w:rsidRPr="0000649B">
        <w:t xml:space="preserve">Deloitte Access Economics 2013, </w:t>
      </w:r>
      <w:r w:rsidRPr="0000649B">
        <w:rPr>
          <w:i/>
        </w:rPr>
        <w:t>Building Our Nation’s Resilience to Natural Disasters, report for the Australian Business Roundtable for Disaster Resilience and Safer Communities</w:t>
      </w:r>
      <w:r w:rsidRPr="0000649B">
        <w:t>, Canberra.</w:t>
      </w:r>
    </w:p>
    <w:p w14:paraId="30DC9311" w14:textId="77777777" w:rsidR="0000649B" w:rsidRPr="0000649B" w:rsidRDefault="0000649B" w:rsidP="0000649B">
      <w:pPr>
        <w:pStyle w:val="Reference"/>
      </w:pPr>
      <w:r w:rsidRPr="0000649B">
        <w:t xml:space="preserve">Department of Finance and Deregulation 2012, </w:t>
      </w:r>
      <w:r w:rsidRPr="0000649B">
        <w:rPr>
          <w:i/>
        </w:rPr>
        <w:t>Review of the Insurance Arrangements of State and Territory Governments under the Natural Disaster Relief and Recovery Arrangements Determination 2011</w:t>
      </w:r>
      <w:r w:rsidRPr="0000649B">
        <w:t xml:space="preserve">, </w:t>
      </w:r>
      <w:r w:rsidRPr="0000649B">
        <w:rPr>
          <w:i/>
        </w:rPr>
        <w:t>Phase 2 report</w:t>
      </w:r>
      <w:r w:rsidRPr="0000649B">
        <w:t>, Canberra.</w:t>
      </w:r>
    </w:p>
    <w:p w14:paraId="1902C154" w14:textId="77777777" w:rsidR="0000649B" w:rsidRPr="0000649B" w:rsidRDefault="0000649B" w:rsidP="0000649B">
      <w:pPr>
        <w:pStyle w:val="Reference"/>
      </w:pPr>
      <w:r w:rsidRPr="0000649B">
        <w:lastRenderedPageBreak/>
        <w:t xml:space="preserve">ERC (Economics References Committee) 2011, </w:t>
      </w:r>
      <w:r w:rsidRPr="0000649B">
        <w:rPr>
          <w:i/>
        </w:rPr>
        <w:t>The Asset Insurance Arrangements of Australian State Governments</w:t>
      </w:r>
      <w:r w:rsidRPr="0000649B">
        <w:t>, The Senate, Canberra.</w:t>
      </w:r>
    </w:p>
    <w:p w14:paraId="19BF784D" w14:textId="73B00A2C" w:rsidR="0000649B" w:rsidRPr="0000649B" w:rsidRDefault="0000649B" w:rsidP="0000649B">
      <w:pPr>
        <w:pStyle w:val="Reference"/>
      </w:pPr>
      <w:r w:rsidRPr="0000649B">
        <w:t xml:space="preserve">Finity Consulting 2012, </w:t>
      </w:r>
      <w:r w:rsidRPr="0000649B">
        <w:rPr>
          <w:i/>
        </w:rPr>
        <w:t xml:space="preserve">NDRRA: Independent Assessment of State Insurance Arrangements </w:t>
      </w:r>
      <w:r>
        <w:rPr>
          <w:i/>
        </w:rPr>
        <w:t>—</w:t>
      </w:r>
      <w:r w:rsidRPr="0000649B">
        <w:rPr>
          <w:i/>
        </w:rPr>
        <w:t xml:space="preserve"> Queensland, report to the Queensland  Treasury</w:t>
      </w:r>
      <w:r w:rsidRPr="0000649B">
        <w:t>, Sydney.</w:t>
      </w:r>
    </w:p>
    <w:p w14:paraId="6176F212" w14:textId="77777777" w:rsidR="0000649B" w:rsidRPr="0000649B" w:rsidRDefault="0000649B" w:rsidP="0000649B">
      <w:pPr>
        <w:pStyle w:val="Reference"/>
      </w:pPr>
      <w:r w:rsidRPr="0000649B">
        <w:t xml:space="preserve">Healy, A. and </w:t>
      </w:r>
      <w:proofErr w:type="spellStart"/>
      <w:r w:rsidRPr="0000649B">
        <w:t>Malhotra</w:t>
      </w:r>
      <w:proofErr w:type="spellEnd"/>
      <w:r w:rsidRPr="0000649B">
        <w:t xml:space="preserve">, N. 2009, ‘Myopic voters and natural disaster policy’, </w:t>
      </w:r>
      <w:r w:rsidRPr="0000649B">
        <w:rPr>
          <w:i/>
        </w:rPr>
        <w:t>American Political Science Review</w:t>
      </w:r>
      <w:r w:rsidRPr="0000649B">
        <w:t>, vol. 103, no. 3, pp. 387–406.</w:t>
      </w:r>
    </w:p>
    <w:p w14:paraId="2B317D0C" w14:textId="77777777" w:rsidR="0000649B" w:rsidRPr="0000649B" w:rsidRDefault="0000649B" w:rsidP="0000649B">
      <w:pPr>
        <w:pStyle w:val="Reference"/>
      </w:pPr>
      <w:r w:rsidRPr="0000649B">
        <w:t xml:space="preserve">Insurance Council of Australia 2014, </w:t>
      </w:r>
      <w:r w:rsidRPr="0000649B">
        <w:rPr>
          <w:i/>
        </w:rPr>
        <w:t>Historical Disaster Statistics</w:t>
      </w:r>
      <w:r w:rsidRPr="0000649B">
        <w:t>.</w:t>
      </w:r>
    </w:p>
    <w:p w14:paraId="24970D67" w14:textId="77777777" w:rsidR="0000649B" w:rsidRPr="0000649B" w:rsidRDefault="0000649B" w:rsidP="0000649B">
      <w:pPr>
        <w:pStyle w:val="Reference"/>
      </w:pPr>
      <w:r w:rsidRPr="0000649B">
        <w:t xml:space="preserve">Kelly, M. and </w:t>
      </w:r>
      <w:proofErr w:type="spellStart"/>
      <w:r w:rsidRPr="0000649B">
        <w:t>Kleffner</w:t>
      </w:r>
      <w:proofErr w:type="spellEnd"/>
      <w:r w:rsidRPr="0000649B">
        <w:t xml:space="preserve">, </w:t>
      </w:r>
      <w:proofErr w:type="spellStart"/>
      <w:r w:rsidRPr="0000649B">
        <w:t>A.E</w:t>
      </w:r>
      <w:proofErr w:type="spellEnd"/>
      <w:r w:rsidRPr="0000649B">
        <w:t xml:space="preserve">. 2003, ‘Optimal Loss Mitigation and Contract Design’, </w:t>
      </w:r>
      <w:r w:rsidRPr="0000649B">
        <w:rPr>
          <w:i/>
        </w:rPr>
        <w:t>The Journal of Risk and Insurance</w:t>
      </w:r>
      <w:r w:rsidRPr="0000649B">
        <w:t>, vol. 70, no. 1, pp. 53–72.</w:t>
      </w:r>
    </w:p>
    <w:p w14:paraId="51E9EC4D" w14:textId="77777777" w:rsidR="0000649B" w:rsidRPr="0000649B" w:rsidRDefault="0000649B" w:rsidP="0000649B">
      <w:pPr>
        <w:pStyle w:val="Reference"/>
      </w:pPr>
      <w:r w:rsidRPr="0000649B">
        <w:t xml:space="preserve">KPMG Actuarial 2012, </w:t>
      </w:r>
      <w:r w:rsidRPr="0000649B">
        <w:rPr>
          <w:i/>
        </w:rPr>
        <w:t>Natural Disaster Relief and Recovery Arrangements (NDRRA) Review of States’ (including Local Governments’) Insurance Arrangements</w:t>
      </w:r>
      <w:r w:rsidRPr="0000649B">
        <w:t>, report to the Department of Finance and Deregulation, Sydney.</w:t>
      </w:r>
    </w:p>
    <w:p w14:paraId="161B358B" w14:textId="77777777" w:rsidR="0000649B" w:rsidRPr="0000649B" w:rsidRDefault="0000649B" w:rsidP="0000649B">
      <w:pPr>
        <w:pStyle w:val="Reference"/>
      </w:pPr>
      <w:r w:rsidRPr="0000649B">
        <w:t xml:space="preserve">National Commission of Audit 2014a, </w:t>
      </w:r>
      <w:r w:rsidRPr="0000649B">
        <w:rPr>
          <w:i/>
        </w:rPr>
        <w:t>Towards Responsible Government: Appendix to the Report of the National Commission of Audit: Volume 2, Appendix</w:t>
      </w:r>
      <w:r w:rsidRPr="0000649B">
        <w:t>, February, http://</w:t>
      </w:r>
      <w:proofErr w:type="spellStart"/>
      <w:r w:rsidRPr="0000649B">
        <w:t>www.ncoa.gov.au</w:t>
      </w:r>
      <w:proofErr w:type="spellEnd"/>
      <w:r w:rsidRPr="0000649B">
        <w:t>/report/docs/</w:t>
      </w:r>
      <w:proofErr w:type="spellStart"/>
      <w:r w:rsidRPr="0000649B">
        <w:t>appendix_volume%202.pdf</w:t>
      </w:r>
      <w:proofErr w:type="spellEnd"/>
      <w:r w:rsidRPr="0000649B">
        <w:t xml:space="preserve"> (accessed 1 May 2014).</w:t>
      </w:r>
    </w:p>
    <w:p w14:paraId="2CE1DABB" w14:textId="77777777" w:rsidR="0000649B" w:rsidRPr="0000649B" w:rsidRDefault="0000649B" w:rsidP="0000649B">
      <w:pPr>
        <w:pStyle w:val="Reference"/>
      </w:pPr>
      <w:r w:rsidRPr="0000649B">
        <w:t xml:space="preserve">—— 2014b, </w:t>
      </w:r>
      <w:r w:rsidRPr="0000649B">
        <w:rPr>
          <w:i/>
        </w:rPr>
        <w:t>Towards Responsible Government: The Report of the National Commission of Audit: Phase One</w:t>
      </w:r>
      <w:r w:rsidRPr="0000649B">
        <w:t>, February, http://</w:t>
      </w:r>
      <w:proofErr w:type="spellStart"/>
      <w:r w:rsidRPr="0000649B">
        <w:t>www.ncoa.gov.au</w:t>
      </w:r>
      <w:proofErr w:type="spellEnd"/>
      <w:r w:rsidRPr="0000649B">
        <w:t>/report/docs/</w:t>
      </w:r>
      <w:proofErr w:type="spellStart"/>
      <w:r w:rsidRPr="0000649B">
        <w:t>phase_one_report.pdf</w:t>
      </w:r>
      <w:proofErr w:type="spellEnd"/>
      <w:r w:rsidRPr="0000649B">
        <w:t xml:space="preserve"> (accessed 1 May 2014).</w:t>
      </w:r>
    </w:p>
    <w:p w14:paraId="0E134262" w14:textId="6FC8A24C" w:rsidR="00BE38D2" w:rsidRDefault="00BE38D2" w:rsidP="0000649B">
      <w:pPr>
        <w:pStyle w:val="Reference"/>
      </w:pPr>
      <w:r>
        <w:t xml:space="preserve">NDIR (Natural Disaster Insurance Review) 2011, </w:t>
      </w:r>
      <w:r w:rsidRPr="001305A4">
        <w:rPr>
          <w:i/>
        </w:rPr>
        <w:t>Natural Disaster Insurance Review: Inquiry into Flood Insurance and Related Matters</w:t>
      </w:r>
      <w:r>
        <w:t>, Treasury, Canberra.</w:t>
      </w:r>
    </w:p>
    <w:p w14:paraId="6F910B7A" w14:textId="77777777" w:rsidR="0000649B" w:rsidRPr="0000649B" w:rsidRDefault="0000649B" w:rsidP="0000649B">
      <w:pPr>
        <w:pStyle w:val="Reference"/>
      </w:pPr>
      <w:r w:rsidRPr="0000649B">
        <w:t xml:space="preserve">Neumeyer, E., Plumper, T. and Barthel, F. 2013, ‘The Political Economy of Natural Disaster Damage’, </w:t>
      </w:r>
      <w:r w:rsidRPr="0000649B">
        <w:rPr>
          <w:i/>
        </w:rPr>
        <w:t>Global Environmental Change</w:t>
      </w:r>
      <w:r w:rsidRPr="0000649B">
        <w:t>, vol. Forthcoming.</w:t>
      </w:r>
    </w:p>
    <w:p w14:paraId="2A723577" w14:textId="77777777" w:rsidR="0000649B" w:rsidRPr="0000649B" w:rsidRDefault="0000649B" w:rsidP="0000649B">
      <w:pPr>
        <w:pStyle w:val="Reference"/>
      </w:pPr>
      <w:r w:rsidRPr="0000649B">
        <w:t xml:space="preserve">NSW Ministry for Police &amp; Emergency Services 2013, </w:t>
      </w:r>
      <w:r w:rsidRPr="0000649B">
        <w:rPr>
          <w:i/>
        </w:rPr>
        <w:t>Australian Government Disaster Assistance</w:t>
      </w:r>
      <w:r w:rsidRPr="0000649B">
        <w:t xml:space="preserve">, </w:t>
      </w:r>
      <w:proofErr w:type="spellStart"/>
      <w:r w:rsidRPr="0000649B">
        <w:t>www.emergency.nsw.gov.au</w:t>
      </w:r>
      <w:proofErr w:type="spellEnd"/>
      <w:r w:rsidRPr="0000649B">
        <w:t>/</w:t>
      </w:r>
      <w:proofErr w:type="spellStart"/>
      <w:r w:rsidRPr="0000649B">
        <w:t>content.php</w:t>
      </w:r>
      <w:proofErr w:type="spellEnd"/>
      <w:r w:rsidRPr="0000649B">
        <w:t>/</w:t>
      </w:r>
      <w:proofErr w:type="spellStart"/>
      <w:r w:rsidRPr="0000649B">
        <w:t>1285.html</w:t>
      </w:r>
      <w:proofErr w:type="spellEnd"/>
      <w:r w:rsidRPr="0000649B">
        <w:t xml:space="preserve"> (accessed 23 January 2014).</w:t>
      </w:r>
    </w:p>
    <w:p w14:paraId="7A79F084" w14:textId="77777777" w:rsidR="0000649B" w:rsidRPr="0000649B" w:rsidRDefault="0000649B" w:rsidP="0000649B">
      <w:pPr>
        <w:pStyle w:val="Reference"/>
      </w:pPr>
      <w:r w:rsidRPr="0000649B">
        <w:t xml:space="preserve">OECD (Organisation for Economic Cooperation and Development) 2013, ‘Budgeting for Contingent Liabilities’, presented at </w:t>
      </w:r>
      <w:r w:rsidRPr="008219CC">
        <w:rPr>
          <w:i/>
        </w:rPr>
        <w:t>34th Annual Meeting of OECD Senior Budget Officials</w:t>
      </w:r>
      <w:r w:rsidRPr="0000649B">
        <w:t>, OECD Conference Centre, Paris, OECD Publishing, June.</w:t>
      </w:r>
    </w:p>
    <w:p w14:paraId="330CF370" w14:textId="77777777" w:rsidR="0000649B" w:rsidRPr="0000649B" w:rsidRDefault="0000649B" w:rsidP="0000649B">
      <w:pPr>
        <w:pStyle w:val="Reference"/>
      </w:pPr>
      <w:r w:rsidRPr="0000649B">
        <w:t xml:space="preserve">PC (Productivity Commission) 2013, </w:t>
      </w:r>
      <w:r w:rsidRPr="008219CC">
        <w:rPr>
          <w:i/>
        </w:rPr>
        <w:t>Barriers to Effective Climate Change Adaptation</w:t>
      </w:r>
      <w:r w:rsidRPr="0000649B">
        <w:t>, Report no. 59, Canberra.</w:t>
      </w:r>
    </w:p>
    <w:p w14:paraId="12E3D05B" w14:textId="77777777" w:rsidR="0000649B" w:rsidRPr="0000649B" w:rsidRDefault="0000649B" w:rsidP="0000649B">
      <w:pPr>
        <w:pStyle w:val="Reference"/>
      </w:pPr>
      <w:r w:rsidRPr="0000649B">
        <w:t xml:space="preserve">Romanyuk, Y. 2010, </w:t>
      </w:r>
      <w:r w:rsidRPr="008219CC">
        <w:rPr>
          <w:i/>
        </w:rPr>
        <w:t>Asset-Liability Management: An Overview</w:t>
      </w:r>
      <w:r w:rsidRPr="0000649B">
        <w:t>.</w:t>
      </w:r>
    </w:p>
    <w:p w14:paraId="48BCDD2B" w14:textId="77777777" w:rsidR="0000649B" w:rsidRPr="0000649B" w:rsidRDefault="0000649B" w:rsidP="0000649B">
      <w:pPr>
        <w:pStyle w:val="Reference"/>
      </w:pPr>
      <w:proofErr w:type="spellStart"/>
      <w:r w:rsidRPr="0000649B">
        <w:t>Suncorp</w:t>
      </w:r>
      <w:proofErr w:type="spellEnd"/>
      <w:r w:rsidRPr="0000649B">
        <w:t xml:space="preserve"> Group 2013, </w:t>
      </w:r>
      <w:r w:rsidRPr="008219CC">
        <w:rPr>
          <w:i/>
        </w:rPr>
        <w:t>Risky Business: Insurance and Natural Disaster Risk Management</w:t>
      </w:r>
      <w:r w:rsidRPr="0000649B">
        <w:t>, Melbourne.</w:t>
      </w:r>
    </w:p>
    <w:p w14:paraId="107D979C" w14:textId="77777777" w:rsidR="0000649B" w:rsidRPr="0000649B" w:rsidRDefault="0000649B" w:rsidP="0000649B">
      <w:pPr>
        <w:pStyle w:val="Reference"/>
      </w:pPr>
      <w:r w:rsidRPr="0000649B">
        <w:lastRenderedPageBreak/>
        <w:t xml:space="preserve">Treasury various years, </w:t>
      </w:r>
      <w:r w:rsidRPr="008219CC">
        <w:rPr>
          <w:i/>
        </w:rPr>
        <w:t>Final Budget Outcome</w:t>
      </w:r>
      <w:r w:rsidRPr="0000649B">
        <w:t>, Canberra.</w:t>
      </w:r>
    </w:p>
    <w:p w14:paraId="3D2DFF1C" w14:textId="77777777" w:rsidR="0000649B" w:rsidRPr="0000649B" w:rsidRDefault="0000649B" w:rsidP="0000649B">
      <w:pPr>
        <w:pStyle w:val="Reference"/>
      </w:pPr>
      <w:r w:rsidRPr="0000649B">
        <w:t xml:space="preserve">Victorian Government 2013, </w:t>
      </w:r>
      <w:r w:rsidRPr="008219CC">
        <w:rPr>
          <w:i/>
        </w:rPr>
        <w:t>Natural Disaster Resilience Grants Scheme - Victoria: Applicant Guidelines 2013-14</w:t>
      </w:r>
      <w:r w:rsidRPr="0000649B">
        <w:t>, Melbourne.</w:t>
      </w:r>
    </w:p>
    <w:p w14:paraId="22726CC6" w14:textId="5CEF3D5C" w:rsidR="00B037D3" w:rsidRDefault="00B037D3">
      <w:pPr>
        <w:rPr>
          <w:sz w:val="26"/>
        </w:rPr>
      </w:pPr>
    </w:p>
    <w:p w14:paraId="5F5517D8" w14:textId="77777777" w:rsidR="004539D4" w:rsidRDefault="004539D4">
      <w:pPr>
        <w:rPr>
          <w:rFonts w:ascii="Arial" w:hAnsi="Arial"/>
          <w:b/>
          <w:sz w:val="32"/>
        </w:rPr>
      </w:pPr>
      <w:r>
        <w:br w:type="page"/>
      </w:r>
    </w:p>
    <w:p w14:paraId="1E4AC9FB" w14:textId="36D332EA" w:rsidR="0008264D" w:rsidRDefault="00603B98" w:rsidP="00225967">
      <w:pPr>
        <w:pStyle w:val="Heading2"/>
      </w:pPr>
      <w:r w:rsidRPr="00225967">
        <w:lastRenderedPageBreak/>
        <w:t>Attachment A</w:t>
      </w:r>
    </w:p>
    <w:p w14:paraId="32F327ED" w14:textId="77777777" w:rsidR="008A58E8" w:rsidRDefault="008A58E8" w:rsidP="008A58E8">
      <w:pPr>
        <w:pStyle w:val="Heading2"/>
      </w:pPr>
      <w:r>
        <w:t>Terms of reference</w:t>
      </w:r>
    </w:p>
    <w:p w14:paraId="354F8CD5" w14:textId="77777777" w:rsidR="008A58E8" w:rsidRDefault="008A58E8" w:rsidP="008A58E8">
      <w:pPr>
        <w:pStyle w:val="BodyText"/>
        <w:jc w:val="center"/>
      </w:pPr>
      <w:r w:rsidRPr="00860232">
        <w:t xml:space="preserve">Productivity Commission Inquiry into Natural Disaster Funding Arrangements </w:t>
      </w:r>
      <w:r>
        <w:rPr>
          <w:b/>
          <w:bCs/>
          <w:i/>
          <w:iCs/>
          <w:szCs w:val="24"/>
        </w:rPr>
        <w:t>Productivity Commission Act 1998</w:t>
      </w:r>
    </w:p>
    <w:p w14:paraId="47DAAA22" w14:textId="77777777" w:rsidR="008A58E8" w:rsidRDefault="008A58E8" w:rsidP="008A58E8">
      <w:pPr>
        <w:pStyle w:val="BodyText"/>
        <w:rPr>
          <w:lang w:eastAsia="en-US"/>
        </w:rPr>
      </w:pPr>
      <w:r>
        <w:rPr>
          <w:lang w:eastAsia="en-US"/>
        </w:rPr>
        <w:t>I, Joseph Benedict Hockey, Treasurer, pursuant to Parts 2 and 3 of the Productivity Commission Act 1998, hereby request that the Productivity Commission (the Commission) undertake an inquiry into the efficacy of current national natural disaster funding arrangements. The inquiry should take into account the priority of effective mitigation to reduce the impact of disasters on communities.</w:t>
      </w:r>
    </w:p>
    <w:p w14:paraId="2ABDC3A1" w14:textId="77777777" w:rsidR="008A58E8" w:rsidRPr="00860232" w:rsidRDefault="008A58E8" w:rsidP="008A58E8">
      <w:pPr>
        <w:pStyle w:val="BodyText"/>
        <w:rPr>
          <w:b/>
          <w:lang w:eastAsia="en-US"/>
        </w:rPr>
      </w:pPr>
      <w:r>
        <w:rPr>
          <w:b/>
          <w:lang w:eastAsia="en-US"/>
        </w:rPr>
        <w:t>Background</w:t>
      </w:r>
    </w:p>
    <w:p w14:paraId="4D06B2D5" w14:textId="77777777" w:rsidR="008A58E8" w:rsidRDefault="008A58E8" w:rsidP="008A58E8">
      <w:pPr>
        <w:pStyle w:val="BodyText"/>
        <w:rPr>
          <w:lang w:eastAsia="en-US"/>
        </w:rPr>
      </w:pPr>
      <w:r>
        <w:rPr>
          <w:lang w:eastAsia="en-US"/>
        </w:rPr>
        <w:t xml:space="preserve">In the last five years, natural disasters around the country have claimed more than 200 lives and impacted hundreds of thousands of people.  Natural disasters also have significant financial and economic costs. The impacts and costs of extreme weather events can be expected to increase in the future with population growth and the expanding urbanisation of coast lines and mountain districts near our cities. </w:t>
      </w:r>
    </w:p>
    <w:p w14:paraId="150769D3" w14:textId="77777777" w:rsidR="008A58E8" w:rsidRDefault="008A58E8" w:rsidP="008A58E8">
      <w:pPr>
        <w:pStyle w:val="BodyText"/>
        <w:rPr>
          <w:lang w:eastAsia="en-US"/>
        </w:rPr>
      </w:pPr>
      <w:r>
        <w:rPr>
          <w:lang w:eastAsia="en-US"/>
        </w:rPr>
        <w:t xml:space="preserve">Many communities experience repeated disruptions from flood, cyclone and fire events.  Some of these events are unforeseen and the damage is unavoidable, but in many cases the consequences of natural disasters could be mitigated. </w:t>
      </w:r>
    </w:p>
    <w:p w14:paraId="58739253" w14:textId="77777777" w:rsidR="008A58E8" w:rsidRDefault="008A58E8" w:rsidP="008A58E8">
      <w:pPr>
        <w:pStyle w:val="BodyText"/>
        <w:rPr>
          <w:lang w:eastAsia="en-US"/>
        </w:rPr>
      </w:pPr>
      <w:r>
        <w:rPr>
          <w:lang w:eastAsia="en-US"/>
        </w:rPr>
        <w:t>The National Strategy for Disaster Resilience underpins a coordinated and cooperative effort to enhance our ability to prepare for, withstand and recover from natural disasters. The benefits associated with building the resilience of our communities and investing in disaster mitigation include: improved community safety and resilience, a reduction in damage to property, speedier recovery, and a reduction in overall costs to the national economy. The range of mitigation options are diverse and span both structural and non-structural measures.</w:t>
      </w:r>
    </w:p>
    <w:p w14:paraId="64C16FB7" w14:textId="77777777" w:rsidR="008A58E8" w:rsidRDefault="008A58E8" w:rsidP="008A58E8">
      <w:pPr>
        <w:pStyle w:val="BodyText"/>
        <w:rPr>
          <w:lang w:eastAsia="en-US"/>
        </w:rPr>
      </w:pPr>
      <w:r>
        <w:rPr>
          <w:lang w:eastAsia="en-US"/>
        </w:rPr>
        <w:t xml:space="preserve">However, current Commonwealth funding arrangements are heavily weighted towards disaster recovery, which reduces the economic incentive for state, territory and local governments to mitigate disaster risk. </w:t>
      </w:r>
    </w:p>
    <w:p w14:paraId="6BE79918" w14:textId="77777777" w:rsidR="008A58E8" w:rsidRDefault="008A58E8" w:rsidP="008A58E8">
      <w:pPr>
        <w:pStyle w:val="BodyText"/>
        <w:rPr>
          <w:lang w:eastAsia="en-US"/>
        </w:rPr>
      </w:pPr>
      <w:r>
        <w:rPr>
          <w:lang w:eastAsia="en-US"/>
        </w:rPr>
        <w:t xml:space="preserve">Disaster management is the responsibility of the state, territory and local governments, which largely determine the type and level of relief and recovery measures to be adopted following a disaster, and manage the administration of assistance measures. In accordance with this responsibility, state and territory </w:t>
      </w:r>
      <w:r>
        <w:rPr>
          <w:lang w:eastAsia="en-US"/>
        </w:rPr>
        <w:lastRenderedPageBreak/>
        <w:t xml:space="preserve">governments bear a significant level of disaster relief and recovery expenditure. State, territory and local governments also have responsibility for land use planning. </w:t>
      </w:r>
    </w:p>
    <w:p w14:paraId="2EE910DA" w14:textId="77777777" w:rsidR="008A58E8" w:rsidRDefault="008A58E8" w:rsidP="008A58E8">
      <w:pPr>
        <w:pStyle w:val="BodyText"/>
        <w:rPr>
          <w:lang w:eastAsia="en-US"/>
        </w:rPr>
      </w:pPr>
      <w:r>
        <w:rPr>
          <w:lang w:eastAsia="en-US"/>
        </w:rPr>
        <w:t xml:space="preserve">Notwithstanding this, the Commonwealth has played a major role in providing financial and other assistance to help alleviate the burden on states and territories and to support the provision of urgent assistance to disaster affected communities. Under the Natural Disaster Relief and Recovery Arrangements (NDRRA), the Commonwealth currently reimburses up to 75 per cent of the state and territory recovery bill after certain thresholds are met, at a cost to the Commonwealth of approximately $12 billion for events since 2009.  The majority of this expenditure is used to provide partial reimbursement to states and territories for rebuilding essential public assets, in particular roads and road infrastructure. </w:t>
      </w:r>
    </w:p>
    <w:p w14:paraId="3E383AA9" w14:textId="77777777" w:rsidR="008A58E8" w:rsidRPr="00860232" w:rsidRDefault="008A58E8" w:rsidP="008A58E8">
      <w:pPr>
        <w:pStyle w:val="BodyText"/>
        <w:rPr>
          <w:b/>
          <w:lang w:eastAsia="en-US"/>
        </w:rPr>
      </w:pPr>
      <w:r w:rsidRPr="00860232">
        <w:rPr>
          <w:b/>
          <w:lang w:eastAsia="en-US"/>
        </w:rPr>
        <w:t>Scope of the Inquiry</w:t>
      </w:r>
    </w:p>
    <w:p w14:paraId="0E2F3978" w14:textId="77777777" w:rsidR="008A58E8" w:rsidRDefault="008A58E8" w:rsidP="008A58E8">
      <w:pPr>
        <w:pStyle w:val="BodyText"/>
        <w:rPr>
          <w:lang w:eastAsia="en-US"/>
        </w:rPr>
      </w:pPr>
      <w:r>
        <w:rPr>
          <w:lang w:eastAsia="en-US"/>
        </w:rPr>
        <w:t>The Commission will analyse the full scope (incorporating the quantum, coherence, effectiveness and sustainability) of current Commonwealth, state and territory expenditure on natural disaster mitigation, resilience and recovery, and develop findings on the following:</w:t>
      </w:r>
    </w:p>
    <w:p w14:paraId="44BC5C6D" w14:textId="77777777" w:rsidR="008A58E8" w:rsidRDefault="008A58E8" w:rsidP="008A58E8">
      <w:pPr>
        <w:pStyle w:val="ListNumber"/>
        <w:rPr>
          <w:lang w:eastAsia="en-US"/>
        </w:rPr>
      </w:pPr>
      <w:r>
        <w:rPr>
          <w:lang w:eastAsia="en-US"/>
        </w:rPr>
        <w:t xml:space="preserve">The sustainability and effectiveness of current arrangements for funding natural disaster mitigation, resilience and recovery initiatives, including – where directly relevant to an improved funding model – the management of disaster relief and recovery; </w:t>
      </w:r>
    </w:p>
    <w:p w14:paraId="0932A568" w14:textId="77777777" w:rsidR="008A58E8" w:rsidRDefault="008A58E8" w:rsidP="008A58E8">
      <w:pPr>
        <w:pStyle w:val="ListNumber"/>
        <w:rPr>
          <w:lang w:eastAsia="en-US"/>
        </w:rPr>
      </w:pPr>
      <w:r>
        <w:rPr>
          <w:lang w:eastAsia="en-US"/>
        </w:rPr>
        <w:t>Risk management measures available to and being taken by asset owners – including the purchase of insurance by individuals, business and state, territory and local governments, as well as self-insurance options;</w:t>
      </w:r>
    </w:p>
    <w:p w14:paraId="77003828" w14:textId="77777777" w:rsidR="008A58E8" w:rsidRDefault="008A58E8" w:rsidP="008A58E8">
      <w:pPr>
        <w:pStyle w:val="ListNumber"/>
        <w:rPr>
          <w:lang w:eastAsia="en-US"/>
        </w:rPr>
      </w:pPr>
      <w:r>
        <w:rPr>
          <w:lang w:eastAsia="en-US"/>
        </w:rPr>
        <w:t xml:space="preserve">The interaction between Commonwealth natural disaster funding arrangements and relevant Commonwealth/state financial arrangements; </w:t>
      </w:r>
    </w:p>
    <w:p w14:paraId="5E774B45" w14:textId="77777777" w:rsidR="008A58E8" w:rsidRDefault="008A58E8" w:rsidP="008A58E8">
      <w:pPr>
        <w:pStyle w:val="ListNumber"/>
        <w:rPr>
          <w:lang w:eastAsia="en-US"/>
        </w:rPr>
      </w:pPr>
      <w:r>
        <w:rPr>
          <w:lang w:eastAsia="en-US"/>
        </w:rPr>
        <w:t>Options to achieve an effective and sustainable balance of natural disaster recovery and mitigation expenditure to build the resilience of communities, including through improved risk assessments.  The options should assess the relationship between improved mitigation and the cost of general insurance. In doing this, the Commission should consider:</w:t>
      </w:r>
    </w:p>
    <w:p w14:paraId="218F6FE8" w14:textId="77777777" w:rsidR="008A58E8" w:rsidRDefault="008A58E8" w:rsidP="008A58E8">
      <w:pPr>
        <w:pStyle w:val="ListNumber2"/>
        <w:rPr>
          <w:lang w:eastAsia="en-US"/>
        </w:rPr>
      </w:pPr>
      <w:r>
        <w:rPr>
          <w:lang w:eastAsia="en-US"/>
        </w:rPr>
        <w:t>How business, the community, Commonwealth, state, territory and local governments can most effectively fund natural disaster recovery and mitigation initiatives;</w:t>
      </w:r>
    </w:p>
    <w:p w14:paraId="16C4E8F5" w14:textId="77777777" w:rsidR="008A58E8" w:rsidRDefault="008A58E8" w:rsidP="008A58E8">
      <w:pPr>
        <w:pStyle w:val="ListNumber2"/>
        <w:rPr>
          <w:lang w:eastAsia="en-US"/>
        </w:rPr>
      </w:pPr>
      <w:r>
        <w:rPr>
          <w:lang w:eastAsia="en-US"/>
        </w:rPr>
        <w:t>How to ensure the right incentives are in place to support cost-effective decision making within and across all levels of government, business, non-government organisations and private individuals;</w:t>
      </w:r>
    </w:p>
    <w:p w14:paraId="1B29B208" w14:textId="77777777" w:rsidR="008A58E8" w:rsidRDefault="008A58E8" w:rsidP="008A58E8">
      <w:pPr>
        <w:pStyle w:val="ListNumber2"/>
        <w:rPr>
          <w:lang w:eastAsia="en-US"/>
        </w:rPr>
      </w:pPr>
      <w:r>
        <w:rPr>
          <w:lang w:eastAsia="en-US"/>
        </w:rPr>
        <w:lastRenderedPageBreak/>
        <w:t xml:space="preserve">Mechanisms and models to prioritise mitigation opportunities and evaluate the costs and benefits of a range of mitigation options; </w:t>
      </w:r>
    </w:p>
    <w:p w14:paraId="299FAB22" w14:textId="77777777" w:rsidR="008A58E8" w:rsidRDefault="008A58E8" w:rsidP="008A58E8">
      <w:pPr>
        <w:pStyle w:val="ListNumber2"/>
        <w:rPr>
          <w:lang w:eastAsia="en-US"/>
        </w:rPr>
      </w:pPr>
      <w:r>
        <w:rPr>
          <w:lang w:eastAsia="en-US"/>
        </w:rPr>
        <w:t xml:space="preserve">Options for urban planning, land use policy and infrastructure investment that support cost-effective risk management and understanding of the changes to the risk profile; </w:t>
      </w:r>
    </w:p>
    <w:p w14:paraId="6D75031A" w14:textId="77777777" w:rsidR="008A58E8" w:rsidRDefault="008A58E8" w:rsidP="008A58E8">
      <w:pPr>
        <w:pStyle w:val="ListNumber2"/>
        <w:rPr>
          <w:lang w:eastAsia="en-US"/>
        </w:rPr>
      </w:pPr>
      <w:r>
        <w:rPr>
          <w:lang w:eastAsia="en-US"/>
        </w:rPr>
        <w:t>Options to fund identified natural disaster recovery and mitigation needs, including thresholds for triggering Commonwealth assistance to the states and territories;</w:t>
      </w:r>
    </w:p>
    <w:p w14:paraId="3D04EEC9" w14:textId="77777777" w:rsidR="008A58E8" w:rsidRDefault="008A58E8" w:rsidP="008A58E8">
      <w:pPr>
        <w:pStyle w:val="ListNumber"/>
        <w:rPr>
          <w:lang w:eastAsia="en-US"/>
        </w:rPr>
      </w:pPr>
      <w:r>
        <w:rPr>
          <w:lang w:eastAsia="en-US"/>
        </w:rPr>
        <w:t>Projected medium and long term impacts of identified options on the Australian economy and costs for governments as compared to impacts of the current funding arrangements; and</w:t>
      </w:r>
    </w:p>
    <w:p w14:paraId="0149760E" w14:textId="77777777" w:rsidR="008A58E8" w:rsidRDefault="008A58E8" w:rsidP="008A58E8">
      <w:pPr>
        <w:pStyle w:val="ListNumber"/>
        <w:rPr>
          <w:lang w:eastAsia="en-US"/>
        </w:rPr>
      </w:pPr>
      <w:r>
        <w:rPr>
          <w:lang w:eastAsia="en-US"/>
        </w:rPr>
        <w:t>Options for transitioning to and implementing any proposed reforms to national natural disaster funding arrangements.</w:t>
      </w:r>
    </w:p>
    <w:p w14:paraId="7A42B32D" w14:textId="77777777" w:rsidR="008A58E8" w:rsidRDefault="008A58E8" w:rsidP="008A58E8">
      <w:pPr>
        <w:pStyle w:val="BodyText"/>
        <w:rPr>
          <w:lang w:eastAsia="en-US"/>
        </w:rPr>
      </w:pPr>
      <w:r>
        <w:rPr>
          <w:lang w:eastAsia="en-US"/>
        </w:rPr>
        <w:t xml:space="preserve">In undertaking the inquiry, the Commission is to take into account the roles and responsibilities of Commonwealth, state, territory and local governments, communities, insurers, business (including private providers of essential infrastructure), non-government organisations and private individuals. The Commission should consider funding for disaster response only where directly relevant to mitigation, relief and recovery and existing Commonwealth/state joint funding arrangements. </w:t>
      </w:r>
    </w:p>
    <w:p w14:paraId="6BE0B91C" w14:textId="77777777" w:rsidR="008A58E8" w:rsidRDefault="008A58E8" w:rsidP="008A58E8">
      <w:pPr>
        <w:pStyle w:val="BodyText"/>
        <w:rPr>
          <w:lang w:eastAsia="en-US"/>
        </w:rPr>
      </w:pPr>
      <w:r>
        <w:rPr>
          <w:lang w:eastAsia="en-US"/>
        </w:rPr>
        <w:t xml:space="preserve">The Commission should also take into account evidence from previous reports, reviews and inquiries, including best practice, from overseas and in Australia. It should also take into account relevant recommendations of the Commission of Audit and developments in federal financial relations, noting that the Commonwealth is developing a White Paper on Reform of the Federation. </w:t>
      </w:r>
    </w:p>
    <w:p w14:paraId="272A64FA" w14:textId="77777777" w:rsidR="008A58E8" w:rsidRDefault="008A58E8" w:rsidP="008A58E8">
      <w:pPr>
        <w:pStyle w:val="BodyText"/>
        <w:rPr>
          <w:lang w:eastAsia="en-US"/>
        </w:rPr>
      </w:pPr>
      <w:r>
        <w:rPr>
          <w:lang w:eastAsia="en-US"/>
        </w:rPr>
        <w:t>Further, since much disaster spending is directed towards infrastructure, the Commission should take into account evolving infrastructure and asset management policy and practice at the national, state and local levels.</w:t>
      </w:r>
    </w:p>
    <w:p w14:paraId="60CFED68" w14:textId="5E174CAE" w:rsidR="00382DBA" w:rsidRDefault="008A58E8" w:rsidP="008A58E8">
      <w:pPr>
        <w:pStyle w:val="BodyText"/>
        <w:rPr>
          <w:lang w:eastAsia="en-US"/>
        </w:rPr>
      </w:pPr>
      <w:r>
        <w:rPr>
          <w:lang w:eastAsia="en-US"/>
        </w:rPr>
        <w:t xml:space="preserve">The scope of the inquiry will be </w:t>
      </w:r>
      <w:proofErr w:type="spellStart"/>
      <w:r>
        <w:rPr>
          <w:lang w:eastAsia="en-US"/>
        </w:rPr>
        <w:t>focussed</w:t>
      </w:r>
      <w:proofErr w:type="spellEnd"/>
      <w:r>
        <w:rPr>
          <w:lang w:eastAsia="en-US"/>
        </w:rPr>
        <w:t xml:space="preserve"> on naturally occurring rapid onset events that cause a serious disruption to a community or region, such as flood, bushfire, earthquake, storm, cyclone, storm surge, tornado, landslide or tsunami. This is consistent with the definition included in the Natural Disaster Relief and Recovery Arrangements (NDRRA) Determination. </w:t>
      </w:r>
    </w:p>
    <w:p w14:paraId="3EE58754" w14:textId="77777777" w:rsidR="00382DBA" w:rsidRDefault="00382DBA">
      <w:pPr>
        <w:rPr>
          <w:sz w:val="26"/>
          <w:lang w:eastAsia="en-US"/>
        </w:rPr>
      </w:pPr>
      <w:r>
        <w:rPr>
          <w:lang w:eastAsia="en-US"/>
        </w:rPr>
        <w:br w:type="page"/>
      </w:r>
    </w:p>
    <w:p w14:paraId="2231730C" w14:textId="77777777" w:rsidR="000039E3" w:rsidRDefault="000039E3" w:rsidP="008A58E8">
      <w:pPr>
        <w:pStyle w:val="BodyText"/>
        <w:rPr>
          <w:b/>
          <w:lang w:eastAsia="en-US"/>
        </w:rPr>
      </w:pPr>
    </w:p>
    <w:p w14:paraId="1C473A9F" w14:textId="77777777" w:rsidR="008A58E8" w:rsidRPr="00860232" w:rsidRDefault="008A58E8" w:rsidP="008A58E8">
      <w:pPr>
        <w:pStyle w:val="BodyText"/>
        <w:rPr>
          <w:b/>
          <w:lang w:eastAsia="en-US"/>
        </w:rPr>
      </w:pPr>
      <w:r w:rsidRPr="00860232">
        <w:rPr>
          <w:b/>
          <w:lang w:eastAsia="en-US"/>
        </w:rPr>
        <w:t>Process</w:t>
      </w:r>
    </w:p>
    <w:p w14:paraId="73A0A3E0" w14:textId="77777777" w:rsidR="008A58E8" w:rsidRDefault="008A58E8" w:rsidP="008A58E8">
      <w:pPr>
        <w:pStyle w:val="BodyText"/>
        <w:rPr>
          <w:lang w:eastAsia="en-US"/>
        </w:rPr>
      </w:pPr>
      <w:r>
        <w:rPr>
          <w:lang w:eastAsia="en-US"/>
        </w:rPr>
        <w:t xml:space="preserve">The Commission is to undertake an appropriate public consultation process including holding hearings, inviting public submissions and releasing a draft report to the public by September 2014.  </w:t>
      </w:r>
    </w:p>
    <w:p w14:paraId="74BBB877" w14:textId="77777777" w:rsidR="008A58E8" w:rsidRDefault="008A58E8" w:rsidP="008A58E8">
      <w:pPr>
        <w:pStyle w:val="BodyText"/>
        <w:rPr>
          <w:lang w:eastAsia="en-US"/>
        </w:rPr>
      </w:pPr>
      <w:r>
        <w:rPr>
          <w:lang w:eastAsia="en-US"/>
        </w:rPr>
        <w:t xml:space="preserve">It will consult with Commonwealth, state and territory, and local governments in undertaking this inquiry. </w:t>
      </w:r>
    </w:p>
    <w:p w14:paraId="60A0A33E" w14:textId="77777777" w:rsidR="008A58E8" w:rsidRDefault="008A58E8" w:rsidP="008A58E8">
      <w:pPr>
        <w:pStyle w:val="BodyText"/>
        <w:rPr>
          <w:lang w:eastAsia="en-US"/>
        </w:rPr>
      </w:pPr>
      <w:r>
        <w:rPr>
          <w:lang w:eastAsia="en-US"/>
        </w:rPr>
        <w:t>The final report should be provided to the Government by the end of December 2014.  The reports will be published.</w:t>
      </w:r>
    </w:p>
    <w:p w14:paraId="0DA35EAA" w14:textId="77777777" w:rsidR="008A58E8" w:rsidRDefault="008A58E8" w:rsidP="008A58E8">
      <w:pPr>
        <w:pStyle w:val="BodyText"/>
        <w:rPr>
          <w:lang w:eastAsia="en-US"/>
        </w:rPr>
      </w:pPr>
    </w:p>
    <w:p w14:paraId="4F734AC4" w14:textId="77777777" w:rsidR="008A58E8" w:rsidRDefault="008A58E8" w:rsidP="008A58E8">
      <w:pPr>
        <w:pStyle w:val="BodyText"/>
        <w:rPr>
          <w:lang w:eastAsia="en-US"/>
        </w:rPr>
      </w:pPr>
      <w:r>
        <w:rPr>
          <w:lang w:eastAsia="en-US"/>
        </w:rPr>
        <w:t>J. B. HOCKEY</w:t>
      </w:r>
    </w:p>
    <w:p w14:paraId="15082516" w14:textId="77777777" w:rsidR="008A58E8" w:rsidRDefault="008A58E8" w:rsidP="008A58E8">
      <w:pPr>
        <w:pStyle w:val="BodyText"/>
        <w:spacing w:before="0"/>
        <w:rPr>
          <w:lang w:eastAsia="en-US"/>
        </w:rPr>
      </w:pPr>
      <w:r>
        <w:rPr>
          <w:lang w:eastAsia="en-US"/>
        </w:rPr>
        <w:t>Treasurer</w:t>
      </w:r>
    </w:p>
    <w:p w14:paraId="74837556" w14:textId="77777777" w:rsidR="008A58E8" w:rsidRDefault="008A58E8" w:rsidP="008A58E8">
      <w:pPr>
        <w:pStyle w:val="BodyText"/>
        <w:spacing w:before="0"/>
        <w:rPr>
          <w:lang w:eastAsia="en-US"/>
        </w:rPr>
      </w:pPr>
      <w:r>
        <w:rPr>
          <w:lang w:eastAsia="en-US"/>
        </w:rPr>
        <w:t>28 April 2014</w:t>
      </w:r>
    </w:p>
    <w:p w14:paraId="34D51A4A" w14:textId="77777777" w:rsidR="008A58E8" w:rsidRDefault="008A58E8" w:rsidP="00A516A2">
      <w:pPr>
        <w:pStyle w:val="Heading3"/>
      </w:pPr>
    </w:p>
    <w:p w14:paraId="37017BF6" w14:textId="77777777" w:rsidR="008A58E8" w:rsidRDefault="008A58E8">
      <w:pPr>
        <w:rPr>
          <w:rFonts w:ascii="Arial" w:hAnsi="Arial"/>
          <w:b/>
          <w:sz w:val="32"/>
        </w:rPr>
      </w:pPr>
      <w:r>
        <w:br w:type="page"/>
      </w:r>
    </w:p>
    <w:p w14:paraId="4A03616A" w14:textId="6DF6B5AB" w:rsidR="008A58E8" w:rsidRDefault="008A58E8" w:rsidP="008A58E8">
      <w:pPr>
        <w:pStyle w:val="Heading2"/>
      </w:pPr>
      <w:r w:rsidRPr="00225967">
        <w:lastRenderedPageBreak/>
        <w:t xml:space="preserve">Attachment </w:t>
      </w:r>
      <w:r>
        <w:t>B</w:t>
      </w:r>
    </w:p>
    <w:p w14:paraId="36337488" w14:textId="77777777" w:rsidR="00A516A2" w:rsidRPr="00CA0A5C" w:rsidRDefault="00A516A2" w:rsidP="00A516A2">
      <w:pPr>
        <w:pStyle w:val="Heading3"/>
      </w:pPr>
      <w:r w:rsidRPr="00CA0A5C">
        <w:t xml:space="preserve">HOW TO </w:t>
      </w:r>
      <w:r>
        <w:t>MAKE A SUBMISSION</w:t>
      </w:r>
    </w:p>
    <w:p w14:paraId="6F0A50C8" w14:textId="77777777" w:rsidR="00A516A2" w:rsidRDefault="00A516A2" w:rsidP="00A516A2">
      <w:pPr>
        <w:pStyle w:val="BodyText"/>
      </w:pPr>
      <w:r>
        <w:t>This is a public inquiry and the Commission invites interested people and organisations to make a written submission.</w:t>
      </w:r>
    </w:p>
    <w:p w14:paraId="79C9FE84" w14:textId="77777777" w:rsidR="00A516A2" w:rsidRDefault="00A516A2" w:rsidP="00A516A2">
      <w:pPr>
        <w:pStyle w:val="BodyText"/>
      </w:pPr>
      <w:r>
        <w:t>Each submission, except for any information supplied in confidence (see below), will be published on the Commission’s website shortly after receipt, and will remain there indefinitely as a public document. Copyright in submissions sent to the Commission resides with the author(s), not with the Commission.</w:t>
      </w:r>
    </w:p>
    <w:p w14:paraId="55360384" w14:textId="77777777" w:rsidR="00A516A2" w:rsidRDefault="00A516A2" w:rsidP="00A516A2">
      <w:pPr>
        <w:pStyle w:val="Heading4"/>
      </w:pPr>
      <w:r>
        <w:t>How to prepare a submission</w:t>
      </w:r>
    </w:p>
    <w:p w14:paraId="1431B8A5" w14:textId="77777777" w:rsidR="00A516A2" w:rsidRDefault="00A516A2" w:rsidP="00A516A2">
      <w:pPr>
        <w:pStyle w:val="BodyText"/>
      </w:pPr>
      <w:r>
        <w:t xml:space="preserve">Submissions may range from a short letter outlining your views on a particular topic to a much more substantial document covering a range of issues. Where possible, you should provide evidence, such as relevant data and documentation, to support your views. </w:t>
      </w:r>
    </w:p>
    <w:p w14:paraId="528555AD" w14:textId="77777777" w:rsidR="00A516A2" w:rsidRDefault="00A516A2" w:rsidP="00A516A2">
      <w:pPr>
        <w:pStyle w:val="BodyText"/>
      </w:pPr>
      <w:r>
        <w:t>This is a public review and all submissions should be provided as public documents that can be placed on the Commission’s website for others to read and comment on. However, under certain circumstances the Commission can accept sensitive material in confidence, for example, if it was of a personal or commercial nature, and publishing the material would be potentially damaging. You are encouraged to contact the Commission for further information and advice before submitting such material. Material supplied in confidence should be provided under separate cover and clearly marked ‘IN CONFIDENCE’.</w:t>
      </w:r>
    </w:p>
    <w:p w14:paraId="6034AF7A" w14:textId="77777777" w:rsidR="00A516A2" w:rsidRDefault="00A516A2" w:rsidP="00A516A2">
      <w:pPr>
        <w:pStyle w:val="Heading4"/>
      </w:pPr>
      <w:r>
        <w:t>How to submit a submission</w:t>
      </w:r>
    </w:p>
    <w:p w14:paraId="603CCF28" w14:textId="70364E60" w:rsidR="00A516A2" w:rsidRDefault="00A516A2" w:rsidP="00A516A2">
      <w:pPr>
        <w:pStyle w:val="BodyText"/>
      </w:pPr>
      <w:r>
        <w:t xml:space="preserve">Each submission should be accompanied by a submission cover sheet. The submission cover sheet is available </w:t>
      </w:r>
      <w:r w:rsidR="00F51917">
        <w:rPr>
          <w:szCs w:val="24"/>
        </w:rPr>
        <w:t xml:space="preserve">on the </w:t>
      </w:r>
      <w:r>
        <w:rPr>
          <w:szCs w:val="24"/>
        </w:rPr>
        <w:t xml:space="preserve">inquiry </w:t>
      </w:r>
      <w:proofErr w:type="spellStart"/>
      <w:r>
        <w:rPr>
          <w:szCs w:val="24"/>
        </w:rPr>
        <w:t>webpage</w:t>
      </w:r>
      <w:proofErr w:type="spellEnd"/>
      <w:r>
        <w:t xml:space="preserve"> and a copy is included with this issues paper (Attachment </w:t>
      </w:r>
      <w:r w:rsidR="00F51917">
        <w:t>C</w:t>
      </w:r>
      <w:r>
        <w:t>). For submissions received from individuals, all personal details (</w:t>
      </w:r>
      <w:proofErr w:type="spellStart"/>
      <w:r>
        <w:t>eg</w:t>
      </w:r>
      <w:proofErr w:type="spellEnd"/>
      <w:r>
        <w:t xml:space="preserve"> home and email address, phone and fax number) will be removed before it is published on the website for privacy reasons.</w:t>
      </w:r>
    </w:p>
    <w:p w14:paraId="17E42AB1" w14:textId="77777777" w:rsidR="00A516A2" w:rsidRDefault="00A516A2" w:rsidP="00A516A2">
      <w:pPr>
        <w:pStyle w:val="BodyText"/>
      </w:pPr>
      <w:r>
        <w:t>The Commission prefers to receive submissions as a Word (.doc) file attachment to an email (see address below). PDF files are acceptable. To ensure your PDF is as electronically readable as possible, the Commission recommends that it is derived from word processing software (</w:t>
      </w:r>
      <w:proofErr w:type="spellStart"/>
      <w:r>
        <w:t>eg</w:t>
      </w:r>
      <w:proofErr w:type="spellEnd"/>
      <w:r>
        <w:t xml:space="preserve"> Microsoft Word or Lotus notes) and not from a scanner, fax or photocopying machine.</w:t>
      </w:r>
    </w:p>
    <w:p w14:paraId="27469721" w14:textId="77777777" w:rsidR="00A516A2" w:rsidRDefault="00A516A2" w:rsidP="00A516A2">
      <w:pPr>
        <w:pStyle w:val="BodyText"/>
      </w:pPr>
      <w:r>
        <w:lastRenderedPageBreak/>
        <w:t>Track changes, editing marks, hidden text and internal links should be removed from submissions before sending to the Commission. To ensure hyperlinks work in your submission, the Commission recommends that you type the full web address (</w:t>
      </w:r>
      <w:proofErr w:type="spellStart"/>
      <w:r>
        <w:t>eg</w:t>
      </w:r>
      <w:proofErr w:type="spellEnd"/>
      <w:r>
        <w:t xml:space="preserve"> http://</w:t>
      </w:r>
      <w:proofErr w:type="spellStart"/>
      <w:r>
        <w:t>www.referred-website.com</w:t>
      </w:r>
      <w:proofErr w:type="spellEnd"/>
      <w:r>
        <w:t>/folder/file-</w:t>
      </w:r>
      <w:proofErr w:type="spellStart"/>
      <w:r>
        <w:t>name.html</w:t>
      </w:r>
      <w:proofErr w:type="spellEnd"/>
      <w:r>
        <w:t>).</w:t>
      </w:r>
    </w:p>
    <w:p w14:paraId="5A2083C2" w14:textId="0E1B5510" w:rsidR="00A516A2" w:rsidRDefault="00A516A2" w:rsidP="00A516A2">
      <w:pPr>
        <w:pStyle w:val="BodyText"/>
      </w:pPr>
      <w:r>
        <w:t xml:space="preserve">Submissions can also be accepted by </w:t>
      </w:r>
      <w:r w:rsidR="00E93DA3">
        <w:t xml:space="preserve">post </w:t>
      </w:r>
      <w:r>
        <w:t>(see address below).</w:t>
      </w:r>
    </w:p>
    <w:p w14:paraId="2C6BA137" w14:textId="63010242" w:rsidR="00A516A2" w:rsidRDefault="00A516A2" w:rsidP="00A516A2">
      <w:pPr>
        <w:pStyle w:val="BodyText"/>
        <w:tabs>
          <w:tab w:val="left" w:pos="1701"/>
        </w:tabs>
        <w:spacing w:before="120"/>
      </w:pPr>
      <w:r>
        <w:t>By email*:</w:t>
      </w:r>
      <w:r>
        <w:tab/>
      </w:r>
      <w:r w:rsidR="0028049F">
        <w:rPr>
          <w:b/>
          <w:sz w:val="24"/>
        </w:rPr>
        <w:t>disaster.funding</w:t>
      </w:r>
      <w:r w:rsidR="0028049F" w:rsidRPr="00236292">
        <w:rPr>
          <w:b/>
          <w:sz w:val="24"/>
        </w:rPr>
        <w:t>@pc.gov.au</w:t>
      </w:r>
    </w:p>
    <w:p w14:paraId="19D92619" w14:textId="77777777" w:rsidR="0028049F" w:rsidRDefault="00A516A2" w:rsidP="0028049F">
      <w:pPr>
        <w:pStyle w:val="BodyText"/>
        <w:tabs>
          <w:tab w:val="left" w:pos="1701"/>
        </w:tabs>
        <w:spacing w:before="120"/>
        <w:jc w:val="left"/>
      </w:pPr>
      <w:r>
        <w:t>By post:</w:t>
      </w:r>
      <w:r>
        <w:tab/>
      </w:r>
      <w:r w:rsidR="0028049F">
        <w:t>Natural Disaster Funding Arrangements</w:t>
      </w:r>
    </w:p>
    <w:p w14:paraId="3A9740DC" w14:textId="77777777" w:rsidR="0028049F" w:rsidRDefault="0028049F" w:rsidP="0028049F">
      <w:pPr>
        <w:pStyle w:val="BodyText"/>
        <w:tabs>
          <w:tab w:val="left" w:pos="1701"/>
        </w:tabs>
        <w:spacing w:before="120"/>
        <w:jc w:val="left"/>
      </w:pPr>
      <w:r>
        <w:tab/>
        <w:t>Productivity Commission</w:t>
      </w:r>
    </w:p>
    <w:p w14:paraId="579FFF1A" w14:textId="77777777" w:rsidR="0028049F" w:rsidRDefault="0028049F" w:rsidP="0028049F">
      <w:pPr>
        <w:pStyle w:val="BodyText"/>
        <w:tabs>
          <w:tab w:val="left" w:pos="1701"/>
        </w:tabs>
        <w:spacing w:before="120"/>
        <w:jc w:val="left"/>
      </w:pPr>
      <w:r>
        <w:tab/>
        <w:t>LB2 Collins Street East</w:t>
      </w:r>
    </w:p>
    <w:p w14:paraId="45D01FFE" w14:textId="300A77B7" w:rsidR="0028049F" w:rsidRDefault="0028049F" w:rsidP="0028049F">
      <w:pPr>
        <w:pStyle w:val="BodyText"/>
        <w:tabs>
          <w:tab w:val="left" w:pos="1701"/>
        </w:tabs>
        <w:spacing w:before="120"/>
        <w:jc w:val="left"/>
      </w:pPr>
      <w:r>
        <w:tab/>
        <w:t>Melbourne  Vic  8003</w:t>
      </w:r>
    </w:p>
    <w:p w14:paraId="5E921516" w14:textId="77777777" w:rsidR="007354B8" w:rsidRDefault="007354B8" w:rsidP="007354B8">
      <w:pPr>
        <w:pStyle w:val="BodyText"/>
      </w:pPr>
      <w:r>
        <w:t>*</w:t>
      </w:r>
      <w:r w:rsidRPr="007354B8">
        <w:t xml:space="preserve"> </w:t>
      </w:r>
      <w:r>
        <w:t>If you do not receive notification of receipt of an email message you have sent to the Commission within two working days of sending, please contact the Administrative Officer.</w:t>
      </w:r>
    </w:p>
    <w:p w14:paraId="253FC70F" w14:textId="77777777" w:rsidR="00A516A2" w:rsidRDefault="00A516A2" w:rsidP="00A516A2">
      <w:pPr>
        <w:pStyle w:val="Heading4"/>
      </w:pPr>
      <w:r>
        <w:t>Due date for submissions</w:t>
      </w:r>
    </w:p>
    <w:p w14:paraId="1AC44AAA" w14:textId="4360EB98" w:rsidR="00F056FC" w:rsidRDefault="00A516A2" w:rsidP="00A516A2">
      <w:pPr>
        <w:pStyle w:val="BodyText"/>
      </w:pPr>
      <w:r>
        <w:t>Please send submissions to the Commission by</w:t>
      </w:r>
      <w:r w:rsidR="0028049F">
        <w:t xml:space="preserve"> Friday 6 June 2014</w:t>
      </w:r>
      <w:r w:rsidRPr="00A516A2">
        <w:t>.</w:t>
      </w:r>
    </w:p>
    <w:p w14:paraId="777128C8" w14:textId="77777777" w:rsidR="00A516A2" w:rsidRDefault="00A516A2" w:rsidP="00A516A2">
      <w:pPr>
        <w:pStyle w:val="BodyText"/>
      </w:pPr>
    </w:p>
    <w:p w14:paraId="4708641C" w14:textId="77777777" w:rsidR="004E1909" w:rsidRDefault="004E1909" w:rsidP="00A516A2">
      <w:pPr>
        <w:pStyle w:val="BodyText"/>
        <w:sectPr w:rsidR="004E1909" w:rsidSect="0075004A">
          <w:headerReference w:type="default" r:id="rId19"/>
          <w:footerReference w:type="default" r:id="rId20"/>
          <w:pgSz w:w="11907" w:h="16840" w:code="9"/>
          <w:pgMar w:top="1985" w:right="1304" w:bottom="1418" w:left="1814" w:header="1701" w:footer="567" w:gutter="0"/>
          <w:pgNumType w:start="1" w:chapSep="period"/>
          <w:cols w:space="720"/>
        </w:sectPr>
      </w:pPr>
    </w:p>
    <w:p w14:paraId="331F4954" w14:textId="46A36BD4" w:rsidR="0028049F" w:rsidRDefault="00F51917" w:rsidP="00C77DF9">
      <w:pPr>
        <w:pStyle w:val="Heading2"/>
        <w:spacing w:before="0"/>
        <w:jc w:val="right"/>
      </w:pPr>
      <w:r w:rsidRPr="00225967">
        <w:lastRenderedPageBreak/>
        <w:t xml:space="preserve">Attachment </w:t>
      </w:r>
      <w:r>
        <w:t>C</w:t>
      </w:r>
    </w:p>
    <w:tbl>
      <w:tblPr>
        <w:tblW w:w="10314" w:type="dxa"/>
        <w:tblLayout w:type="fixed"/>
        <w:tblLook w:val="0000" w:firstRow="0" w:lastRow="0" w:firstColumn="0" w:lastColumn="0" w:noHBand="0" w:noVBand="0"/>
      </w:tblPr>
      <w:tblGrid>
        <w:gridCol w:w="6345"/>
        <w:gridCol w:w="3969"/>
      </w:tblGrid>
      <w:tr w:rsidR="0028049F" w:rsidRPr="00236292" w14:paraId="07C6B028" w14:textId="77777777" w:rsidTr="0000649B">
        <w:tc>
          <w:tcPr>
            <w:tcW w:w="6345" w:type="dxa"/>
          </w:tcPr>
          <w:p w14:paraId="082A1D2A" w14:textId="42025C76" w:rsidR="0028049F" w:rsidRPr="00236292" w:rsidRDefault="0028049F" w:rsidP="0000649B">
            <w:pPr>
              <w:ind w:right="-108"/>
              <w:rPr>
                <w:b/>
                <w:sz w:val="32"/>
                <w:szCs w:val="32"/>
              </w:rPr>
            </w:pPr>
            <w:r w:rsidRPr="00236292">
              <w:rPr>
                <w:b/>
                <w:caps/>
                <w:sz w:val="32"/>
                <w:szCs w:val="32"/>
              </w:rPr>
              <w:t>P</w:t>
            </w:r>
            <w:r w:rsidRPr="00236292">
              <w:rPr>
                <w:b/>
                <w:sz w:val="32"/>
                <w:szCs w:val="32"/>
              </w:rPr>
              <w:t>roductivity Commission</w:t>
            </w:r>
          </w:p>
          <w:p w14:paraId="52AD832A" w14:textId="77777777" w:rsidR="0028049F" w:rsidRPr="00236292" w:rsidRDefault="0028049F" w:rsidP="0000649B">
            <w:pPr>
              <w:ind w:right="-108"/>
              <w:rPr>
                <w:b/>
                <w:sz w:val="28"/>
                <w:szCs w:val="28"/>
              </w:rPr>
            </w:pPr>
            <w:r w:rsidRPr="00236292">
              <w:rPr>
                <w:b/>
                <w:caps/>
                <w:sz w:val="36"/>
                <w:szCs w:val="36"/>
              </w:rPr>
              <w:t>SUBMISSION COVER sHEET</w:t>
            </w:r>
            <w:r w:rsidRPr="00236292">
              <w:rPr>
                <w:b/>
                <w:caps/>
                <w:sz w:val="36"/>
                <w:szCs w:val="36"/>
              </w:rPr>
              <w:br/>
            </w:r>
            <w:r w:rsidRPr="00236292">
              <w:rPr>
                <w:b/>
                <w:sz w:val="28"/>
                <w:szCs w:val="28"/>
              </w:rPr>
              <w:t>(not for publication)</w:t>
            </w:r>
          </w:p>
        </w:tc>
        <w:tc>
          <w:tcPr>
            <w:tcW w:w="3969" w:type="dxa"/>
          </w:tcPr>
          <w:p w14:paraId="658DB0DB" w14:textId="77777777" w:rsidR="0028049F" w:rsidRPr="00236292" w:rsidRDefault="0028049F" w:rsidP="0000649B">
            <w:pPr>
              <w:ind w:right="-108"/>
              <w:jc w:val="right"/>
            </w:pPr>
            <w:r w:rsidRPr="00236292">
              <w:rPr>
                <w:noProof/>
              </w:rPr>
              <w:drawing>
                <wp:inline distT="0" distB="0" distL="0" distR="0" wp14:anchorId="5516D584" wp14:editId="680A06FC">
                  <wp:extent cx="2105025" cy="619125"/>
                  <wp:effectExtent l="0" t="0" r="9525" b="9525"/>
                  <wp:docPr id="4" name="Picture 4"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_inlin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05025" cy="619125"/>
                          </a:xfrm>
                          <a:prstGeom prst="rect">
                            <a:avLst/>
                          </a:prstGeom>
                          <a:noFill/>
                          <a:ln>
                            <a:noFill/>
                          </a:ln>
                        </pic:spPr>
                      </pic:pic>
                    </a:graphicData>
                  </a:graphic>
                </wp:inline>
              </w:drawing>
            </w:r>
          </w:p>
        </w:tc>
      </w:tr>
    </w:tbl>
    <w:p w14:paraId="6C60A5E7" w14:textId="77777777" w:rsidR="0028049F" w:rsidRPr="00236292" w:rsidRDefault="0028049F" w:rsidP="0028049F">
      <w:pPr>
        <w:pBdr>
          <w:top w:val="single" w:sz="6" w:space="8" w:color="auto"/>
          <w:left w:val="single" w:sz="6" w:space="4" w:color="auto"/>
          <w:right w:val="single" w:sz="6" w:space="0" w:color="auto"/>
        </w:pBdr>
        <w:shd w:val="pct5" w:color="auto" w:fill="auto"/>
        <w:tabs>
          <w:tab w:val="left" w:pos="5670"/>
        </w:tabs>
        <w:ind w:right="-306"/>
        <w:jc w:val="both"/>
        <w:rPr>
          <w:b/>
          <w:sz w:val="24"/>
        </w:rPr>
      </w:pPr>
      <w:r w:rsidRPr="00236292">
        <w:rPr>
          <w:b/>
          <w:sz w:val="24"/>
        </w:rPr>
        <w:t>Please complete and submit this form with your submission:</w:t>
      </w:r>
    </w:p>
    <w:p w14:paraId="52C971AC" w14:textId="4AC34773" w:rsidR="0028049F" w:rsidRPr="00236292" w:rsidRDefault="0028049F" w:rsidP="0028049F">
      <w:pPr>
        <w:pBdr>
          <w:left w:val="single" w:sz="6" w:space="4" w:color="auto"/>
          <w:bottom w:val="single" w:sz="6" w:space="8" w:color="auto"/>
          <w:right w:val="single" w:sz="6" w:space="0" w:color="auto"/>
        </w:pBdr>
        <w:shd w:val="pct5" w:color="auto" w:fill="auto"/>
        <w:tabs>
          <w:tab w:val="left" w:pos="4678"/>
          <w:tab w:val="left" w:pos="5387"/>
        </w:tabs>
        <w:ind w:right="-307"/>
        <w:jc w:val="both"/>
        <w:rPr>
          <w:sz w:val="24"/>
        </w:rPr>
      </w:pPr>
      <w:r w:rsidRPr="00236292">
        <w:rPr>
          <w:b/>
          <w:sz w:val="24"/>
        </w:rPr>
        <w:t xml:space="preserve">By email (preferred): </w:t>
      </w:r>
      <w:r>
        <w:rPr>
          <w:b/>
          <w:sz w:val="24"/>
        </w:rPr>
        <w:t>disaster.funding</w:t>
      </w:r>
      <w:r w:rsidRPr="00236292">
        <w:rPr>
          <w:b/>
          <w:sz w:val="24"/>
        </w:rPr>
        <w:t>@pc.gov.au</w:t>
      </w:r>
      <w:r w:rsidRPr="00236292">
        <w:rPr>
          <w:b/>
          <w:sz w:val="24"/>
        </w:rPr>
        <w:tab/>
        <w:t>OR</w:t>
      </w:r>
      <w:r w:rsidR="00CF3F21">
        <w:rPr>
          <w:b/>
          <w:sz w:val="24"/>
        </w:rPr>
        <w:tab/>
      </w:r>
      <w:r w:rsidRPr="00236292">
        <w:rPr>
          <w:b/>
          <w:sz w:val="24"/>
        </w:rPr>
        <w:tab/>
        <w:t>By mail:</w:t>
      </w:r>
    </w:p>
    <w:p w14:paraId="151ABCC3" w14:textId="427DEFA0" w:rsidR="0028049F" w:rsidRPr="00236292" w:rsidRDefault="0028049F" w:rsidP="0028049F">
      <w:pPr>
        <w:pBdr>
          <w:left w:val="single" w:sz="6" w:space="4" w:color="auto"/>
          <w:bottom w:val="single" w:sz="6" w:space="8" w:color="auto"/>
          <w:right w:val="single" w:sz="6" w:space="0" w:color="auto"/>
        </w:pBdr>
        <w:shd w:val="pct5" w:color="auto" w:fill="auto"/>
        <w:tabs>
          <w:tab w:val="left" w:pos="5387"/>
        </w:tabs>
        <w:ind w:right="-307"/>
        <w:jc w:val="both"/>
        <w:rPr>
          <w:sz w:val="24"/>
        </w:rPr>
      </w:pPr>
      <w:r w:rsidRPr="00236292">
        <w:rPr>
          <w:sz w:val="24"/>
        </w:rPr>
        <w:tab/>
      </w:r>
      <w:r w:rsidR="00CF3F21">
        <w:rPr>
          <w:sz w:val="24"/>
        </w:rPr>
        <w:tab/>
      </w:r>
      <w:r w:rsidR="00CF3F21">
        <w:rPr>
          <w:sz w:val="24"/>
        </w:rPr>
        <w:tab/>
      </w:r>
      <w:r>
        <w:rPr>
          <w:sz w:val="24"/>
        </w:rPr>
        <w:t>Natural Disaster Funding</w:t>
      </w:r>
    </w:p>
    <w:p w14:paraId="3DC8402F" w14:textId="6CB6F4BB" w:rsidR="0028049F" w:rsidRPr="00236292" w:rsidRDefault="0028049F" w:rsidP="0028049F">
      <w:pPr>
        <w:pBdr>
          <w:left w:val="single" w:sz="6" w:space="4" w:color="auto"/>
          <w:bottom w:val="single" w:sz="6" w:space="8" w:color="auto"/>
          <w:right w:val="single" w:sz="6" w:space="0" w:color="auto"/>
        </w:pBdr>
        <w:shd w:val="pct5" w:color="auto" w:fill="auto"/>
        <w:tabs>
          <w:tab w:val="left" w:pos="5387"/>
        </w:tabs>
        <w:ind w:right="-307"/>
        <w:rPr>
          <w:sz w:val="24"/>
        </w:rPr>
      </w:pPr>
      <w:r w:rsidRPr="00236292">
        <w:rPr>
          <w:sz w:val="24"/>
        </w:rPr>
        <w:tab/>
      </w:r>
      <w:r w:rsidR="00CF3F21">
        <w:rPr>
          <w:sz w:val="24"/>
        </w:rPr>
        <w:tab/>
      </w:r>
      <w:r w:rsidR="00CF3F21">
        <w:rPr>
          <w:sz w:val="24"/>
        </w:rPr>
        <w:tab/>
      </w:r>
      <w:r w:rsidRPr="00236292">
        <w:rPr>
          <w:sz w:val="24"/>
        </w:rPr>
        <w:t>Productivity Commission</w:t>
      </w:r>
    </w:p>
    <w:p w14:paraId="46531F85" w14:textId="061A7B55" w:rsidR="0028049F" w:rsidRPr="00236292" w:rsidRDefault="0028049F" w:rsidP="0028049F">
      <w:pPr>
        <w:pBdr>
          <w:left w:val="single" w:sz="6" w:space="4" w:color="auto"/>
          <w:bottom w:val="single" w:sz="6" w:space="8" w:color="auto"/>
          <w:right w:val="single" w:sz="6" w:space="0" w:color="auto"/>
        </w:pBdr>
        <w:shd w:val="pct5" w:color="auto" w:fill="auto"/>
        <w:tabs>
          <w:tab w:val="left" w:pos="5387"/>
        </w:tabs>
        <w:ind w:right="-307"/>
        <w:rPr>
          <w:sz w:val="24"/>
        </w:rPr>
      </w:pPr>
      <w:r w:rsidRPr="00236292">
        <w:rPr>
          <w:sz w:val="24"/>
        </w:rPr>
        <w:tab/>
      </w:r>
      <w:r w:rsidR="00CF3F21">
        <w:rPr>
          <w:sz w:val="24"/>
        </w:rPr>
        <w:tab/>
      </w:r>
      <w:r w:rsidR="00CF3F21">
        <w:rPr>
          <w:sz w:val="24"/>
        </w:rPr>
        <w:tab/>
      </w:r>
      <w:r>
        <w:rPr>
          <w:sz w:val="24"/>
        </w:rPr>
        <w:t>LB2 Collins Street East</w:t>
      </w:r>
    </w:p>
    <w:p w14:paraId="7DECFFFD" w14:textId="573B5019" w:rsidR="0028049F" w:rsidRPr="00236292" w:rsidRDefault="0028049F" w:rsidP="0028049F">
      <w:pPr>
        <w:pBdr>
          <w:left w:val="single" w:sz="6" w:space="4" w:color="auto"/>
          <w:bottom w:val="single" w:sz="6" w:space="8" w:color="auto"/>
          <w:right w:val="single" w:sz="6" w:space="0" w:color="auto"/>
        </w:pBdr>
        <w:shd w:val="pct5" w:color="auto" w:fill="auto"/>
        <w:tabs>
          <w:tab w:val="left" w:pos="5387"/>
        </w:tabs>
        <w:ind w:right="-307"/>
        <w:rPr>
          <w:sz w:val="24"/>
        </w:rPr>
      </w:pPr>
      <w:r w:rsidRPr="00236292">
        <w:rPr>
          <w:sz w:val="24"/>
        </w:rPr>
        <w:tab/>
      </w:r>
      <w:r w:rsidR="00CF3F21">
        <w:rPr>
          <w:sz w:val="24"/>
        </w:rPr>
        <w:tab/>
      </w:r>
      <w:r w:rsidR="00CF3F21">
        <w:rPr>
          <w:sz w:val="24"/>
        </w:rPr>
        <w:tab/>
      </w:r>
      <w:r>
        <w:rPr>
          <w:sz w:val="24"/>
        </w:rPr>
        <w:t>Melbourne  Vic  8003</w:t>
      </w:r>
    </w:p>
    <w:p w14:paraId="0825827A" w14:textId="77777777" w:rsidR="0028049F" w:rsidRPr="00236292" w:rsidRDefault="0028049F" w:rsidP="0028049F">
      <w:pPr>
        <w:pBdr>
          <w:left w:val="single" w:sz="6" w:space="4" w:color="auto"/>
          <w:bottom w:val="single" w:sz="6" w:space="8" w:color="auto"/>
          <w:right w:val="single" w:sz="6" w:space="0" w:color="auto"/>
        </w:pBdr>
        <w:shd w:val="pct5" w:color="auto" w:fill="auto"/>
        <w:tabs>
          <w:tab w:val="left" w:pos="4395"/>
          <w:tab w:val="left" w:pos="5670"/>
        </w:tabs>
        <w:ind w:right="-307"/>
        <w:jc w:val="center"/>
        <w:rPr>
          <w:b/>
          <w:sz w:val="24"/>
        </w:rPr>
      </w:pPr>
      <w:r w:rsidRPr="00236292">
        <w:rPr>
          <w:b/>
          <w:sz w:val="24"/>
        </w:rPr>
        <w:t xml:space="preserve">Follow us on Twitter @ozprodcom </w:t>
      </w:r>
    </w:p>
    <w:p w14:paraId="220B35A6" w14:textId="77777777" w:rsidR="0028049F" w:rsidRPr="00236292" w:rsidRDefault="0028049F" w:rsidP="0028049F">
      <w:pPr>
        <w:spacing w:line="120" w:lineRule="exact"/>
        <w:ind w:right="-249"/>
        <w:rPr>
          <w:b/>
          <w:sz w:val="24"/>
        </w:rPr>
      </w:pPr>
    </w:p>
    <w:tbl>
      <w:tblPr>
        <w:tblW w:w="10315" w:type="dxa"/>
        <w:tblLayout w:type="fixed"/>
        <w:tblCellMar>
          <w:left w:w="107" w:type="dxa"/>
          <w:right w:w="107" w:type="dxa"/>
        </w:tblCellMar>
        <w:tblLook w:val="0000" w:firstRow="0" w:lastRow="0" w:firstColumn="0" w:lastColumn="0" w:noHBand="0" w:noVBand="0"/>
      </w:tblPr>
      <w:tblGrid>
        <w:gridCol w:w="1950"/>
        <w:gridCol w:w="992"/>
        <w:gridCol w:w="3402"/>
        <w:gridCol w:w="284"/>
        <w:gridCol w:w="709"/>
        <w:gridCol w:w="1134"/>
        <w:gridCol w:w="850"/>
        <w:gridCol w:w="994"/>
      </w:tblGrid>
      <w:tr w:rsidR="0028049F" w:rsidRPr="00236292" w14:paraId="22F8082E" w14:textId="77777777" w:rsidTr="0000649B">
        <w:trPr>
          <w:cantSplit/>
        </w:trPr>
        <w:tc>
          <w:tcPr>
            <w:tcW w:w="2942" w:type="dxa"/>
            <w:gridSpan w:val="2"/>
            <w:shd w:val="pct5" w:color="auto" w:fill="auto"/>
            <w:vAlign w:val="bottom"/>
          </w:tcPr>
          <w:p w14:paraId="2315E50B" w14:textId="77777777" w:rsidR="0028049F" w:rsidRPr="00236292" w:rsidRDefault="0028049F" w:rsidP="0000649B">
            <w:pPr>
              <w:spacing w:before="40" w:after="40"/>
              <w:rPr>
                <w:b/>
                <w:szCs w:val="26"/>
              </w:rPr>
            </w:pPr>
            <w:r w:rsidRPr="00236292">
              <w:rPr>
                <w:b/>
                <w:sz w:val="24"/>
              </w:rPr>
              <w:t>Name</w:t>
            </w:r>
            <w:r w:rsidRPr="00236292">
              <w:rPr>
                <w:b/>
                <w:szCs w:val="26"/>
              </w:rPr>
              <w:t xml:space="preserve"> </w:t>
            </w:r>
            <w:r w:rsidRPr="00236292">
              <w:rPr>
                <w:b/>
                <w:sz w:val="18"/>
                <w:szCs w:val="18"/>
              </w:rPr>
              <w:t>(first name and surname)</w:t>
            </w:r>
            <w:r w:rsidRPr="00236292">
              <w:rPr>
                <w:b/>
                <w:szCs w:val="26"/>
              </w:rPr>
              <w:t>:</w:t>
            </w:r>
          </w:p>
        </w:tc>
        <w:tc>
          <w:tcPr>
            <w:tcW w:w="7373" w:type="dxa"/>
            <w:gridSpan w:val="6"/>
            <w:tcBorders>
              <w:bottom w:val="dashed" w:sz="4" w:space="0" w:color="auto"/>
            </w:tcBorders>
          </w:tcPr>
          <w:p w14:paraId="1A009244" w14:textId="77777777" w:rsidR="0028049F" w:rsidRPr="00236292" w:rsidRDefault="0028049F" w:rsidP="0000649B">
            <w:pPr>
              <w:spacing w:before="40" w:after="40"/>
              <w:jc w:val="both"/>
              <w:rPr>
                <w:b/>
                <w:sz w:val="24"/>
              </w:rPr>
            </w:pPr>
          </w:p>
        </w:tc>
      </w:tr>
      <w:tr w:rsidR="0028049F" w:rsidRPr="00236292" w14:paraId="691A0D0D" w14:textId="77777777" w:rsidTr="0000649B">
        <w:trPr>
          <w:cantSplit/>
          <w:trHeight w:val="20"/>
        </w:trPr>
        <w:tc>
          <w:tcPr>
            <w:tcW w:w="10315" w:type="dxa"/>
            <w:gridSpan w:val="8"/>
          </w:tcPr>
          <w:p w14:paraId="205E9F82" w14:textId="77777777" w:rsidR="0028049F" w:rsidRPr="00236292" w:rsidRDefault="0028049F" w:rsidP="0000649B">
            <w:pPr>
              <w:spacing w:before="40" w:after="40"/>
              <w:jc w:val="both"/>
              <w:rPr>
                <w:b/>
                <w:sz w:val="4"/>
                <w:szCs w:val="4"/>
              </w:rPr>
            </w:pPr>
          </w:p>
        </w:tc>
      </w:tr>
      <w:tr w:rsidR="0028049F" w:rsidRPr="00236292" w14:paraId="1656314C" w14:textId="77777777" w:rsidTr="0000649B">
        <w:trPr>
          <w:cantSplit/>
        </w:trPr>
        <w:tc>
          <w:tcPr>
            <w:tcW w:w="10315" w:type="dxa"/>
            <w:gridSpan w:val="8"/>
            <w:shd w:val="pct5" w:color="auto" w:fill="auto"/>
            <w:vAlign w:val="bottom"/>
          </w:tcPr>
          <w:p w14:paraId="277388DC" w14:textId="77777777" w:rsidR="0028049F" w:rsidRPr="00236292" w:rsidRDefault="0028049F" w:rsidP="0000649B">
            <w:pPr>
              <w:spacing w:before="40" w:after="40"/>
              <w:jc w:val="both"/>
              <w:rPr>
                <w:b/>
                <w:sz w:val="18"/>
                <w:szCs w:val="18"/>
              </w:rPr>
            </w:pPr>
            <w:r w:rsidRPr="00236292">
              <w:rPr>
                <w:b/>
                <w:sz w:val="18"/>
                <w:szCs w:val="18"/>
              </w:rPr>
              <w:t>If submitting on behalf of a company or organisation:</w:t>
            </w:r>
          </w:p>
        </w:tc>
      </w:tr>
      <w:tr w:rsidR="0028049F" w:rsidRPr="00236292" w14:paraId="6E064D7E" w14:textId="77777777" w:rsidTr="0000649B">
        <w:trPr>
          <w:cantSplit/>
        </w:trPr>
        <w:tc>
          <w:tcPr>
            <w:tcW w:w="2942" w:type="dxa"/>
            <w:gridSpan w:val="2"/>
            <w:shd w:val="pct5" w:color="auto" w:fill="auto"/>
            <w:vAlign w:val="bottom"/>
          </w:tcPr>
          <w:p w14:paraId="03ADEE21" w14:textId="77777777" w:rsidR="0028049F" w:rsidRPr="00236292" w:rsidRDefault="0028049F" w:rsidP="0000649B">
            <w:pPr>
              <w:spacing w:before="40" w:after="40"/>
              <w:rPr>
                <w:b/>
                <w:sz w:val="24"/>
              </w:rPr>
            </w:pPr>
            <w:r w:rsidRPr="00236292">
              <w:rPr>
                <w:b/>
                <w:sz w:val="24"/>
              </w:rPr>
              <w:t>Name of organisation:</w:t>
            </w:r>
          </w:p>
        </w:tc>
        <w:tc>
          <w:tcPr>
            <w:tcW w:w="7373" w:type="dxa"/>
            <w:gridSpan w:val="6"/>
            <w:tcBorders>
              <w:bottom w:val="dashed" w:sz="4" w:space="0" w:color="auto"/>
            </w:tcBorders>
          </w:tcPr>
          <w:p w14:paraId="42952056" w14:textId="77777777" w:rsidR="0028049F" w:rsidRPr="00236292" w:rsidRDefault="0028049F" w:rsidP="0000649B">
            <w:pPr>
              <w:spacing w:before="40" w:after="40"/>
              <w:jc w:val="both"/>
              <w:rPr>
                <w:b/>
                <w:sz w:val="24"/>
              </w:rPr>
            </w:pPr>
          </w:p>
        </w:tc>
      </w:tr>
      <w:tr w:rsidR="0028049F" w:rsidRPr="00236292" w14:paraId="7B534AD5" w14:textId="77777777" w:rsidTr="0000649B">
        <w:trPr>
          <w:cantSplit/>
        </w:trPr>
        <w:tc>
          <w:tcPr>
            <w:tcW w:w="2942" w:type="dxa"/>
            <w:gridSpan w:val="2"/>
            <w:shd w:val="pct5" w:color="auto" w:fill="auto"/>
            <w:vAlign w:val="bottom"/>
          </w:tcPr>
          <w:p w14:paraId="02D7DB34" w14:textId="77777777" w:rsidR="0028049F" w:rsidRPr="00236292" w:rsidRDefault="0028049F" w:rsidP="0000649B">
            <w:pPr>
              <w:spacing w:before="40" w:after="40"/>
              <w:jc w:val="both"/>
              <w:rPr>
                <w:b/>
                <w:sz w:val="24"/>
              </w:rPr>
            </w:pPr>
            <w:r w:rsidRPr="00236292">
              <w:rPr>
                <w:b/>
                <w:sz w:val="24"/>
              </w:rPr>
              <w:t>Position in organisation:</w:t>
            </w:r>
          </w:p>
        </w:tc>
        <w:tc>
          <w:tcPr>
            <w:tcW w:w="7373" w:type="dxa"/>
            <w:gridSpan w:val="6"/>
            <w:tcBorders>
              <w:bottom w:val="dashed" w:sz="4" w:space="0" w:color="auto"/>
            </w:tcBorders>
          </w:tcPr>
          <w:p w14:paraId="2E011A1B" w14:textId="77777777" w:rsidR="0028049F" w:rsidRPr="00236292" w:rsidRDefault="0028049F" w:rsidP="0000649B">
            <w:pPr>
              <w:spacing w:before="40" w:after="40"/>
              <w:jc w:val="both"/>
              <w:rPr>
                <w:b/>
                <w:sz w:val="24"/>
              </w:rPr>
            </w:pPr>
          </w:p>
        </w:tc>
      </w:tr>
      <w:tr w:rsidR="0028049F" w:rsidRPr="00236292" w14:paraId="2F3DA934" w14:textId="77777777" w:rsidTr="0000649B">
        <w:trPr>
          <w:cantSplit/>
          <w:trHeight w:val="20"/>
        </w:trPr>
        <w:tc>
          <w:tcPr>
            <w:tcW w:w="10315" w:type="dxa"/>
            <w:gridSpan w:val="8"/>
          </w:tcPr>
          <w:p w14:paraId="456ADA18" w14:textId="77777777" w:rsidR="0028049F" w:rsidRPr="00236292" w:rsidRDefault="0028049F" w:rsidP="0000649B">
            <w:pPr>
              <w:spacing w:before="40" w:after="40"/>
              <w:jc w:val="both"/>
              <w:rPr>
                <w:b/>
                <w:sz w:val="4"/>
                <w:szCs w:val="4"/>
              </w:rPr>
            </w:pPr>
          </w:p>
        </w:tc>
      </w:tr>
      <w:tr w:rsidR="0028049F" w:rsidRPr="00236292" w14:paraId="7D82EF7A" w14:textId="77777777" w:rsidTr="0000649B">
        <w:trPr>
          <w:cantSplit/>
        </w:trPr>
        <w:tc>
          <w:tcPr>
            <w:tcW w:w="1950" w:type="dxa"/>
            <w:shd w:val="pct5" w:color="auto" w:fill="auto"/>
            <w:vAlign w:val="bottom"/>
          </w:tcPr>
          <w:p w14:paraId="6B910B9A" w14:textId="77777777" w:rsidR="0028049F" w:rsidRPr="00236292" w:rsidRDefault="0028049F" w:rsidP="0000649B">
            <w:pPr>
              <w:spacing w:before="40" w:after="40"/>
              <w:jc w:val="both"/>
              <w:rPr>
                <w:b/>
                <w:sz w:val="24"/>
              </w:rPr>
            </w:pPr>
            <w:r w:rsidRPr="00236292">
              <w:rPr>
                <w:b/>
                <w:sz w:val="24"/>
              </w:rPr>
              <w:t>Phone:</w:t>
            </w:r>
          </w:p>
        </w:tc>
        <w:tc>
          <w:tcPr>
            <w:tcW w:w="4394" w:type="dxa"/>
            <w:gridSpan w:val="2"/>
            <w:tcBorders>
              <w:bottom w:val="dashed" w:sz="4" w:space="0" w:color="auto"/>
            </w:tcBorders>
          </w:tcPr>
          <w:p w14:paraId="3676F960" w14:textId="77777777" w:rsidR="0028049F" w:rsidRPr="00236292" w:rsidRDefault="0028049F" w:rsidP="0000649B">
            <w:pPr>
              <w:spacing w:before="40" w:after="40"/>
              <w:jc w:val="both"/>
              <w:rPr>
                <w:b/>
                <w:sz w:val="24"/>
              </w:rPr>
            </w:pPr>
          </w:p>
        </w:tc>
        <w:tc>
          <w:tcPr>
            <w:tcW w:w="993" w:type="dxa"/>
            <w:gridSpan w:val="2"/>
            <w:shd w:val="pct5" w:color="auto" w:fill="auto"/>
            <w:vAlign w:val="bottom"/>
          </w:tcPr>
          <w:p w14:paraId="0D49970B" w14:textId="77777777" w:rsidR="0028049F" w:rsidRPr="00236292" w:rsidRDefault="0028049F" w:rsidP="0000649B">
            <w:pPr>
              <w:spacing w:before="40" w:after="40"/>
              <w:ind w:left="-107"/>
              <w:rPr>
                <w:b/>
                <w:sz w:val="24"/>
              </w:rPr>
            </w:pPr>
            <w:r w:rsidRPr="00236292">
              <w:rPr>
                <w:b/>
                <w:sz w:val="24"/>
              </w:rPr>
              <w:t>Mobile:</w:t>
            </w:r>
          </w:p>
        </w:tc>
        <w:tc>
          <w:tcPr>
            <w:tcW w:w="2978" w:type="dxa"/>
            <w:gridSpan w:val="3"/>
            <w:tcBorders>
              <w:bottom w:val="dashed" w:sz="4" w:space="0" w:color="auto"/>
            </w:tcBorders>
          </w:tcPr>
          <w:p w14:paraId="5B343931" w14:textId="77777777" w:rsidR="0028049F" w:rsidRPr="00236292" w:rsidRDefault="0028049F" w:rsidP="0000649B">
            <w:pPr>
              <w:spacing w:before="40" w:after="40"/>
              <w:jc w:val="both"/>
              <w:rPr>
                <w:b/>
                <w:sz w:val="24"/>
              </w:rPr>
            </w:pPr>
          </w:p>
        </w:tc>
      </w:tr>
      <w:tr w:rsidR="0028049F" w:rsidRPr="00236292" w14:paraId="5C44D4BA" w14:textId="77777777" w:rsidTr="0000649B">
        <w:trPr>
          <w:cantSplit/>
        </w:trPr>
        <w:tc>
          <w:tcPr>
            <w:tcW w:w="1950" w:type="dxa"/>
            <w:shd w:val="pct5" w:color="auto" w:fill="auto"/>
            <w:vAlign w:val="bottom"/>
          </w:tcPr>
          <w:p w14:paraId="232A23FE" w14:textId="77777777" w:rsidR="0028049F" w:rsidRPr="00236292" w:rsidRDefault="0028049F" w:rsidP="0000649B">
            <w:pPr>
              <w:spacing w:before="40" w:after="40"/>
              <w:jc w:val="both"/>
              <w:rPr>
                <w:b/>
                <w:sz w:val="24"/>
              </w:rPr>
            </w:pPr>
            <w:r w:rsidRPr="00236292">
              <w:rPr>
                <w:b/>
                <w:sz w:val="24"/>
              </w:rPr>
              <w:t>Email address:</w:t>
            </w:r>
          </w:p>
        </w:tc>
        <w:tc>
          <w:tcPr>
            <w:tcW w:w="8365" w:type="dxa"/>
            <w:gridSpan w:val="7"/>
            <w:tcBorders>
              <w:bottom w:val="dashed" w:sz="4" w:space="0" w:color="auto"/>
            </w:tcBorders>
          </w:tcPr>
          <w:p w14:paraId="22B386BD" w14:textId="77777777" w:rsidR="0028049F" w:rsidRPr="00236292" w:rsidRDefault="0028049F" w:rsidP="0000649B">
            <w:pPr>
              <w:spacing w:before="40" w:after="40"/>
              <w:jc w:val="both"/>
              <w:rPr>
                <w:b/>
                <w:sz w:val="24"/>
              </w:rPr>
            </w:pPr>
          </w:p>
        </w:tc>
      </w:tr>
      <w:tr w:rsidR="0028049F" w:rsidRPr="00236292" w14:paraId="7786C1CA" w14:textId="77777777" w:rsidTr="0000649B">
        <w:trPr>
          <w:cantSplit/>
          <w:trHeight w:val="20"/>
        </w:trPr>
        <w:tc>
          <w:tcPr>
            <w:tcW w:w="10315" w:type="dxa"/>
            <w:gridSpan w:val="8"/>
          </w:tcPr>
          <w:p w14:paraId="57A1DC21" w14:textId="77777777" w:rsidR="0028049F" w:rsidRPr="00236292" w:rsidRDefault="0028049F" w:rsidP="0000649B">
            <w:pPr>
              <w:spacing w:before="40" w:after="40"/>
              <w:jc w:val="both"/>
              <w:rPr>
                <w:b/>
                <w:sz w:val="4"/>
                <w:szCs w:val="4"/>
              </w:rPr>
            </w:pPr>
          </w:p>
        </w:tc>
      </w:tr>
      <w:tr w:rsidR="0028049F" w:rsidRPr="00236292" w14:paraId="15D0FD95" w14:textId="77777777" w:rsidTr="0000649B">
        <w:trPr>
          <w:cantSplit/>
        </w:trPr>
        <w:tc>
          <w:tcPr>
            <w:tcW w:w="1950" w:type="dxa"/>
            <w:shd w:val="pct5" w:color="auto" w:fill="auto"/>
            <w:vAlign w:val="bottom"/>
          </w:tcPr>
          <w:p w14:paraId="07C5607E" w14:textId="77777777" w:rsidR="0028049F" w:rsidRPr="00236292" w:rsidRDefault="0028049F" w:rsidP="0000649B">
            <w:pPr>
              <w:spacing w:before="40" w:after="40"/>
              <w:jc w:val="both"/>
              <w:rPr>
                <w:b/>
                <w:sz w:val="24"/>
              </w:rPr>
            </w:pPr>
            <w:r w:rsidRPr="00236292">
              <w:rPr>
                <w:b/>
                <w:sz w:val="24"/>
              </w:rPr>
              <w:t>Street address:</w:t>
            </w:r>
          </w:p>
        </w:tc>
        <w:tc>
          <w:tcPr>
            <w:tcW w:w="8365" w:type="dxa"/>
            <w:gridSpan w:val="7"/>
            <w:tcBorders>
              <w:bottom w:val="dashed" w:sz="4" w:space="0" w:color="auto"/>
            </w:tcBorders>
          </w:tcPr>
          <w:p w14:paraId="3A1369DC" w14:textId="77777777" w:rsidR="0028049F" w:rsidRPr="00236292" w:rsidRDefault="0028049F" w:rsidP="0000649B">
            <w:pPr>
              <w:spacing w:before="40" w:after="40"/>
              <w:jc w:val="both"/>
              <w:rPr>
                <w:b/>
                <w:sz w:val="24"/>
              </w:rPr>
            </w:pPr>
          </w:p>
        </w:tc>
      </w:tr>
      <w:tr w:rsidR="0028049F" w:rsidRPr="00236292" w14:paraId="6B4D1067" w14:textId="77777777" w:rsidTr="0000649B">
        <w:trPr>
          <w:cantSplit/>
        </w:trPr>
        <w:tc>
          <w:tcPr>
            <w:tcW w:w="1950" w:type="dxa"/>
            <w:shd w:val="pct5" w:color="auto" w:fill="auto"/>
            <w:vAlign w:val="bottom"/>
          </w:tcPr>
          <w:p w14:paraId="0D9CFCBF" w14:textId="77777777" w:rsidR="0028049F" w:rsidRPr="00236292" w:rsidRDefault="0028049F" w:rsidP="0000649B">
            <w:pPr>
              <w:spacing w:before="40" w:after="40"/>
              <w:jc w:val="both"/>
              <w:rPr>
                <w:b/>
                <w:sz w:val="24"/>
              </w:rPr>
            </w:pPr>
            <w:r w:rsidRPr="00236292">
              <w:rPr>
                <w:b/>
                <w:sz w:val="24"/>
              </w:rPr>
              <w:t>Suburb/City:</w:t>
            </w:r>
          </w:p>
        </w:tc>
        <w:tc>
          <w:tcPr>
            <w:tcW w:w="4678" w:type="dxa"/>
            <w:gridSpan w:val="3"/>
            <w:tcBorders>
              <w:bottom w:val="dashed" w:sz="4" w:space="0" w:color="auto"/>
            </w:tcBorders>
          </w:tcPr>
          <w:p w14:paraId="5A98E707" w14:textId="77777777" w:rsidR="0028049F" w:rsidRPr="00236292" w:rsidRDefault="0028049F" w:rsidP="0000649B">
            <w:pPr>
              <w:spacing w:before="40" w:after="40"/>
              <w:jc w:val="both"/>
              <w:rPr>
                <w:b/>
                <w:sz w:val="24"/>
              </w:rPr>
            </w:pPr>
          </w:p>
        </w:tc>
        <w:tc>
          <w:tcPr>
            <w:tcW w:w="709" w:type="dxa"/>
            <w:shd w:val="pct5" w:color="auto" w:fill="auto"/>
            <w:vAlign w:val="bottom"/>
          </w:tcPr>
          <w:p w14:paraId="36E3E7DD" w14:textId="77777777" w:rsidR="0028049F" w:rsidRPr="00236292" w:rsidRDefault="0028049F" w:rsidP="0000649B">
            <w:pPr>
              <w:spacing w:before="40" w:after="40"/>
              <w:ind w:left="-107"/>
              <w:rPr>
                <w:b/>
                <w:sz w:val="24"/>
              </w:rPr>
            </w:pPr>
            <w:r w:rsidRPr="00236292">
              <w:rPr>
                <w:b/>
                <w:sz w:val="24"/>
              </w:rPr>
              <w:t>State:</w:t>
            </w:r>
          </w:p>
        </w:tc>
        <w:tc>
          <w:tcPr>
            <w:tcW w:w="1134" w:type="dxa"/>
            <w:tcBorders>
              <w:bottom w:val="dashed" w:sz="4" w:space="0" w:color="auto"/>
            </w:tcBorders>
            <w:shd w:val="clear" w:color="auto" w:fill="auto"/>
            <w:vAlign w:val="bottom"/>
          </w:tcPr>
          <w:p w14:paraId="6042C779" w14:textId="77777777" w:rsidR="0028049F" w:rsidRPr="00236292" w:rsidRDefault="0028049F" w:rsidP="0000649B">
            <w:pPr>
              <w:spacing w:before="40" w:after="40"/>
              <w:ind w:right="-177"/>
              <w:jc w:val="both"/>
              <w:rPr>
                <w:b/>
                <w:sz w:val="24"/>
              </w:rPr>
            </w:pPr>
          </w:p>
        </w:tc>
        <w:tc>
          <w:tcPr>
            <w:tcW w:w="850" w:type="dxa"/>
            <w:shd w:val="pct5" w:color="auto" w:fill="auto"/>
            <w:vAlign w:val="bottom"/>
          </w:tcPr>
          <w:p w14:paraId="7CEB6404" w14:textId="77777777" w:rsidR="0028049F" w:rsidRPr="00236292" w:rsidRDefault="0028049F" w:rsidP="0000649B">
            <w:pPr>
              <w:spacing w:before="40" w:after="40"/>
              <w:ind w:left="-107" w:right="-107"/>
              <w:rPr>
                <w:b/>
                <w:sz w:val="24"/>
              </w:rPr>
            </w:pPr>
            <w:r w:rsidRPr="00236292">
              <w:rPr>
                <w:b/>
                <w:sz w:val="24"/>
              </w:rPr>
              <w:t>P’code:</w:t>
            </w:r>
          </w:p>
        </w:tc>
        <w:tc>
          <w:tcPr>
            <w:tcW w:w="994" w:type="dxa"/>
            <w:tcBorders>
              <w:bottom w:val="dashed" w:sz="4" w:space="0" w:color="auto"/>
            </w:tcBorders>
          </w:tcPr>
          <w:p w14:paraId="6D68DF57" w14:textId="77777777" w:rsidR="0028049F" w:rsidRPr="00236292" w:rsidRDefault="0028049F" w:rsidP="0000649B">
            <w:pPr>
              <w:spacing w:before="40" w:after="40"/>
              <w:jc w:val="both"/>
              <w:rPr>
                <w:b/>
                <w:sz w:val="24"/>
              </w:rPr>
            </w:pPr>
          </w:p>
        </w:tc>
      </w:tr>
      <w:tr w:rsidR="0028049F" w:rsidRPr="00236292" w14:paraId="3E702919" w14:textId="77777777" w:rsidTr="0000649B">
        <w:trPr>
          <w:cantSplit/>
          <w:trHeight w:val="20"/>
        </w:trPr>
        <w:tc>
          <w:tcPr>
            <w:tcW w:w="10315" w:type="dxa"/>
            <w:gridSpan w:val="8"/>
          </w:tcPr>
          <w:p w14:paraId="067B2CBE" w14:textId="77777777" w:rsidR="0028049F" w:rsidRPr="00236292" w:rsidRDefault="0028049F" w:rsidP="0000649B">
            <w:pPr>
              <w:spacing w:before="40" w:after="40"/>
              <w:jc w:val="both"/>
              <w:rPr>
                <w:b/>
                <w:sz w:val="4"/>
                <w:szCs w:val="4"/>
              </w:rPr>
            </w:pPr>
          </w:p>
        </w:tc>
      </w:tr>
      <w:tr w:rsidR="0028049F" w:rsidRPr="00236292" w14:paraId="29E487CD" w14:textId="77777777" w:rsidTr="0000649B">
        <w:trPr>
          <w:cantSplit/>
          <w:trHeight w:val="20"/>
        </w:trPr>
        <w:tc>
          <w:tcPr>
            <w:tcW w:w="1950" w:type="dxa"/>
            <w:shd w:val="pct5" w:color="auto" w:fill="auto"/>
            <w:vAlign w:val="bottom"/>
          </w:tcPr>
          <w:p w14:paraId="6FE58722" w14:textId="77777777" w:rsidR="0028049F" w:rsidRPr="00236292" w:rsidRDefault="0028049F" w:rsidP="0000649B">
            <w:pPr>
              <w:spacing w:before="40" w:after="40"/>
              <w:jc w:val="both"/>
              <w:rPr>
                <w:b/>
                <w:sz w:val="24"/>
              </w:rPr>
            </w:pPr>
            <w:r w:rsidRPr="00236292">
              <w:rPr>
                <w:b/>
                <w:sz w:val="24"/>
              </w:rPr>
              <w:t>Postal address:</w:t>
            </w:r>
          </w:p>
        </w:tc>
        <w:tc>
          <w:tcPr>
            <w:tcW w:w="8365" w:type="dxa"/>
            <w:gridSpan w:val="7"/>
            <w:tcBorders>
              <w:bottom w:val="dashed" w:sz="4" w:space="0" w:color="auto"/>
            </w:tcBorders>
          </w:tcPr>
          <w:p w14:paraId="537E2880" w14:textId="77777777" w:rsidR="0028049F" w:rsidRPr="00236292" w:rsidRDefault="0028049F" w:rsidP="0000649B">
            <w:pPr>
              <w:spacing w:before="40" w:after="40"/>
              <w:jc w:val="both"/>
              <w:rPr>
                <w:b/>
                <w:sz w:val="24"/>
              </w:rPr>
            </w:pPr>
          </w:p>
        </w:tc>
      </w:tr>
      <w:tr w:rsidR="0028049F" w:rsidRPr="00236292" w14:paraId="7FBFDC61" w14:textId="77777777" w:rsidTr="0000649B">
        <w:trPr>
          <w:cantSplit/>
        </w:trPr>
        <w:tc>
          <w:tcPr>
            <w:tcW w:w="1950" w:type="dxa"/>
            <w:shd w:val="pct5" w:color="auto" w:fill="auto"/>
            <w:vAlign w:val="bottom"/>
          </w:tcPr>
          <w:p w14:paraId="3F3A7A05" w14:textId="77777777" w:rsidR="0028049F" w:rsidRPr="00236292" w:rsidRDefault="0028049F" w:rsidP="0000649B">
            <w:pPr>
              <w:spacing w:before="40" w:after="40"/>
              <w:jc w:val="both"/>
              <w:rPr>
                <w:b/>
                <w:sz w:val="24"/>
              </w:rPr>
            </w:pPr>
            <w:r w:rsidRPr="00236292">
              <w:rPr>
                <w:b/>
                <w:sz w:val="24"/>
              </w:rPr>
              <w:t>Suburb/City:</w:t>
            </w:r>
          </w:p>
        </w:tc>
        <w:tc>
          <w:tcPr>
            <w:tcW w:w="4678" w:type="dxa"/>
            <w:gridSpan w:val="3"/>
            <w:tcBorders>
              <w:bottom w:val="dashed" w:sz="4" w:space="0" w:color="auto"/>
            </w:tcBorders>
          </w:tcPr>
          <w:p w14:paraId="4167F4A6" w14:textId="77777777" w:rsidR="0028049F" w:rsidRPr="00236292" w:rsidRDefault="0028049F" w:rsidP="0000649B">
            <w:pPr>
              <w:spacing w:before="40" w:after="40"/>
              <w:jc w:val="both"/>
              <w:rPr>
                <w:b/>
                <w:sz w:val="24"/>
              </w:rPr>
            </w:pPr>
          </w:p>
        </w:tc>
        <w:tc>
          <w:tcPr>
            <w:tcW w:w="709" w:type="dxa"/>
            <w:shd w:val="pct5" w:color="auto" w:fill="auto"/>
            <w:vAlign w:val="bottom"/>
          </w:tcPr>
          <w:p w14:paraId="4C214E2F" w14:textId="77777777" w:rsidR="0028049F" w:rsidRPr="00236292" w:rsidRDefault="0028049F" w:rsidP="0000649B">
            <w:pPr>
              <w:spacing w:before="40" w:after="40"/>
              <w:ind w:left="-107"/>
              <w:rPr>
                <w:b/>
                <w:sz w:val="24"/>
              </w:rPr>
            </w:pPr>
            <w:r w:rsidRPr="00236292">
              <w:rPr>
                <w:b/>
                <w:sz w:val="24"/>
              </w:rPr>
              <w:t>State:</w:t>
            </w:r>
          </w:p>
        </w:tc>
        <w:tc>
          <w:tcPr>
            <w:tcW w:w="1134" w:type="dxa"/>
            <w:tcBorders>
              <w:bottom w:val="dashed" w:sz="4" w:space="0" w:color="auto"/>
            </w:tcBorders>
            <w:shd w:val="clear" w:color="auto" w:fill="auto"/>
            <w:vAlign w:val="bottom"/>
          </w:tcPr>
          <w:p w14:paraId="34C13EA9" w14:textId="77777777" w:rsidR="0028049F" w:rsidRPr="00236292" w:rsidRDefault="0028049F" w:rsidP="0000649B">
            <w:pPr>
              <w:spacing w:before="40" w:after="40"/>
              <w:ind w:right="-177"/>
              <w:jc w:val="both"/>
              <w:rPr>
                <w:b/>
                <w:sz w:val="24"/>
              </w:rPr>
            </w:pPr>
          </w:p>
        </w:tc>
        <w:tc>
          <w:tcPr>
            <w:tcW w:w="850" w:type="dxa"/>
            <w:shd w:val="pct5" w:color="auto" w:fill="auto"/>
            <w:vAlign w:val="bottom"/>
          </w:tcPr>
          <w:p w14:paraId="748DAE36" w14:textId="77777777" w:rsidR="0028049F" w:rsidRPr="00236292" w:rsidRDefault="0028049F" w:rsidP="0000649B">
            <w:pPr>
              <w:spacing w:before="40" w:after="40"/>
              <w:ind w:left="-107" w:right="-107"/>
              <w:rPr>
                <w:b/>
                <w:sz w:val="24"/>
              </w:rPr>
            </w:pPr>
            <w:r w:rsidRPr="00236292">
              <w:rPr>
                <w:b/>
                <w:sz w:val="24"/>
              </w:rPr>
              <w:t>P’code:</w:t>
            </w:r>
          </w:p>
        </w:tc>
        <w:tc>
          <w:tcPr>
            <w:tcW w:w="994" w:type="dxa"/>
            <w:tcBorders>
              <w:bottom w:val="dashed" w:sz="4" w:space="0" w:color="auto"/>
            </w:tcBorders>
          </w:tcPr>
          <w:p w14:paraId="7A613F21" w14:textId="77777777" w:rsidR="0028049F" w:rsidRPr="00236292" w:rsidRDefault="0028049F" w:rsidP="0000649B">
            <w:pPr>
              <w:spacing w:before="40" w:after="40"/>
              <w:jc w:val="both"/>
              <w:rPr>
                <w:b/>
                <w:sz w:val="24"/>
              </w:rPr>
            </w:pPr>
          </w:p>
        </w:tc>
      </w:tr>
    </w:tbl>
    <w:p w14:paraId="7E767E21" w14:textId="77777777" w:rsidR="0028049F" w:rsidRPr="00236292" w:rsidRDefault="0028049F" w:rsidP="0028049F">
      <w:pPr>
        <w:keepNext/>
        <w:spacing w:before="200" w:line="240" w:lineRule="atLeast"/>
        <w:jc w:val="both"/>
        <w:outlineLvl w:val="4"/>
        <w:rPr>
          <w:b/>
          <w:color w:val="000000"/>
          <w:sz w:val="19"/>
          <w:szCs w:val="19"/>
        </w:rPr>
      </w:pPr>
      <w:r w:rsidRPr="00236292">
        <w:rPr>
          <w:b/>
          <w:sz w:val="28"/>
        </w:rPr>
        <w:t>Please note:</w:t>
      </w:r>
    </w:p>
    <w:p w14:paraId="22D1B2CC" w14:textId="66A023DB" w:rsidR="0028049F" w:rsidRPr="00236292" w:rsidRDefault="0028049F" w:rsidP="0028049F">
      <w:pPr>
        <w:numPr>
          <w:ilvl w:val="0"/>
          <w:numId w:val="50"/>
        </w:numPr>
        <w:spacing w:before="60"/>
        <w:ind w:left="714" w:hanging="357"/>
        <w:jc w:val="both"/>
        <w:rPr>
          <w:sz w:val="24"/>
        </w:rPr>
      </w:pPr>
      <w:r w:rsidRPr="00236292">
        <w:rPr>
          <w:sz w:val="24"/>
        </w:rPr>
        <w:t>Copyright in submissions resides with the author(s), not with the Productivity Commission.</w:t>
      </w:r>
    </w:p>
    <w:p w14:paraId="61C50ADB" w14:textId="77777777" w:rsidR="0028049F" w:rsidRPr="00236292" w:rsidRDefault="0028049F" w:rsidP="0028049F">
      <w:pPr>
        <w:numPr>
          <w:ilvl w:val="0"/>
          <w:numId w:val="50"/>
        </w:numPr>
        <w:spacing w:before="60"/>
        <w:ind w:left="714" w:hanging="357"/>
        <w:jc w:val="both"/>
        <w:rPr>
          <w:sz w:val="24"/>
        </w:rPr>
      </w:pPr>
      <w:r w:rsidRPr="00236292">
        <w:rPr>
          <w:sz w:val="24"/>
        </w:rPr>
        <w:t xml:space="preserve">Following processing, public submissions will be placed on the Commission’s website. </w:t>
      </w:r>
      <w:r w:rsidRPr="00236292">
        <w:rPr>
          <w:b/>
          <w:sz w:val="24"/>
        </w:rPr>
        <w:t>Submissions will remain on the Commission’s website as public documents indefinitely.</w:t>
      </w:r>
    </w:p>
    <w:p w14:paraId="5F3E7016" w14:textId="77777777" w:rsidR="0028049F" w:rsidRPr="00236292" w:rsidRDefault="0028049F" w:rsidP="0028049F">
      <w:pPr>
        <w:numPr>
          <w:ilvl w:val="0"/>
          <w:numId w:val="50"/>
        </w:numPr>
        <w:spacing w:before="60"/>
        <w:ind w:left="714" w:hanging="357"/>
        <w:jc w:val="both"/>
        <w:rPr>
          <w:sz w:val="24"/>
        </w:rPr>
      </w:pPr>
      <w:r w:rsidRPr="00236292">
        <w:rPr>
          <w:sz w:val="24"/>
        </w:rPr>
        <w:t xml:space="preserve">As </w:t>
      </w:r>
      <w:r>
        <w:rPr>
          <w:sz w:val="24"/>
        </w:rPr>
        <w:t>this is a public inquiry</w:t>
      </w:r>
      <w:r w:rsidRPr="00236292">
        <w:rPr>
          <w:sz w:val="24"/>
        </w:rPr>
        <w:t xml:space="preserve">, ‘in confidence’ material can be accepted only under special circumstances. </w:t>
      </w:r>
      <w:r w:rsidRPr="00236292">
        <w:rPr>
          <w:b/>
          <w:sz w:val="24"/>
        </w:rPr>
        <w:t>You should contact the Commission before submitting this material</w:t>
      </w:r>
      <w:r w:rsidRPr="00236292">
        <w:rPr>
          <w:sz w:val="24"/>
        </w:rPr>
        <w:t>.</w:t>
      </w:r>
    </w:p>
    <w:p w14:paraId="795EF7D8" w14:textId="77777777" w:rsidR="0028049F" w:rsidRPr="00236292" w:rsidRDefault="0028049F" w:rsidP="0028049F">
      <w:pPr>
        <w:numPr>
          <w:ilvl w:val="0"/>
          <w:numId w:val="50"/>
        </w:numPr>
        <w:spacing w:before="60" w:after="240"/>
        <w:ind w:left="714" w:hanging="357"/>
        <w:jc w:val="both"/>
        <w:rPr>
          <w:sz w:val="24"/>
        </w:rPr>
      </w:pPr>
      <w:r w:rsidRPr="00236292">
        <w:rPr>
          <w:sz w:val="24"/>
        </w:rPr>
        <w:t>For submissions made by individuals, only your name and the state or territory in which you reside will be published on the Commission’s website. All other contact details will be removed from your submission.</w:t>
      </w:r>
    </w:p>
    <w:tbl>
      <w:tblPr>
        <w:tblW w:w="10313" w:type="dxa"/>
        <w:tblLayout w:type="fixed"/>
        <w:tblCellMar>
          <w:left w:w="107" w:type="dxa"/>
          <w:right w:w="107" w:type="dxa"/>
        </w:tblCellMar>
        <w:tblLook w:val="0000" w:firstRow="0" w:lastRow="0" w:firstColumn="0" w:lastColumn="0" w:noHBand="0" w:noVBand="0"/>
      </w:tblPr>
      <w:tblGrid>
        <w:gridCol w:w="10313"/>
      </w:tblGrid>
      <w:tr w:rsidR="0028049F" w:rsidRPr="00236292" w14:paraId="68F37C79" w14:textId="77777777" w:rsidTr="0000649B">
        <w:trPr>
          <w:cantSplit/>
          <w:trHeight w:val="40"/>
        </w:trPr>
        <w:tc>
          <w:tcPr>
            <w:tcW w:w="10313" w:type="dxa"/>
            <w:tcBorders>
              <w:top w:val="single" w:sz="6" w:space="0" w:color="auto"/>
              <w:left w:val="single" w:sz="6" w:space="0" w:color="auto"/>
              <w:right w:val="single" w:sz="6" w:space="0" w:color="auto"/>
            </w:tcBorders>
            <w:vAlign w:val="bottom"/>
          </w:tcPr>
          <w:p w14:paraId="4B572356" w14:textId="77777777" w:rsidR="0028049F" w:rsidRPr="00236292" w:rsidRDefault="0028049F" w:rsidP="0000649B">
            <w:pPr>
              <w:tabs>
                <w:tab w:val="left" w:pos="426"/>
                <w:tab w:val="left" w:pos="4537"/>
                <w:tab w:val="left" w:pos="4962"/>
              </w:tabs>
              <w:ind w:right="-249"/>
              <w:rPr>
                <w:b/>
                <w:i/>
                <w:sz w:val="24"/>
              </w:rPr>
            </w:pPr>
            <w:r w:rsidRPr="00236292">
              <w:rPr>
                <w:b/>
                <w:i/>
                <w:sz w:val="24"/>
              </w:rPr>
              <w:t>Please indicate if your submission:</w:t>
            </w:r>
          </w:p>
        </w:tc>
      </w:tr>
      <w:tr w:rsidR="0028049F" w:rsidRPr="00236292" w14:paraId="3D27861E" w14:textId="77777777" w:rsidTr="0000649B">
        <w:trPr>
          <w:cantSplit/>
        </w:trPr>
        <w:tc>
          <w:tcPr>
            <w:tcW w:w="10313" w:type="dxa"/>
            <w:tcBorders>
              <w:left w:val="single" w:sz="6" w:space="0" w:color="auto"/>
              <w:right w:val="single" w:sz="4" w:space="0" w:color="auto"/>
            </w:tcBorders>
          </w:tcPr>
          <w:p w14:paraId="5FFB0CD1" w14:textId="77777777" w:rsidR="0028049F" w:rsidRPr="00236292" w:rsidRDefault="0028049F" w:rsidP="0000649B">
            <w:pPr>
              <w:tabs>
                <w:tab w:val="left" w:pos="567"/>
                <w:tab w:val="left" w:pos="4537"/>
                <w:tab w:val="left" w:pos="4962"/>
              </w:tabs>
              <w:spacing w:before="120" w:line="20" w:lineRule="atLeast"/>
              <w:ind w:left="567" w:hanging="567"/>
              <w:rPr>
                <w:sz w:val="24"/>
              </w:rPr>
            </w:pPr>
            <w:r w:rsidRPr="00236292">
              <w:rPr>
                <w:sz w:val="24"/>
              </w:rPr>
              <w:fldChar w:fldCharType="begin">
                <w:ffData>
                  <w:name w:val="Check1"/>
                  <w:enabled/>
                  <w:calcOnExit w:val="0"/>
                  <w:checkBox>
                    <w:size w:val="28"/>
                    <w:default w:val="0"/>
                  </w:checkBox>
                </w:ffData>
              </w:fldChar>
            </w:r>
            <w:r w:rsidRPr="00236292">
              <w:rPr>
                <w:sz w:val="24"/>
              </w:rPr>
              <w:instrText xml:space="preserve"> FORMCHECKBOX </w:instrText>
            </w:r>
            <w:r w:rsidRPr="00236292">
              <w:rPr>
                <w:sz w:val="24"/>
              </w:rPr>
            </w:r>
            <w:r w:rsidRPr="00236292">
              <w:rPr>
                <w:sz w:val="24"/>
              </w:rPr>
              <w:fldChar w:fldCharType="end"/>
            </w:r>
            <w:r w:rsidRPr="00236292">
              <w:rPr>
                <w:sz w:val="24"/>
              </w:rPr>
              <w:tab/>
              <w:t xml:space="preserve">Is a public submission, it does NOT contain ‘in confidence’ material </w:t>
            </w:r>
            <w:r w:rsidRPr="00236292">
              <w:rPr>
                <w:bCs/>
                <w:sz w:val="24"/>
              </w:rPr>
              <w:t>and can be placed on the Commission’s website.</w:t>
            </w:r>
          </w:p>
        </w:tc>
      </w:tr>
      <w:tr w:rsidR="0028049F" w:rsidRPr="00236292" w14:paraId="2E48C02C" w14:textId="77777777" w:rsidTr="0000649B">
        <w:trPr>
          <w:cantSplit/>
        </w:trPr>
        <w:tc>
          <w:tcPr>
            <w:tcW w:w="10313" w:type="dxa"/>
            <w:tcBorders>
              <w:left w:val="single" w:sz="6" w:space="0" w:color="auto"/>
              <w:bottom w:val="single" w:sz="4" w:space="0" w:color="auto"/>
              <w:right w:val="single" w:sz="4" w:space="0" w:color="auto"/>
            </w:tcBorders>
          </w:tcPr>
          <w:p w14:paraId="3050FEB9" w14:textId="77777777" w:rsidR="0028049F" w:rsidRPr="00236292" w:rsidRDefault="0028049F" w:rsidP="0000649B">
            <w:pPr>
              <w:tabs>
                <w:tab w:val="left" w:pos="567"/>
                <w:tab w:val="left" w:pos="4537"/>
                <w:tab w:val="left" w:pos="4962"/>
              </w:tabs>
              <w:spacing w:before="120" w:line="20" w:lineRule="atLeast"/>
              <w:ind w:left="567" w:hanging="567"/>
              <w:rPr>
                <w:sz w:val="24"/>
              </w:rPr>
            </w:pPr>
            <w:r w:rsidRPr="00236292">
              <w:rPr>
                <w:sz w:val="24"/>
              </w:rPr>
              <w:fldChar w:fldCharType="begin">
                <w:ffData>
                  <w:name w:val="Check1"/>
                  <w:enabled/>
                  <w:calcOnExit w:val="0"/>
                  <w:checkBox>
                    <w:size w:val="28"/>
                    <w:default w:val="0"/>
                  </w:checkBox>
                </w:ffData>
              </w:fldChar>
            </w:r>
            <w:r w:rsidRPr="00236292">
              <w:rPr>
                <w:sz w:val="24"/>
              </w:rPr>
              <w:instrText xml:space="preserve"> FORMCHECKBOX </w:instrText>
            </w:r>
            <w:r w:rsidRPr="00236292">
              <w:rPr>
                <w:sz w:val="24"/>
              </w:rPr>
            </w:r>
            <w:r w:rsidRPr="00236292">
              <w:rPr>
                <w:sz w:val="24"/>
              </w:rPr>
              <w:fldChar w:fldCharType="end"/>
            </w:r>
            <w:r w:rsidRPr="00236292">
              <w:rPr>
                <w:sz w:val="24"/>
              </w:rPr>
              <w:tab/>
              <w:t>Contains SOME material supplied ‘in confidence’ (provided under separate cover and clearly marked IN CONFIDENCE).</w:t>
            </w:r>
          </w:p>
        </w:tc>
      </w:tr>
    </w:tbl>
    <w:p w14:paraId="38011DF8" w14:textId="77777777" w:rsidR="0028049F" w:rsidRPr="00236292" w:rsidRDefault="0028049F" w:rsidP="0028049F">
      <w:pPr>
        <w:tabs>
          <w:tab w:val="left" w:pos="426"/>
          <w:tab w:val="left" w:pos="4537"/>
          <w:tab w:val="left" w:pos="4962"/>
        </w:tabs>
        <w:spacing w:line="120" w:lineRule="exact"/>
        <w:ind w:right="-249"/>
        <w:rPr>
          <w:b/>
          <w:i/>
          <w:sz w:val="24"/>
        </w:rPr>
      </w:pPr>
    </w:p>
    <w:p w14:paraId="1DE77F99" w14:textId="049D7044" w:rsidR="0028049F" w:rsidRPr="00B848C7" w:rsidRDefault="0028049F" w:rsidP="0028049F"/>
    <w:sectPr w:rsidR="0028049F" w:rsidRPr="00B848C7" w:rsidSect="004E1909">
      <w:headerReference w:type="default" r:id="rId22"/>
      <w:footerReference w:type="default" r:id="rId23"/>
      <w:pgSz w:w="11907" w:h="16840" w:code="9"/>
      <w:pgMar w:top="1349" w:right="1021" w:bottom="425" w:left="1021" w:header="1701" w:footer="567" w:gutter="0"/>
      <w:pgNumType w:chapSep="period"/>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12FA40" w15:done="0"/>
  <w15:commentEx w15:paraId="6D173380" w15:done="0"/>
  <w15:commentEx w15:paraId="11932BD4" w15:done="0"/>
  <w15:commentEx w15:paraId="154E392B" w15:done="0"/>
  <w15:commentEx w15:paraId="70F52866" w15:done="0"/>
  <w15:commentEx w15:paraId="623DE4D3" w15:done="0"/>
  <w15:commentEx w15:paraId="26BD95DB" w15:done="0"/>
  <w15:commentEx w15:paraId="522AB2FF" w15:done="0"/>
  <w15:commentEx w15:paraId="42B6B4DB" w15:done="0"/>
  <w15:commentEx w15:paraId="764505E1" w15:done="0"/>
  <w15:commentEx w15:paraId="6FC74EB6" w15:done="0"/>
  <w15:commentEx w15:paraId="70F7A09C" w15:done="0"/>
  <w15:commentEx w15:paraId="7352E314" w15:done="0"/>
  <w15:commentEx w15:paraId="4DDE58CC" w15:done="0"/>
  <w15:commentEx w15:paraId="4135A58A" w15:done="0"/>
  <w15:commentEx w15:paraId="17731FB5" w15:done="0"/>
  <w15:commentEx w15:paraId="36942FDB" w15:done="0"/>
  <w15:commentEx w15:paraId="6DFCBAE0" w15:done="0"/>
  <w15:commentEx w15:paraId="0BEEC9F0" w15:done="0"/>
  <w15:commentEx w15:paraId="65041050" w15:done="0"/>
  <w15:commentEx w15:paraId="67F2C94B" w15:done="0"/>
  <w15:commentEx w15:paraId="6821223A" w15:done="0"/>
  <w15:commentEx w15:paraId="7957A8A7" w15:done="0"/>
  <w15:commentEx w15:paraId="32EE12EB" w15:done="0"/>
  <w15:commentEx w15:paraId="72588BC6" w15:done="0"/>
  <w15:commentEx w15:paraId="1943E9E3" w15:done="0"/>
  <w15:commentEx w15:paraId="5D7071C5" w15:done="0"/>
  <w15:commentEx w15:paraId="3DC97745" w15:done="0"/>
  <w15:commentEx w15:paraId="6D7D6CAC" w15:done="0"/>
  <w15:commentEx w15:paraId="7FBF072E" w15:done="0"/>
  <w15:commentEx w15:paraId="3A3DDEF7" w15:done="0"/>
  <w15:commentEx w15:paraId="6EBABF10" w15:done="0"/>
  <w15:commentEx w15:paraId="0D40B08E" w15:done="0"/>
  <w15:commentEx w15:paraId="05C1EA77" w15:done="0"/>
  <w15:commentEx w15:paraId="7B4C9784" w15:done="0"/>
  <w15:commentEx w15:paraId="445D9D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CD8F9" w14:textId="77777777" w:rsidR="008A3A81" w:rsidRDefault="008A3A81">
      <w:r>
        <w:separator/>
      </w:r>
    </w:p>
  </w:endnote>
  <w:endnote w:type="continuationSeparator" w:id="0">
    <w:p w14:paraId="7B0B19AE" w14:textId="77777777" w:rsidR="008A3A81" w:rsidRDefault="008A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8A3A81" w14:paraId="22DB3992" w14:textId="77777777" w:rsidTr="0019293B">
      <w:trPr>
        <w:trHeight w:hRule="exact" w:val="740"/>
      </w:trPr>
      <w:tc>
        <w:tcPr>
          <w:tcW w:w="510" w:type="dxa"/>
          <w:tcBorders>
            <w:top w:val="single" w:sz="6" w:space="0" w:color="auto"/>
          </w:tcBorders>
        </w:tcPr>
        <w:p w14:paraId="5E3E353B" w14:textId="77777777" w:rsidR="008A3A81" w:rsidRPr="0045783B" w:rsidRDefault="008A3A81" w:rsidP="0019293B">
          <w:pPr>
            <w:pStyle w:val="Footer"/>
            <w:tabs>
              <w:tab w:val="left" w:pos="0"/>
            </w:tabs>
            <w:ind w:right="0"/>
            <w:rPr>
              <w:rStyle w:val="PageNumbe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sidR="00E36A5C">
            <w:rPr>
              <w:rStyle w:val="PageNumber"/>
              <w:caps w:val="0"/>
              <w:noProof/>
            </w:rPr>
            <w:t>2</w:t>
          </w:r>
          <w:r w:rsidRPr="0045783B">
            <w:rPr>
              <w:rStyle w:val="PageNumber"/>
              <w:caps w:val="0"/>
            </w:rPr>
            <w:fldChar w:fldCharType="end"/>
          </w:r>
        </w:p>
      </w:tc>
      <w:tc>
        <w:tcPr>
          <w:tcW w:w="1644" w:type="dxa"/>
          <w:tcBorders>
            <w:top w:val="single" w:sz="6" w:space="0" w:color="auto"/>
          </w:tcBorders>
        </w:tcPr>
        <w:p w14:paraId="138D0C80" w14:textId="15C31E47" w:rsidR="008A3A81" w:rsidRDefault="00ED6941" w:rsidP="0019293B">
          <w:pPr>
            <w:pStyle w:val="Footer"/>
          </w:pPr>
          <w:r>
            <w:t>Natural disaster funding arrangements</w:t>
          </w:r>
        </w:p>
      </w:tc>
      <w:tc>
        <w:tcPr>
          <w:tcW w:w="6634" w:type="dxa"/>
        </w:tcPr>
        <w:p w14:paraId="25254BD7" w14:textId="77777777" w:rsidR="008A3A81" w:rsidRDefault="008A3A81" w:rsidP="0019293B">
          <w:pPr>
            <w:pStyle w:val="Footer"/>
          </w:pPr>
        </w:p>
      </w:tc>
    </w:tr>
  </w:tbl>
  <w:p w14:paraId="4F3C4DEF" w14:textId="77777777" w:rsidR="008A3A81" w:rsidRDefault="008A3A81"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8A3A81" w14:paraId="29725FB1" w14:textId="77777777">
      <w:trPr>
        <w:trHeight w:hRule="exact" w:val="740"/>
      </w:trPr>
      <w:tc>
        <w:tcPr>
          <w:tcW w:w="6634" w:type="dxa"/>
        </w:tcPr>
        <w:p w14:paraId="66272110" w14:textId="77777777" w:rsidR="008A3A81" w:rsidRDefault="008A3A81">
          <w:pPr>
            <w:pStyle w:val="Footer"/>
            <w:ind w:right="360" w:firstLine="360"/>
          </w:pPr>
        </w:p>
      </w:tc>
      <w:tc>
        <w:tcPr>
          <w:tcW w:w="1644" w:type="dxa"/>
          <w:tcBorders>
            <w:top w:val="single" w:sz="6" w:space="0" w:color="auto"/>
          </w:tcBorders>
        </w:tcPr>
        <w:p w14:paraId="062C4725" w14:textId="53A229C2" w:rsidR="008A3A81" w:rsidRDefault="00B71A51" w:rsidP="00082420">
          <w:pPr>
            <w:pStyle w:val="Footer"/>
            <w:tabs>
              <w:tab w:val="center" w:pos="819"/>
            </w:tabs>
          </w:pPr>
          <w:r>
            <w:fldChar w:fldCharType="begin"/>
          </w:r>
          <w:r>
            <w:instrText xml:space="preserve"> TITLE  \* MERGEFORMAT </w:instrText>
          </w:r>
          <w:r>
            <w:fldChar w:fldCharType="end"/>
          </w:r>
          <w:r w:rsidR="00082420">
            <w:t>ISSUES PAPER</w:t>
          </w:r>
        </w:p>
      </w:tc>
      <w:tc>
        <w:tcPr>
          <w:tcW w:w="510" w:type="dxa"/>
          <w:tcBorders>
            <w:top w:val="single" w:sz="6" w:space="0" w:color="auto"/>
          </w:tcBorders>
        </w:tcPr>
        <w:p w14:paraId="6BB2123B" w14:textId="77777777" w:rsidR="008A3A81" w:rsidRPr="00C77DF9" w:rsidRDefault="008A3A81">
          <w:pPr>
            <w:pStyle w:val="Footer"/>
            <w:jc w:val="right"/>
            <w:rPr>
              <w:rFonts w:ascii="Arial Bold" w:hAnsi="Arial Bold"/>
              <w:caps w:val="0"/>
            </w:rPr>
          </w:pPr>
          <w:r w:rsidRPr="00C77DF9">
            <w:rPr>
              <w:rStyle w:val="PageNumber"/>
              <w:rFonts w:ascii="Arial Bold" w:hAnsi="Arial Bold"/>
              <w:caps w:val="0"/>
            </w:rPr>
            <w:fldChar w:fldCharType="begin"/>
          </w:r>
          <w:r w:rsidRPr="00C77DF9">
            <w:rPr>
              <w:rStyle w:val="PageNumber"/>
              <w:rFonts w:ascii="Arial Bold" w:hAnsi="Arial Bold"/>
              <w:caps w:val="0"/>
            </w:rPr>
            <w:instrText xml:space="preserve">PAGE  </w:instrText>
          </w:r>
          <w:r w:rsidRPr="00C77DF9">
            <w:rPr>
              <w:rStyle w:val="PageNumber"/>
              <w:rFonts w:ascii="Arial Bold" w:hAnsi="Arial Bold"/>
              <w:caps w:val="0"/>
            </w:rPr>
            <w:fldChar w:fldCharType="separate"/>
          </w:r>
          <w:r w:rsidR="00E36A5C">
            <w:rPr>
              <w:rStyle w:val="PageNumber"/>
              <w:rFonts w:ascii="Arial Bold" w:hAnsi="Arial Bold"/>
              <w:caps w:val="0"/>
              <w:noProof/>
            </w:rPr>
            <w:t>iii</w:t>
          </w:r>
          <w:r w:rsidRPr="00C77DF9">
            <w:rPr>
              <w:rStyle w:val="PageNumber"/>
              <w:rFonts w:ascii="Arial Bold" w:hAnsi="Arial Bold"/>
              <w:caps w:val="0"/>
            </w:rPr>
            <w:fldChar w:fldCharType="end"/>
          </w:r>
        </w:p>
      </w:tc>
    </w:tr>
  </w:tbl>
  <w:p w14:paraId="23CDBF53" w14:textId="77777777" w:rsidR="008A3A81" w:rsidRDefault="008A3A81">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8A3A81" w14:paraId="62307B2A" w14:textId="77777777">
      <w:trPr>
        <w:trHeight w:hRule="exact" w:val="740"/>
      </w:trPr>
      <w:tc>
        <w:tcPr>
          <w:tcW w:w="6634" w:type="dxa"/>
        </w:tcPr>
        <w:p w14:paraId="01A70A1F" w14:textId="77777777" w:rsidR="008A3A81" w:rsidRDefault="008A3A81">
          <w:pPr>
            <w:pStyle w:val="Footer"/>
            <w:ind w:right="360" w:firstLine="360"/>
          </w:pPr>
        </w:p>
      </w:tc>
      <w:tc>
        <w:tcPr>
          <w:tcW w:w="1644" w:type="dxa"/>
          <w:tcBorders>
            <w:top w:val="single" w:sz="6" w:space="0" w:color="auto"/>
          </w:tcBorders>
        </w:tcPr>
        <w:p w14:paraId="003BEAB5" w14:textId="10DAAE70" w:rsidR="008A3A81" w:rsidRDefault="00082420">
          <w:pPr>
            <w:pStyle w:val="Footer"/>
          </w:pPr>
          <w:r>
            <w:t>ISSUES PAPER</w:t>
          </w:r>
          <w:r w:rsidR="00B71A51">
            <w:fldChar w:fldCharType="begin"/>
          </w:r>
          <w:r w:rsidR="00B71A51">
            <w:instrText xml:space="preserve"> TITLE  \* MERGEFORMAT </w:instrText>
          </w:r>
          <w:r w:rsidR="00B71A51">
            <w:fldChar w:fldCharType="end"/>
          </w:r>
        </w:p>
      </w:tc>
      <w:tc>
        <w:tcPr>
          <w:tcW w:w="510" w:type="dxa"/>
          <w:tcBorders>
            <w:top w:val="single" w:sz="6" w:space="0" w:color="auto"/>
          </w:tcBorders>
        </w:tcPr>
        <w:p w14:paraId="15A7D203" w14:textId="77777777" w:rsidR="008A3A81" w:rsidRDefault="008A3A81">
          <w:pPr>
            <w:pStyle w:val="Footer"/>
            <w:jc w:val="right"/>
          </w:pPr>
          <w:r>
            <w:rPr>
              <w:rStyle w:val="PageNumber"/>
            </w:rPr>
            <w:fldChar w:fldCharType="begin"/>
          </w:r>
          <w:r>
            <w:rPr>
              <w:rStyle w:val="PageNumber"/>
            </w:rPr>
            <w:instrText xml:space="preserve">PAGE  </w:instrText>
          </w:r>
          <w:r>
            <w:rPr>
              <w:rStyle w:val="PageNumber"/>
            </w:rPr>
            <w:fldChar w:fldCharType="separate"/>
          </w:r>
          <w:r w:rsidR="00E36A5C">
            <w:rPr>
              <w:rStyle w:val="PageNumber"/>
              <w:noProof/>
            </w:rPr>
            <w:t>1</w:t>
          </w:r>
          <w:r>
            <w:rPr>
              <w:rStyle w:val="PageNumber"/>
            </w:rPr>
            <w:fldChar w:fldCharType="end"/>
          </w:r>
        </w:p>
      </w:tc>
    </w:tr>
  </w:tbl>
  <w:p w14:paraId="78F1E5ED" w14:textId="77777777" w:rsidR="008A3A81" w:rsidRDefault="008A3A81">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39E7C" w14:textId="77777777" w:rsidR="008A3A81" w:rsidRDefault="008A3A81">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6E537" w14:textId="77777777" w:rsidR="008A3A81" w:rsidRDefault="008A3A81">
      <w:r>
        <w:separator/>
      </w:r>
    </w:p>
  </w:footnote>
  <w:footnote w:type="continuationSeparator" w:id="0">
    <w:p w14:paraId="1194F28A" w14:textId="77777777" w:rsidR="008A3A81" w:rsidRDefault="008A3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8A3A81" w14:paraId="35CC424A" w14:textId="77777777" w:rsidTr="0019293B">
      <w:tc>
        <w:tcPr>
          <w:tcW w:w="2155" w:type="dxa"/>
          <w:tcBorders>
            <w:top w:val="single" w:sz="24" w:space="0" w:color="auto"/>
          </w:tcBorders>
        </w:tcPr>
        <w:p w14:paraId="3FEC2E85" w14:textId="77777777" w:rsidR="008A3A81" w:rsidRDefault="008A3A81" w:rsidP="0019293B">
          <w:pPr>
            <w:pStyle w:val="HeaderEven"/>
          </w:pPr>
        </w:p>
      </w:tc>
      <w:tc>
        <w:tcPr>
          <w:tcW w:w="6634" w:type="dxa"/>
          <w:tcBorders>
            <w:top w:val="single" w:sz="6" w:space="0" w:color="auto"/>
          </w:tcBorders>
        </w:tcPr>
        <w:p w14:paraId="62C189B1" w14:textId="77777777" w:rsidR="008A3A81" w:rsidRDefault="008A3A81" w:rsidP="0019293B">
          <w:pPr>
            <w:pStyle w:val="HeaderEven"/>
          </w:pPr>
        </w:p>
      </w:tc>
    </w:tr>
  </w:tbl>
  <w:p w14:paraId="7817D570" w14:textId="77777777" w:rsidR="008A3A81" w:rsidRDefault="008A3A81"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A3A81" w14:paraId="590945B8" w14:textId="77777777" w:rsidTr="00E669E2">
      <w:tc>
        <w:tcPr>
          <w:tcW w:w="6634" w:type="dxa"/>
          <w:tcBorders>
            <w:top w:val="single" w:sz="6" w:space="0" w:color="auto"/>
          </w:tcBorders>
        </w:tcPr>
        <w:p w14:paraId="2FCFF455" w14:textId="77777777" w:rsidR="008A3A81" w:rsidRDefault="008A3A81" w:rsidP="00E669E2">
          <w:pPr>
            <w:pStyle w:val="HeaderOdd"/>
          </w:pPr>
        </w:p>
      </w:tc>
      <w:tc>
        <w:tcPr>
          <w:tcW w:w="2155" w:type="dxa"/>
          <w:tcBorders>
            <w:top w:val="single" w:sz="24" w:space="0" w:color="auto"/>
          </w:tcBorders>
        </w:tcPr>
        <w:p w14:paraId="57DD1F5E" w14:textId="77777777" w:rsidR="008A3A81" w:rsidRDefault="008A3A81" w:rsidP="00E669E2">
          <w:pPr>
            <w:pStyle w:val="HeaderOdd"/>
          </w:pPr>
        </w:p>
      </w:tc>
    </w:tr>
  </w:tbl>
  <w:p w14:paraId="53C48540" w14:textId="77777777" w:rsidR="008A3A81" w:rsidRDefault="008A3A81"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A3A81" w14:paraId="27FC18B6" w14:textId="77777777" w:rsidTr="00E669E2">
      <w:tc>
        <w:tcPr>
          <w:tcW w:w="6634" w:type="dxa"/>
          <w:tcBorders>
            <w:top w:val="single" w:sz="6" w:space="0" w:color="auto"/>
          </w:tcBorders>
        </w:tcPr>
        <w:p w14:paraId="378FC067" w14:textId="77777777" w:rsidR="008A3A81" w:rsidRDefault="008A3A81" w:rsidP="00E669E2">
          <w:pPr>
            <w:pStyle w:val="HeaderOdd"/>
          </w:pPr>
        </w:p>
      </w:tc>
      <w:tc>
        <w:tcPr>
          <w:tcW w:w="2155" w:type="dxa"/>
          <w:tcBorders>
            <w:top w:val="single" w:sz="24" w:space="0" w:color="auto"/>
          </w:tcBorders>
        </w:tcPr>
        <w:p w14:paraId="20D50A62" w14:textId="77777777" w:rsidR="008A3A81" w:rsidRDefault="008A3A81" w:rsidP="00E669E2">
          <w:pPr>
            <w:pStyle w:val="HeaderOdd"/>
          </w:pPr>
        </w:p>
      </w:tc>
    </w:tr>
  </w:tbl>
  <w:p w14:paraId="0D4CC00F" w14:textId="77777777" w:rsidR="008A3A81" w:rsidRDefault="008A3A81"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7FB15" w14:textId="77777777" w:rsidR="008A3A81" w:rsidRDefault="008A3A81"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080ADBB6"/>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1452FA"/>
    <w:multiLevelType w:val="hybridMultilevel"/>
    <w:tmpl w:val="F79CAD9A"/>
    <w:lvl w:ilvl="0" w:tplc="9A0EAE58">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1AB25CDE"/>
    <w:multiLevelType w:val="singleLevel"/>
    <w:tmpl w:val="3086CA22"/>
    <w:lvl w:ilvl="0">
      <w:start w:val="1"/>
      <w:numFmt w:val="decimal"/>
      <w:lvlText w:val="%1."/>
      <w:legacy w:legacy="1" w:legacySpace="0" w:legacyIndent="340"/>
      <w:lvlJc w:val="left"/>
      <w:pPr>
        <w:ind w:left="340" w:hanging="340"/>
      </w:pPr>
    </w:lvl>
  </w:abstractNum>
  <w:abstractNum w:abstractNumId="18">
    <w:nsid w:val="23FF358D"/>
    <w:multiLevelType w:val="singleLevel"/>
    <w:tmpl w:val="2278E24C"/>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9">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2">
    <w:nsid w:val="51F74561"/>
    <w:multiLevelType w:val="singleLevel"/>
    <w:tmpl w:val="ED98921A"/>
    <w:lvl w:ilvl="0">
      <w:start w:val="1"/>
      <w:numFmt w:val="decimal"/>
      <w:lvlText w:val="%1."/>
      <w:legacy w:legacy="1" w:legacySpace="0" w:legacyIndent="340"/>
      <w:lvlJc w:val="left"/>
      <w:pPr>
        <w:ind w:left="340" w:hanging="340"/>
      </w:pPr>
    </w:lvl>
  </w:abstractNum>
  <w:abstractNum w:abstractNumId="2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5">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7">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28">
    <w:nsid w:val="5A096576"/>
    <w:multiLevelType w:val="singleLevel"/>
    <w:tmpl w:val="ED98921A"/>
    <w:lvl w:ilvl="0">
      <w:start w:val="1"/>
      <w:numFmt w:val="decimal"/>
      <w:lvlText w:val="%1."/>
      <w:legacy w:legacy="1" w:legacySpace="0" w:legacyIndent="340"/>
      <w:lvlJc w:val="left"/>
      <w:pPr>
        <w:ind w:left="340" w:hanging="340"/>
      </w:pPr>
    </w:lvl>
  </w:abstractNum>
  <w:abstractNum w:abstractNumId="29">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0055F7F"/>
    <w:multiLevelType w:val="singleLevel"/>
    <w:tmpl w:val="ED98921A"/>
    <w:lvl w:ilvl="0">
      <w:start w:val="1"/>
      <w:numFmt w:val="decimal"/>
      <w:lvlText w:val="%1."/>
      <w:legacy w:legacy="1" w:legacySpace="0" w:legacyIndent="340"/>
      <w:lvlJc w:val="left"/>
      <w:pPr>
        <w:ind w:left="340" w:hanging="340"/>
      </w:pPr>
    </w:lvl>
  </w:abstractNum>
  <w:abstractNum w:abstractNumId="31">
    <w:nsid w:val="608E741E"/>
    <w:multiLevelType w:val="singleLevel"/>
    <w:tmpl w:val="ED98921A"/>
    <w:lvl w:ilvl="0">
      <w:start w:val="1"/>
      <w:numFmt w:val="decimal"/>
      <w:lvlText w:val="%1."/>
      <w:legacy w:legacy="1" w:legacySpace="0" w:legacyIndent="340"/>
      <w:lvlJc w:val="left"/>
      <w:pPr>
        <w:ind w:left="340" w:hanging="340"/>
      </w:pPr>
    </w:lvl>
  </w:abstractNum>
  <w:abstractNum w:abstractNumId="32">
    <w:nsid w:val="61320C1E"/>
    <w:multiLevelType w:val="singleLevel"/>
    <w:tmpl w:val="C444122C"/>
    <w:lvl w:ilvl="0">
      <w:start w:val="1"/>
      <w:numFmt w:val="decimal"/>
      <w:lvlText w:val="%1."/>
      <w:legacy w:legacy="1" w:legacySpace="0" w:legacyIndent="284"/>
      <w:lvlJc w:val="left"/>
      <w:pPr>
        <w:ind w:left="284" w:hanging="284"/>
      </w:pPr>
    </w:lvl>
  </w:abstractNum>
  <w:abstractNum w:abstractNumId="33">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4">
    <w:nsid w:val="643516F3"/>
    <w:multiLevelType w:val="singleLevel"/>
    <w:tmpl w:val="96689D62"/>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5">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36">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37">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2">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1"/>
  </w:num>
  <w:num w:numId="3">
    <w:abstractNumId w:val="40"/>
  </w:num>
  <w:num w:numId="4">
    <w:abstractNumId w:val="7"/>
  </w:num>
  <w:num w:numId="5">
    <w:abstractNumId w:val="5"/>
  </w:num>
  <w:num w:numId="6">
    <w:abstractNumId w:val="23"/>
  </w:num>
  <w:num w:numId="7">
    <w:abstractNumId w:val="3"/>
  </w:num>
  <w:num w:numId="8">
    <w:abstractNumId w:val="9"/>
  </w:num>
  <w:num w:numId="9">
    <w:abstractNumId w:val="2"/>
  </w:num>
  <w:num w:numId="10">
    <w:abstractNumId w:val="34"/>
  </w:num>
  <w:num w:numId="11">
    <w:abstractNumId w:val="4"/>
  </w:num>
  <w:num w:numId="12">
    <w:abstractNumId w:val="1"/>
  </w:num>
  <w:num w:numId="13">
    <w:abstractNumId w:val="0"/>
  </w:num>
  <w:num w:numId="14">
    <w:abstractNumId w:val="26"/>
  </w:num>
  <w:num w:numId="15">
    <w:abstractNumId w:val="41"/>
  </w:num>
  <w:num w:numId="16">
    <w:abstractNumId w:val="18"/>
  </w:num>
  <w:num w:numId="17">
    <w:abstractNumId w:val="16"/>
  </w:num>
  <w:num w:numId="18">
    <w:abstractNumId w:val="24"/>
  </w:num>
  <w:num w:numId="19">
    <w:abstractNumId w:val="12"/>
  </w:num>
  <w:num w:numId="20">
    <w:abstractNumId w:val="31"/>
  </w:num>
  <w:num w:numId="21">
    <w:abstractNumId w:val="33"/>
  </w:num>
  <w:num w:numId="22">
    <w:abstractNumId w:val="22"/>
  </w:num>
  <w:num w:numId="23">
    <w:abstractNumId w:val="25"/>
  </w:num>
  <w:num w:numId="24">
    <w:abstractNumId w:val="27"/>
  </w:num>
  <w:num w:numId="25">
    <w:abstractNumId w:val="39"/>
  </w:num>
  <w:num w:numId="26">
    <w:abstractNumId w:val="30"/>
  </w:num>
  <w:num w:numId="27">
    <w:abstractNumId w:val="35"/>
  </w:num>
  <w:num w:numId="28">
    <w:abstractNumId w:val="36"/>
  </w:num>
  <w:num w:numId="29">
    <w:abstractNumId w:val="28"/>
  </w:num>
  <w:num w:numId="30">
    <w:abstractNumId w:val="21"/>
  </w:num>
  <w:num w:numId="31">
    <w:abstractNumId w:val="42"/>
  </w:num>
  <w:num w:numId="32">
    <w:abstractNumId w:val="15"/>
  </w:num>
  <w:num w:numId="33">
    <w:abstractNumId w:val="8"/>
  </w:num>
  <w:num w:numId="34">
    <w:abstractNumId w:val="19"/>
  </w:num>
  <w:num w:numId="35">
    <w:abstractNumId w:val="38"/>
  </w:num>
  <w:num w:numId="36">
    <w:abstractNumId w:val="29"/>
  </w:num>
  <w:num w:numId="37">
    <w:abstractNumId w:val="13"/>
  </w:num>
  <w:num w:numId="38">
    <w:abstractNumId w:val="32"/>
  </w:num>
  <w:num w:numId="39">
    <w:abstractNumId w:val="14"/>
  </w:num>
  <w:num w:numId="40">
    <w:abstractNumId w:val="18"/>
  </w:num>
  <w:num w:numId="41">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2">
    <w:abstractNumId w:val="17"/>
  </w:num>
  <w:num w:numId="43">
    <w:abstractNumId w:val="23"/>
  </w:num>
  <w:num w:numId="44">
    <w:abstractNumId w:val="20"/>
  </w:num>
  <w:num w:numId="45">
    <w:abstractNumId w:val="23"/>
  </w:num>
  <w:num w:numId="46">
    <w:abstractNumId w:val="20"/>
  </w:num>
  <w:num w:numId="47">
    <w:abstractNumId w:val="10"/>
  </w:num>
  <w:num w:numId="48">
    <w:abstractNumId w:val="23"/>
  </w:num>
  <w:num w:numId="49">
    <w:abstractNumId w:val="20"/>
  </w:num>
  <w:num w:numId="50">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w15:presenceInfo w15:providerId="None" w15:userId="Ma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Issues Paper"/>
    <w:docVar w:name="ShortReportTitle" w:val="Report"/>
  </w:docVars>
  <w:rsids>
    <w:rsidRoot w:val="00455240"/>
    <w:rsid w:val="000039E3"/>
    <w:rsid w:val="0000649B"/>
    <w:rsid w:val="0000663E"/>
    <w:rsid w:val="00010610"/>
    <w:rsid w:val="00016B58"/>
    <w:rsid w:val="000223AD"/>
    <w:rsid w:val="000227DE"/>
    <w:rsid w:val="0002339A"/>
    <w:rsid w:val="00024BF3"/>
    <w:rsid w:val="00027A73"/>
    <w:rsid w:val="00032744"/>
    <w:rsid w:val="0003664B"/>
    <w:rsid w:val="0004111F"/>
    <w:rsid w:val="00041CE8"/>
    <w:rsid w:val="00043B76"/>
    <w:rsid w:val="00046AD2"/>
    <w:rsid w:val="000573B7"/>
    <w:rsid w:val="00061FD5"/>
    <w:rsid w:val="00062CF4"/>
    <w:rsid w:val="0007150B"/>
    <w:rsid w:val="00082420"/>
    <w:rsid w:val="0008264D"/>
    <w:rsid w:val="00085954"/>
    <w:rsid w:val="00086A80"/>
    <w:rsid w:val="00087BE9"/>
    <w:rsid w:val="000910EC"/>
    <w:rsid w:val="0009292A"/>
    <w:rsid w:val="000938F5"/>
    <w:rsid w:val="000959A2"/>
    <w:rsid w:val="000B2564"/>
    <w:rsid w:val="000B601B"/>
    <w:rsid w:val="000C207E"/>
    <w:rsid w:val="000C3E1C"/>
    <w:rsid w:val="000C6086"/>
    <w:rsid w:val="000D558C"/>
    <w:rsid w:val="000D711C"/>
    <w:rsid w:val="000D7A6A"/>
    <w:rsid w:val="000E2274"/>
    <w:rsid w:val="000E253E"/>
    <w:rsid w:val="000E299A"/>
    <w:rsid w:val="000E718A"/>
    <w:rsid w:val="000F0DE4"/>
    <w:rsid w:val="000F57CD"/>
    <w:rsid w:val="000F6199"/>
    <w:rsid w:val="001010BD"/>
    <w:rsid w:val="00104477"/>
    <w:rsid w:val="00104C3D"/>
    <w:rsid w:val="00104D7A"/>
    <w:rsid w:val="00105A97"/>
    <w:rsid w:val="001063D7"/>
    <w:rsid w:val="00110116"/>
    <w:rsid w:val="00111228"/>
    <w:rsid w:val="00113213"/>
    <w:rsid w:val="00114891"/>
    <w:rsid w:val="00114B7F"/>
    <w:rsid w:val="00117DB6"/>
    <w:rsid w:val="0012645C"/>
    <w:rsid w:val="00126EB8"/>
    <w:rsid w:val="001305A4"/>
    <w:rsid w:val="0013171B"/>
    <w:rsid w:val="0013176F"/>
    <w:rsid w:val="001363AA"/>
    <w:rsid w:val="001373BC"/>
    <w:rsid w:val="0014299E"/>
    <w:rsid w:val="0015764C"/>
    <w:rsid w:val="0016138F"/>
    <w:rsid w:val="0016338F"/>
    <w:rsid w:val="00172022"/>
    <w:rsid w:val="001844AC"/>
    <w:rsid w:val="0019293B"/>
    <w:rsid w:val="001A0EFD"/>
    <w:rsid w:val="001A1C22"/>
    <w:rsid w:val="001A1FD0"/>
    <w:rsid w:val="001A3324"/>
    <w:rsid w:val="001B0507"/>
    <w:rsid w:val="001B1BB5"/>
    <w:rsid w:val="001B651E"/>
    <w:rsid w:val="001B6932"/>
    <w:rsid w:val="001C0865"/>
    <w:rsid w:val="001C3ABA"/>
    <w:rsid w:val="001C7311"/>
    <w:rsid w:val="001D2282"/>
    <w:rsid w:val="001D35B6"/>
    <w:rsid w:val="001D4F37"/>
    <w:rsid w:val="001E1E5D"/>
    <w:rsid w:val="001E3345"/>
    <w:rsid w:val="001E40C3"/>
    <w:rsid w:val="001E55CB"/>
    <w:rsid w:val="001E7BE8"/>
    <w:rsid w:val="001F0248"/>
    <w:rsid w:val="002014D8"/>
    <w:rsid w:val="00202529"/>
    <w:rsid w:val="00202C2C"/>
    <w:rsid w:val="002050BD"/>
    <w:rsid w:val="00205E8A"/>
    <w:rsid w:val="0022309B"/>
    <w:rsid w:val="002238A2"/>
    <w:rsid w:val="00225967"/>
    <w:rsid w:val="00226F9D"/>
    <w:rsid w:val="00231396"/>
    <w:rsid w:val="002326FF"/>
    <w:rsid w:val="002352C2"/>
    <w:rsid w:val="00242279"/>
    <w:rsid w:val="00246816"/>
    <w:rsid w:val="002649C5"/>
    <w:rsid w:val="002717AD"/>
    <w:rsid w:val="00274C3E"/>
    <w:rsid w:val="0028049F"/>
    <w:rsid w:val="00291574"/>
    <w:rsid w:val="00291B40"/>
    <w:rsid w:val="002947D4"/>
    <w:rsid w:val="0029660D"/>
    <w:rsid w:val="002969B3"/>
    <w:rsid w:val="002B1FB7"/>
    <w:rsid w:val="002B25A6"/>
    <w:rsid w:val="002B4008"/>
    <w:rsid w:val="002C3AE6"/>
    <w:rsid w:val="002D0E8E"/>
    <w:rsid w:val="002D51C7"/>
    <w:rsid w:val="002D558D"/>
    <w:rsid w:val="002D5F8F"/>
    <w:rsid w:val="002D61AF"/>
    <w:rsid w:val="002D6D8B"/>
    <w:rsid w:val="002F21CF"/>
    <w:rsid w:val="00301189"/>
    <w:rsid w:val="00301826"/>
    <w:rsid w:val="00304807"/>
    <w:rsid w:val="00305DA2"/>
    <w:rsid w:val="00311B71"/>
    <w:rsid w:val="00316E3A"/>
    <w:rsid w:val="00321B51"/>
    <w:rsid w:val="00323E09"/>
    <w:rsid w:val="00325D04"/>
    <w:rsid w:val="00330204"/>
    <w:rsid w:val="00330F53"/>
    <w:rsid w:val="00333932"/>
    <w:rsid w:val="003351A3"/>
    <w:rsid w:val="003428AE"/>
    <w:rsid w:val="003441C6"/>
    <w:rsid w:val="003518AA"/>
    <w:rsid w:val="00352FD8"/>
    <w:rsid w:val="00353182"/>
    <w:rsid w:val="00356D93"/>
    <w:rsid w:val="003602E1"/>
    <w:rsid w:val="0036724E"/>
    <w:rsid w:val="00371240"/>
    <w:rsid w:val="00374731"/>
    <w:rsid w:val="003758F6"/>
    <w:rsid w:val="00381C7E"/>
    <w:rsid w:val="003825E4"/>
    <w:rsid w:val="00382DBA"/>
    <w:rsid w:val="003831EC"/>
    <w:rsid w:val="00387EB2"/>
    <w:rsid w:val="003955E1"/>
    <w:rsid w:val="003B174B"/>
    <w:rsid w:val="003B4991"/>
    <w:rsid w:val="003B6BA4"/>
    <w:rsid w:val="003C0917"/>
    <w:rsid w:val="003C37C3"/>
    <w:rsid w:val="003C38B5"/>
    <w:rsid w:val="003C5D99"/>
    <w:rsid w:val="003D00CE"/>
    <w:rsid w:val="003D530D"/>
    <w:rsid w:val="003D5E63"/>
    <w:rsid w:val="003E7545"/>
    <w:rsid w:val="003E7CE5"/>
    <w:rsid w:val="003F0789"/>
    <w:rsid w:val="00401882"/>
    <w:rsid w:val="004025E6"/>
    <w:rsid w:val="0040531D"/>
    <w:rsid w:val="004057C5"/>
    <w:rsid w:val="004100C8"/>
    <w:rsid w:val="00412ACE"/>
    <w:rsid w:val="00413E25"/>
    <w:rsid w:val="00420A39"/>
    <w:rsid w:val="00431249"/>
    <w:rsid w:val="00432694"/>
    <w:rsid w:val="00434C19"/>
    <w:rsid w:val="00440E92"/>
    <w:rsid w:val="00441EF1"/>
    <w:rsid w:val="00442623"/>
    <w:rsid w:val="00450810"/>
    <w:rsid w:val="004539D4"/>
    <w:rsid w:val="00454CEC"/>
    <w:rsid w:val="00455240"/>
    <w:rsid w:val="0045783B"/>
    <w:rsid w:val="00457B47"/>
    <w:rsid w:val="004601E8"/>
    <w:rsid w:val="00466614"/>
    <w:rsid w:val="00471066"/>
    <w:rsid w:val="00477144"/>
    <w:rsid w:val="00477DCB"/>
    <w:rsid w:val="004839D5"/>
    <w:rsid w:val="0049459F"/>
    <w:rsid w:val="004949A5"/>
    <w:rsid w:val="004A3B61"/>
    <w:rsid w:val="004B0343"/>
    <w:rsid w:val="004B3FE5"/>
    <w:rsid w:val="004B43AE"/>
    <w:rsid w:val="004C2D79"/>
    <w:rsid w:val="004C30ED"/>
    <w:rsid w:val="004C4F8D"/>
    <w:rsid w:val="004D0DE9"/>
    <w:rsid w:val="004E1909"/>
    <w:rsid w:val="004E5C67"/>
    <w:rsid w:val="004F1E09"/>
    <w:rsid w:val="0051123C"/>
    <w:rsid w:val="00512FA3"/>
    <w:rsid w:val="0052090F"/>
    <w:rsid w:val="005216E1"/>
    <w:rsid w:val="00532B45"/>
    <w:rsid w:val="0053391E"/>
    <w:rsid w:val="005345CF"/>
    <w:rsid w:val="00540327"/>
    <w:rsid w:val="00542451"/>
    <w:rsid w:val="0054767C"/>
    <w:rsid w:val="00550080"/>
    <w:rsid w:val="00554B2F"/>
    <w:rsid w:val="00554E65"/>
    <w:rsid w:val="00557893"/>
    <w:rsid w:val="0057451C"/>
    <w:rsid w:val="00575A11"/>
    <w:rsid w:val="00576071"/>
    <w:rsid w:val="00583C39"/>
    <w:rsid w:val="005909CF"/>
    <w:rsid w:val="00591E71"/>
    <w:rsid w:val="005A65BB"/>
    <w:rsid w:val="005B400B"/>
    <w:rsid w:val="005C69C8"/>
    <w:rsid w:val="005E201A"/>
    <w:rsid w:val="005F1937"/>
    <w:rsid w:val="005F209C"/>
    <w:rsid w:val="005F460C"/>
    <w:rsid w:val="005F6B02"/>
    <w:rsid w:val="00603246"/>
    <w:rsid w:val="00603B98"/>
    <w:rsid w:val="00607BF1"/>
    <w:rsid w:val="00610578"/>
    <w:rsid w:val="00617179"/>
    <w:rsid w:val="00622076"/>
    <w:rsid w:val="00625488"/>
    <w:rsid w:val="00630C2B"/>
    <w:rsid w:val="00630D4D"/>
    <w:rsid w:val="00632809"/>
    <w:rsid w:val="00632A74"/>
    <w:rsid w:val="006445C0"/>
    <w:rsid w:val="00645034"/>
    <w:rsid w:val="00651AC3"/>
    <w:rsid w:val="006528F4"/>
    <w:rsid w:val="006626BC"/>
    <w:rsid w:val="006649D0"/>
    <w:rsid w:val="00666B25"/>
    <w:rsid w:val="00666C87"/>
    <w:rsid w:val="00681ADE"/>
    <w:rsid w:val="006852CC"/>
    <w:rsid w:val="0068796B"/>
    <w:rsid w:val="006927FE"/>
    <w:rsid w:val="006944E7"/>
    <w:rsid w:val="006956BF"/>
    <w:rsid w:val="006A4655"/>
    <w:rsid w:val="006C4692"/>
    <w:rsid w:val="006C7038"/>
    <w:rsid w:val="006C72B7"/>
    <w:rsid w:val="006D5DF1"/>
    <w:rsid w:val="006E2560"/>
    <w:rsid w:val="006E40C2"/>
    <w:rsid w:val="006E73EF"/>
    <w:rsid w:val="006F1A99"/>
    <w:rsid w:val="006F3F65"/>
    <w:rsid w:val="006F6434"/>
    <w:rsid w:val="006F68E2"/>
    <w:rsid w:val="00704D92"/>
    <w:rsid w:val="00707F23"/>
    <w:rsid w:val="00710A07"/>
    <w:rsid w:val="0071156C"/>
    <w:rsid w:val="007134B6"/>
    <w:rsid w:val="00715DF9"/>
    <w:rsid w:val="00725F49"/>
    <w:rsid w:val="0072614B"/>
    <w:rsid w:val="00726295"/>
    <w:rsid w:val="007319A6"/>
    <w:rsid w:val="0073303A"/>
    <w:rsid w:val="00734987"/>
    <w:rsid w:val="007354B8"/>
    <w:rsid w:val="00746813"/>
    <w:rsid w:val="0075004A"/>
    <w:rsid w:val="0075050B"/>
    <w:rsid w:val="00751E6B"/>
    <w:rsid w:val="00756034"/>
    <w:rsid w:val="00757FBB"/>
    <w:rsid w:val="007604BB"/>
    <w:rsid w:val="00762822"/>
    <w:rsid w:val="0076373E"/>
    <w:rsid w:val="0076630B"/>
    <w:rsid w:val="007817EA"/>
    <w:rsid w:val="00786A9C"/>
    <w:rsid w:val="00790426"/>
    <w:rsid w:val="0079631D"/>
    <w:rsid w:val="007A0878"/>
    <w:rsid w:val="007A1782"/>
    <w:rsid w:val="007A21EB"/>
    <w:rsid w:val="007A5D67"/>
    <w:rsid w:val="007A66DD"/>
    <w:rsid w:val="007A7771"/>
    <w:rsid w:val="007B36BD"/>
    <w:rsid w:val="007B7F44"/>
    <w:rsid w:val="007C36C9"/>
    <w:rsid w:val="007C6B38"/>
    <w:rsid w:val="007C7FBF"/>
    <w:rsid w:val="007D564E"/>
    <w:rsid w:val="007D61BD"/>
    <w:rsid w:val="007E01E4"/>
    <w:rsid w:val="007E2C5C"/>
    <w:rsid w:val="007E4015"/>
    <w:rsid w:val="007E65CD"/>
    <w:rsid w:val="007F1D96"/>
    <w:rsid w:val="007F2FA7"/>
    <w:rsid w:val="007F7107"/>
    <w:rsid w:val="00802925"/>
    <w:rsid w:val="008056D6"/>
    <w:rsid w:val="0081030F"/>
    <w:rsid w:val="0082087D"/>
    <w:rsid w:val="008219CC"/>
    <w:rsid w:val="00830A03"/>
    <w:rsid w:val="00833045"/>
    <w:rsid w:val="008429A9"/>
    <w:rsid w:val="00842E76"/>
    <w:rsid w:val="00845F9E"/>
    <w:rsid w:val="00853A5C"/>
    <w:rsid w:val="00855846"/>
    <w:rsid w:val="00860232"/>
    <w:rsid w:val="0086082C"/>
    <w:rsid w:val="0086160A"/>
    <w:rsid w:val="008622DE"/>
    <w:rsid w:val="008647B5"/>
    <w:rsid w:val="00864ADC"/>
    <w:rsid w:val="00866656"/>
    <w:rsid w:val="00870309"/>
    <w:rsid w:val="00873A98"/>
    <w:rsid w:val="00874835"/>
    <w:rsid w:val="00880153"/>
    <w:rsid w:val="00880F97"/>
    <w:rsid w:val="0088133A"/>
    <w:rsid w:val="0089285E"/>
    <w:rsid w:val="008930A1"/>
    <w:rsid w:val="0089436C"/>
    <w:rsid w:val="00897E64"/>
    <w:rsid w:val="008A3A81"/>
    <w:rsid w:val="008A3CEE"/>
    <w:rsid w:val="008A58E8"/>
    <w:rsid w:val="008B1305"/>
    <w:rsid w:val="008B3F01"/>
    <w:rsid w:val="008B75E3"/>
    <w:rsid w:val="008C0510"/>
    <w:rsid w:val="008C54E1"/>
    <w:rsid w:val="008C75ED"/>
    <w:rsid w:val="008C7A04"/>
    <w:rsid w:val="008D5D8B"/>
    <w:rsid w:val="008E0EC1"/>
    <w:rsid w:val="008E1E11"/>
    <w:rsid w:val="008F11F4"/>
    <w:rsid w:val="008F2801"/>
    <w:rsid w:val="00901B81"/>
    <w:rsid w:val="00901BA6"/>
    <w:rsid w:val="00902F5D"/>
    <w:rsid w:val="009030BF"/>
    <w:rsid w:val="00905590"/>
    <w:rsid w:val="00914368"/>
    <w:rsid w:val="00927276"/>
    <w:rsid w:val="00931076"/>
    <w:rsid w:val="009345D9"/>
    <w:rsid w:val="00934B15"/>
    <w:rsid w:val="00942B62"/>
    <w:rsid w:val="00956A0C"/>
    <w:rsid w:val="00956BD9"/>
    <w:rsid w:val="009621DF"/>
    <w:rsid w:val="00962489"/>
    <w:rsid w:val="00962DF7"/>
    <w:rsid w:val="00965439"/>
    <w:rsid w:val="00965B0F"/>
    <w:rsid w:val="00966171"/>
    <w:rsid w:val="00967EC6"/>
    <w:rsid w:val="009848C2"/>
    <w:rsid w:val="00995BB2"/>
    <w:rsid w:val="0099627E"/>
    <w:rsid w:val="009A0A9C"/>
    <w:rsid w:val="009A2B85"/>
    <w:rsid w:val="009A309D"/>
    <w:rsid w:val="009A45EA"/>
    <w:rsid w:val="009B502C"/>
    <w:rsid w:val="009C2DBB"/>
    <w:rsid w:val="009C76CD"/>
    <w:rsid w:val="009D5CAD"/>
    <w:rsid w:val="009D67C9"/>
    <w:rsid w:val="009E1C2E"/>
    <w:rsid w:val="009E290C"/>
    <w:rsid w:val="009F0EBF"/>
    <w:rsid w:val="009F3DF2"/>
    <w:rsid w:val="009F444A"/>
    <w:rsid w:val="009F696D"/>
    <w:rsid w:val="009F6BC6"/>
    <w:rsid w:val="00A02B5E"/>
    <w:rsid w:val="00A10156"/>
    <w:rsid w:val="00A14CEE"/>
    <w:rsid w:val="00A169B5"/>
    <w:rsid w:val="00A17328"/>
    <w:rsid w:val="00A204FF"/>
    <w:rsid w:val="00A215FC"/>
    <w:rsid w:val="00A2703A"/>
    <w:rsid w:val="00A33DFF"/>
    <w:rsid w:val="00A35115"/>
    <w:rsid w:val="00A35176"/>
    <w:rsid w:val="00A41A28"/>
    <w:rsid w:val="00A47021"/>
    <w:rsid w:val="00A5161A"/>
    <w:rsid w:val="00A516A2"/>
    <w:rsid w:val="00A52954"/>
    <w:rsid w:val="00A53231"/>
    <w:rsid w:val="00A54967"/>
    <w:rsid w:val="00A554AB"/>
    <w:rsid w:val="00A55F9B"/>
    <w:rsid w:val="00A72BE1"/>
    <w:rsid w:val="00A73117"/>
    <w:rsid w:val="00A759BE"/>
    <w:rsid w:val="00A76D1C"/>
    <w:rsid w:val="00A9202A"/>
    <w:rsid w:val="00A9452B"/>
    <w:rsid w:val="00A94FA6"/>
    <w:rsid w:val="00AA12A4"/>
    <w:rsid w:val="00AA3DFE"/>
    <w:rsid w:val="00AA6710"/>
    <w:rsid w:val="00AB0681"/>
    <w:rsid w:val="00AB06DE"/>
    <w:rsid w:val="00AB1DD2"/>
    <w:rsid w:val="00AB50AF"/>
    <w:rsid w:val="00AB76A8"/>
    <w:rsid w:val="00AC3211"/>
    <w:rsid w:val="00AD3142"/>
    <w:rsid w:val="00AE0306"/>
    <w:rsid w:val="00AE1570"/>
    <w:rsid w:val="00AE20A9"/>
    <w:rsid w:val="00AE22CA"/>
    <w:rsid w:val="00AE628D"/>
    <w:rsid w:val="00AF035D"/>
    <w:rsid w:val="00B037D3"/>
    <w:rsid w:val="00B055F9"/>
    <w:rsid w:val="00B14563"/>
    <w:rsid w:val="00B155B4"/>
    <w:rsid w:val="00B2363E"/>
    <w:rsid w:val="00B26779"/>
    <w:rsid w:val="00B36874"/>
    <w:rsid w:val="00B53E7E"/>
    <w:rsid w:val="00B55892"/>
    <w:rsid w:val="00B6342E"/>
    <w:rsid w:val="00B6771D"/>
    <w:rsid w:val="00B706A7"/>
    <w:rsid w:val="00B7113F"/>
    <w:rsid w:val="00B71A51"/>
    <w:rsid w:val="00B7236D"/>
    <w:rsid w:val="00B73B23"/>
    <w:rsid w:val="00B73F09"/>
    <w:rsid w:val="00B80694"/>
    <w:rsid w:val="00B8069E"/>
    <w:rsid w:val="00B80E94"/>
    <w:rsid w:val="00B94C79"/>
    <w:rsid w:val="00B94FFA"/>
    <w:rsid w:val="00B96946"/>
    <w:rsid w:val="00BA0C0C"/>
    <w:rsid w:val="00BA4C81"/>
    <w:rsid w:val="00BA55FE"/>
    <w:rsid w:val="00BA7302"/>
    <w:rsid w:val="00BA73B6"/>
    <w:rsid w:val="00BB4FCD"/>
    <w:rsid w:val="00BB52CD"/>
    <w:rsid w:val="00BB5BE4"/>
    <w:rsid w:val="00BC0ED2"/>
    <w:rsid w:val="00BC41E0"/>
    <w:rsid w:val="00BD090A"/>
    <w:rsid w:val="00BD13EA"/>
    <w:rsid w:val="00BD18A2"/>
    <w:rsid w:val="00BD4B48"/>
    <w:rsid w:val="00BD7CCB"/>
    <w:rsid w:val="00BE1E31"/>
    <w:rsid w:val="00BE3808"/>
    <w:rsid w:val="00BE38D2"/>
    <w:rsid w:val="00BE6EA3"/>
    <w:rsid w:val="00BE7D13"/>
    <w:rsid w:val="00C02859"/>
    <w:rsid w:val="00C062E9"/>
    <w:rsid w:val="00C06F97"/>
    <w:rsid w:val="00C13703"/>
    <w:rsid w:val="00C13721"/>
    <w:rsid w:val="00C148C4"/>
    <w:rsid w:val="00C1516A"/>
    <w:rsid w:val="00C1724F"/>
    <w:rsid w:val="00C30365"/>
    <w:rsid w:val="00C34002"/>
    <w:rsid w:val="00C36FC1"/>
    <w:rsid w:val="00C436E8"/>
    <w:rsid w:val="00C53FBC"/>
    <w:rsid w:val="00C543F4"/>
    <w:rsid w:val="00C6291C"/>
    <w:rsid w:val="00C633CB"/>
    <w:rsid w:val="00C63F5E"/>
    <w:rsid w:val="00C6680C"/>
    <w:rsid w:val="00C77DF9"/>
    <w:rsid w:val="00C80D7E"/>
    <w:rsid w:val="00C86B20"/>
    <w:rsid w:val="00C8750D"/>
    <w:rsid w:val="00C8762C"/>
    <w:rsid w:val="00C927E2"/>
    <w:rsid w:val="00C9639E"/>
    <w:rsid w:val="00CA00F9"/>
    <w:rsid w:val="00CA2961"/>
    <w:rsid w:val="00CA4603"/>
    <w:rsid w:val="00CA59F1"/>
    <w:rsid w:val="00CA68BB"/>
    <w:rsid w:val="00CA68E8"/>
    <w:rsid w:val="00CB0CD3"/>
    <w:rsid w:val="00CB4249"/>
    <w:rsid w:val="00CB50D7"/>
    <w:rsid w:val="00CB7177"/>
    <w:rsid w:val="00CB7F38"/>
    <w:rsid w:val="00CC1998"/>
    <w:rsid w:val="00CC3423"/>
    <w:rsid w:val="00CC3BBE"/>
    <w:rsid w:val="00CC4946"/>
    <w:rsid w:val="00CD19E9"/>
    <w:rsid w:val="00CD2924"/>
    <w:rsid w:val="00CD3645"/>
    <w:rsid w:val="00CF2CCE"/>
    <w:rsid w:val="00CF3F21"/>
    <w:rsid w:val="00CF6A34"/>
    <w:rsid w:val="00CF78A1"/>
    <w:rsid w:val="00D0075D"/>
    <w:rsid w:val="00D03FFA"/>
    <w:rsid w:val="00D065C5"/>
    <w:rsid w:val="00D10292"/>
    <w:rsid w:val="00D270A4"/>
    <w:rsid w:val="00D27A48"/>
    <w:rsid w:val="00D34E1B"/>
    <w:rsid w:val="00D35EDD"/>
    <w:rsid w:val="00D36116"/>
    <w:rsid w:val="00D36ADF"/>
    <w:rsid w:val="00D40EC9"/>
    <w:rsid w:val="00D4176D"/>
    <w:rsid w:val="00D44729"/>
    <w:rsid w:val="00D44960"/>
    <w:rsid w:val="00D452A4"/>
    <w:rsid w:val="00D46153"/>
    <w:rsid w:val="00D533EE"/>
    <w:rsid w:val="00D53F92"/>
    <w:rsid w:val="00D57EC0"/>
    <w:rsid w:val="00D63D73"/>
    <w:rsid w:val="00D66E1E"/>
    <w:rsid w:val="00D741EF"/>
    <w:rsid w:val="00D75722"/>
    <w:rsid w:val="00D8195E"/>
    <w:rsid w:val="00D843AA"/>
    <w:rsid w:val="00D85EF3"/>
    <w:rsid w:val="00D9014B"/>
    <w:rsid w:val="00D972D8"/>
    <w:rsid w:val="00DA6F7B"/>
    <w:rsid w:val="00DB67C9"/>
    <w:rsid w:val="00DC0057"/>
    <w:rsid w:val="00DC0C95"/>
    <w:rsid w:val="00DC57B3"/>
    <w:rsid w:val="00DC6F29"/>
    <w:rsid w:val="00DD0B25"/>
    <w:rsid w:val="00DD54CC"/>
    <w:rsid w:val="00DD6580"/>
    <w:rsid w:val="00DE3C2F"/>
    <w:rsid w:val="00DE51CC"/>
    <w:rsid w:val="00DE67F0"/>
    <w:rsid w:val="00DE6FD7"/>
    <w:rsid w:val="00DF3FF8"/>
    <w:rsid w:val="00DF54DD"/>
    <w:rsid w:val="00DF6BF3"/>
    <w:rsid w:val="00E01E4F"/>
    <w:rsid w:val="00E07744"/>
    <w:rsid w:val="00E1027B"/>
    <w:rsid w:val="00E11DEE"/>
    <w:rsid w:val="00E17C72"/>
    <w:rsid w:val="00E20F32"/>
    <w:rsid w:val="00E36A5C"/>
    <w:rsid w:val="00E474EC"/>
    <w:rsid w:val="00E504B3"/>
    <w:rsid w:val="00E547EC"/>
    <w:rsid w:val="00E5544B"/>
    <w:rsid w:val="00E57664"/>
    <w:rsid w:val="00E654C3"/>
    <w:rsid w:val="00E669D0"/>
    <w:rsid w:val="00E669E2"/>
    <w:rsid w:val="00E70671"/>
    <w:rsid w:val="00E7175C"/>
    <w:rsid w:val="00E71D8F"/>
    <w:rsid w:val="00E76135"/>
    <w:rsid w:val="00E77293"/>
    <w:rsid w:val="00E774B9"/>
    <w:rsid w:val="00E777AD"/>
    <w:rsid w:val="00E85BD4"/>
    <w:rsid w:val="00E9086A"/>
    <w:rsid w:val="00E9135F"/>
    <w:rsid w:val="00E93DA3"/>
    <w:rsid w:val="00E94523"/>
    <w:rsid w:val="00EA361E"/>
    <w:rsid w:val="00EA5C94"/>
    <w:rsid w:val="00EA682A"/>
    <w:rsid w:val="00EB013B"/>
    <w:rsid w:val="00EB3584"/>
    <w:rsid w:val="00EB4C9E"/>
    <w:rsid w:val="00EB5032"/>
    <w:rsid w:val="00EB6ADD"/>
    <w:rsid w:val="00ED00DB"/>
    <w:rsid w:val="00ED048A"/>
    <w:rsid w:val="00ED6941"/>
    <w:rsid w:val="00ED7DA1"/>
    <w:rsid w:val="00EE1FBB"/>
    <w:rsid w:val="00F01B46"/>
    <w:rsid w:val="00F056FC"/>
    <w:rsid w:val="00F062BC"/>
    <w:rsid w:val="00F06D50"/>
    <w:rsid w:val="00F11975"/>
    <w:rsid w:val="00F135D8"/>
    <w:rsid w:val="00F14BC4"/>
    <w:rsid w:val="00F16DC7"/>
    <w:rsid w:val="00F17315"/>
    <w:rsid w:val="00F21DF5"/>
    <w:rsid w:val="00F22896"/>
    <w:rsid w:val="00F22C99"/>
    <w:rsid w:val="00F31299"/>
    <w:rsid w:val="00F3534A"/>
    <w:rsid w:val="00F36273"/>
    <w:rsid w:val="00F369CA"/>
    <w:rsid w:val="00F417AC"/>
    <w:rsid w:val="00F41C13"/>
    <w:rsid w:val="00F449EC"/>
    <w:rsid w:val="00F51917"/>
    <w:rsid w:val="00F5471D"/>
    <w:rsid w:val="00F61D57"/>
    <w:rsid w:val="00F62E1D"/>
    <w:rsid w:val="00F63A6F"/>
    <w:rsid w:val="00F64503"/>
    <w:rsid w:val="00F745C9"/>
    <w:rsid w:val="00F815E6"/>
    <w:rsid w:val="00F82165"/>
    <w:rsid w:val="00F82798"/>
    <w:rsid w:val="00F83C5A"/>
    <w:rsid w:val="00F85325"/>
    <w:rsid w:val="00F873EC"/>
    <w:rsid w:val="00F968B9"/>
    <w:rsid w:val="00FA11A2"/>
    <w:rsid w:val="00FC0762"/>
    <w:rsid w:val="00FC456C"/>
    <w:rsid w:val="00FC70DF"/>
    <w:rsid w:val="00FD22B1"/>
    <w:rsid w:val="00FD2E38"/>
    <w:rsid w:val="00FD3307"/>
    <w:rsid w:val="00FD70ED"/>
    <w:rsid w:val="00FF0777"/>
    <w:rsid w:val="00FF1230"/>
    <w:rsid w:val="00FF21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B43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B98"/>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qFormat/>
    <w:rsid w:val="00A17328"/>
    <w:pPr>
      <w:spacing w:after="60"/>
      <w:jc w:val="left"/>
      <w:outlineLvl w:val="5"/>
    </w:pPr>
    <w:rPr>
      <w:i/>
      <w:sz w:val="22"/>
    </w:rPr>
  </w:style>
  <w:style w:type="paragraph" w:styleId="Heading7">
    <w:name w:val="heading 7"/>
    <w:basedOn w:val="BodyText"/>
    <w:next w:val="BodyText"/>
    <w:qFormat/>
    <w:rsid w:val="00A17328"/>
    <w:pPr>
      <w:spacing w:after="60" w:line="240" w:lineRule="auto"/>
      <w:jc w:val="left"/>
      <w:outlineLvl w:val="6"/>
    </w:pPr>
    <w:rPr>
      <w:rFonts w:ascii="Arial" w:hAnsi="Arial"/>
      <w:sz w:val="20"/>
    </w:rPr>
  </w:style>
  <w:style w:type="paragraph" w:styleId="Heading8">
    <w:name w:val="heading 8"/>
    <w:basedOn w:val="BodyText"/>
    <w:next w:val="BodyText"/>
    <w:qFormat/>
    <w:rsid w:val="00A17328"/>
    <w:pPr>
      <w:spacing w:after="60" w:line="240" w:lineRule="auto"/>
      <w:jc w:val="left"/>
      <w:outlineLvl w:val="7"/>
    </w:pPr>
    <w:rPr>
      <w:rFonts w:ascii="Arial" w:hAnsi="Arial"/>
      <w:i/>
      <w:sz w:val="20"/>
    </w:rPr>
  </w:style>
  <w:style w:type="paragraph" w:styleId="Heading9">
    <w:name w:val="heading 9"/>
    <w:basedOn w:val="BodyText"/>
    <w:next w:val="BodyText"/>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39"/>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774B9"/>
    <w:pPr>
      <w:spacing w:before="120" w:after="0"/>
      <w:ind w:left="1304" w:hanging="1304"/>
    </w:pPr>
    <w:rPr>
      <w:sz w:val="26"/>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link w:val="ChapterChar"/>
    <w:semiHidden/>
    <w:rsid w:val="00A17328"/>
    <w:pPr>
      <w:ind w:left="0" w:firstLine="0"/>
      <w:outlineLvl w:val="9"/>
    </w:pPr>
  </w:style>
  <w:style w:type="paragraph" w:customStyle="1" w:styleId="ChapterSummary">
    <w:name w:val="Chapter Summary"/>
    <w:basedOn w:val="BodyText"/>
    <w:semiHidden/>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17328"/>
  </w:style>
  <w:style w:type="paragraph" w:styleId="Subtitle">
    <w:name w:val="Subtitle"/>
    <w:basedOn w:val="Caption"/>
    <w:link w:val="SubtitleChar"/>
    <w:qFormat/>
    <w:rsid w:val="00A17328"/>
    <w:pPr>
      <w:spacing w:before="0" w:line="200" w:lineRule="exact"/>
      <w:ind w:firstLine="0"/>
    </w:pPr>
    <w:rPr>
      <w:b w:val="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rPr>
  </w:style>
  <w:style w:type="paragraph" w:customStyle="1" w:styleId="RecBBullet">
    <w:name w:val="RecB Bullet"/>
    <w:basedOn w:val="RecB"/>
    <w:rsid w:val="00F85325"/>
    <w:pPr>
      <w:numPr>
        <w:numId w:val="40"/>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uiPriority w:val="39"/>
    <w:qFormat/>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17328"/>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character" w:customStyle="1" w:styleId="BodyTextChar">
    <w:name w:val="Body Text Char"/>
    <w:basedOn w:val="DefaultParagraphFont"/>
    <w:link w:val="BodyText"/>
    <w:rsid w:val="0008264D"/>
    <w:rPr>
      <w:sz w:val="26"/>
      <w:lang w:val="en-AU" w:eastAsia="en-AU" w:bidi="ar-SA"/>
    </w:rPr>
  </w:style>
  <w:style w:type="character" w:customStyle="1" w:styleId="Heading1Char">
    <w:name w:val="Heading 1 Char"/>
    <w:basedOn w:val="BodyTextChar"/>
    <w:link w:val="Heading1"/>
    <w:rsid w:val="0008264D"/>
    <w:rPr>
      <w:sz w:val="52"/>
      <w:lang w:val="en-AU" w:eastAsia="en-AU" w:bidi="ar-SA"/>
    </w:rPr>
  </w:style>
  <w:style w:type="character" w:customStyle="1" w:styleId="ChapterChar">
    <w:name w:val="Chapter Char"/>
    <w:basedOn w:val="Heading1Char"/>
    <w:link w:val="Chapter"/>
    <w:rsid w:val="0008264D"/>
    <w:rPr>
      <w:sz w:val="52"/>
      <w:lang w:val="en-AU" w:eastAsia="en-AU" w:bidi="ar-SA"/>
    </w:rPr>
  </w:style>
  <w:style w:type="character" w:customStyle="1" w:styleId="Heading2Char">
    <w:name w:val="Heading 2 Char"/>
    <w:basedOn w:val="ChapterChar"/>
    <w:link w:val="Heading2"/>
    <w:rsid w:val="0008264D"/>
    <w:rPr>
      <w:rFonts w:ascii="Arial" w:hAnsi="Arial"/>
      <w:b/>
      <w:sz w:val="32"/>
      <w:lang w:val="en-AU" w:eastAsia="en-AU" w:bidi="ar-SA"/>
    </w:rPr>
  </w:style>
  <w:style w:type="character" w:styleId="Hyperlink">
    <w:name w:val="Hyperlink"/>
    <w:basedOn w:val="DefaultParagraphFont"/>
    <w:rsid w:val="00420A39"/>
    <w:rPr>
      <w:color w:val="0000FF" w:themeColor="hyperlink"/>
      <w:u w:val="single"/>
    </w:rPr>
  </w:style>
  <w:style w:type="character" w:customStyle="1" w:styleId="Heading3Char">
    <w:name w:val="Heading 3 Char"/>
    <w:basedOn w:val="DefaultParagraphFont"/>
    <w:link w:val="Heading3"/>
    <w:rsid w:val="00D36ADF"/>
    <w:rPr>
      <w:rFonts w:ascii="Arial" w:hAnsi="Arial"/>
      <w:b/>
      <w:sz w:val="26"/>
    </w:rPr>
  </w:style>
  <w:style w:type="paragraph" w:customStyle="1" w:styleId="BoxSpaceAbove">
    <w:name w:val="Box Space Above"/>
    <w:basedOn w:val="BodyText"/>
    <w:rsid w:val="00D36ADF"/>
    <w:pPr>
      <w:keepNext/>
      <w:spacing w:before="360" w:line="80" w:lineRule="exact"/>
      <w:jc w:val="left"/>
    </w:pPr>
  </w:style>
  <w:style w:type="paragraph" w:customStyle="1" w:styleId="BoxSpaceBelow">
    <w:name w:val="Box Space Below"/>
    <w:basedOn w:val="Box"/>
    <w:rsid w:val="00D36ADF"/>
    <w:pPr>
      <w:keepNext w:val="0"/>
      <w:spacing w:before="60" w:after="60" w:line="80" w:lineRule="exact"/>
    </w:pPr>
    <w:rPr>
      <w:sz w:val="14"/>
    </w:rPr>
  </w:style>
  <w:style w:type="paragraph" w:styleId="BalloonText">
    <w:name w:val="Balloon Text"/>
    <w:basedOn w:val="Normal"/>
    <w:link w:val="BalloonTextChar"/>
    <w:rsid w:val="00D36ADF"/>
    <w:rPr>
      <w:rFonts w:ascii="Tahoma" w:hAnsi="Tahoma" w:cs="Tahoma"/>
      <w:sz w:val="16"/>
      <w:szCs w:val="16"/>
    </w:rPr>
  </w:style>
  <w:style w:type="character" w:customStyle="1" w:styleId="BalloonTextChar">
    <w:name w:val="Balloon Text Char"/>
    <w:basedOn w:val="DefaultParagraphFont"/>
    <w:link w:val="BalloonText"/>
    <w:rsid w:val="00D36ADF"/>
    <w:rPr>
      <w:rFonts w:ascii="Tahoma" w:hAnsi="Tahoma" w:cs="Tahoma"/>
      <w:sz w:val="16"/>
      <w:szCs w:val="16"/>
    </w:rPr>
  </w:style>
  <w:style w:type="character" w:customStyle="1" w:styleId="QuoteChar">
    <w:name w:val="Quote Char"/>
    <w:basedOn w:val="DefaultParagraphFont"/>
    <w:link w:val="Quote"/>
    <w:rsid w:val="00D36ADF"/>
    <w:rPr>
      <w:sz w:val="24"/>
    </w:rPr>
  </w:style>
  <w:style w:type="character" w:customStyle="1" w:styleId="SubtitleChar">
    <w:name w:val="Subtitle Char"/>
    <w:basedOn w:val="DefaultParagraphFont"/>
    <w:link w:val="Subtitle"/>
    <w:rsid w:val="00CF78A1"/>
    <w:rPr>
      <w:rFonts w:ascii="Arial" w:hAnsi="Arial"/>
    </w:rPr>
  </w:style>
  <w:style w:type="paragraph" w:styleId="CommentSubject">
    <w:name w:val="annotation subject"/>
    <w:basedOn w:val="CommentText"/>
    <w:next w:val="CommentText"/>
    <w:link w:val="CommentSubjectChar"/>
    <w:rsid w:val="00AD3142"/>
    <w:pPr>
      <w:spacing w:before="0" w:line="240" w:lineRule="auto"/>
      <w:ind w:left="0" w:firstLine="0"/>
    </w:pPr>
    <w:rPr>
      <w:b/>
      <w:bCs/>
    </w:rPr>
  </w:style>
  <w:style w:type="character" w:customStyle="1" w:styleId="CommentTextChar">
    <w:name w:val="Comment Text Char"/>
    <w:basedOn w:val="DefaultParagraphFont"/>
    <w:link w:val="CommentText"/>
    <w:semiHidden/>
    <w:rsid w:val="00AD3142"/>
  </w:style>
  <w:style w:type="character" w:customStyle="1" w:styleId="CommentSubjectChar">
    <w:name w:val="Comment Subject Char"/>
    <w:basedOn w:val="CommentTextChar"/>
    <w:link w:val="CommentSubject"/>
    <w:rsid w:val="00AD3142"/>
    <w:rPr>
      <w:b/>
      <w:bCs/>
    </w:rPr>
  </w:style>
  <w:style w:type="character" w:customStyle="1" w:styleId="Heading4Char">
    <w:name w:val="Heading 4 Char"/>
    <w:basedOn w:val="DefaultParagraphFont"/>
    <w:link w:val="Heading4"/>
    <w:rsid w:val="0013176F"/>
    <w:rPr>
      <w:rFonts w:ascii="Arial" w:hAnsi="Arial"/>
      <w:i/>
      <w:sz w:val="24"/>
    </w:rPr>
  </w:style>
  <w:style w:type="paragraph" w:styleId="Revision">
    <w:name w:val="Revision"/>
    <w:hidden/>
    <w:uiPriority w:val="99"/>
    <w:semiHidden/>
    <w:rsid w:val="008622DE"/>
  </w:style>
  <w:style w:type="paragraph" w:styleId="Bibliography">
    <w:name w:val="Bibliography"/>
    <w:basedOn w:val="Normal"/>
    <w:next w:val="Normal"/>
    <w:uiPriority w:val="37"/>
    <w:unhideWhenUsed/>
    <w:rsid w:val="00F51917"/>
    <w:pPr>
      <w:spacing w:after="240"/>
      <w:ind w:left="720" w:hanging="720"/>
    </w:pPr>
  </w:style>
  <w:style w:type="paragraph" w:customStyle="1" w:styleId="Bulletform">
    <w:name w:val="Bullet form"/>
    <w:basedOn w:val="Normal"/>
    <w:rsid w:val="0028049F"/>
    <w:pPr>
      <w:numPr>
        <w:numId w:val="50"/>
      </w:numPr>
      <w:spacing w:before="120"/>
      <w:ind w:left="714" w:hanging="357"/>
      <w:jc w:val="both"/>
    </w:pPr>
    <w:rPr>
      <w:rFonts w:ascii="GoudyOlSt BT" w:hAnsi="GoudyOlSt BT"/>
      <w:sz w:val="24"/>
    </w:rPr>
  </w:style>
  <w:style w:type="character" w:styleId="FollowedHyperlink">
    <w:name w:val="FollowedHyperlink"/>
    <w:basedOn w:val="DefaultParagraphFont"/>
    <w:semiHidden/>
    <w:unhideWhenUsed/>
    <w:rsid w:val="000064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B98"/>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qFormat/>
    <w:rsid w:val="00A17328"/>
    <w:pPr>
      <w:spacing w:after="60"/>
      <w:jc w:val="left"/>
      <w:outlineLvl w:val="5"/>
    </w:pPr>
    <w:rPr>
      <w:i/>
      <w:sz w:val="22"/>
    </w:rPr>
  </w:style>
  <w:style w:type="paragraph" w:styleId="Heading7">
    <w:name w:val="heading 7"/>
    <w:basedOn w:val="BodyText"/>
    <w:next w:val="BodyText"/>
    <w:qFormat/>
    <w:rsid w:val="00A17328"/>
    <w:pPr>
      <w:spacing w:after="60" w:line="240" w:lineRule="auto"/>
      <w:jc w:val="left"/>
      <w:outlineLvl w:val="6"/>
    </w:pPr>
    <w:rPr>
      <w:rFonts w:ascii="Arial" w:hAnsi="Arial"/>
      <w:sz w:val="20"/>
    </w:rPr>
  </w:style>
  <w:style w:type="paragraph" w:styleId="Heading8">
    <w:name w:val="heading 8"/>
    <w:basedOn w:val="BodyText"/>
    <w:next w:val="BodyText"/>
    <w:qFormat/>
    <w:rsid w:val="00A17328"/>
    <w:pPr>
      <w:spacing w:after="60" w:line="240" w:lineRule="auto"/>
      <w:jc w:val="left"/>
      <w:outlineLvl w:val="7"/>
    </w:pPr>
    <w:rPr>
      <w:rFonts w:ascii="Arial" w:hAnsi="Arial"/>
      <w:i/>
      <w:sz w:val="20"/>
    </w:rPr>
  </w:style>
  <w:style w:type="paragraph" w:styleId="Heading9">
    <w:name w:val="heading 9"/>
    <w:basedOn w:val="BodyText"/>
    <w:next w:val="BodyText"/>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39"/>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774B9"/>
    <w:pPr>
      <w:spacing w:before="120" w:after="0"/>
      <w:ind w:left="1304" w:hanging="1304"/>
    </w:pPr>
    <w:rPr>
      <w:sz w:val="26"/>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link w:val="ChapterChar"/>
    <w:semiHidden/>
    <w:rsid w:val="00A17328"/>
    <w:pPr>
      <w:ind w:left="0" w:firstLine="0"/>
      <w:outlineLvl w:val="9"/>
    </w:pPr>
  </w:style>
  <w:style w:type="paragraph" w:customStyle="1" w:styleId="ChapterSummary">
    <w:name w:val="Chapter Summary"/>
    <w:basedOn w:val="BodyText"/>
    <w:semiHidden/>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17328"/>
  </w:style>
  <w:style w:type="paragraph" w:styleId="Subtitle">
    <w:name w:val="Subtitle"/>
    <w:basedOn w:val="Caption"/>
    <w:link w:val="SubtitleChar"/>
    <w:qFormat/>
    <w:rsid w:val="00A17328"/>
    <w:pPr>
      <w:spacing w:before="0" w:line="200" w:lineRule="exact"/>
      <w:ind w:firstLine="0"/>
    </w:pPr>
    <w:rPr>
      <w:b w:val="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rPr>
  </w:style>
  <w:style w:type="paragraph" w:customStyle="1" w:styleId="RecBBullet">
    <w:name w:val="RecB Bullet"/>
    <w:basedOn w:val="RecB"/>
    <w:rsid w:val="00F85325"/>
    <w:pPr>
      <w:numPr>
        <w:numId w:val="40"/>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uiPriority w:val="39"/>
    <w:qFormat/>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17328"/>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character" w:customStyle="1" w:styleId="BodyTextChar">
    <w:name w:val="Body Text Char"/>
    <w:basedOn w:val="DefaultParagraphFont"/>
    <w:link w:val="BodyText"/>
    <w:rsid w:val="0008264D"/>
    <w:rPr>
      <w:sz w:val="26"/>
      <w:lang w:val="en-AU" w:eastAsia="en-AU" w:bidi="ar-SA"/>
    </w:rPr>
  </w:style>
  <w:style w:type="character" w:customStyle="1" w:styleId="Heading1Char">
    <w:name w:val="Heading 1 Char"/>
    <w:basedOn w:val="BodyTextChar"/>
    <w:link w:val="Heading1"/>
    <w:rsid w:val="0008264D"/>
    <w:rPr>
      <w:sz w:val="52"/>
      <w:lang w:val="en-AU" w:eastAsia="en-AU" w:bidi="ar-SA"/>
    </w:rPr>
  </w:style>
  <w:style w:type="character" w:customStyle="1" w:styleId="ChapterChar">
    <w:name w:val="Chapter Char"/>
    <w:basedOn w:val="Heading1Char"/>
    <w:link w:val="Chapter"/>
    <w:rsid w:val="0008264D"/>
    <w:rPr>
      <w:sz w:val="52"/>
      <w:lang w:val="en-AU" w:eastAsia="en-AU" w:bidi="ar-SA"/>
    </w:rPr>
  </w:style>
  <w:style w:type="character" w:customStyle="1" w:styleId="Heading2Char">
    <w:name w:val="Heading 2 Char"/>
    <w:basedOn w:val="ChapterChar"/>
    <w:link w:val="Heading2"/>
    <w:rsid w:val="0008264D"/>
    <w:rPr>
      <w:rFonts w:ascii="Arial" w:hAnsi="Arial"/>
      <w:b/>
      <w:sz w:val="32"/>
      <w:lang w:val="en-AU" w:eastAsia="en-AU" w:bidi="ar-SA"/>
    </w:rPr>
  </w:style>
  <w:style w:type="character" w:styleId="Hyperlink">
    <w:name w:val="Hyperlink"/>
    <w:basedOn w:val="DefaultParagraphFont"/>
    <w:rsid w:val="00420A39"/>
    <w:rPr>
      <w:color w:val="0000FF" w:themeColor="hyperlink"/>
      <w:u w:val="single"/>
    </w:rPr>
  </w:style>
  <w:style w:type="character" w:customStyle="1" w:styleId="Heading3Char">
    <w:name w:val="Heading 3 Char"/>
    <w:basedOn w:val="DefaultParagraphFont"/>
    <w:link w:val="Heading3"/>
    <w:rsid w:val="00D36ADF"/>
    <w:rPr>
      <w:rFonts w:ascii="Arial" w:hAnsi="Arial"/>
      <w:b/>
      <w:sz w:val="26"/>
    </w:rPr>
  </w:style>
  <w:style w:type="paragraph" w:customStyle="1" w:styleId="BoxSpaceAbove">
    <w:name w:val="Box Space Above"/>
    <w:basedOn w:val="BodyText"/>
    <w:rsid w:val="00D36ADF"/>
    <w:pPr>
      <w:keepNext/>
      <w:spacing w:before="360" w:line="80" w:lineRule="exact"/>
      <w:jc w:val="left"/>
    </w:pPr>
  </w:style>
  <w:style w:type="paragraph" w:customStyle="1" w:styleId="BoxSpaceBelow">
    <w:name w:val="Box Space Below"/>
    <w:basedOn w:val="Box"/>
    <w:rsid w:val="00D36ADF"/>
    <w:pPr>
      <w:keepNext w:val="0"/>
      <w:spacing w:before="60" w:after="60" w:line="80" w:lineRule="exact"/>
    </w:pPr>
    <w:rPr>
      <w:sz w:val="14"/>
    </w:rPr>
  </w:style>
  <w:style w:type="paragraph" w:styleId="BalloonText">
    <w:name w:val="Balloon Text"/>
    <w:basedOn w:val="Normal"/>
    <w:link w:val="BalloonTextChar"/>
    <w:rsid w:val="00D36ADF"/>
    <w:rPr>
      <w:rFonts w:ascii="Tahoma" w:hAnsi="Tahoma" w:cs="Tahoma"/>
      <w:sz w:val="16"/>
      <w:szCs w:val="16"/>
    </w:rPr>
  </w:style>
  <w:style w:type="character" w:customStyle="1" w:styleId="BalloonTextChar">
    <w:name w:val="Balloon Text Char"/>
    <w:basedOn w:val="DefaultParagraphFont"/>
    <w:link w:val="BalloonText"/>
    <w:rsid w:val="00D36ADF"/>
    <w:rPr>
      <w:rFonts w:ascii="Tahoma" w:hAnsi="Tahoma" w:cs="Tahoma"/>
      <w:sz w:val="16"/>
      <w:szCs w:val="16"/>
    </w:rPr>
  </w:style>
  <w:style w:type="character" w:customStyle="1" w:styleId="QuoteChar">
    <w:name w:val="Quote Char"/>
    <w:basedOn w:val="DefaultParagraphFont"/>
    <w:link w:val="Quote"/>
    <w:rsid w:val="00D36ADF"/>
    <w:rPr>
      <w:sz w:val="24"/>
    </w:rPr>
  </w:style>
  <w:style w:type="character" w:customStyle="1" w:styleId="SubtitleChar">
    <w:name w:val="Subtitle Char"/>
    <w:basedOn w:val="DefaultParagraphFont"/>
    <w:link w:val="Subtitle"/>
    <w:rsid w:val="00CF78A1"/>
    <w:rPr>
      <w:rFonts w:ascii="Arial" w:hAnsi="Arial"/>
    </w:rPr>
  </w:style>
  <w:style w:type="paragraph" w:styleId="CommentSubject">
    <w:name w:val="annotation subject"/>
    <w:basedOn w:val="CommentText"/>
    <w:next w:val="CommentText"/>
    <w:link w:val="CommentSubjectChar"/>
    <w:rsid w:val="00AD3142"/>
    <w:pPr>
      <w:spacing w:before="0" w:line="240" w:lineRule="auto"/>
      <w:ind w:left="0" w:firstLine="0"/>
    </w:pPr>
    <w:rPr>
      <w:b/>
      <w:bCs/>
    </w:rPr>
  </w:style>
  <w:style w:type="character" w:customStyle="1" w:styleId="CommentTextChar">
    <w:name w:val="Comment Text Char"/>
    <w:basedOn w:val="DefaultParagraphFont"/>
    <w:link w:val="CommentText"/>
    <w:semiHidden/>
    <w:rsid w:val="00AD3142"/>
  </w:style>
  <w:style w:type="character" w:customStyle="1" w:styleId="CommentSubjectChar">
    <w:name w:val="Comment Subject Char"/>
    <w:basedOn w:val="CommentTextChar"/>
    <w:link w:val="CommentSubject"/>
    <w:rsid w:val="00AD3142"/>
    <w:rPr>
      <w:b/>
      <w:bCs/>
    </w:rPr>
  </w:style>
  <w:style w:type="character" w:customStyle="1" w:styleId="Heading4Char">
    <w:name w:val="Heading 4 Char"/>
    <w:basedOn w:val="DefaultParagraphFont"/>
    <w:link w:val="Heading4"/>
    <w:rsid w:val="0013176F"/>
    <w:rPr>
      <w:rFonts w:ascii="Arial" w:hAnsi="Arial"/>
      <w:i/>
      <w:sz w:val="24"/>
    </w:rPr>
  </w:style>
  <w:style w:type="paragraph" w:styleId="Revision">
    <w:name w:val="Revision"/>
    <w:hidden/>
    <w:uiPriority w:val="99"/>
    <w:semiHidden/>
    <w:rsid w:val="008622DE"/>
  </w:style>
  <w:style w:type="paragraph" w:styleId="Bibliography">
    <w:name w:val="Bibliography"/>
    <w:basedOn w:val="Normal"/>
    <w:next w:val="Normal"/>
    <w:uiPriority w:val="37"/>
    <w:unhideWhenUsed/>
    <w:rsid w:val="00F51917"/>
    <w:pPr>
      <w:spacing w:after="240"/>
      <w:ind w:left="720" w:hanging="720"/>
    </w:pPr>
  </w:style>
  <w:style w:type="paragraph" w:customStyle="1" w:styleId="Bulletform">
    <w:name w:val="Bullet form"/>
    <w:basedOn w:val="Normal"/>
    <w:rsid w:val="0028049F"/>
    <w:pPr>
      <w:numPr>
        <w:numId w:val="50"/>
      </w:numPr>
      <w:spacing w:before="120"/>
      <w:ind w:left="714" w:hanging="357"/>
      <w:jc w:val="both"/>
    </w:pPr>
    <w:rPr>
      <w:rFonts w:ascii="GoudyOlSt BT" w:hAnsi="GoudyOlSt BT"/>
      <w:sz w:val="24"/>
    </w:rPr>
  </w:style>
  <w:style w:type="character" w:styleId="FollowedHyperlink">
    <w:name w:val="FollowedHyperlink"/>
    <w:basedOn w:val="DefaultParagraphFont"/>
    <w:semiHidden/>
    <w:unhideWhenUsed/>
    <w:rsid w:val="000064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38724">
      <w:bodyDiv w:val="1"/>
      <w:marLeft w:val="0"/>
      <w:marRight w:val="0"/>
      <w:marTop w:val="0"/>
      <w:marBottom w:val="0"/>
      <w:divBdr>
        <w:top w:val="none" w:sz="0" w:space="0" w:color="auto"/>
        <w:left w:val="none" w:sz="0" w:space="0" w:color="auto"/>
        <w:bottom w:val="none" w:sz="0" w:space="0" w:color="auto"/>
        <w:right w:val="none" w:sz="0" w:space="0" w:color="auto"/>
      </w:divBdr>
    </w:div>
    <w:div w:id="290593026">
      <w:bodyDiv w:val="1"/>
      <w:marLeft w:val="0"/>
      <w:marRight w:val="0"/>
      <w:marTop w:val="0"/>
      <w:marBottom w:val="0"/>
      <w:divBdr>
        <w:top w:val="none" w:sz="0" w:space="0" w:color="auto"/>
        <w:left w:val="none" w:sz="0" w:space="0" w:color="auto"/>
        <w:bottom w:val="none" w:sz="0" w:space="0" w:color="auto"/>
        <w:right w:val="none" w:sz="0" w:space="0" w:color="auto"/>
      </w:divBdr>
    </w:div>
    <w:div w:id="408504340">
      <w:bodyDiv w:val="1"/>
      <w:marLeft w:val="0"/>
      <w:marRight w:val="0"/>
      <w:marTop w:val="0"/>
      <w:marBottom w:val="0"/>
      <w:divBdr>
        <w:top w:val="none" w:sz="0" w:space="0" w:color="auto"/>
        <w:left w:val="none" w:sz="0" w:space="0" w:color="auto"/>
        <w:bottom w:val="none" w:sz="0" w:space="0" w:color="auto"/>
        <w:right w:val="none" w:sz="0" w:space="0" w:color="auto"/>
      </w:divBdr>
    </w:div>
    <w:div w:id="481586893">
      <w:bodyDiv w:val="1"/>
      <w:marLeft w:val="0"/>
      <w:marRight w:val="0"/>
      <w:marTop w:val="0"/>
      <w:marBottom w:val="0"/>
      <w:divBdr>
        <w:top w:val="none" w:sz="0" w:space="0" w:color="auto"/>
        <w:left w:val="none" w:sz="0" w:space="0" w:color="auto"/>
        <w:bottom w:val="none" w:sz="0" w:space="0" w:color="auto"/>
        <w:right w:val="none" w:sz="0" w:space="0" w:color="auto"/>
      </w:divBdr>
    </w:div>
    <w:div w:id="570502143">
      <w:bodyDiv w:val="1"/>
      <w:marLeft w:val="0"/>
      <w:marRight w:val="0"/>
      <w:marTop w:val="0"/>
      <w:marBottom w:val="0"/>
      <w:divBdr>
        <w:top w:val="none" w:sz="0" w:space="0" w:color="auto"/>
        <w:left w:val="none" w:sz="0" w:space="0" w:color="auto"/>
        <w:bottom w:val="none" w:sz="0" w:space="0" w:color="auto"/>
        <w:right w:val="none" w:sz="0" w:space="0" w:color="auto"/>
      </w:divBdr>
    </w:div>
    <w:div w:id="593131312">
      <w:bodyDiv w:val="1"/>
      <w:marLeft w:val="0"/>
      <w:marRight w:val="0"/>
      <w:marTop w:val="0"/>
      <w:marBottom w:val="0"/>
      <w:divBdr>
        <w:top w:val="none" w:sz="0" w:space="0" w:color="auto"/>
        <w:left w:val="none" w:sz="0" w:space="0" w:color="auto"/>
        <w:bottom w:val="none" w:sz="0" w:space="0" w:color="auto"/>
        <w:right w:val="none" w:sz="0" w:space="0" w:color="auto"/>
      </w:divBdr>
    </w:div>
    <w:div w:id="793984453">
      <w:bodyDiv w:val="1"/>
      <w:marLeft w:val="0"/>
      <w:marRight w:val="0"/>
      <w:marTop w:val="0"/>
      <w:marBottom w:val="0"/>
      <w:divBdr>
        <w:top w:val="none" w:sz="0" w:space="0" w:color="auto"/>
        <w:left w:val="none" w:sz="0" w:space="0" w:color="auto"/>
        <w:bottom w:val="none" w:sz="0" w:space="0" w:color="auto"/>
        <w:right w:val="none" w:sz="0" w:space="0" w:color="auto"/>
      </w:divBdr>
    </w:div>
    <w:div w:id="931158965">
      <w:bodyDiv w:val="1"/>
      <w:marLeft w:val="0"/>
      <w:marRight w:val="0"/>
      <w:marTop w:val="0"/>
      <w:marBottom w:val="0"/>
      <w:divBdr>
        <w:top w:val="none" w:sz="0" w:space="0" w:color="auto"/>
        <w:left w:val="none" w:sz="0" w:space="0" w:color="auto"/>
        <w:bottom w:val="none" w:sz="0" w:space="0" w:color="auto"/>
        <w:right w:val="none" w:sz="0" w:space="0" w:color="auto"/>
      </w:divBdr>
    </w:div>
    <w:div w:id="951935620">
      <w:bodyDiv w:val="1"/>
      <w:marLeft w:val="0"/>
      <w:marRight w:val="0"/>
      <w:marTop w:val="0"/>
      <w:marBottom w:val="0"/>
      <w:divBdr>
        <w:top w:val="none" w:sz="0" w:space="0" w:color="auto"/>
        <w:left w:val="none" w:sz="0" w:space="0" w:color="auto"/>
        <w:bottom w:val="none" w:sz="0" w:space="0" w:color="auto"/>
        <w:right w:val="none" w:sz="0" w:space="0" w:color="auto"/>
      </w:divBdr>
    </w:div>
    <w:div w:id="1035161507">
      <w:bodyDiv w:val="1"/>
      <w:marLeft w:val="0"/>
      <w:marRight w:val="0"/>
      <w:marTop w:val="0"/>
      <w:marBottom w:val="0"/>
      <w:divBdr>
        <w:top w:val="none" w:sz="0" w:space="0" w:color="auto"/>
        <w:left w:val="none" w:sz="0" w:space="0" w:color="auto"/>
        <w:bottom w:val="none" w:sz="0" w:space="0" w:color="auto"/>
        <w:right w:val="none" w:sz="0" w:space="0" w:color="auto"/>
      </w:divBdr>
    </w:div>
    <w:div w:id="1035928006">
      <w:bodyDiv w:val="1"/>
      <w:marLeft w:val="0"/>
      <w:marRight w:val="0"/>
      <w:marTop w:val="0"/>
      <w:marBottom w:val="0"/>
      <w:divBdr>
        <w:top w:val="none" w:sz="0" w:space="0" w:color="auto"/>
        <w:left w:val="none" w:sz="0" w:space="0" w:color="auto"/>
        <w:bottom w:val="none" w:sz="0" w:space="0" w:color="auto"/>
        <w:right w:val="none" w:sz="0" w:space="0" w:color="auto"/>
      </w:divBdr>
    </w:div>
    <w:div w:id="1123577959">
      <w:bodyDiv w:val="1"/>
      <w:marLeft w:val="0"/>
      <w:marRight w:val="0"/>
      <w:marTop w:val="0"/>
      <w:marBottom w:val="0"/>
      <w:divBdr>
        <w:top w:val="none" w:sz="0" w:space="0" w:color="auto"/>
        <w:left w:val="none" w:sz="0" w:space="0" w:color="auto"/>
        <w:bottom w:val="none" w:sz="0" w:space="0" w:color="auto"/>
        <w:right w:val="none" w:sz="0" w:space="0" w:color="auto"/>
      </w:divBdr>
    </w:div>
    <w:div w:id="1289630129">
      <w:bodyDiv w:val="1"/>
      <w:marLeft w:val="0"/>
      <w:marRight w:val="0"/>
      <w:marTop w:val="0"/>
      <w:marBottom w:val="0"/>
      <w:divBdr>
        <w:top w:val="none" w:sz="0" w:space="0" w:color="auto"/>
        <w:left w:val="none" w:sz="0" w:space="0" w:color="auto"/>
        <w:bottom w:val="none" w:sz="0" w:space="0" w:color="auto"/>
        <w:right w:val="none" w:sz="0" w:space="0" w:color="auto"/>
      </w:divBdr>
    </w:div>
    <w:div w:id="1337541858">
      <w:bodyDiv w:val="1"/>
      <w:marLeft w:val="0"/>
      <w:marRight w:val="0"/>
      <w:marTop w:val="0"/>
      <w:marBottom w:val="0"/>
      <w:divBdr>
        <w:top w:val="none" w:sz="0" w:space="0" w:color="auto"/>
        <w:left w:val="none" w:sz="0" w:space="0" w:color="auto"/>
        <w:bottom w:val="none" w:sz="0" w:space="0" w:color="auto"/>
        <w:right w:val="none" w:sz="0" w:space="0" w:color="auto"/>
      </w:divBdr>
    </w:div>
    <w:div w:id="1488672759">
      <w:bodyDiv w:val="1"/>
      <w:marLeft w:val="0"/>
      <w:marRight w:val="0"/>
      <w:marTop w:val="0"/>
      <w:marBottom w:val="0"/>
      <w:divBdr>
        <w:top w:val="none" w:sz="0" w:space="0" w:color="auto"/>
        <w:left w:val="none" w:sz="0" w:space="0" w:color="auto"/>
        <w:bottom w:val="none" w:sz="0" w:space="0" w:color="auto"/>
        <w:right w:val="none" w:sz="0" w:space="0" w:color="auto"/>
      </w:divBdr>
    </w:div>
    <w:div w:id="1822232483">
      <w:bodyDiv w:val="1"/>
      <w:marLeft w:val="0"/>
      <w:marRight w:val="0"/>
      <w:marTop w:val="0"/>
      <w:marBottom w:val="0"/>
      <w:divBdr>
        <w:top w:val="none" w:sz="0" w:space="0" w:color="auto"/>
        <w:left w:val="none" w:sz="0" w:space="0" w:color="auto"/>
        <w:bottom w:val="none" w:sz="0" w:space="0" w:color="auto"/>
        <w:right w:val="none" w:sz="0" w:space="0" w:color="auto"/>
      </w:divBdr>
    </w:div>
    <w:div w:id="1837108832">
      <w:bodyDiv w:val="1"/>
      <w:marLeft w:val="0"/>
      <w:marRight w:val="0"/>
      <w:marTop w:val="0"/>
      <w:marBottom w:val="0"/>
      <w:divBdr>
        <w:top w:val="none" w:sz="0" w:space="0" w:color="auto"/>
        <w:left w:val="none" w:sz="0" w:space="0" w:color="auto"/>
        <w:bottom w:val="none" w:sz="0" w:space="0" w:color="auto"/>
        <w:right w:val="none" w:sz="0" w:space="0" w:color="auto"/>
      </w:divBdr>
    </w:div>
    <w:div w:id="1874222082">
      <w:bodyDiv w:val="1"/>
      <w:marLeft w:val="0"/>
      <w:marRight w:val="0"/>
      <w:marTop w:val="0"/>
      <w:marBottom w:val="0"/>
      <w:divBdr>
        <w:top w:val="none" w:sz="0" w:space="0" w:color="auto"/>
        <w:left w:val="none" w:sz="0" w:space="0" w:color="auto"/>
        <w:bottom w:val="none" w:sz="0" w:space="0" w:color="auto"/>
        <w:right w:val="none" w:sz="0" w:space="0" w:color="auto"/>
      </w:divBdr>
    </w:div>
    <w:div w:id="1940067273">
      <w:bodyDiv w:val="1"/>
      <w:marLeft w:val="0"/>
      <w:marRight w:val="0"/>
      <w:marTop w:val="0"/>
      <w:marBottom w:val="0"/>
      <w:divBdr>
        <w:top w:val="none" w:sz="0" w:space="0" w:color="auto"/>
        <w:left w:val="none" w:sz="0" w:space="0" w:color="auto"/>
        <w:bottom w:val="none" w:sz="0" w:space="0" w:color="auto"/>
        <w:right w:val="none" w:sz="0" w:space="0" w:color="auto"/>
      </w:divBdr>
    </w:div>
    <w:div w:id="1984967459">
      <w:bodyDiv w:val="1"/>
      <w:marLeft w:val="0"/>
      <w:marRight w:val="0"/>
      <w:marTop w:val="0"/>
      <w:marBottom w:val="0"/>
      <w:divBdr>
        <w:top w:val="none" w:sz="0" w:space="0" w:color="auto"/>
        <w:left w:val="none" w:sz="0" w:space="0" w:color="auto"/>
        <w:bottom w:val="none" w:sz="0" w:space="0" w:color="auto"/>
        <w:right w:val="none" w:sz="0" w:space="0" w:color="auto"/>
      </w:divBdr>
    </w:div>
    <w:div w:id="2013952561">
      <w:bodyDiv w:val="1"/>
      <w:marLeft w:val="0"/>
      <w:marRight w:val="0"/>
      <w:marTop w:val="0"/>
      <w:marBottom w:val="0"/>
      <w:divBdr>
        <w:top w:val="none" w:sz="0" w:space="0" w:color="auto"/>
        <w:left w:val="none" w:sz="0" w:space="0" w:color="auto"/>
        <w:bottom w:val="none" w:sz="0" w:space="0" w:color="auto"/>
        <w:right w:val="none" w:sz="0" w:space="0" w:color="auto"/>
      </w:divBdr>
    </w:div>
    <w:div w:id="21213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3.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 Id="rId22" Type="http://schemas.openxmlformats.org/officeDocument/2006/relationships/header" Target="header4.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0BBC1-682D-42DE-BAD0-E19B79EC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11974</Words>
  <Characters>71340</Characters>
  <Application>Microsoft Office Word</Application>
  <DocSecurity>0</DocSecurity>
  <Lines>1450</Lines>
  <Paragraphs>592</Paragraphs>
  <ScaleCrop>false</ScaleCrop>
  <HeadingPairs>
    <vt:vector size="2" baseType="variant">
      <vt:variant>
        <vt:lpstr>Title</vt:lpstr>
      </vt:variant>
      <vt:variant>
        <vt:i4>1</vt:i4>
      </vt:variant>
    </vt:vector>
  </HeadingPairs>
  <TitlesOfParts>
    <vt:vector size="1" baseType="lpstr">
      <vt:lpstr>Issues paper - Natural Disaster Funding - Public inquiry</vt:lpstr>
    </vt:vector>
  </TitlesOfParts>
  <Company>Productivity Commission</Company>
  <LinksUpToDate>false</LinksUpToDate>
  <CharactersWithSpaces>82913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Natural Disaster Funding - Public inquiry</dc:title>
  <dc:subject/>
  <dc:creator>Productivity Commission</dc:creator>
  <cp:keywords/>
  <cp:lastModifiedBy>Productivity Commission</cp:lastModifiedBy>
  <cp:revision>2</cp:revision>
  <dcterms:created xsi:type="dcterms:W3CDTF">2014-05-08T05:33:00Z</dcterms:created>
  <dcterms:modified xsi:type="dcterms:W3CDTF">2014-05-08T22:55:00Z</dcterms:modified>
</cp:coreProperties>
</file>