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E2A63E" w14:textId="2A71D9DB" w:rsidR="00DE1537" w:rsidRDefault="00343F3E" w:rsidP="00631D0B">
      <w:pPr>
        <w:pStyle w:val="Heading1"/>
      </w:pPr>
      <w:bookmarkStart w:id="0" w:name="ChapterNumber"/>
      <w:bookmarkStart w:id="1" w:name="_Toc406424308"/>
      <w:r>
        <w:t>1</w:t>
      </w:r>
      <w:bookmarkEnd w:id="0"/>
      <w:r>
        <w:tab/>
      </w:r>
      <w:bookmarkStart w:id="2" w:name="ChapterTitle"/>
      <w:r>
        <w:t>The impacts of natural disasters</w:t>
      </w:r>
      <w:bookmarkEnd w:id="2"/>
      <w:bookmarkEnd w:id="1"/>
    </w:p>
    <w:p w14:paraId="4510688C" w14:textId="1672EAA7" w:rsidR="00DE1537" w:rsidRPr="008E711A" w:rsidRDefault="00DE1537" w:rsidP="00343F3E">
      <w:pPr>
        <w:pStyle w:val="Heading2"/>
      </w:pPr>
      <w:bookmarkStart w:id="3" w:name="_Toc406424309"/>
      <w:r>
        <w:t>1.</w:t>
      </w:r>
      <w:r>
        <w:rPr>
          <w:noProof/>
        </w:rPr>
        <w:t>1</w:t>
      </w:r>
      <w:r>
        <w:tab/>
        <w:t>Introduction and key points</w:t>
      </w:r>
      <w:bookmarkEnd w:id="3"/>
    </w:p>
    <w:p w14:paraId="21879C67" w14:textId="77777777" w:rsidR="00DE1537" w:rsidRDefault="00DE1537">
      <w:pPr>
        <w:pStyle w:val="BodyText"/>
      </w:pPr>
      <w:r>
        <w:t>Australia has a long history of dealing with natural disasters and their wide</w:t>
      </w:r>
      <w:r>
        <w:noBreakHyphen/>
        <w:t>ranging impacts. These include:</w:t>
      </w:r>
    </w:p>
    <w:p w14:paraId="6A87D137" w14:textId="77777777" w:rsidR="00DE1537" w:rsidRDefault="00DE1537" w:rsidP="00343F3E">
      <w:pPr>
        <w:pStyle w:val="ListBullet"/>
      </w:pPr>
      <w:r>
        <w:t>psychological distress, injury and death</w:t>
      </w:r>
    </w:p>
    <w:p w14:paraId="777214DA" w14:textId="77777777" w:rsidR="00DE1537" w:rsidRDefault="00DE1537" w:rsidP="00343F3E">
      <w:pPr>
        <w:pStyle w:val="ListBullet"/>
      </w:pPr>
      <w:r>
        <w:t>damage to public and private assets</w:t>
      </w:r>
    </w:p>
    <w:p w14:paraId="6E96E248" w14:textId="77777777" w:rsidR="00DE1537" w:rsidRDefault="00DE1537" w:rsidP="00343F3E">
      <w:pPr>
        <w:pStyle w:val="ListBullet"/>
      </w:pPr>
      <w:r>
        <w:t>damage to the environment</w:t>
      </w:r>
    </w:p>
    <w:p w14:paraId="2D73E45C" w14:textId="77777777" w:rsidR="00DE1537" w:rsidRDefault="00DE1537" w:rsidP="00343F3E">
      <w:pPr>
        <w:pStyle w:val="ListBullet"/>
      </w:pPr>
      <w:r>
        <w:t>disruption to water, power, transport and communication services</w:t>
      </w:r>
    </w:p>
    <w:p w14:paraId="520C6F2B" w14:textId="55224969" w:rsidR="00DE1537" w:rsidRPr="00F655AA" w:rsidRDefault="00DE1537" w:rsidP="00343F3E">
      <w:pPr>
        <w:pStyle w:val="ListBullet"/>
      </w:pPr>
      <w:proofErr w:type="gramStart"/>
      <w:r>
        <w:t>reduction</w:t>
      </w:r>
      <w:proofErr w:type="gramEnd"/>
      <w:r>
        <w:t xml:space="preserve"> in regional economic activity </w:t>
      </w:r>
      <w:r w:rsidR="007C5656" w:rsidRPr="007C5656">
        <w:rPr>
          <w:szCs w:val="24"/>
        </w:rPr>
        <w:t>(ABS 2008; Australian Psychological Society, sub. DR144; Attorney-General’s Department 2012b; Deloitte Access Economics 2013; LGAQ, sub. 34; Queensland Government, sub. 31)</w:t>
      </w:r>
      <w:r w:rsidRPr="002E7E2D">
        <w:t>.</w:t>
      </w:r>
    </w:p>
    <w:p w14:paraId="4211A4FB" w14:textId="77777777" w:rsidR="00DE1537" w:rsidRPr="002C7C9A" w:rsidRDefault="00DE1537" w:rsidP="00343F3E">
      <w:pPr>
        <w:pStyle w:val="BodyText"/>
      </w:pPr>
      <w:r w:rsidRPr="002C7C9A">
        <w:t>These impacts can be measured as the insurance losses from, and economic and fiscal costs of, natural disasters. The size of these losses and costs is not only a function of the attributes of natural disasters (such as frequency, severity, location and duration), community exposure and vulnerability, but also of natural disaster funding arrangements. These arrangements underpin the incentives for risk management by households</w:t>
      </w:r>
      <w:r>
        <w:t>,</w:t>
      </w:r>
      <w:r w:rsidRPr="002C7C9A">
        <w:t xml:space="preserve"> </w:t>
      </w:r>
      <w:proofErr w:type="gramStart"/>
      <w:r w:rsidRPr="002C7C9A">
        <w:t>businesses</w:t>
      </w:r>
      <w:proofErr w:type="gramEnd"/>
      <w:r w:rsidRPr="002C7C9A">
        <w:t xml:space="preserve"> and different levels of government.</w:t>
      </w:r>
    </w:p>
    <w:p w14:paraId="39F2FB4A" w14:textId="77777777" w:rsidR="00DE1537" w:rsidRPr="002C7C9A" w:rsidRDefault="00DE1537" w:rsidP="00343F3E">
      <w:pPr>
        <w:pStyle w:val="BodyText"/>
      </w:pPr>
      <w:r w:rsidRPr="002C7C9A">
        <w:t>The objective of this paper is to examine the insurance losses from, and economic and fiscal costs of, natural disasters in Australia under current funding arrangements. Section</w:t>
      </w:r>
      <w:r>
        <w:t> 1.</w:t>
      </w:r>
      <w:r w:rsidRPr="002C7C9A">
        <w:t xml:space="preserve">2 discusses the types of natural disasters covered by the inquiry and their incidence in Australia over the past </w:t>
      </w:r>
      <w:r>
        <w:t>four</w:t>
      </w:r>
      <w:r w:rsidRPr="002C7C9A">
        <w:t xml:space="preserve"> decades. Section</w:t>
      </w:r>
      <w:r>
        <w:t> 1.</w:t>
      </w:r>
      <w:r w:rsidRPr="002C7C9A">
        <w:t xml:space="preserve">3 defines the various components of natural disaster costs and analyses the insurance losses </w:t>
      </w:r>
      <w:r>
        <w:t>from</w:t>
      </w:r>
      <w:r w:rsidRPr="002C7C9A">
        <w:t xml:space="preserve"> natural disasters since 1970. Finally, section</w:t>
      </w:r>
      <w:r>
        <w:t> 1.</w:t>
      </w:r>
      <w:r w:rsidRPr="002C7C9A">
        <w:t>4 describes the fiscal costs of natural disasters in Australia and distinguishes between pre</w:t>
      </w:r>
      <w:r>
        <w:noBreakHyphen/>
      </w:r>
      <w:r w:rsidRPr="002C7C9A">
        <w:t xml:space="preserve"> and post</w:t>
      </w:r>
      <w:r>
        <w:noBreakHyphen/>
      </w:r>
      <w:r w:rsidRPr="002C7C9A">
        <w:t>disaster costs.</w:t>
      </w:r>
    </w:p>
    <w:p w14:paraId="399F1203" w14:textId="77777777" w:rsidR="00DE1537" w:rsidRPr="002C7C9A" w:rsidRDefault="00DE1537" w:rsidP="00343F3E">
      <w:pPr>
        <w:pStyle w:val="BodyText"/>
      </w:pPr>
      <w:r>
        <w:t>T</w:t>
      </w:r>
      <w:r w:rsidRPr="002C7C9A">
        <w:t>his supplementary</w:t>
      </w:r>
      <w:r>
        <w:t xml:space="preserve"> paper makes several key points.</w:t>
      </w:r>
    </w:p>
    <w:p w14:paraId="2682C58C" w14:textId="77777777" w:rsidR="00DE1537" w:rsidRDefault="00DE1537" w:rsidP="00343F3E">
      <w:pPr>
        <w:pStyle w:val="ListBullet"/>
      </w:pPr>
      <w:r>
        <w:t>Australia experiences a range of natural disasters resulting from rapid onset hazards such as flood, bushfire, storm, cyclone and earthquake.</w:t>
      </w:r>
    </w:p>
    <w:p w14:paraId="01E15824" w14:textId="77777777" w:rsidR="00DE1537" w:rsidRDefault="00DE1537" w:rsidP="00343F3E">
      <w:pPr>
        <w:pStyle w:val="ListBullet"/>
      </w:pPr>
      <w:r>
        <w:t>These natural disasters affect communities and impose costs on the economy as well as governments. Natural disasters impose:</w:t>
      </w:r>
    </w:p>
    <w:p w14:paraId="3CFF0D1C" w14:textId="77777777" w:rsidR="00DE1537" w:rsidRDefault="00DE1537" w:rsidP="00343F3E">
      <w:pPr>
        <w:pStyle w:val="ListBullet2"/>
      </w:pPr>
      <w:r>
        <w:t>economic costs that consist of direct, indirect and intangible disaster costs</w:t>
      </w:r>
    </w:p>
    <w:p w14:paraId="1FA6AF36" w14:textId="77777777" w:rsidR="00DE1537" w:rsidRDefault="00DE1537" w:rsidP="00343F3E">
      <w:pPr>
        <w:pStyle w:val="ListBullet2"/>
      </w:pPr>
      <w:proofErr w:type="gramStart"/>
      <w:r>
        <w:lastRenderedPageBreak/>
        <w:t>fiscal</w:t>
      </w:r>
      <w:proofErr w:type="gramEnd"/>
      <w:r>
        <w:t xml:space="preserve"> costs that consist of losses borne by the Australian, state and territory, and local governments.</w:t>
      </w:r>
    </w:p>
    <w:p w14:paraId="589C7266" w14:textId="77777777" w:rsidR="00DE1537" w:rsidRDefault="00DE1537" w:rsidP="00343F3E">
      <w:pPr>
        <w:pStyle w:val="ListBullet"/>
      </w:pPr>
      <w:r>
        <w:t>In recent years, Australia has experienced a number of severe</w:t>
      </w:r>
      <w:r w:rsidRPr="00E64C77">
        <w:rPr>
          <w:sz w:val="26"/>
        </w:rPr>
        <w:t xml:space="preserve"> na</w:t>
      </w:r>
      <w:r>
        <w:t xml:space="preserve">tural </w:t>
      </w:r>
      <w:r w:rsidRPr="008C001B">
        <w:t>disasters including Cyclone Yasi, the 2010</w:t>
      </w:r>
      <w:r>
        <w:t>–</w:t>
      </w:r>
      <w:r w:rsidRPr="008C001B">
        <w:t>11 Queensland floods and the 2009 Black Saturday bushfires</w:t>
      </w:r>
      <w:r>
        <w:t>.</w:t>
      </w:r>
    </w:p>
    <w:p w14:paraId="04DD8D59" w14:textId="77777777" w:rsidR="00DE1537" w:rsidRDefault="00DE1537" w:rsidP="00343F3E">
      <w:pPr>
        <w:pStyle w:val="ListBullet"/>
      </w:pPr>
      <w:r>
        <w:t xml:space="preserve">Since 2002, the nominal insurance losses from natural disasters </w:t>
      </w:r>
      <w:r w:rsidRPr="000E06FD">
        <w:t xml:space="preserve">exceeded </w:t>
      </w:r>
      <w:r w:rsidRPr="006C1830">
        <w:t>$14 </w:t>
      </w:r>
      <w:r w:rsidRPr="000E06FD">
        <w:t>billion</w:t>
      </w:r>
      <w:r>
        <w:t>, and the Australian Government’s cumulative (nominal) fiscal costs were estimated at over $13.5 billion.</w:t>
      </w:r>
    </w:p>
    <w:p w14:paraId="42843E16" w14:textId="77777777" w:rsidR="00DE1537" w:rsidRDefault="00DE1537" w:rsidP="00343F3E">
      <w:pPr>
        <w:pStyle w:val="ListBullet"/>
      </w:pPr>
      <w:r>
        <w:t>Evidence suggests that natural disaster costs are increasing and will continue to increase in the future.</w:t>
      </w:r>
    </w:p>
    <w:p w14:paraId="664EB904" w14:textId="77777777" w:rsidR="00DE1537" w:rsidRDefault="00DE1537" w:rsidP="00343F3E">
      <w:pPr>
        <w:pStyle w:val="ListBullet2"/>
      </w:pPr>
      <w:r>
        <w:t>Population growth</w:t>
      </w:r>
      <w:r w:rsidRPr="00226A24">
        <w:t>, increasing wealth and asset prices</w:t>
      </w:r>
      <w:r>
        <w:t xml:space="preserve">, </w:t>
      </w:r>
      <w:r w:rsidRPr="00226A24">
        <w:t>and the growing concentration of population and assets in disaster</w:t>
      </w:r>
      <w:r>
        <w:noBreakHyphen/>
      </w:r>
      <w:r w:rsidRPr="00226A24">
        <w:t>prone areas are among the main drivers of rising costs.</w:t>
      </w:r>
    </w:p>
    <w:p w14:paraId="751CC549" w14:textId="77777777" w:rsidR="00DE1537" w:rsidRDefault="00DE1537" w:rsidP="00343F3E">
      <w:pPr>
        <w:pStyle w:val="ListBullet2"/>
        <w:rPr>
          <w:rStyle w:val="ListBulletChar"/>
        </w:rPr>
      </w:pPr>
      <w:r>
        <w:t>Climate change may impact on future costs through changes in the frequency and intensity of some extreme weather events</w:t>
      </w:r>
      <w:r>
        <w:rPr>
          <w:rStyle w:val="ListBulletChar"/>
        </w:rPr>
        <w:t>.</w:t>
      </w:r>
    </w:p>
    <w:p w14:paraId="6BC984DE" w14:textId="77777777" w:rsidR="00DE1537" w:rsidRPr="004A00E8" w:rsidRDefault="00DE1537" w:rsidP="00343F3E">
      <w:pPr>
        <w:pStyle w:val="ListBullet"/>
      </w:pPr>
      <w:r w:rsidRPr="00226A24">
        <w:t xml:space="preserve">Projected Australian </w:t>
      </w:r>
      <w:r>
        <w:t>G</w:t>
      </w:r>
      <w:r w:rsidRPr="00226A24">
        <w:t>overnment post</w:t>
      </w:r>
      <w:r>
        <w:noBreakHyphen/>
      </w:r>
      <w:r w:rsidRPr="00226A24">
        <w:t>disaster expenditure for the period 2011</w:t>
      </w:r>
      <w:r>
        <w:t>–</w:t>
      </w:r>
      <w:r w:rsidRPr="00226A24">
        <w:t>16 (for disasters that have already taken place) is around ten times higher than expenditure for the period 1999–2010.</w:t>
      </w:r>
    </w:p>
    <w:p w14:paraId="2CFB2286" w14:textId="71D9E05E" w:rsidR="00DE1537" w:rsidRDefault="00DE1537" w:rsidP="00343F3E">
      <w:pPr>
        <w:pStyle w:val="Heading2"/>
      </w:pPr>
      <w:bookmarkStart w:id="4" w:name="_Toc406424310"/>
      <w:r>
        <w:t>1.2</w:t>
      </w:r>
      <w:r>
        <w:tab/>
        <w:t>Natural disaster types and trends in Australia</w:t>
      </w:r>
      <w:bookmarkEnd w:id="4"/>
    </w:p>
    <w:p w14:paraId="39683B7B" w14:textId="77777777" w:rsidR="00DE1537" w:rsidRDefault="00DE1537" w:rsidP="00343F3E">
      <w:pPr>
        <w:pStyle w:val="BodyText"/>
      </w:pPr>
      <w:r>
        <w:t xml:space="preserve">Australia is exposed to a wide variety of natural </w:t>
      </w:r>
      <w:r w:rsidRPr="00E64C77">
        <w:rPr>
          <w:i/>
        </w:rPr>
        <w:t>hazards</w:t>
      </w:r>
      <w:r>
        <w:t xml:space="preserve"> that can develop into natural </w:t>
      </w:r>
      <w:r w:rsidRPr="00E64C77">
        <w:rPr>
          <w:i/>
        </w:rPr>
        <w:t>disasters</w:t>
      </w:r>
      <w:r>
        <w:t xml:space="preserve"> when they impact significantly and negatively on the community. These range from bushfire, flood and tropical cyclone that occur frequently as part of weather patterns to earthquake and landslide that are relatively uncommon (box 1.1). While the term ‘natural disaster’ captures an array of disaster types, the focus here is on those resulting from naturally occurring rapid onset events, such as flood, bushfire, earthquake, storm, cyclone, storm surge, tornado, landslide and tsunami. Heatwaves are excluded (box 1.2).</w:t>
      </w:r>
    </w:p>
    <w:p w14:paraId="6EBEBE7D" w14:textId="302ADCB3" w:rsidR="00DE1537" w:rsidRDefault="00DE1537" w:rsidP="00343F3E">
      <w:pPr>
        <w:pStyle w:val="BodyText"/>
      </w:pPr>
      <w:r>
        <w:t xml:space="preserve">There is extensive research on natural hazards in Australia, including by all levels of government, research </w:t>
      </w:r>
      <w:r w:rsidRPr="009B3B18">
        <w:t>institutions and the private sector</w:t>
      </w:r>
      <w:r w:rsidRPr="003E7F74">
        <w:t xml:space="preserve">. </w:t>
      </w:r>
      <w:r>
        <w:t xml:space="preserve">A </w:t>
      </w:r>
      <w:r w:rsidRPr="003E7F74">
        <w:t>report commiss</w:t>
      </w:r>
      <w:r w:rsidRPr="00211FF7">
        <w:t>ioned by the Australian Business Roundtable for Disaster Resilience and Safe</w:t>
      </w:r>
      <w:r>
        <w:t>r</w:t>
      </w:r>
      <w:r w:rsidRPr="00211FF7">
        <w:t xml:space="preserve"> Communities estimated that</w:t>
      </w:r>
      <w:r>
        <w:t>,</w:t>
      </w:r>
      <w:r w:rsidRPr="00211FF7">
        <w:t xml:space="preserve"> </w:t>
      </w:r>
      <w:r>
        <w:t>b</w:t>
      </w:r>
      <w:r w:rsidRPr="003E7F74">
        <w:t>ased on current trends</w:t>
      </w:r>
      <w:r>
        <w:t>,</w:t>
      </w:r>
      <w:r w:rsidRPr="00211FF7">
        <w:t xml:space="preserve"> over </w:t>
      </w:r>
      <w:r w:rsidRPr="00227567">
        <w:t>$283 millio</w:t>
      </w:r>
      <w:r w:rsidRPr="002767AD">
        <w:t>n in public funding would be directed to natural disaster</w:t>
      </w:r>
      <w:r w:rsidRPr="006C1DCC">
        <w:t xml:space="preserve"> research over the period 2009–</w:t>
      </w:r>
      <w:r w:rsidRPr="00227567">
        <w:t xml:space="preserve">21 </w:t>
      </w:r>
      <w:r w:rsidR="007C5656" w:rsidRPr="007C5656">
        <w:rPr>
          <w:szCs w:val="24"/>
        </w:rPr>
        <w:t>(Deloitte Access Economics 2014a)</w:t>
      </w:r>
      <w:r w:rsidRPr="00F112FA">
        <w:t xml:space="preserve">. Around 45 per cent of </w:t>
      </w:r>
      <w:r>
        <w:t>funding</w:t>
      </w:r>
      <w:r w:rsidRPr="00F112FA">
        <w:t xml:space="preserve"> is </w:t>
      </w:r>
      <w:r>
        <w:t>currently</w:t>
      </w:r>
      <w:r w:rsidRPr="00F112FA">
        <w:t xml:space="preserve"> spent on</w:t>
      </w:r>
      <w:r>
        <w:t xml:space="preserve"> bushfire research and 22 per cent on flooding.</w:t>
      </w:r>
    </w:p>
    <w:p w14:paraId="269EB553" w14:textId="77777777" w:rsidR="00DE1537" w:rsidRDefault="00DE1537" w:rsidP="00343F3E">
      <w:pPr>
        <w:pStyle w:val="BodyText"/>
      </w:pPr>
      <w:r w:rsidRPr="00211FF7">
        <w:t xml:space="preserve">There has been marked improvement in understanding the science of natural hazards and the community’s exposure to them in recent years, as the examples in </w:t>
      </w:r>
      <w:r>
        <w:t>annex 1</w:t>
      </w:r>
      <w:r w:rsidRPr="00323055">
        <w:t xml:space="preserve"> illustrate. </w:t>
      </w:r>
      <w:r>
        <w:t>The</w:t>
      </w:r>
      <w:r w:rsidRPr="00227567">
        <w:t xml:space="preserve"> improvements have </w:t>
      </w:r>
      <w:r>
        <w:t xml:space="preserve">mostly </w:t>
      </w:r>
      <w:r w:rsidRPr="00227567">
        <w:t>involved</w:t>
      </w:r>
      <w:r>
        <w:t xml:space="preserve"> better</w:t>
      </w:r>
      <w:r w:rsidRPr="00227567">
        <w:t xml:space="preserve"> understanding of flood, </w:t>
      </w:r>
      <w:r w:rsidRPr="002767AD">
        <w:t>followed by bushfire, as these have been costly natural disasters in recent years.</w:t>
      </w:r>
    </w:p>
    <w:p w14:paraId="319F0AFE"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053B44D" w14:textId="77777777" w:rsidTr="00343F3E">
        <w:tc>
          <w:tcPr>
            <w:tcW w:w="8771" w:type="dxa"/>
            <w:tcBorders>
              <w:top w:val="single" w:sz="6" w:space="0" w:color="78A22F"/>
              <w:left w:val="nil"/>
              <w:bottom w:val="nil"/>
              <w:right w:val="nil"/>
            </w:tcBorders>
            <w:shd w:val="clear" w:color="auto" w:fill="F2F2F2" w:themeFill="background1" w:themeFillShade="F2"/>
          </w:tcPr>
          <w:p w14:paraId="3D7583F2" w14:textId="4A980B94" w:rsidR="00DE1537" w:rsidRDefault="00DE1537">
            <w:pPr>
              <w:pStyle w:val="BoxTitle"/>
            </w:pPr>
            <w:r>
              <w:rPr>
                <w:b w:val="0"/>
              </w:rPr>
              <w:t>Box 1.</w:t>
            </w:r>
            <w:r>
              <w:rPr>
                <w:b w:val="0"/>
                <w:noProof/>
              </w:rPr>
              <w:t>1</w:t>
            </w:r>
            <w:r>
              <w:tab/>
              <w:t>Examples of natural hazards in Australia</w:t>
            </w:r>
          </w:p>
        </w:tc>
      </w:tr>
      <w:tr w:rsidR="00DE1537" w14:paraId="38D2743C" w14:textId="77777777" w:rsidTr="00343F3E">
        <w:trPr>
          <w:cantSplit/>
        </w:trPr>
        <w:tc>
          <w:tcPr>
            <w:tcW w:w="8771" w:type="dxa"/>
            <w:tcBorders>
              <w:top w:val="nil"/>
              <w:left w:val="nil"/>
              <w:bottom w:val="nil"/>
              <w:right w:val="nil"/>
            </w:tcBorders>
            <w:shd w:val="clear" w:color="auto" w:fill="F2F2F2" w:themeFill="background1" w:themeFillShade="F2"/>
          </w:tcPr>
          <w:p w14:paraId="0638E291" w14:textId="77777777" w:rsidR="00DE1537" w:rsidRDefault="00DE1537" w:rsidP="00343F3E">
            <w:pPr>
              <w:pStyle w:val="Box"/>
            </w:pPr>
            <w:r>
              <w:t xml:space="preserve">Some natural hazards only occur in particular regions of Australia because of their climate, geology or topography, while others can occur anywhere. </w:t>
            </w:r>
          </w:p>
          <w:p w14:paraId="4F587A10" w14:textId="77777777" w:rsidR="00DE1537" w:rsidRPr="00BC0D87" w:rsidRDefault="00DE1537" w:rsidP="00343F3E">
            <w:pPr>
              <w:pStyle w:val="Box"/>
              <w:rPr>
                <w:b/>
              </w:rPr>
            </w:pPr>
            <w:r w:rsidRPr="00BC0D87">
              <w:rPr>
                <w:b/>
              </w:rPr>
              <w:t>Bushfire</w:t>
            </w:r>
          </w:p>
          <w:p w14:paraId="104FAA28" w14:textId="77777777" w:rsidR="00DE1537" w:rsidRDefault="00DE1537" w:rsidP="00343F3E">
            <w:pPr>
              <w:pStyle w:val="Box"/>
            </w:pPr>
            <w:r>
              <w:t xml:space="preserve">Extended periods of hot and dry </w:t>
            </w:r>
            <w:proofErr w:type="gramStart"/>
            <w:r>
              <w:t>weather,</w:t>
            </w:r>
            <w:proofErr w:type="gramEnd"/>
            <w:r>
              <w:t xml:space="preserve"> and easily combustible natural vegetation make parts of Australia highly vulnerable to bushfires. Western Australia and the southern Australian states are generally the most exposed regions.</w:t>
            </w:r>
          </w:p>
          <w:p w14:paraId="5B3F7B0D" w14:textId="77777777" w:rsidR="00DE1537" w:rsidRDefault="00DE1537" w:rsidP="00343F3E">
            <w:pPr>
              <w:pStyle w:val="BoxHeading1"/>
            </w:pPr>
            <w:r>
              <w:t>Earthquake</w:t>
            </w:r>
          </w:p>
          <w:p w14:paraId="2D60763E" w14:textId="7C867723" w:rsidR="00DE1537" w:rsidRPr="00EB04CF" w:rsidRDefault="00DE1537" w:rsidP="00343F3E">
            <w:pPr>
              <w:pStyle w:val="Box"/>
            </w:pPr>
            <w:r>
              <w:t xml:space="preserve">Since Australia is situated on the Indian–Australian tectonic plate, it does not experience earthquakes as severe as those occurring at tectonic plate boundaries. The main hazard component of earthquakes is the resulting ground shaking that can damage or destroy infrastructure and threaten lives </w:t>
            </w:r>
            <w:r w:rsidRPr="00482686">
              <w:rPr>
                <w:rFonts w:cs="Arial"/>
                <w:szCs w:val="24"/>
              </w:rPr>
              <w:t>(Middelmann 2007)</w:t>
            </w:r>
            <w:r>
              <w:t>.</w:t>
            </w:r>
          </w:p>
          <w:p w14:paraId="68A4FE2A" w14:textId="77777777" w:rsidR="00DE1537" w:rsidRDefault="00DE1537" w:rsidP="00343F3E">
            <w:pPr>
              <w:pStyle w:val="BoxHeading1"/>
            </w:pPr>
            <w:r>
              <w:t>Flood</w:t>
            </w:r>
          </w:p>
          <w:p w14:paraId="1CB782B4" w14:textId="0676B56B" w:rsidR="00DE1537" w:rsidRDefault="00DE1537" w:rsidP="00343F3E">
            <w:pPr>
              <w:pStyle w:val="Box"/>
            </w:pPr>
            <w:r>
              <w:t xml:space="preserve">Australia experiences floods ranging from flash flooding following storms to widespread flooding following heavy rains over river catchments </w:t>
            </w:r>
            <w:r w:rsidR="007C5656" w:rsidRPr="007C5656">
              <w:rPr>
                <w:rFonts w:cs="Arial"/>
                <w:szCs w:val="24"/>
              </w:rPr>
              <w:t>(Australian Government 2014b)</w:t>
            </w:r>
            <w:r>
              <w:t>.</w:t>
            </w:r>
          </w:p>
          <w:p w14:paraId="471DE704" w14:textId="77777777" w:rsidR="00DE1537" w:rsidRDefault="00DE1537" w:rsidP="00343F3E">
            <w:pPr>
              <w:pStyle w:val="BoxHeading1"/>
            </w:pPr>
            <w:r>
              <w:t>Landslide</w:t>
            </w:r>
          </w:p>
          <w:p w14:paraId="6134640F" w14:textId="30158C30" w:rsidR="00DE1537" w:rsidRDefault="00DE1537" w:rsidP="00343F3E">
            <w:pPr>
              <w:pStyle w:val="Box"/>
            </w:pPr>
            <w:r>
              <w:t xml:space="preserve">Landslides can occur without warning and are mostly caused by a rise in pore water pressure from intense short duration or prolonged rainfall, with about 50 per cent being influenced by human activity </w:t>
            </w:r>
            <w:r w:rsidRPr="009A4959">
              <w:rPr>
                <w:szCs w:val="24"/>
              </w:rPr>
              <w:t>(ABS 2008)</w:t>
            </w:r>
            <w:r>
              <w:t>. According to the Australian Geomechanics Society (sub. DR154, p. 1), ‘every local government area in Australia has landslide risks of some form’.</w:t>
            </w:r>
          </w:p>
          <w:p w14:paraId="31EF8AF6" w14:textId="77777777" w:rsidR="00DE1537" w:rsidRDefault="00DE1537" w:rsidP="00343F3E">
            <w:pPr>
              <w:pStyle w:val="BoxHeading1"/>
            </w:pPr>
            <w:r>
              <w:t>Severe storm</w:t>
            </w:r>
          </w:p>
          <w:p w14:paraId="4DB2CE57" w14:textId="077D8E95" w:rsidR="00DE1537" w:rsidRDefault="00DE1537" w:rsidP="00343F3E">
            <w:pPr>
              <w:pStyle w:val="Box"/>
            </w:pPr>
            <w:r>
              <w:t xml:space="preserve">Severe storms can happen anywhere in Australia and generally occur more often than other natural disasters. These range from localised storms that affect only a small area, to powerful low pressure systems that can affect an area spanning thousands of square kilometres. Severe storms can produce hail, strong winds, heavy rainfall, flash floods and storm tides </w:t>
            </w:r>
            <w:r w:rsidRPr="007E7A45">
              <w:rPr>
                <w:szCs w:val="24"/>
              </w:rPr>
              <w:t>(ABS 2008)</w:t>
            </w:r>
            <w:r>
              <w:t>.</w:t>
            </w:r>
          </w:p>
          <w:p w14:paraId="5FA2CAAD" w14:textId="77777777" w:rsidR="00DE1537" w:rsidRDefault="00DE1537" w:rsidP="00343F3E">
            <w:pPr>
              <w:pStyle w:val="BoxHeading1"/>
            </w:pPr>
            <w:r>
              <w:t>Tropical cyclone</w:t>
            </w:r>
          </w:p>
          <w:p w14:paraId="03463E58" w14:textId="1D73F813" w:rsidR="00DE1537" w:rsidRDefault="00DE1537" w:rsidP="00343F3E">
            <w:pPr>
              <w:pStyle w:val="Box"/>
            </w:pPr>
            <w:r>
              <w:t xml:space="preserve">Tropical cyclones develop over the warm oceans to the north of Australia and can bring strong winds, heavy rain and coastal inundation to many regions on the western, northern and eastern coastlines </w:t>
            </w:r>
            <w:r w:rsidRPr="00A27BFF">
              <w:rPr>
                <w:szCs w:val="24"/>
              </w:rPr>
              <w:t>(Middelmann 2007)</w:t>
            </w:r>
            <w:r>
              <w:t>. There is a high concentration of settlements and infrastructure along the Australian coast exposed to such hazards (Australian Coastal Society, sub. DR187).</w:t>
            </w:r>
          </w:p>
        </w:tc>
      </w:tr>
      <w:tr w:rsidR="00DE1537" w14:paraId="388C28A4"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7CC1F976" w14:textId="77777777" w:rsidR="00DE1537" w:rsidRDefault="00DE1537">
            <w:pPr>
              <w:pStyle w:val="Box"/>
              <w:spacing w:before="0" w:line="120" w:lineRule="exact"/>
            </w:pPr>
          </w:p>
        </w:tc>
      </w:tr>
      <w:tr w:rsidR="00DE1537" w:rsidRPr="000863A5" w14:paraId="3CB36456" w14:textId="77777777" w:rsidTr="00343F3E">
        <w:tc>
          <w:tcPr>
            <w:tcW w:w="8771" w:type="dxa"/>
            <w:tcBorders>
              <w:top w:val="single" w:sz="6" w:space="0" w:color="78A22F"/>
              <w:left w:val="nil"/>
              <w:bottom w:val="nil"/>
              <w:right w:val="nil"/>
            </w:tcBorders>
          </w:tcPr>
          <w:p w14:paraId="73FFF052" w14:textId="77777777" w:rsidR="00DE1537" w:rsidRPr="00626D32" w:rsidRDefault="00DE1537" w:rsidP="00343F3E">
            <w:pPr>
              <w:pStyle w:val="BoxSpaceBelow"/>
            </w:pPr>
          </w:p>
        </w:tc>
      </w:tr>
    </w:tbl>
    <w:p w14:paraId="491D1C52" w14:textId="27BE8EB0" w:rsidR="00DE1537" w:rsidRDefault="00DE1537" w:rsidP="00343F3E">
      <w:pPr>
        <w:pStyle w:val="BodyText"/>
      </w:pPr>
      <w:r w:rsidRPr="006A3D7C">
        <w:t xml:space="preserve">However, information gaps remain. For example, natural disaster information is sometimes incomplete or out of date, and can be difficult and costly to access </w:t>
      </w:r>
      <w:r w:rsidR="007C5656" w:rsidRPr="007C5656">
        <w:rPr>
          <w:szCs w:val="24"/>
        </w:rPr>
        <w:t>(Deloitte Access Economics 2014a)</w:t>
      </w:r>
      <w:r w:rsidRPr="00F112FA">
        <w:t xml:space="preserve">. </w:t>
      </w:r>
      <w:r w:rsidRPr="00227567">
        <w:t>There may also be larger information gaps relating to vulnerability to natural disasters (such as the design and construction of buildings), rather than understand</w:t>
      </w:r>
      <w:r w:rsidRPr="00805C3F">
        <w:t>ing of the hazards or exposure</w:t>
      </w:r>
      <w:r w:rsidRPr="006A3D7C">
        <w:t>.</w:t>
      </w:r>
    </w:p>
    <w:p w14:paraId="7CD450E6" w14:textId="311FCBAA" w:rsidR="00DE1537" w:rsidRDefault="00DE1537" w:rsidP="00343F3E">
      <w:pPr>
        <w:pStyle w:val="BodyText"/>
      </w:pPr>
      <w:r>
        <w:t xml:space="preserve">While natural hazards can cause considerable damage, some hazards are an important part of natural environmental processes. For example, after a long drought, heavy rainfall can </w:t>
      </w:r>
      <w:r>
        <w:lastRenderedPageBreak/>
        <w:t>be a welcome relief for drinking and agricultural water supplies. Bushfires can help the growth of</w:t>
      </w:r>
      <w:r w:rsidRPr="000F5416">
        <w:rPr>
          <w:rStyle w:val="BodyTextChar"/>
        </w:rPr>
        <w:t xml:space="preserve"> Australia’s flora and fauna</w:t>
      </w:r>
      <w:r>
        <w:rPr>
          <w:rStyle w:val="BodyTextChar"/>
        </w:rPr>
        <w:t xml:space="preserve">. The </w:t>
      </w:r>
      <w:r>
        <w:t xml:space="preserve">CSIRO </w:t>
      </w:r>
      <w:r w:rsidRPr="000F5416">
        <w:t>(2014)</w:t>
      </w:r>
      <w:r>
        <w:t xml:space="preserve"> </w:t>
      </w:r>
      <w:r>
        <w:rPr>
          <w:rStyle w:val="BodyTextChar"/>
        </w:rPr>
        <w:t xml:space="preserve">stated that: </w:t>
      </w:r>
    </w:p>
    <w:p w14:paraId="783082F5" w14:textId="77777777" w:rsidR="00DE1537" w:rsidRDefault="00DE1537" w:rsidP="00343F3E">
      <w:pPr>
        <w:pStyle w:val="Quote"/>
      </w:pPr>
      <w:r>
        <w:t>Nothing else produces the chemicals in the ash to stimulate new growth — or in the smoke to stimulate the flowering and regeneration of particular species … Nothing else produces the heat pulse that removes growth-inhibiting toxins in the litter, or opens tightly-closed fruits to release new seed …</w:t>
      </w:r>
    </w:p>
    <w:p w14:paraId="781CF77F"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14AAF40" w14:textId="77777777" w:rsidTr="00343F3E">
        <w:tc>
          <w:tcPr>
            <w:tcW w:w="8771" w:type="dxa"/>
            <w:tcBorders>
              <w:top w:val="single" w:sz="6" w:space="0" w:color="78A22F"/>
              <w:left w:val="nil"/>
              <w:bottom w:val="nil"/>
              <w:right w:val="nil"/>
            </w:tcBorders>
            <w:shd w:val="clear" w:color="auto" w:fill="F2F2F2" w:themeFill="background1" w:themeFillShade="F2"/>
          </w:tcPr>
          <w:p w14:paraId="0A4FC524" w14:textId="735AD845" w:rsidR="00DE1537" w:rsidRDefault="00DE1537" w:rsidP="00343F3E">
            <w:pPr>
              <w:pStyle w:val="BoxTitle"/>
            </w:pPr>
            <w:r>
              <w:rPr>
                <w:b w:val="0"/>
              </w:rPr>
              <w:t>Box 1.</w:t>
            </w:r>
            <w:r>
              <w:rPr>
                <w:b w:val="0"/>
                <w:noProof/>
              </w:rPr>
              <w:t>2</w:t>
            </w:r>
            <w:r>
              <w:tab/>
              <w:t>Heatwaves</w:t>
            </w:r>
          </w:p>
        </w:tc>
      </w:tr>
      <w:tr w:rsidR="00DE1537" w14:paraId="1EDF125B" w14:textId="77777777" w:rsidTr="00343F3E">
        <w:trPr>
          <w:cantSplit/>
        </w:trPr>
        <w:tc>
          <w:tcPr>
            <w:tcW w:w="8771" w:type="dxa"/>
            <w:tcBorders>
              <w:top w:val="nil"/>
              <w:left w:val="nil"/>
              <w:bottom w:val="nil"/>
              <w:right w:val="nil"/>
            </w:tcBorders>
            <w:shd w:val="clear" w:color="auto" w:fill="F2F2F2" w:themeFill="background1" w:themeFillShade="F2"/>
          </w:tcPr>
          <w:p w14:paraId="1931F46F" w14:textId="3CA3254D" w:rsidR="00DE1537" w:rsidRDefault="00DE1537" w:rsidP="00343F3E">
            <w:pPr>
              <w:pStyle w:val="Box"/>
            </w:pPr>
            <w:r w:rsidRPr="00840D58">
              <w:t xml:space="preserve">Heatwaves are not included in </w:t>
            </w:r>
            <w:r>
              <w:t>the inquiry’s terms of reference and the Natural Disaster Relief and Recovery Arrangements (NDRRA) definition of a natural disaster despite their potential significant and negative impacts on the community. For example, the heatwave at the time of the 2009 Black Saturday bushfires caused approximately 374 deaths — more than twice the fatalities from the fires (173 deaths</w:t>
            </w:r>
            <w:r w:rsidRPr="006231A5">
              <w:t xml:space="preserve">) </w:t>
            </w:r>
            <w:r w:rsidR="007C5656" w:rsidRPr="007C5656">
              <w:rPr>
                <w:rFonts w:cs="Arial"/>
                <w:szCs w:val="24"/>
              </w:rPr>
              <w:t>(BOM, sub. 105; VBRC 2010b; VDHS 2009; Victorian Auditor-General 2014b)</w:t>
            </w:r>
            <w:r>
              <w:t>.</w:t>
            </w:r>
          </w:p>
          <w:p w14:paraId="2C7AF30F" w14:textId="77777777" w:rsidR="00DE1537" w:rsidRPr="00840D58" w:rsidRDefault="00DE1537" w:rsidP="00343F3E">
            <w:pPr>
              <w:pStyle w:val="Box"/>
            </w:pPr>
            <w:r>
              <w:t>A</w:t>
            </w:r>
            <w:r w:rsidRPr="00840D58">
              <w:t xml:space="preserve"> number of inquiry participants argued that heatwaves should be </w:t>
            </w:r>
            <w:r>
              <w:t>considered</w:t>
            </w:r>
            <w:r w:rsidRPr="00840D58">
              <w:t xml:space="preserve"> </w:t>
            </w:r>
            <w:r>
              <w:t>for this reason</w:t>
            </w:r>
            <w:r w:rsidRPr="00840D58">
              <w:t xml:space="preserve"> and because their frequency and severity are projected to increase. For example, the Government</w:t>
            </w:r>
            <w:r>
              <w:t xml:space="preserve"> of South Australia </w:t>
            </w:r>
            <w:r w:rsidRPr="00840D58">
              <w:t>(sub.</w:t>
            </w:r>
            <w:r>
              <w:t> </w:t>
            </w:r>
            <w:r w:rsidRPr="00840D58">
              <w:t xml:space="preserve">67, </w:t>
            </w:r>
            <w:r>
              <w:t>p</w:t>
            </w:r>
            <w:r w:rsidRPr="00840D58">
              <w:t>p.</w:t>
            </w:r>
            <w:r>
              <w:t> </w:t>
            </w:r>
            <w:r w:rsidRPr="00840D58">
              <w:t>13–14) submitted that:</w:t>
            </w:r>
          </w:p>
          <w:p w14:paraId="03CB4ACA" w14:textId="77777777" w:rsidR="00DE1537" w:rsidRDefault="00DE1537" w:rsidP="00343F3E">
            <w:pPr>
              <w:pStyle w:val="BoxQuote"/>
            </w:pPr>
            <w:r w:rsidRPr="00875ABE">
              <w:t xml:space="preserve">Heatwaves are becoming more significant within the emergency management arrangements as the South East of Australia experiences more frequent and extreme weather events. Heatwave is known as the ‘silent killer’ and the morbidity and mortality rates are higher than any other natural hazard in Australia. Heatwaves also impact essential infrastructure … </w:t>
            </w:r>
            <w:r w:rsidRPr="00840D58">
              <w:t>it is recommended that heatwave is included as an eligible measure under the NDRRA.</w:t>
            </w:r>
          </w:p>
          <w:p w14:paraId="2900CDAC" w14:textId="234AED45" w:rsidR="00DE1537" w:rsidRPr="00B21542" w:rsidRDefault="00DE1537" w:rsidP="00343F3E">
            <w:pPr>
              <w:pStyle w:val="Box"/>
              <w:rPr>
                <w:rFonts w:eastAsiaTheme="minorHAnsi"/>
              </w:rPr>
            </w:pPr>
            <w:r>
              <w:t xml:space="preserve">However, it is unclear whether current funding arrangements impede the management of heatwaves. According to the Victorian Auditor-General </w:t>
            </w:r>
            <w:r w:rsidR="007C5656" w:rsidRPr="007C5656">
              <w:rPr>
                <w:rFonts w:cs="Arial"/>
              </w:rPr>
              <w:t>(2014b)</w:t>
            </w:r>
            <w:r>
              <w:t xml:space="preserve">, the main impediments to effectively managing heatwave risk include unclear governance arrangements, variable quality of planning for </w:t>
            </w:r>
            <w:proofErr w:type="gramStart"/>
            <w:r>
              <w:t>heatwaves,</w:t>
            </w:r>
            <w:proofErr w:type="gramEnd"/>
            <w:r>
              <w:t xml:space="preserve"> and lack of understanding of how to implement heatwave plans.</w:t>
            </w:r>
          </w:p>
        </w:tc>
      </w:tr>
      <w:tr w:rsidR="00DE1537" w14:paraId="3D0A3E36"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ED002D9" w14:textId="77777777" w:rsidR="00DE1537" w:rsidRDefault="00DE1537">
            <w:pPr>
              <w:pStyle w:val="Box"/>
              <w:spacing w:before="0" w:line="120" w:lineRule="exact"/>
            </w:pPr>
          </w:p>
        </w:tc>
      </w:tr>
      <w:tr w:rsidR="00DE1537" w:rsidRPr="000863A5" w14:paraId="4B1A2325" w14:textId="77777777" w:rsidTr="00343F3E">
        <w:tc>
          <w:tcPr>
            <w:tcW w:w="8771" w:type="dxa"/>
            <w:tcBorders>
              <w:top w:val="single" w:sz="6" w:space="0" w:color="78A22F"/>
              <w:left w:val="nil"/>
              <w:bottom w:val="nil"/>
              <w:right w:val="nil"/>
            </w:tcBorders>
          </w:tcPr>
          <w:p w14:paraId="4D016F5D" w14:textId="77777777" w:rsidR="00DE1537" w:rsidRPr="00626D32" w:rsidRDefault="00DE1537" w:rsidP="00343F3E">
            <w:pPr>
              <w:pStyle w:val="BoxSpaceBelow"/>
            </w:pPr>
          </w:p>
        </w:tc>
      </w:tr>
    </w:tbl>
    <w:p w14:paraId="44C30C8C" w14:textId="303D1D61" w:rsidR="00DE1537" w:rsidRDefault="00DE1537" w:rsidP="00343F3E">
      <w:pPr>
        <w:pStyle w:val="BodyText"/>
      </w:pPr>
      <w:r>
        <w:t xml:space="preserve">Some natural disasters can be labelled as catastrophic given the scale of damage and destruction that they cause. While the terms ‘natural disaster’ and ‘catastrophe’ are often used interchangeably, the Australian Emergency Management Committee </w:t>
      </w:r>
      <w:r w:rsidRPr="000A79B6">
        <w:rPr>
          <w:szCs w:val="24"/>
        </w:rPr>
        <w:t>(2005, p. 14)</w:t>
      </w:r>
      <w:r>
        <w:t xml:space="preserve"> defined a catastrophic disaster as:</w:t>
      </w:r>
    </w:p>
    <w:p w14:paraId="09C522FD" w14:textId="77777777" w:rsidR="00DE1537" w:rsidRPr="0007015B" w:rsidRDefault="00DE1537" w:rsidP="00343F3E">
      <w:pPr>
        <w:pStyle w:val="Quote"/>
      </w:pPr>
      <w:r>
        <w:t xml:space="preserve">… </w:t>
      </w:r>
      <w:proofErr w:type="gramStart"/>
      <w:r w:rsidRPr="0007015B">
        <w:t>an</w:t>
      </w:r>
      <w:proofErr w:type="gramEnd"/>
      <w:r w:rsidRPr="0007015B">
        <w:t xml:space="preserve"> extreme hazard event which impacts on a community, or communities, resulting in widespread, devastating, economic, social, and environmental consequences and which exceeds the capability of existing State/Territory emergency/disaster management arrangements.</w:t>
      </w:r>
    </w:p>
    <w:p w14:paraId="6ADC0C5D" w14:textId="07CBBA19" w:rsidR="00DE1537" w:rsidRDefault="00DE1537" w:rsidP="00343F3E">
      <w:pPr>
        <w:pStyle w:val="BodyText"/>
      </w:pPr>
      <w:r>
        <w:t xml:space="preserve">The Insurance Council of Australia (ICA) </w:t>
      </w:r>
      <w:r w:rsidR="007C5656" w:rsidRPr="007C5656">
        <w:t>(2014c)</w:t>
      </w:r>
      <w:r>
        <w:t xml:space="preserve"> uses a broader definition of a catastrophic disaster that captures large natural or man</w:t>
      </w:r>
      <w:r>
        <w:noBreakHyphen/>
        <w:t>made disasters that result in a significant number of claims in a region and require coordination through an insurance industry taskforce. In any case, a catastrophic natural disaster is likely to require significant resources in its immediate aftermath and for some time after the disaster to help the recovery process. This includes significant financial involvement from all levels of government.</w:t>
      </w:r>
    </w:p>
    <w:p w14:paraId="16D33E6E" w14:textId="77777777" w:rsidR="00DE1537" w:rsidRDefault="00DE1537" w:rsidP="00343F3E">
      <w:pPr>
        <w:pStyle w:val="Heading3"/>
      </w:pPr>
      <w:r>
        <w:lastRenderedPageBreak/>
        <w:t>Historical trends</w:t>
      </w:r>
    </w:p>
    <w:p w14:paraId="410EB1FE" w14:textId="77777777" w:rsidR="00DE1537" w:rsidRPr="000D2004" w:rsidRDefault="00DE1537" w:rsidP="00343F3E">
      <w:pPr>
        <w:pStyle w:val="BodyText"/>
      </w:pPr>
      <w:r w:rsidRPr="002C7C9A">
        <w:t>Australia has experienced a significant number of natural disasters — 200 from 1970 to 2013 according to the ICA (the ICA maintains a publicly</w:t>
      </w:r>
      <w:r>
        <w:t xml:space="preserve"> </w:t>
      </w:r>
      <w:r w:rsidRPr="002C7C9A">
        <w:t>available dataset of the insured losses resulting from natural disasters (box</w:t>
      </w:r>
      <w:r>
        <w:t> 1.</w:t>
      </w:r>
      <w:r w:rsidRPr="002C7C9A">
        <w:t>3)). The most frequent natural disaster during that time was storm, with over 50 recorded events, while the rarest natural disaster was tsunami, with only one recorded event.</w:t>
      </w:r>
      <w:r w:rsidRPr="003E3C4A">
        <w:rPr>
          <w:rStyle w:val="FootnoteReference"/>
        </w:rPr>
        <w:footnoteReference w:id="1"/>
      </w:r>
      <w:r w:rsidRPr="002C7C9A">
        <w:t xml:space="preserve"> </w:t>
      </w:r>
      <w:r w:rsidRPr="000D2004">
        <w:t xml:space="preserve">The incidence of natural disasters varies across states and territories. Since 1970, </w:t>
      </w:r>
      <w:r>
        <w:t>New South Wales</w:t>
      </w:r>
      <w:r w:rsidRPr="000D2004">
        <w:t xml:space="preserve"> has experienced the highest number of natural disasters,</w:t>
      </w:r>
      <w:r>
        <w:t xml:space="preserve"> </w:t>
      </w:r>
      <w:r w:rsidRPr="000D2004">
        <w:t>mostly storm</w:t>
      </w:r>
      <w:r>
        <w:t xml:space="preserve">, </w:t>
      </w:r>
      <w:r w:rsidRPr="000D2004">
        <w:t xml:space="preserve">followed by </w:t>
      </w:r>
      <w:r>
        <w:t>Queensland,</w:t>
      </w:r>
      <w:r w:rsidRPr="000D2004">
        <w:t xml:space="preserve"> mostly cyclone and flood.</w:t>
      </w:r>
    </w:p>
    <w:p w14:paraId="6BCF214E"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CCFDD89" w14:textId="77777777" w:rsidTr="00343F3E">
        <w:tc>
          <w:tcPr>
            <w:tcW w:w="8771" w:type="dxa"/>
            <w:tcBorders>
              <w:top w:val="single" w:sz="6" w:space="0" w:color="78A22F"/>
              <w:left w:val="nil"/>
              <w:bottom w:val="nil"/>
              <w:right w:val="nil"/>
            </w:tcBorders>
            <w:shd w:val="clear" w:color="auto" w:fill="F2F2F2" w:themeFill="background1" w:themeFillShade="F2"/>
          </w:tcPr>
          <w:p w14:paraId="043DAAD8" w14:textId="425DB17F" w:rsidR="00DE1537" w:rsidRDefault="00DE1537" w:rsidP="00343F3E">
            <w:pPr>
              <w:pStyle w:val="BoxTitle"/>
            </w:pPr>
            <w:r>
              <w:rPr>
                <w:b w:val="0"/>
              </w:rPr>
              <w:t>Box 1.</w:t>
            </w:r>
            <w:r>
              <w:rPr>
                <w:b w:val="0"/>
                <w:noProof/>
              </w:rPr>
              <w:t>3</w:t>
            </w:r>
            <w:r>
              <w:tab/>
              <w:t>Publicly available data sources on natural disasters</w:t>
            </w:r>
          </w:p>
        </w:tc>
      </w:tr>
      <w:tr w:rsidR="00DE1537" w14:paraId="763CBEB0" w14:textId="77777777" w:rsidTr="00343F3E">
        <w:trPr>
          <w:cantSplit/>
        </w:trPr>
        <w:tc>
          <w:tcPr>
            <w:tcW w:w="8771" w:type="dxa"/>
            <w:tcBorders>
              <w:top w:val="nil"/>
              <w:left w:val="nil"/>
              <w:bottom w:val="nil"/>
              <w:right w:val="nil"/>
            </w:tcBorders>
            <w:shd w:val="clear" w:color="auto" w:fill="F2F2F2" w:themeFill="background1" w:themeFillShade="F2"/>
          </w:tcPr>
          <w:p w14:paraId="5D72AC08" w14:textId="42616046" w:rsidR="00DE1537" w:rsidRPr="006359D6" w:rsidRDefault="00DE1537" w:rsidP="00343F3E">
            <w:pPr>
              <w:pStyle w:val="Box"/>
            </w:pPr>
            <w:r>
              <w:t xml:space="preserve">There are two main sources of publicly available Australian data on natural disasters: the Insurance Council of Australia and the Australian Emergency Management Institute. </w:t>
            </w:r>
            <w:r w:rsidRPr="006359D6">
              <w:t>The Insurance Council of Australia c</w:t>
            </w:r>
            <w:r w:rsidRPr="002C7C9A">
              <w:t xml:space="preserve">ollects data </w:t>
            </w:r>
            <w:r w:rsidRPr="006359D6">
              <w:t>from general insurance companies following large events that impact on the community and insurers, and records events where the insured loss can potentially exceed $10</w:t>
            </w:r>
            <w:r>
              <w:t> </w:t>
            </w:r>
            <w:r w:rsidRPr="006359D6">
              <w:t xml:space="preserve">million </w:t>
            </w:r>
            <w:r w:rsidR="007C5656" w:rsidRPr="007C5656">
              <w:rPr>
                <w:rFonts w:cs="Arial"/>
                <w:szCs w:val="24"/>
              </w:rPr>
              <w:t>(ICA 2014d)</w:t>
            </w:r>
            <w:r w:rsidRPr="006359D6">
              <w:t>.</w:t>
            </w:r>
            <w:r>
              <w:t xml:space="preserve"> (This threshold was set in 2008 and was lower before that.)</w:t>
            </w:r>
            <w:r w:rsidRPr="006359D6">
              <w:t xml:space="preserve"> The Insurance Council of Australia dataset is </w:t>
            </w:r>
            <w:r>
              <w:t>used in this inquiry</w:t>
            </w:r>
            <w:r w:rsidRPr="006359D6">
              <w:t xml:space="preserve"> </w:t>
            </w:r>
            <w:r w:rsidRPr="002C7C9A">
              <w:t>because it is fairly complete and</w:t>
            </w:r>
            <w:r w:rsidRPr="006359D6">
              <w:t xml:space="preserve"> it provides nominal as well as normalised </w:t>
            </w:r>
            <w:r>
              <w:t>insurance loss</w:t>
            </w:r>
            <w:r w:rsidRPr="006359D6">
              <w:t xml:space="preserve"> estimates for almost every recorded disaster.</w:t>
            </w:r>
          </w:p>
          <w:p w14:paraId="133E91E4" w14:textId="021522AB" w:rsidR="00DE1537" w:rsidRDefault="00DE1537" w:rsidP="00343F3E">
            <w:pPr>
              <w:pStyle w:val="Box"/>
            </w:pPr>
            <w:r>
              <w:t>T</w:t>
            </w:r>
            <w:r w:rsidRPr="006359D6">
              <w:t>he Emergency Management Australia disasters database</w:t>
            </w:r>
            <w:r>
              <w:t>, hosted by the Australian Emergency Management Institute</w:t>
            </w:r>
            <w:r w:rsidRPr="006359D6">
              <w:t xml:space="preserve"> (AEMI 2014)</w:t>
            </w:r>
            <w:r>
              <w:t xml:space="preserve">, </w:t>
            </w:r>
            <w:r w:rsidRPr="006359D6">
              <w:t>contains additional disaster statistics such as the number of injuries and fatalities, people evacuated and livestock destroyed. However, these data are not collected consistently and not all disasters have a recorded cost</w:t>
            </w:r>
            <w:r>
              <w:t>. To be included in the database, natural disasters must meet at least one of the following criteria:</w:t>
            </w:r>
          </w:p>
          <w:p w14:paraId="626F8947" w14:textId="77777777" w:rsidR="00DE1537" w:rsidRDefault="00DE1537" w:rsidP="00343F3E">
            <w:pPr>
              <w:pStyle w:val="BoxListBullet"/>
              <w:rPr>
                <w:szCs w:val="24"/>
              </w:rPr>
            </w:pPr>
            <w:r>
              <w:t>at least three deaths</w:t>
            </w:r>
          </w:p>
          <w:p w14:paraId="6BF2647F" w14:textId="77777777" w:rsidR="00DE1537" w:rsidRDefault="00DE1537" w:rsidP="00343F3E">
            <w:pPr>
              <w:pStyle w:val="BoxListBullet"/>
              <w:rPr>
                <w:szCs w:val="24"/>
              </w:rPr>
            </w:pPr>
            <w:r>
              <w:t>twenty injuries or illnesses</w:t>
            </w:r>
          </w:p>
          <w:p w14:paraId="4D065811" w14:textId="77777777" w:rsidR="00DE1537" w:rsidRDefault="00DE1537" w:rsidP="00343F3E">
            <w:pPr>
              <w:pStyle w:val="BoxListBullet"/>
              <w:rPr>
                <w:szCs w:val="24"/>
              </w:rPr>
            </w:pPr>
            <w:proofErr w:type="gramStart"/>
            <w:r>
              <w:t>significant</w:t>
            </w:r>
            <w:proofErr w:type="gramEnd"/>
            <w:r>
              <w:t xml:space="preserve"> damage at an estimated cost of $10 million or more.</w:t>
            </w:r>
          </w:p>
          <w:p w14:paraId="076D6EA7" w14:textId="0D4B686F" w:rsidR="00DE1537" w:rsidRDefault="00DE1537" w:rsidP="00343F3E">
            <w:pPr>
              <w:pStyle w:val="Box"/>
            </w:pPr>
            <w:r w:rsidRPr="006359D6">
              <w:t xml:space="preserve">Limited disaster statistics are also available from international sources such as </w:t>
            </w:r>
            <w:r w:rsidRPr="006231A5">
              <w:t>the Emergency Events Database (CRED 2014) and Swiss Re Sigma reports (Swiss Re 2014).</w:t>
            </w:r>
            <w:r>
              <w:t xml:space="preserve"> However,</w:t>
            </w:r>
            <w:r w:rsidRPr="006231A5">
              <w:t xml:space="preserve"> </w:t>
            </w:r>
            <w:r>
              <w:t>these are not adequate for a number of reasons, including ad-hoc recording of natural disasters and limited availability of consistent time series data of natural disaster costs in Australia.</w:t>
            </w:r>
          </w:p>
          <w:p w14:paraId="0C3AB46B" w14:textId="77777777" w:rsidR="00DE1537" w:rsidRDefault="00DE1537" w:rsidP="00343F3E">
            <w:pPr>
              <w:pStyle w:val="Box"/>
            </w:pPr>
            <w:r>
              <w:t xml:space="preserve">Comprehensive proprietary datasets also exist, such as </w:t>
            </w:r>
            <w:r w:rsidRPr="00DF24A6">
              <w:rPr>
                <w:i/>
              </w:rPr>
              <w:t>PerilAus</w:t>
            </w:r>
            <w:r>
              <w:t xml:space="preserve"> developed by Risk Frontiers. It includes 12 natural hazards and contains data on over 14 000 events in Australia since 1900 (Risk Frontiers, sub. DR132).</w:t>
            </w:r>
          </w:p>
          <w:p w14:paraId="432825BE" w14:textId="77777777" w:rsidR="00DE1537" w:rsidRDefault="00DE1537" w:rsidP="00343F3E">
            <w:pPr>
              <w:pStyle w:val="Box"/>
            </w:pPr>
            <w:r w:rsidRPr="006359D6">
              <w:t xml:space="preserve">Estimates of the number and cost of natural disasters differ across data sources. Reasons for this include criteria for inclusion in the sample, data collection methods, and </w:t>
            </w:r>
            <w:r w:rsidRPr="002C7C9A">
              <w:t>the occasional aggregation of multiple events to one single event</w:t>
            </w:r>
            <w:r w:rsidRPr="006359D6">
              <w:t>. In addition, insurance losses are only part of the total cost of a natural disaster, the proportion of which varies by disaster typ</w:t>
            </w:r>
            <w:r>
              <w:t>e</w:t>
            </w:r>
            <w:r w:rsidRPr="006359D6">
              <w:t>.</w:t>
            </w:r>
          </w:p>
        </w:tc>
      </w:tr>
      <w:tr w:rsidR="00DE1537" w14:paraId="420CF403"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36C6FE2" w14:textId="77777777" w:rsidR="00DE1537" w:rsidRDefault="00DE1537">
            <w:pPr>
              <w:pStyle w:val="Box"/>
              <w:spacing w:before="0" w:line="120" w:lineRule="exact"/>
            </w:pPr>
          </w:p>
        </w:tc>
      </w:tr>
      <w:tr w:rsidR="00DE1537" w:rsidRPr="000863A5" w14:paraId="61CA7E8D" w14:textId="77777777" w:rsidTr="00343F3E">
        <w:tc>
          <w:tcPr>
            <w:tcW w:w="8771" w:type="dxa"/>
            <w:tcBorders>
              <w:top w:val="single" w:sz="6" w:space="0" w:color="78A22F"/>
              <w:left w:val="nil"/>
              <w:bottom w:val="nil"/>
              <w:right w:val="nil"/>
            </w:tcBorders>
          </w:tcPr>
          <w:p w14:paraId="05F9F8CD" w14:textId="77777777" w:rsidR="00DE1537" w:rsidRPr="00626D32" w:rsidRDefault="00DE1537" w:rsidP="00343F3E">
            <w:pPr>
              <w:pStyle w:val="BoxSpaceBelow"/>
            </w:pPr>
          </w:p>
        </w:tc>
      </w:tr>
    </w:tbl>
    <w:p w14:paraId="3065DC43" w14:textId="7786A329" w:rsidR="00DE1537" w:rsidRPr="002C7C9A" w:rsidRDefault="00DE1537" w:rsidP="00343F3E">
      <w:pPr>
        <w:pStyle w:val="BodyText"/>
      </w:pPr>
      <w:r>
        <w:lastRenderedPageBreak/>
        <w:t xml:space="preserve">Data collected from the ICA </w:t>
      </w:r>
      <w:r w:rsidR="007C5656" w:rsidRPr="007C5656">
        <w:t>(2014e)</w:t>
      </w:r>
      <w:r>
        <w:t xml:space="preserve"> for the period 1970–2013 suggest that </w:t>
      </w:r>
      <w:r w:rsidRPr="006900A6">
        <w:t>natural</w:t>
      </w:r>
      <w:r w:rsidRPr="002C7C9A">
        <w:t xml:space="preserve"> disasters are occurring more frequently.</w:t>
      </w:r>
      <w:r w:rsidRPr="003E3C4A">
        <w:rPr>
          <w:rStyle w:val="FootnoteReference"/>
        </w:rPr>
        <w:footnoteReference w:id="2"/>
      </w:r>
    </w:p>
    <w:p w14:paraId="4EBFC58A" w14:textId="77777777" w:rsidR="00DE1537" w:rsidRPr="002C7C9A" w:rsidRDefault="00DE1537" w:rsidP="00343F3E">
      <w:pPr>
        <w:pStyle w:val="ListBullet"/>
      </w:pPr>
      <w:r w:rsidRPr="002C7C9A">
        <w:t>126 natural disasters were recorded in the second half of the sample (1992</w:t>
      </w:r>
      <w:r>
        <w:t>–</w:t>
      </w:r>
      <w:r w:rsidRPr="002C7C9A">
        <w:t>2013), compared to 74 in the first half (</w:t>
      </w:r>
      <w:r>
        <w:t>1970–</w:t>
      </w:r>
      <w:r w:rsidRPr="002C7C9A">
        <w:t>1991).</w:t>
      </w:r>
    </w:p>
    <w:p w14:paraId="2E0A18C0" w14:textId="77777777" w:rsidR="00DE1537" w:rsidRPr="00167912" w:rsidRDefault="00DE1537" w:rsidP="00343F3E">
      <w:pPr>
        <w:pStyle w:val="ListBullet"/>
      </w:pPr>
      <w:r w:rsidRPr="00167912">
        <w:t>The annual average number of natural disasters since 2000 was six, higher than the annual average for the period 1970–</w:t>
      </w:r>
      <w:r>
        <w:t>99</w:t>
      </w:r>
      <w:r w:rsidRPr="00167912">
        <w:t xml:space="preserve">, at </w:t>
      </w:r>
      <w:r>
        <w:t>four</w:t>
      </w:r>
      <w:r w:rsidRPr="00167912">
        <w:t>.</w:t>
      </w:r>
    </w:p>
    <w:p w14:paraId="54643A84" w14:textId="77777777" w:rsidR="00DE1537" w:rsidRPr="00167912" w:rsidRDefault="00DE1537" w:rsidP="00343F3E">
      <w:pPr>
        <w:pStyle w:val="ListBullet"/>
      </w:pPr>
      <w:r w:rsidRPr="00167912">
        <w:t>The highest number of natural disasters was recorded in 1998, with 13 disasters that year.</w:t>
      </w:r>
    </w:p>
    <w:p w14:paraId="2425BFB5" w14:textId="77777777" w:rsidR="00DE1537" w:rsidRDefault="00DE1537" w:rsidP="00343F3E">
      <w:pPr>
        <w:pStyle w:val="Heading3"/>
      </w:pPr>
      <w:r>
        <w:t>Natural disaster projections</w:t>
      </w:r>
    </w:p>
    <w:p w14:paraId="57384FDB" w14:textId="19BCE332" w:rsidR="00DE1537" w:rsidRPr="00947DC7" w:rsidRDefault="00DE1537" w:rsidP="00343F3E">
      <w:pPr>
        <w:pStyle w:val="BodyText"/>
      </w:pPr>
      <w:r>
        <w:t xml:space="preserve">Natural disaster projections are highly dependent on the occurrence of extreme weather events in the future. Australia has a long history of climate variability and extreme weather events that impose significant costs on society and governments. Climate variability is likely to persist in the future and, along with it, the occurrence of damaging extreme weather events. </w:t>
      </w:r>
      <w:r w:rsidRPr="00947DC7">
        <w:t>Beyond that, eviden</w:t>
      </w:r>
      <w:r w:rsidRPr="00682105">
        <w:t>ce suggests that the climate itself is changing and this is expected</w:t>
      </w:r>
      <w:r w:rsidRPr="007B6A62">
        <w:t xml:space="preserve"> to lead to greater variability and changes to</w:t>
      </w:r>
      <w:r>
        <w:t xml:space="preserve"> </w:t>
      </w:r>
      <w:r w:rsidRPr="00967468">
        <w:t>the frequency, intensity, location and duration of extreme weather event</w:t>
      </w:r>
      <w:r w:rsidRPr="00ED2FCA">
        <w:t>s</w:t>
      </w:r>
      <w:r w:rsidRPr="00830569">
        <w:t xml:space="preserve"> such as bushfires and tropical cyclones </w:t>
      </w:r>
      <w:r w:rsidRPr="008148C4">
        <w:rPr>
          <w:szCs w:val="24"/>
        </w:rPr>
        <w:t xml:space="preserve">(Australian national, state and territory Councils of Social Service, sub. </w:t>
      </w:r>
      <w:proofErr w:type="gramStart"/>
      <w:r w:rsidRPr="008148C4">
        <w:rPr>
          <w:szCs w:val="24"/>
        </w:rPr>
        <w:t>DR197; PC 2012)</w:t>
      </w:r>
      <w:r w:rsidRPr="00947DC7">
        <w:t xml:space="preserve"> (box </w:t>
      </w:r>
      <w:r>
        <w:t>1.</w:t>
      </w:r>
      <w:r w:rsidRPr="00947DC7">
        <w:t>4).</w:t>
      </w:r>
      <w:proofErr w:type="gramEnd"/>
      <w:r w:rsidRPr="00947DC7">
        <w:t xml:space="preserve"> For example, the Bureau of Meteorology (sub.</w:t>
      </w:r>
      <w:r>
        <w:t> </w:t>
      </w:r>
      <w:r w:rsidRPr="00947DC7">
        <w:t>105, p.</w:t>
      </w:r>
      <w:r>
        <w:t> </w:t>
      </w:r>
      <w:r w:rsidRPr="00947DC7">
        <w:t>21) s</w:t>
      </w:r>
      <w:r>
        <w:t>ubmitted</w:t>
      </w:r>
      <w:r w:rsidRPr="00947DC7">
        <w:t xml:space="preserve"> that:</w:t>
      </w:r>
    </w:p>
    <w:p w14:paraId="265C5AE1" w14:textId="77777777" w:rsidR="00DE1537" w:rsidRDefault="00DE1537" w:rsidP="00343F3E">
      <w:pPr>
        <w:pStyle w:val="Quote"/>
      </w:pPr>
      <w:r>
        <w:t>Focusing on the occurrence of extreme weather and climate events, it is evident that some are increasing in frequency and intensity. These include severe fire weather days in southern Australia and extreme heat. Other events are expected to increase as a result of climate trends, including flash flooding (due to rising moisture levels in the atmosphere) and coastal inundation (due to rising sea level).</w:t>
      </w:r>
    </w:p>
    <w:p w14:paraId="401726CE" w14:textId="77777777" w:rsidR="00DE1537" w:rsidRDefault="00DE1537" w:rsidP="00343F3E">
      <w:pPr>
        <w:pStyle w:val="BodyText"/>
      </w:pPr>
      <w:proofErr w:type="gramStart"/>
      <w:r>
        <w:t>The National Climate Change Adaptation Research Facility (sub.</w:t>
      </w:r>
      <w:proofErr w:type="gramEnd"/>
      <w:r>
        <w:t> DR156, p. 1) also stated that:</w:t>
      </w:r>
    </w:p>
    <w:p w14:paraId="53388819" w14:textId="77777777" w:rsidR="00DE1537" w:rsidRDefault="00DE1537" w:rsidP="00343F3E">
      <w:pPr>
        <w:pStyle w:val="Quote"/>
      </w:pPr>
      <w:r>
        <w:t>[t]here are an increasing number of studies appearing which demonstrate the high probability that individual events contain a climate change component, i.e., they would have been unlikely to occur in the absence of global warming. The fact that these events can be attributed in part to climate change suggests that (a) the signal of climate change is beginning to emerge from the noise and (b) there will be impacts on the occurrence of extremes that may have implications for disaster funding.</w:t>
      </w:r>
    </w:p>
    <w:p w14:paraId="3ACA0A10" w14:textId="77777777" w:rsidR="00DE1537" w:rsidRDefault="00DE1537" w:rsidP="00343F3E">
      <w:pPr>
        <w:pStyle w:val="BodyText"/>
      </w:pPr>
      <w:r>
        <w:t xml:space="preserve">It is difficult to predict accurately how many natural disasters will occur in the future. This difficulty is compounded by climate change and its uncertain impact on the frequency and intensity of extreme weather events. Further, there are risks in drawing conclusions about future climate trends from past trends without adequate care (Bureau of Meteorology, sub. 105). Nevertheless, projections generally indicate that the frequency and intensity of </w:t>
      </w:r>
      <w:r>
        <w:lastRenderedPageBreak/>
        <w:t>several extreme weather events are likely to increase, resulting in potentially more frequent natural disasters in the future.</w:t>
      </w:r>
    </w:p>
    <w:p w14:paraId="73F0DFA0"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1B9D906" w14:textId="77777777" w:rsidTr="00343F3E">
        <w:tc>
          <w:tcPr>
            <w:tcW w:w="8771" w:type="dxa"/>
            <w:tcBorders>
              <w:top w:val="single" w:sz="6" w:space="0" w:color="78A22F"/>
              <w:left w:val="nil"/>
              <w:bottom w:val="nil"/>
              <w:right w:val="nil"/>
            </w:tcBorders>
            <w:shd w:val="clear" w:color="auto" w:fill="F2F2F2" w:themeFill="background1" w:themeFillShade="F2"/>
          </w:tcPr>
          <w:p w14:paraId="7ABFF8D4" w14:textId="363938E6" w:rsidR="00DE1537" w:rsidRDefault="00DE1537">
            <w:pPr>
              <w:pStyle w:val="BoxTitle"/>
            </w:pPr>
            <w:r>
              <w:rPr>
                <w:b w:val="0"/>
              </w:rPr>
              <w:t>Box 1.</w:t>
            </w:r>
            <w:r>
              <w:rPr>
                <w:b w:val="0"/>
                <w:noProof/>
              </w:rPr>
              <w:t>4</w:t>
            </w:r>
            <w:r>
              <w:tab/>
              <w:t>Changes in the frequency of extreme weather events</w:t>
            </w:r>
          </w:p>
        </w:tc>
      </w:tr>
      <w:tr w:rsidR="00DE1537" w14:paraId="462DBDC7" w14:textId="77777777" w:rsidTr="00343F3E">
        <w:trPr>
          <w:cantSplit/>
        </w:trPr>
        <w:tc>
          <w:tcPr>
            <w:tcW w:w="8771" w:type="dxa"/>
            <w:tcBorders>
              <w:top w:val="nil"/>
              <w:left w:val="nil"/>
              <w:bottom w:val="nil"/>
              <w:right w:val="nil"/>
            </w:tcBorders>
            <w:shd w:val="clear" w:color="auto" w:fill="F2F2F2" w:themeFill="background1" w:themeFillShade="F2"/>
          </w:tcPr>
          <w:p w14:paraId="41C78655" w14:textId="77777777" w:rsidR="00DE1537" w:rsidRPr="00C3329B" w:rsidRDefault="00DE1537" w:rsidP="00343F3E">
            <w:pPr>
              <w:pStyle w:val="BoxHeading1"/>
            </w:pPr>
            <w:r>
              <w:t>Bushfire</w:t>
            </w:r>
          </w:p>
          <w:p w14:paraId="1E794BD7" w14:textId="433B2B8C" w:rsidR="00DE1537" w:rsidRPr="005B2B33" w:rsidRDefault="00DE1537" w:rsidP="00343F3E">
            <w:pPr>
              <w:pStyle w:val="Box"/>
            </w:pPr>
            <w:r w:rsidRPr="00303C00">
              <w:t>The Australian national, state and territory Councils of Social Service (sub. DR197, p. 23) reported that ‘climate change is expected to make Australia’s climate hotter with average temperatures predicted to increase by up to 1.3 [degrees Celsius] by</w:t>
            </w:r>
            <w:r>
              <w:t xml:space="preserve"> 2020 and 6.7 [degrees Celsius] by 2080’. As many regions of Australia become hotter and drier, </w:t>
            </w:r>
            <w:r w:rsidRPr="005B2B33">
              <w:t>bushfire risk is projected to increase. A longer bushfire season and a further rise in the number of extreme fire</w:t>
            </w:r>
            <w:r w:rsidRPr="005B2B33">
              <w:noBreakHyphen/>
              <w:t xml:space="preserve">weather days </w:t>
            </w:r>
            <w:proofErr w:type="gramStart"/>
            <w:r w:rsidRPr="005B2B33">
              <w:t>is</w:t>
            </w:r>
            <w:proofErr w:type="gramEnd"/>
            <w:r w:rsidRPr="005B2B33">
              <w:t xml:space="preserve"> expected in southern and eastern Australia (BOM and CSIRO 2014).</w:t>
            </w:r>
          </w:p>
          <w:p w14:paraId="2E5F2C3B" w14:textId="77777777" w:rsidR="00DE1537" w:rsidRDefault="00DE1537" w:rsidP="00343F3E">
            <w:pPr>
              <w:pStyle w:val="BoxHeading1"/>
            </w:pPr>
            <w:r>
              <w:t>Extreme rainfall</w:t>
            </w:r>
          </w:p>
          <w:p w14:paraId="1430A4F5" w14:textId="71F924FA" w:rsidR="00DE1537" w:rsidRDefault="00DE1537" w:rsidP="00343F3E">
            <w:pPr>
              <w:pStyle w:val="Box"/>
            </w:pPr>
            <w:r>
              <w:t xml:space="preserve">Future precipitation is expected to be characterised by ‘longer dry spells interrupted by heavier precipitation events’ </w:t>
            </w:r>
            <w:r w:rsidRPr="00B36947">
              <w:rPr>
                <w:rFonts w:cs="Arial"/>
                <w:szCs w:val="24"/>
              </w:rPr>
              <w:t>(CSIRO and BOM 2007, p. 73)</w:t>
            </w:r>
            <w:r>
              <w:t xml:space="preserve">. While accurate projections of extreme rainfall are difficult because of the indirect relationships between climate change and precipitation, the frequency and intensity of extreme daily rainfall is projected to rise </w:t>
            </w:r>
            <w:r w:rsidRPr="00B36947">
              <w:rPr>
                <w:rFonts w:cs="Arial"/>
                <w:szCs w:val="24"/>
              </w:rPr>
              <w:t>(BOM and CSIRO 2014)</w:t>
            </w:r>
            <w:r>
              <w:t>.</w:t>
            </w:r>
          </w:p>
          <w:p w14:paraId="29351675" w14:textId="77777777" w:rsidR="00DE1537" w:rsidRDefault="00DE1537" w:rsidP="00343F3E">
            <w:pPr>
              <w:pStyle w:val="BoxHeading1"/>
            </w:pPr>
            <w:r>
              <w:t>Hailstorm</w:t>
            </w:r>
          </w:p>
          <w:p w14:paraId="74AB5CF8" w14:textId="483C1092" w:rsidR="00DE1537" w:rsidRDefault="00DE1537" w:rsidP="00343F3E">
            <w:pPr>
              <w:pStyle w:val="Box"/>
            </w:pPr>
            <w:r>
              <w:t xml:space="preserve">Projected changes in the frequency of hailstorms are uncertain and vary across different regions of Australia. Analysis by CSIRO and BOM </w:t>
            </w:r>
            <w:r w:rsidRPr="00A573BF">
              <w:rPr>
                <w:rFonts w:cs="Arial"/>
              </w:rPr>
              <w:t>(2007)</w:t>
            </w:r>
            <w:r>
              <w:t xml:space="preserve"> indicated that hail frequency is likely to decrease slightly along the southern coast of Australia and increase along the eastern coast by 2070 relative to 1990.</w:t>
            </w:r>
          </w:p>
          <w:p w14:paraId="6D1A8775" w14:textId="77777777" w:rsidR="00DE1537" w:rsidRDefault="00DE1537" w:rsidP="00343F3E">
            <w:pPr>
              <w:pStyle w:val="BoxHeading1"/>
            </w:pPr>
            <w:r>
              <w:t>Storm surge and coastal flooding</w:t>
            </w:r>
          </w:p>
          <w:p w14:paraId="2DCB8CF7" w14:textId="352123A3" w:rsidR="00DE1537" w:rsidRPr="00E92558" w:rsidRDefault="00DE1537" w:rsidP="00343F3E">
            <w:pPr>
              <w:pStyle w:val="Box"/>
            </w:pPr>
            <w:r>
              <w:t>In general, the frequency of extreme sea</w:t>
            </w:r>
            <w:r>
              <w:noBreakHyphen/>
              <w:t>level events is projected to increase because of sea</w:t>
            </w:r>
            <w:r>
              <w:noBreakHyphen/>
              <w:t xml:space="preserve">level rise </w:t>
            </w:r>
            <w:r w:rsidRPr="00B36947">
              <w:rPr>
                <w:rFonts w:cs="Arial"/>
                <w:szCs w:val="24"/>
              </w:rPr>
              <w:t>(BOM and CSIRO 2014)</w:t>
            </w:r>
            <w:r>
              <w:t xml:space="preserve">. For example, coastal </w:t>
            </w:r>
            <w:r w:rsidRPr="00E92558">
              <w:t>flooding due to storm surge is likely to increase because sea</w:t>
            </w:r>
            <w:r w:rsidRPr="00E92558">
              <w:noBreakHyphen/>
              <w:t>level rise has a ‘multiplier effect’ on the frequency of sea</w:t>
            </w:r>
            <w:r w:rsidRPr="00E92558">
              <w:noBreakHyphen/>
              <w:t xml:space="preserve">level events, including those caused by storm surge (PC 2012). </w:t>
            </w:r>
          </w:p>
          <w:p w14:paraId="74EBA423" w14:textId="77777777" w:rsidR="00DE1537" w:rsidRDefault="00DE1537" w:rsidP="00343F3E">
            <w:pPr>
              <w:pStyle w:val="BoxHeading1"/>
            </w:pPr>
            <w:r>
              <w:t>Tropical cyclone</w:t>
            </w:r>
          </w:p>
          <w:p w14:paraId="0F04CCB4" w14:textId="5EC5CCC3" w:rsidR="00DE1537" w:rsidRDefault="00DE1537" w:rsidP="00343F3E">
            <w:pPr>
              <w:pStyle w:val="Box"/>
            </w:pPr>
            <w:r>
              <w:t xml:space="preserve">Due to various climate change uncertainties, tropical cyclone projections vary. While there is general agreement in existing research that an increase in the intensity of cyclones is probable, the overall change in cyclone frequency is less clear </w:t>
            </w:r>
            <w:r w:rsidRPr="00C77156">
              <w:rPr>
                <w:rFonts w:cs="Arial"/>
                <w:szCs w:val="24"/>
              </w:rPr>
              <w:t>(Abbs 2009; Leslie et al. 2007; McGregor, Walsh and Nguyen 2004)</w:t>
            </w:r>
            <w:r>
              <w:t>.</w:t>
            </w:r>
          </w:p>
        </w:tc>
      </w:tr>
      <w:tr w:rsidR="00DE1537" w14:paraId="2FFFF15D"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3D65175" w14:textId="77777777" w:rsidR="00DE1537" w:rsidRDefault="00DE1537">
            <w:pPr>
              <w:pStyle w:val="Box"/>
              <w:spacing w:before="0" w:line="120" w:lineRule="exact"/>
            </w:pPr>
          </w:p>
        </w:tc>
      </w:tr>
      <w:tr w:rsidR="00DE1537" w:rsidRPr="000863A5" w14:paraId="5D4A1B54" w14:textId="77777777" w:rsidTr="00343F3E">
        <w:tc>
          <w:tcPr>
            <w:tcW w:w="8771" w:type="dxa"/>
            <w:tcBorders>
              <w:top w:val="single" w:sz="6" w:space="0" w:color="78A22F"/>
              <w:left w:val="nil"/>
              <w:bottom w:val="nil"/>
              <w:right w:val="nil"/>
            </w:tcBorders>
          </w:tcPr>
          <w:p w14:paraId="08DB39EE" w14:textId="77777777" w:rsidR="00DE1537" w:rsidRPr="003B4E3F" w:rsidRDefault="00DE1537" w:rsidP="00343F3E">
            <w:pPr>
              <w:pStyle w:val="BoxSpaceBelow"/>
            </w:pPr>
            <w:r w:rsidRPr="003B4E3F">
              <w:rPr>
                <w:rFonts w:ascii="Times New Roman" w:hAnsi="Times New Roman"/>
                <w:b/>
                <w:color w:val="FF00FF"/>
              </w:rPr>
              <w:t>.</w:t>
            </w:r>
          </w:p>
        </w:tc>
      </w:tr>
    </w:tbl>
    <w:p w14:paraId="7F07445F" w14:textId="40B2351C" w:rsidR="00DE1537" w:rsidRDefault="00DE1537" w:rsidP="00343F3E">
      <w:pPr>
        <w:pStyle w:val="Heading2"/>
      </w:pPr>
      <w:bookmarkStart w:id="5" w:name="_Toc406424311"/>
      <w:r>
        <w:t>1.3</w:t>
      </w:r>
      <w:r>
        <w:tab/>
        <w:t>The economic costs of natural disasters</w:t>
      </w:r>
      <w:bookmarkEnd w:id="5"/>
    </w:p>
    <w:p w14:paraId="54D6EF11" w14:textId="4B1E615F" w:rsidR="00DE1537" w:rsidRPr="000D2004" w:rsidRDefault="00DE1537" w:rsidP="00343F3E">
      <w:pPr>
        <w:pStyle w:val="BodyText"/>
      </w:pPr>
      <w:r w:rsidRPr="000D2004">
        <w:t xml:space="preserve">Natural disasters can impose significant economic, social, personal and environmental costs on governments, businesses, </w:t>
      </w:r>
      <w:r>
        <w:t>households</w:t>
      </w:r>
      <w:r w:rsidRPr="000D2004">
        <w:t xml:space="preserve"> and communities. One of the most common ways in which people think of natural disaster costs is in terms of fatalities and loss of property, with estimates usually featured prominently in media reports following a natural disaster. In the last five years alone, natural disasters around the country have claimed </w:t>
      </w:r>
      <w:r w:rsidRPr="000D2004">
        <w:lastRenderedPageBreak/>
        <w:t xml:space="preserve">more </w:t>
      </w:r>
      <w:r>
        <w:t xml:space="preserve">than 226 lives, destroyed over 2670 houses and damaged over 7684, and impacted hundreds of thousands of people </w:t>
      </w:r>
      <w:r w:rsidRPr="00875ABE">
        <w:rPr>
          <w:szCs w:val="24"/>
        </w:rPr>
        <w:t>(AEMI 2014)</w:t>
      </w:r>
      <w:r>
        <w:t>. Over the past four decades, bushfires accounted for most fatalities (over 300), followed by cyclones and floods. The deadliest natural disaster (post 1970) was the 2009 Black Saturday bushfires with 173 fatalities (table 1.1).</w:t>
      </w:r>
      <w:r w:rsidRPr="003E3C4A">
        <w:rPr>
          <w:rStyle w:val="FootnoteReference"/>
        </w:rPr>
        <w:footnoteReference w:id="3"/>
      </w:r>
      <w:r>
        <w:t xml:space="preserve"> In Queensland, rapid onset natural disasters have resulted in 43 fatalities over the past seven years (Queensland Government, sub. 31).</w:t>
      </w:r>
    </w:p>
    <w:p w14:paraId="549E3112"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0AFB6C9C" w14:textId="77777777" w:rsidTr="00343F3E">
        <w:tc>
          <w:tcPr>
            <w:tcW w:w="8771" w:type="dxa"/>
            <w:tcBorders>
              <w:top w:val="single" w:sz="6" w:space="0" w:color="78A22F"/>
              <w:left w:val="nil"/>
              <w:bottom w:val="nil"/>
              <w:right w:val="nil"/>
            </w:tcBorders>
            <w:shd w:val="clear" w:color="auto" w:fill="auto"/>
          </w:tcPr>
          <w:p w14:paraId="53CD6DD5" w14:textId="42BE458A" w:rsidR="00DE1537" w:rsidRPr="00784A05" w:rsidRDefault="00DE1537" w:rsidP="00343F3E">
            <w:pPr>
              <w:pStyle w:val="TableTitle"/>
            </w:pPr>
            <w:r>
              <w:rPr>
                <w:b w:val="0"/>
              </w:rPr>
              <w:t>Table 1.</w:t>
            </w:r>
            <w:r>
              <w:rPr>
                <w:b w:val="0"/>
                <w:noProof/>
              </w:rPr>
              <w:t>1</w:t>
            </w:r>
            <w:r>
              <w:tab/>
              <w:t>Deadliest natural disasters in Australia, 1970–2013</w:t>
            </w:r>
          </w:p>
        </w:tc>
      </w:tr>
      <w:tr w:rsidR="00DE1537" w14:paraId="6F03FCAD" w14:textId="77777777" w:rsidTr="00343F3E">
        <w:trPr>
          <w:cantSplit/>
        </w:trPr>
        <w:tc>
          <w:tcPr>
            <w:tcW w:w="8771" w:type="dxa"/>
            <w:tcBorders>
              <w:top w:val="nil"/>
              <w:left w:val="nil"/>
              <w:bottom w:val="single" w:sz="6" w:space="0" w:color="FFFFFF" w:themeColor="background1"/>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538"/>
              <w:gridCol w:w="4121"/>
              <w:gridCol w:w="2828"/>
            </w:tblGrid>
            <w:tr w:rsidR="00DE1537" w14:paraId="56164943" w14:textId="77777777" w:rsidTr="00343F3E">
              <w:tc>
                <w:tcPr>
                  <w:tcW w:w="906" w:type="pct"/>
                  <w:tcBorders>
                    <w:top w:val="single" w:sz="6" w:space="0" w:color="BFBFBF"/>
                    <w:bottom w:val="single" w:sz="6" w:space="0" w:color="BFBFBF"/>
                  </w:tcBorders>
                  <w:shd w:val="clear" w:color="auto" w:fill="auto"/>
                  <w:tcMar>
                    <w:top w:w="28" w:type="dxa"/>
                  </w:tcMar>
                </w:tcPr>
                <w:p w14:paraId="6A82432F" w14:textId="77777777" w:rsidR="00DE1537" w:rsidRDefault="00DE1537" w:rsidP="00343F3E">
                  <w:pPr>
                    <w:pStyle w:val="TableColumnHeading"/>
                    <w:jc w:val="left"/>
                  </w:pPr>
                  <w:r>
                    <w:t>Rank</w:t>
                  </w:r>
                </w:p>
              </w:tc>
              <w:tc>
                <w:tcPr>
                  <w:tcW w:w="2428" w:type="pct"/>
                  <w:tcBorders>
                    <w:top w:val="single" w:sz="6" w:space="0" w:color="BFBFBF"/>
                    <w:bottom w:val="single" w:sz="6" w:space="0" w:color="BFBFBF"/>
                  </w:tcBorders>
                  <w:shd w:val="clear" w:color="auto" w:fill="auto"/>
                  <w:tcMar>
                    <w:top w:w="28" w:type="dxa"/>
                  </w:tcMar>
                </w:tcPr>
                <w:p w14:paraId="225849DA" w14:textId="77777777" w:rsidR="00DE1537" w:rsidRDefault="00DE1537" w:rsidP="00343F3E">
                  <w:pPr>
                    <w:pStyle w:val="TableColumnHeading"/>
                    <w:jc w:val="left"/>
                  </w:pPr>
                  <w:r>
                    <w:t>Event</w:t>
                  </w:r>
                </w:p>
              </w:tc>
              <w:tc>
                <w:tcPr>
                  <w:tcW w:w="1666" w:type="pct"/>
                  <w:tcBorders>
                    <w:top w:val="single" w:sz="6" w:space="0" w:color="BFBFBF"/>
                    <w:bottom w:val="single" w:sz="6" w:space="0" w:color="BFBFBF"/>
                  </w:tcBorders>
                  <w:shd w:val="clear" w:color="auto" w:fill="auto"/>
                  <w:tcMar>
                    <w:top w:w="28" w:type="dxa"/>
                  </w:tcMar>
                </w:tcPr>
                <w:p w14:paraId="3015F9A0" w14:textId="77777777" w:rsidR="00DE1537" w:rsidRDefault="00DE1537" w:rsidP="00343F3E">
                  <w:pPr>
                    <w:pStyle w:val="TableColumnHeading"/>
                    <w:ind w:right="28"/>
                  </w:pPr>
                  <w:r>
                    <w:t>Fatalities</w:t>
                  </w:r>
                </w:p>
              </w:tc>
            </w:tr>
            <w:tr w:rsidR="00DE1537" w14:paraId="3CC49ED4" w14:textId="77777777" w:rsidTr="00343F3E">
              <w:tc>
                <w:tcPr>
                  <w:tcW w:w="906" w:type="pct"/>
                  <w:tcBorders>
                    <w:top w:val="single" w:sz="6" w:space="0" w:color="BFBFBF"/>
                  </w:tcBorders>
                </w:tcPr>
                <w:p w14:paraId="30057CE3" w14:textId="77777777" w:rsidR="00DE1537" w:rsidRDefault="00DE1537" w:rsidP="00343F3E">
                  <w:pPr>
                    <w:pStyle w:val="TableBodyText"/>
                    <w:jc w:val="left"/>
                  </w:pPr>
                  <w:r>
                    <w:t>1</w:t>
                  </w:r>
                </w:p>
              </w:tc>
              <w:tc>
                <w:tcPr>
                  <w:tcW w:w="2428" w:type="pct"/>
                  <w:tcBorders>
                    <w:top w:val="single" w:sz="6" w:space="0" w:color="BFBFBF"/>
                  </w:tcBorders>
                </w:tcPr>
                <w:p w14:paraId="5D94D95E" w14:textId="77777777" w:rsidR="00DE1537" w:rsidRDefault="00DE1537" w:rsidP="00343F3E">
                  <w:pPr>
                    <w:pStyle w:val="TableBodyText"/>
                    <w:jc w:val="left"/>
                    <w:rPr>
                      <w:i/>
                    </w:rPr>
                  </w:pPr>
                  <w:r>
                    <w:t>2009 Black Saturday bushfires</w:t>
                  </w:r>
                </w:p>
              </w:tc>
              <w:tc>
                <w:tcPr>
                  <w:tcW w:w="1666" w:type="pct"/>
                  <w:tcBorders>
                    <w:top w:val="single" w:sz="6" w:space="0" w:color="BFBFBF"/>
                  </w:tcBorders>
                </w:tcPr>
                <w:p w14:paraId="3263E13D" w14:textId="77777777" w:rsidR="00DE1537" w:rsidRDefault="00DE1537" w:rsidP="00343F3E">
                  <w:pPr>
                    <w:pStyle w:val="TableBodyText"/>
                    <w:ind w:right="28"/>
                  </w:pPr>
                  <w:r>
                    <w:t>173</w:t>
                  </w:r>
                </w:p>
              </w:tc>
            </w:tr>
            <w:tr w:rsidR="00DE1537" w14:paraId="07F1A6F6" w14:textId="77777777" w:rsidTr="00343F3E">
              <w:tc>
                <w:tcPr>
                  <w:tcW w:w="906" w:type="pct"/>
                  <w:shd w:val="clear" w:color="auto" w:fill="auto"/>
                </w:tcPr>
                <w:p w14:paraId="5E0DF14C" w14:textId="77777777" w:rsidR="00DE1537" w:rsidRDefault="00DE1537" w:rsidP="00343F3E">
                  <w:pPr>
                    <w:pStyle w:val="TableBodyText"/>
                    <w:jc w:val="left"/>
                  </w:pPr>
                  <w:r>
                    <w:t>2</w:t>
                  </w:r>
                </w:p>
              </w:tc>
              <w:tc>
                <w:tcPr>
                  <w:tcW w:w="2428" w:type="pct"/>
                  <w:shd w:val="clear" w:color="auto" w:fill="auto"/>
                </w:tcPr>
                <w:p w14:paraId="57EED8FC" w14:textId="77777777" w:rsidR="00DE1537" w:rsidRDefault="00DE1537" w:rsidP="00343F3E">
                  <w:pPr>
                    <w:pStyle w:val="TableBodyText"/>
                    <w:jc w:val="left"/>
                    <w:rPr>
                      <w:i/>
                    </w:rPr>
                  </w:pPr>
                  <w:r>
                    <w:t>1983 Ash Wednesday bushfires</w:t>
                  </w:r>
                </w:p>
              </w:tc>
              <w:tc>
                <w:tcPr>
                  <w:tcW w:w="1666" w:type="pct"/>
                  <w:shd w:val="clear" w:color="auto" w:fill="auto"/>
                </w:tcPr>
                <w:p w14:paraId="0107165D" w14:textId="77777777" w:rsidR="00DE1537" w:rsidRDefault="00DE1537" w:rsidP="00343F3E">
                  <w:pPr>
                    <w:pStyle w:val="TableBodyText"/>
                    <w:ind w:right="28"/>
                  </w:pPr>
                  <w:r>
                    <w:t>75</w:t>
                  </w:r>
                </w:p>
              </w:tc>
            </w:tr>
            <w:tr w:rsidR="00DE1537" w14:paraId="7D54C997" w14:textId="77777777" w:rsidTr="00343F3E">
              <w:tc>
                <w:tcPr>
                  <w:tcW w:w="906" w:type="pct"/>
                  <w:shd w:val="clear" w:color="auto" w:fill="auto"/>
                </w:tcPr>
                <w:p w14:paraId="5C9ECF2F" w14:textId="77777777" w:rsidR="00DE1537" w:rsidRDefault="00DE1537" w:rsidP="00343F3E">
                  <w:pPr>
                    <w:pStyle w:val="TableBodyText"/>
                    <w:jc w:val="left"/>
                  </w:pPr>
                  <w:r>
                    <w:t>3</w:t>
                  </w:r>
                </w:p>
              </w:tc>
              <w:tc>
                <w:tcPr>
                  <w:tcW w:w="2428" w:type="pct"/>
                  <w:shd w:val="clear" w:color="auto" w:fill="auto"/>
                </w:tcPr>
                <w:p w14:paraId="537F1CAC" w14:textId="77777777" w:rsidR="00DE1537" w:rsidRDefault="00DE1537" w:rsidP="00343F3E">
                  <w:pPr>
                    <w:pStyle w:val="TableBodyText"/>
                    <w:jc w:val="left"/>
                    <w:rPr>
                      <w:i/>
                    </w:rPr>
                  </w:pPr>
                  <w:r>
                    <w:t>1974 Cyclone Tracy</w:t>
                  </w:r>
                </w:p>
              </w:tc>
              <w:tc>
                <w:tcPr>
                  <w:tcW w:w="1666" w:type="pct"/>
                  <w:shd w:val="clear" w:color="auto" w:fill="auto"/>
                </w:tcPr>
                <w:p w14:paraId="4E7BC581" w14:textId="77777777" w:rsidR="00DE1537" w:rsidRDefault="00DE1537" w:rsidP="00343F3E">
                  <w:pPr>
                    <w:pStyle w:val="TableBodyText"/>
                    <w:ind w:right="28"/>
                  </w:pPr>
                  <w:r>
                    <w:t>71</w:t>
                  </w:r>
                </w:p>
              </w:tc>
            </w:tr>
            <w:tr w:rsidR="00DE1537" w14:paraId="2715495C" w14:textId="77777777" w:rsidTr="00343F3E">
              <w:tc>
                <w:tcPr>
                  <w:tcW w:w="906" w:type="pct"/>
                  <w:shd w:val="clear" w:color="auto" w:fill="auto"/>
                </w:tcPr>
                <w:p w14:paraId="38C69CFE" w14:textId="77777777" w:rsidR="00DE1537" w:rsidRDefault="00DE1537" w:rsidP="00343F3E">
                  <w:pPr>
                    <w:pStyle w:val="TableBodyText"/>
                    <w:jc w:val="left"/>
                  </w:pPr>
                  <w:r>
                    <w:t>4</w:t>
                  </w:r>
                </w:p>
              </w:tc>
              <w:tc>
                <w:tcPr>
                  <w:tcW w:w="2428" w:type="pct"/>
                  <w:shd w:val="clear" w:color="auto" w:fill="auto"/>
                </w:tcPr>
                <w:p w14:paraId="36818EC5" w14:textId="77777777" w:rsidR="00DE1537" w:rsidRDefault="00DE1537" w:rsidP="00343F3E">
                  <w:pPr>
                    <w:pStyle w:val="TableBodyText"/>
                    <w:jc w:val="left"/>
                    <w:rPr>
                      <w:i/>
                    </w:rPr>
                  </w:pPr>
                  <w:r>
                    <w:t>2010–11 Queensland floods</w:t>
                  </w:r>
                </w:p>
              </w:tc>
              <w:tc>
                <w:tcPr>
                  <w:tcW w:w="1666" w:type="pct"/>
                  <w:shd w:val="clear" w:color="auto" w:fill="auto"/>
                </w:tcPr>
                <w:p w14:paraId="234EF4E2" w14:textId="77777777" w:rsidR="00DE1537" w:rsidRDefault="00DE1537" w:rsidP="00343F3E">
                  <w:pPr>
                    <w:pStyle w:val="TableBodyText"/>
                    <w:ind w:right="28"/>
                  </w:pPr>
                  <w:r>
                    <w:t>33</w:t>
                  </w:r>
                </w:p>
              </w:tc>
            </w:tr>
            <w:tr w:rsidR="00DE1537" w14:paraId="439491D0" w14:textId="77777777" w:rsidTr="00343F3E">
              <w:tc>
                <w:tcPr>
                  <w:tcW w:w="906" w:type="pct"/>
                  <w:tcBorders>
                    <w:bottom w:val="single" w:sz="6" w:space="0" w:color="BFBFBF"/>
                  </w:tcBorders>
                  <w:shd w:val="clear" w:color="auto" w:fill="auto"/>
                </w:tcPr>
                <w:p w14:paraId="76AC1E4B" w14:textId="77777777" w:rsidR="00DE1537" w:rsidRDefault="00DE1537" w:rsidP="00343F3E">
                  <w:pPr>
                    <w:pStyle w:val="TableBodyText"/>
                    <w:jc w:val="left"/>
                  </w:pPr>
                  <w:r>
                    <w:t>5</w:t>
                  </w:r>
                </w:p>
              </w:tc>
              <w:tc>
                <w:tcPr>
                  <w:tcW w:w="2428" w:type="pct"/>
                  <w:tcBorders>
                    <w:bottom w:val="single" w:sz="6" w:space="0" w:color="BFBFBF"/>
                  </w:tcBorders>
                  <w:shd w:val="clear" w:color="auto" w:fill="auto"/>
                </w:tcPr>
                <w:p w14:paraId="44131536" w14:textId="77777777" w:rsidR="00DE1537" w:rsidRDefault="00DE1537" w:rsidP="00343F3E">
                  <w:pPr>
                    <w:pStyle w:val="TableBodyText"/>
                    <w:jc w:val="left"/>
                    <w:rPr>
                      <w:i/>
                    </w:rPr>
                  </w:pPr>
                  <w:r>
                    <w:t>1997 Thredbo landslide</w:t>
                  </w:r>
                </w:p>
              </w:tc>
              <w:tc>
                <w:tcPr>
                  <w:tcW w:w="1666" w:type="pct"/>
                  <w:tcBorders>
                    <w:bottom w:val="single" w:sz="6" w:space="0" w:color="BFBFBF"/>
                  </w:tcBorders>
                  <w:shd w:val="clear" w:color="auto" w:fill="auto"/>
                </w:tcPr>
                <w:p w14:paraId="2B219D19" w14:textId="77777777" w:rsidR="00DE1537" w:rsidRDefault="00DE1537" w:rsidP="00343F3E">
                  <w:pPr>
                    <w:pStyle w:val="TableBodyText"/>
                    <w:ind w:right="28"/>
                  </w:pPr>
                  <w:r>
                    <w:t>18</w:t>
                  </w:r>
                </w:p>
              </w:tc>
            </w:tr>
          </w:tbl>
          <w:p w14:paraId="35AAA836" w14:textId="77777777" w:rsidR="00DE1537" w:rsidRDefault="00DE1537" w:rsidP="00343F3E">
            <w:pPr>
              <w:pStyle w:val="Box"/>
            </w:pPr>
          </w:p>
        </w:tc>
      </w:tr>
      <w:tr w:rsidR="00DE1537" w14:paraId="5C3D941C" w14:textId="77777777" w:rsidTr="00343F3E">
        <w:trPr>
          <w:cantSplit/>
          <w:trHeight w:val="227"/>
        </w:trPr>
        <w:tc>
          <w:tcPr>
            <w:tcW w:w="8771" w:type="dxa"/>
            <w:tcBorders>
              <w:top w:val="single" w:sz="6" w:space="0" w:color="FFFFFF" w:themeColor="background1"/>
              <w:left w:val="nil"/>
              <w:bottom w:val="nil"/>
              <w:right w:val="nil"/>
            </w:tcBorders>
            <w:shd w:val="clear" w:color="auto" w:fill="auto"/>
            <w:vAlign w:val="bottom"/>
          </w:tcPr>
          <w:p w14:paraId="0701699E" w14:textId="75FE2983" w:rsidR="00DE1537" w:rsidRPr="00422D3E" w:rsidRDefault="00DE1537" w:rsidP="00343F3E">
            <w:pPr>
              <w:rPr>
                <w:rFonts w:cs="Arial"/>
                <w:i/>
              </w:rPr>
            </w:pPr>
            <w:r w:rsidRPr="00E64C77">
              <w:rPr>
                <w:rFonts w:ascii="Arial" w:eastAsiaTheme="minorHAnsi" w:hAnsi="Arial" w:cs="Arial"/>
                <w:i/>
                <w:sz w:val="18"/>
                <w:szCs w:val="22"/>
                <w:lang w:eastAsia="en-US"/>
              </w:rPr>
              <w:t xml:space="preserve">Source: </w:t>
            </w:r>
            <w:r w:rsidRPr="00E64C77">
              <w:rPr>
                <w:rFonts w:ascii="Arial" w:eastAsiaTheme="minorHAnsi" w:hAnsi="Arial" w:cs="Arial"/>
                <w:sz w:val="18"/>
                <w:szCs w:val="22"/>
                <w:lang w:eastAsia="en-US"/>
              </w:rPr>
              <w:t>AEMI (2014).</w:t>
            </w:r>
          </w:p>
        </w:tc>
      </w:tr>
      <w:tr w:rsidR="00DE1537" w14:paraId="485BA0FA" w14:textId="77777777" w:rsidTr="00343F3E">
        <w:trPr>
          <w:cantSplit/>
        </w:trPr>
        <w:tc>
          <w:tcPr>
            <w:tcW w:w="8771" w:type="dxa"/>
            <w:tcBorders>
              <w:top w:val="nil"/>
              <w:left w:val="nil"/>
              <w:bottom w:val="single" w:sz="6" w:space="0" w:color="78A22F"/>
              <w:right w:val="nil"/>
            </w:tcBorders>
            <w:shd w:val="clear" w:color="auto" w:fill="auto"/>
          </w:tcPr>
          <w:p w14:paraId="4167DB7A" w14:textId="77777777" w:rsidR="00DE1537" w:rsidRDefault="00DE1537" w:rsidP="00343F3E">
            <w:pPr>
              <w:pStyle w:val="Box"/>
              <w:spacing w:before="0" w:line="120" w:lineRule="exact"/>
            </w:pPr>
          </w:p>
        </w:tc>
      </w:tr>
      <w:tr w:rsidR="00DE1537" w:rsidRPr="000863A5" w14:paraId="46CB92AF" w14:textId="77777777" w:rsidTr="00343F3E">
        <w:tc>
          <w:tcPr>
            <w:tcW w:w="8771" w:type="dxa"/>
            <w:tcBorders>
              <w:top w:val="single" w:sz="6" w:space="0" w:color="78A22F"/>
              <w:left w:val="nil"/>
              <w:bottom w:val="nil"/>
              <w:right w:val="nil"/>
            </w:tcBorders>
          </w:tcPr>
          <w:p w14:paraId="7E3B5F7F" w14:textId="77777777" w:rsidR="00DE1537" w:rsidRPr="00626D32" w:rsidRDefault="00DE1537" w:rsidP="00343F3E">
            <w:pPr>
              <w:pStyle w:val="BoxSpaceBelow"/>
            </w:pPr>
          </w:p>
        </w:tc>
      </w:tr>
    </w:tbl>
    <w:p w14:paraId="0AC70DAF" w14:textId="77777777" w:rsidR="00DE1537" w:rsidRDefault="00DE1537" w:rsidP="00343F3E">
      <w:pPr>
        <w:pStyle w:val="BodyText"/>
      </w:pPr>
      <w:r>
        <w:t xml:space="preserve">Natural disaster costs extend beyond loss of life and property and there are many ways to measure these costs. Two commonly used measures are </w:t>
      </w:r>
      <w:r w:rsidRPr="00E64C77">
        <w:rPr>
          <w:i/>
        </w:rPr>
        <w:t>insured losses</w:t>
      </w:r>
      <w:r>
        <w:t xml:space="preserve"> and </w:t>
      </w:r>
      <w:r w:rsidRPr="00E64C77">
        <w:rPr>
          <w:i/>
        </w:rPr>
        <w:t>financial losses</w:t>
      </w:r>
      <w:r>
        <w:t xml:space="preserve"> </w:t>
      </w:r>
      <w:r w:rsidRPr="00B7645F">
        <w:t>(box</w:t>
      </w:r>
      <w:r>
        <w:t> 1.</w:t>
      </w:r>
      <w:r w:rsidRPr="00B7645F">
        <w:t>5)</w:t>
      </w:r>
      <w:r w:rsidRPr="007E202F">
        <w:t>.</w:t>
      </w:r>
      <w:r w:rsidRPr="00006A5C">
        <w:t xml:space="preserve"> </w:t>
      </w:r>
      <w:r w:rsidRPr="00123B7D">
        <w:t>However</w:t>
      </w:r>
      <w:r>
        <w:t xml:space="preserve">, these are only partial measures. The Commission has also considered the </w:t>
      </w:r>
      <w:r w:rsidRPr="00EC24BB">
        <w:rPr>
          <w:i/>
        </w:rPr>
        <w:t>economic costs</w:t>
      </w:r>
      <w:r>
        <w:t xml:space="preserve"> </w:t>
      </w:r>
      <w:r w:rsidRPr="00F004B9">
        <w:t xml:space="preserve">(costs to </w:t>
      </w:r>
      <w:r>
        <w:t>households</w:t>
      </w:r>
      <w:r w:rsidRPr="00F004B9">
        <w:t xml:space="preserve">, businesses and communities) and </w:t>
      </w:r>
      <w:r w:rsidRPr="00F004B9">
        <w:rPr>
          <w:i/>
        </w:rPr>
        <w:t>fiscal costs</w:t>
      </w:r>
      <w:r w:rsidRPr="00F004B9">
        <w:t xml:space="preserve"> (costs to governments)</w:t>
      </w:r>
      <w:r>
        <w:t xml:space="preserve"> of natural disasters.</w:t>
      </w:r>
    </w:p>
    <w:p w14:paraId="11649857"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CCFD418" w14:textId="77777777" w:rsidTr="00343F3E">
        <w:tc>
          <w:tcPr>
            <w:tcW w:w="8771" w:type="dxa"/>
            <w:tcBorders>
              <w:top w:val="single" w:sz="6" w:space="0" w:color="78A22F"/>
              <w:left w:val="nil"/>
              <w:bottom w:val="nil"/>
              <w:right w:val="nil"/>
            </w:tcBorders>
            <w:shd w:val="clear" w:color="auto" w:fill="F2F2F2" w:themeFill="background1" w:themeFillShade="F2"/>
          </w:tcPr>
          <w:p w14:paraId="5B350A0F" w14:textId="14AB73F6" w:rsidR="00DE1537" w:rsidRDefault="00DE1537">
            <w:pPr>
              <w:pStyle w:val="BoxTitle"/>
            </w:pPr>
            <w:r>
              <w:rPr>
                <w:b w:val="0"/>
              </w:rPr>
              <w:t>Box 1.</w:t>
            </w:r>
            <w:r>
              <w:rPr>
                <w:b w:val="0"/>
                <w:noProof/>
              </w:rPr>
              <w:t>5</w:t>
            </w:r>
            <w:r>
              <w:tab/>
              <w:t>Insured losses and financial losses from natural disasters</w:t>
            </w:r>
          </w:p>
        </w:tc>
      </w:tr>
      <w:tr w:rsidR="00DE1537" w14:paraId="4A376729" w14:textId="77777777" w:rsidTr="00343F3E">
        <w:trPr>
          <w:cantSplit/>
        </w:trPr>
        <w:tc>
          <w:tcPr>
            <w:tcW w:w="8771" w:type="dxa"/>
            <w:tcBorders>
              <w:top w:val="nil"/>
              <w:left w:val="nil"/>
              <w:bottom w:val="nil"/>
              <w:right w:val="nil"/>
            </w:tcBorders>
            <w:shd w:val="clear" w:color="auto" w:fill="F2F2F2" w:themeFill="background1" w:themeFillShade="F2"/>
          </w:tcPr>
          <w:p w14:paraId="6C084CBF" w14:textId="249F65B3" w:rsidR="00DE1537" w:rsidRDefault="00DE1537" w:rsidP="00343F3E">
            <w:pPr>
              <w:pStyle w:val="Box"/>
            </w:pPr>
            <w:r>
              <w:t xml:space="preserve">In some studies, </w:t>
            </w:r>
            <w:r>
              <w:rPr>
                <w:b/>
              </w:rPr>
              <w:t>insured losses</w:t>
            </w:r>
            <w:r>
              <w:t xml:space="preserve"> (borne by insurers and measured by insurance payouts) are used as the sole indicator of natural disaster costs. However, insured losses are only part of the total costs of natural disasters which include broader social costs linked to uninsured property and infrastructure, emergency response and intangible costs such as death, injury and stress (Deloitte Access Economics 2013). Furthermore, to the extent that some insurance payouts may reflect replacement costs, these will likely overestimate the value of a lost or damaged asset — most assets damaged in a natural disaster are already depreciated (BTE 2001; EMA 2002; Handmer and Thompson 1996). </w:t>
            </w:r>
          </w:p>
          <w:p w14:paraId="157525CA" w14:textId="35E32E08" w:rsidR="00DE1537" w:rsidRDefault="00DE1537" w:rsidP="00343F3E">
            <w:pPr>
              <w:pStyle w:val="Box"/>
            </w:pPr>
            <w:r>
              <w:rPr>
                <w:b/>
              </w:rPr>
              <w:t>Financial losses</w:t>
            </w:r>
            <w:r>
              <w:t xml:space="preserve"> are also used to measure natural disaster costs. However, financial losses incurred by households and businesses in areas affected by natural disasters may not always involve an economic cost for the broader economy. For example, businesses in a flood</w:t>
            </w:r>
            <w:r>
              <w:noBreakHyphen/>
              <w:t xml:space="preserve">affected area can suffer from a decline in consumer demand following the disaster, but if consumers switch their purchases to competitors elsewhere in the economy, the total level of economic activity may remain the same </w:t>
            </w:r>
            <w:r w:rsidR="007C5656" w:rsidRPr="007C5656">
              <w:rPr>
                <w:rFonts w:cs="Arial"/>
                <w:szCs w:val="24"/>
              </w:rPr>
              <w:t>(VBRC 2010b)</w:t>
            </w:r>
            <w:r>
              <w:t>.</w:t>
            </w:r>
          </w:p>
        </w:tc>
      </w:tr>
      <w:tr w:rsidR="00DE1537" w14:paraId="49BB328B"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A7D7340" w14:textId="77777777" w:rsidR="00DE1537" w:rsidRDefault="00DE1537">
            <w:pPr>
              <w:pStyle w:val="Box"/>
              <w:spacing w:before="0" w:line="120" w:lineRule="exact"/>
            </w:pPr>
          </w:p>
        </w:tc>
      </w:tr>
      <w:tr w:rsidR="00DE1537" w:rsidRPr="000863A5" w14:paraId="5E0AF606" w14:textId="77777777" w:rsidTr="00343F3E">
        <w:tc>
          <w:tcPr>
            <w:tcW w:w="8771" w:type="dxa"/>
            <w:tcBorders>
              <w:top w:val="single" w:sz="6" w:space="0" w:color="78A22F"/>
              <w:left w:val="nil"/>
              <w:bottom w:val="nil"/>
              <w:right w:val="nil"/>
            </w:tcBorders>
          </w:tcPr>
          <w:p w14:paraId="2D8EE599" w14:textId="77777777" w:rsidR="00DE1537" w:rsidRPr="00626D32" w:rsidRDefault="00DE1537" w:rsidP="00343F3E">
            <w:pPr>
              <w:pStyle w:val="BoxSpaceBelow"/>
            </w:pPr>
          </w:p>
        </w:tc>
      </w:tr>
    </w:tbl>
    <w:p w14:paraId="658D1D0B" w14:textId="719AA449" w:rsidR="00DE1537" w:rsidRDefault="00DE1537" w:rsidP="00343F3E">
      <w:pPr>
        <w:pStyle w:val="BodyText"/>
      </w:pPr>
      <w:r>
        <w:lastRenderedPageBreak/>
        <w:t xml:space="preserve">The economic costs of natural disasters capture the loss of resources to the economy as a whole as a result of these disasters </w:t>
      </w:r>
      <w:r w:rsidR="007C5656" w:rsidRPr="007C5656">
        <w:rPr>
          <w:szCs w:val="24"/>
        </w:rPr>
        <w:t>(VBRC 2010b)</w:t>
      </w:r>
      <w:r>
        <w:t>. This includes the social effects of disasters on communities and where resources could have been employed in alternative uses. (The total cost is unlikely to equal the sum of individual costs.) Economic costs are typically grouped into three categories (figure 1.1):</w:t>
      </w:r>
    </w:p>
    <w:p w14:paraId="71A0192B" w14:textId="77777777" w:rsidR="00DE1537" w:rsidRDefault="00DE1537" w:rsidP="00DE1537">
      <w:pPr>
        <w:pStyle w:val="ListBullet"/>
      </w:pPr>
      <w:r>
        <w:t>Direct market costs — damage caused by the physical event.</w:t>
      </w:r>
    </w:p>
    <w:p w14:paraId="25F26F39" w14:textId="77777777" w:rsidR="00DE1537" w:rsidRDefault="00DE1537" w:rsidP="00DE1537">
      <w:pPr>
        <w:pStyle w:val="ListBullet"/>
      </w:pPr>
      <w:r>
        <w:t>Indirect market costs — flow</w:t>
      </w:r>
      <w:r>
        <w:noBreakHyphen/>
        <w:t>on effects as the community responds to the event.</w:t>
      </w:r>
    </w:p>
    <w:p w14:paraId="60A1A70F" w14:textId="77777777" w:rsidR="00DE1537" w:rsidRDefault="00DE1537" w:rsidP="00DE1537">
      <w:pPr>
        <w:pStyle w:val="ListBullet"/>
      </w:pPr>
      <w:r>
        <w:t>Intangible or non</w:t>
      </w:r>
      <w:r>
        <w:noBreakHyphen/>
        <w:t>market costs — outcomes such as death, injury or environmental damage.</w:t>
      </w:r>
    </w:p>
    <w:p w14:paraId="3492E3FC" w14:textId="77777777" w:rsidR="00DE1537" w:rsidRDefault="00DE1537" w:rsidP="00343F3E">
      <w:pPr>
        <w:pStyle w:val="BodyText"/>
      </w:pPr>
      <w:r>
        <w:t>A detailed list of these costs, the conceptual basis for their classification as economic costs, and potential data sources are provided in annex 2.</w:t>
      </w:r>
    </w:p>
    <w:p w14:paraId="024105D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A7B66D2" w14:textId="77777777" w:rsidTr="00343F3E">
        <w:tc>
          <w:tcPr>
            <w:tcW w:w="8771" w:type="dxa"/>
            <w:tcBorders>
              <w:top w:val="single" w:sz="6" w:space="0" w:color="78A22F"/>
              <w:left w:val="nil"/>
              <w:bottom w:val="nil"/>
              <w:right w:val="nil"/>
            </w:tcBorders>
            <w:shd w:val="clear" w:color="auto" w:fill="auto"/>
          </w:tcPr>
          <w:p w14:paraId="138A44BB" w14:textId="1BB44B93" w:rsidR="00DE1537" w:rsidRPr="00176D3F" w:rsidRDefault="00DE1537" w:rsidP="00343F3E">
            <w:pPr>
              <w:pStyle w:val="FigureTitle"/>
            </w:pPr>
            <w:r w:rsidRPr="00784A05">
              <w:rPr>
                <w:b w:val="0"/>
              </w:rPr>
              <w:t xml:space="preserve">Figure </w:t>
            </w:r>
            <w:r>
              <w:rPr>
                <w:b w:val="0"/>
              </w:rPr>
              <w:t>1.</w:t>
            </w:r>
            <w:r>
              <w:rPr>
                <w:b w:val="0"/>
                <w:noProof/>
              </w:rPr>
              <w:t>1</w:t>
            </w:r>
            <w:r>
              <w:tab/>
              <w:t>The economic costs of natural disasters</w:t>
            </w:r>
          </w:p>
        </w:tc>
      </w:tr>
      <w:tr w:rsidR="00DE1537" w14:paraId="6EF80632"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2A190B3C" w14:textId="77777777" w:rsidTr="00343F3E">
              <w:tc>
                <w:tcPr>
                  <w:tcW w:w="5000" w:type="pct"/>
                  <w:tcBorders>
                    <w:top w:val="nil"/>
                    <w:bottom w:val="nil"/>
                  </w:tcBorders>
                </w:tcPr>
                <w:p w14:paraId="2B244934" w14:textId="77777777" w:rsidR="00DE1537" w:rsidRDefault="00DE1537" w:rsidP="00343F3E">
                  <w:pPr>
                    <w:pStyle w:val="Figure"/>
                    <w:spacing w:before="60" w:after="60"/>
                  </w:pPr>
                  <w:r>
                    <w:rPr>
                      <w:noProof/>
                    </w:rPr>
                    <w:drawing>
                      <wp:inline distT="0" distB="0" distL="0" distR="0" wp14:anchorId="7BFDF0C5" wp14:editId="580AB3BF">
                        <wp:extent cx="5046452" cy="3299809"/>
                        <wp:effectExtent l="0" t="0" r="1905" b="0"/>
                        <wp:docPr id="1" name="Picture 1" descr="This figure provides a breakdown of the economic costs of natural disasters. Economic costs are broken down into three major groups: direct market costs, indirect market costs and intangible/non-market costs. Examples of direct market costs are damage to infrastructure, commercial buildings, residential housing and agriculture. Examples of indirect market costs are disruption of public services, clean up costs and cost of alternative accommodation. Examples of intangible/non-market costs are costs associated with death and injury, loss of animal welfare and loss of memorabilia." title="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6777" cy="3300022"/>
                                </a:xfrm>
                                <a:prstGeom prst="rect">
                                  <a:avLst/>
                                </a:prstGeom>
                                <a:noFill/>
                                <a:ln>
                                  <a:noFill/>
                                </a:ln>
                              </pic:spPr>
                            </pic:pic>
                          </a:graphicData>
                        </a:graphic>
                      </wp:inline>
                    </w:drawing>
                  </w:r>
                </w:p>
              </w:tc>
            </w:tr>
          </w:tbl>
          <w:p w14:paraId="1DD0D13E" w14:textId="77777777" w:rsidR="00DE1537" w:rsidRDefault="00DE1537" w:rsidP="00343F3E">
            <w:pPr>
              <w:pStyle w:val="Figure"/>
            </w:pPr>
          </w:p>
        </w:tc>
      </w:tr>
      <w:tr w:rsidR="00DE1537" w:rsidRPr="00176D3F" w14:paraId="31D33643" w14:textId="77777777" w:rsidTr="00343F3E">
        <w:tc>
          <w:tcPr>
            <w:tcW w:w="8771" w:type="dxa"/>
            <w:tcBorders>
              <w:top w:val="nil"/>
              <w:left w:val="nil"/>
              <w:bottom w:val="nil"/>
              <w:right w:val="nil"/>
            </w:tcBorders>
            <w:shd w:val="clear" w:color="auto" w:fill="auto"/>
          </w:tcPr>
          <w:p w14:paraId="3C12A1BA" w14:textId="5842F78D" w:rsidR="00DE1537" w:rsidRPr="00176D3F" w:rsidRDefault="00DE1537" w:rsidP="00343F3E">
            <w:pPr>
              <w:pStyle w:val="Source"/>
            </w:pPr>
            <w:r>
              <w:rPr>
                <w:i/>
              </w:rPr>
              <w:t>Source</w:t>
            </w:r>
            <w:r>
              <w:t xml:space="preserve">: Adapted from BTE </w:t>
            </w:r>
            <w:r>
              <w:rPr>
                <w:rFonts w:cs="Arial"/>
              </w:rPr>
              <w:t>(2001)</w:t>
            </w:r>
            <w:r>
              <w:t>.</w:t>
            </w:r>
          </w:p>
        </w:tc>
      </w:tr>
      <w:tr w:rsidR="00DE1537" w14:paraId="2C9FF689" w14:textId="77777777" w:rsidTr="00343F3E">
        <w:tc>
          <w:tcPr>
            <w:tcW w:w="8771" w:type="dxa"/>
            <w:tcBorders>
              <w:top w:val="nil"/>
              <w:left w:val="nil"/>
              <w:bottom w:val="single" w:sz="6" w:space="0" w:color="78A22F"/>
              <w:right w:val="nil"/>
            </w:tcBorders>
            <w:shd w:val="clear" w:color="auto" w:fill="auto"/>
          </w:tcPr>
          <w:p w14:paraId="0ED56C14" w14:textId="77777777" w:rsidR="00DE1537" w:rsidRDefault="00DE1537" w:rsidP="00343F3E">
            <w:pPr>
              <w:pStyle w:val="Figurespace"/>
            </w:pPr>
          </w:p>
        </w:tc>
      </w:tr>
      <w:tr w:rsidR="00DE1537" w:rsidRPr="000863A5" w14:paraId="15064AAF" w14:textId="77777777" w:rsidTr="00343F3E">
        <w:tc>
          <w:tcPr>
            <w:tcW w:w="8771" w:type="dxa"/>
            <w:tcBorders>
              <w:top w:val="single" w:sz="6" w:space="0" w:color="78A22F"/>
              <w:left w:val="nil"/>
              <w:bottom w:val="nil"/>
              <w:right w:val="nil"/>
            </w:tcBorders>
          </w:tcPr>
          <w:p w14:paraId="0FC1B340" w14:textId="77777777" w:rsidR="00DE1537" w:rsidRPr="00626D32" w:rsidRDefault="00DE1537" w:rsidP="00343F3E">
            <w:pPr>
              <w:pStyle w:val="BoxSpaceBelow"/>
            </w:pPr>
          </w:p>
        </w:tc>
      </w:tr>
    </w:tbl>
    <w:p w14:paraId="200C2831" w14:textId="77777777" w:rsidR="00DE1537" w:rsidRPr="00AF3517" w:rsidRDefault="00DE1537" w:rsidP="00343F3E">
      <w:pPr>
        <w:pStyle w:val="Heading3"/>
      </w:pPr>
      <w:r>
        <w:t xml:space="preserve">Direct </w:t>
      </w:r>
      <w:r w:rsidRPr="00AF3517">
        <w:t>market costs</w:t>
      </w:r>
    </w:p>
    <w:p w14:paraId="0D6EB12D" w14:textId="55EE4906" w:rsidR="00DE1537" w:rsidRDefault="00DE1537" w:rsidP="00343F3E">
      <w:pPr>
        <w:pStyle w:val="BodyText"/>
      </w:pPr>
      <w:r>
        <w:t xml:space="preserve">Direct market costs capture the immediate impacts of a natural disaster on tangible assets, such as the impacts of strong winds, heavy precipitation and wildfire </w:t>
      </w:r>
      <w:r w:rsidRPr="00654DD6">
        <w:rPr>
          <w:szCs w:val="24"/>
        </w:rPr>
        <w:t>(Hallegatte and Przyluski 2010)</w:t>
      </w:r>
      <w:r>
        <w:t>. Direct market costs include:</w:t>
      </w:r>
    </w:p>
    <w:p w14:paraId="6A8FC8DD" w14:textId="77777777" w:rsidR="00DE1537" w:rsidRDefault="00DE1537" w:rsidP="00343F3E">
      <w:pPr>
        <w:pStyle w:val="ListBullet"/>
      </w:pPr>
      <w:r>
        <w:t>damage to residential property (houses, contents, boats and vehicles)</w:t>
      </w:r>
    </w:p>
    <w:p w14:paraId="2919A4FF" w14:textId="77777777" w:rsidR="00DE1537" w:rsidRDefault="00DE1537" w:rsidP="00343F3E">
      <w:pPr>
        <w:pStyle w:val="ListBullet"/>
      </w:pPr>
      <w:r>
        <w:lastRenderedPageBreak/>
        <w:t>damage to public property</w:t>
      </w:r>
    </w:p>
    <w:p w14:paraId="57DB94E4" w14:textId="77777777" w:rsidR="00DE1537" w:rsidRDefault="00DE1537" w:rsidP="00343F3E">
      <w:pPr>
        <w:pStyle w:val="ListBullet"/>
      </w:pPr>
      <w:proofErr w:type="gramStart"/>
      <w:r>
        <w:t>damage</w:t>
      </w:r>
      <w:proofErr w:type="gramEnd"/>
      <w:r>
        <w:t xml:space="preserve"> to crops and livestock.</w:t>
      </w:r>
    </w:p>
    <w:p w14:paraId="1DEBC8E5" w14:textId="77777777" w:rsidR="00DE1537" w:rsidRDefault="00DE1537" w:rsidP="00343F3E">
      <w:pPr>
        <w:pStyle w:val="BodyText"/>
      </w:pPr>
      <w:r>
        <w:t>Property damage (private and public) is typically a major component of direct disaster costs. While this can be measured using market values for some assets (such as damaged commercial equipment), it is often difficult to assess because:</w:t>
      </w:r>
    </w:p>
    <w:p w14:paraId="7986B967" w14:textId="77777777" w:rsidR="00DE1537" w:rsidRDefault="00DE1537" w:rsidP="00343F3E">
      <w:pPr>
        <w:pStyle w:val="ListBullet"/>
      </w:pPr>
      <w:r>
        <w:t>market prices for housing and commercial property include land value, not just the value of the physical structure</w:t>
      </w:r>
    </w:p>
    <w:p w14:paraId="408397CF" w14:textId="77777777" w:rsidR="00DE1537" w:rsidRDefault="00DE1537" w:rsidP="00343F3E">
      <w:pPr>
        <w:pStyle w:val="ListBullet"/>
      </w:pPr>
      <w:r>
        <w:t>many assets are depreciated and thus less valuable than new assets on the market</w:t>
      </w:r>
    </w:p>
    <w:p w14:paraId="1363AF8D" w14:textId="50DB11E3" w:rsidR="00DE1537" w:rsidRDefault="00DE1537" w:rsidP="00343F3E">
      <w:pPr>
        <w:pStyle w:val="ListBullet"/>
      </w:pPr>
      <w:proofErr w:type="gramStart"/>
      <w:r>
        <w:t>public</w:t>
      </w:r>
      <w:proofErr w:type="gramEnd"/>
      <w:r>
        <w:t xml:space="preserve"> infrastructure provides social benefits to the community that are not reflected in market values </w:t>
      </w:r>
      <w:r w:rsidRPr="002E172C">
        <w:rPr>
          <w:szCs w:val="24"/>
        </w:rPr>
        <w:t>(EMA 2002; Hallegatte and Przyluski 2010)</w:t>
      </w:r>
      <w:r>
        <w:t>.</w:t>
      </w:r>
    </w:p>
    <w:p w14:paraId="72527568" w14:textId="77777777" w:rsidR="00DE1537" w:rsidRDefault="00DE1537" w:rsidP="00343F3E">
      <w:pPr>
        <w:pStyle w:val="BodyText"/>
      </w:pPr>
      <w:r>
        <w:t>Older buildings can be particularly vulnerable to damage from natural disasters because of non-compliance with current building standards and the legacy of past planning decisions.</w:t>
      </w:r>
    </w:p>
    <w:p w14:paraId="606F1808" w14:textId="77777777" w:rsidR="00DE1537" w:rsidRPr="002C7C9A" w:rsidRDefault="00DE1537" w:rsidP="00343F3E">
      <w:pPr>
        <w:pStyle w:val="Heading3"/>
      </w:pPr>
      <w:r w:rsidRPr="002C7C9A">
        <w:t>Indirect market costs</w:t>
      </w:r>
    </w:p>
    <w:p w14:paraId="20F9D17C" w14:textId="5C2C065E" w:rsidR="00DE1537" w:rsidRDefault="00DE1537" w:rsidP="00343F3E">
      <w:pPr>
        <w:pStyle w:val="BodyText"/>
      </w:pPr>
      <w:r>
        <w:t xml:space="preserve">Indirect market costs capture all losses that are not directly caused by the natural disaster itself, but arise from the consequences of the damage and destruction </w:t>
      </w:r>
      <w:r w:rsidRPr="006877B7">
        <w:rPr>
          <w:szCs w:val="24"/>
        </w:rPr>
        <w:t>(BTE 2001; Hallegatte and Przyluski 2010)</w:t>
      </w:r>
      <w:r>
        <w:t>. These include:</w:t>
      </w:r>
    </w:p>
    <w:p w14:paraId="2AE64F13" w14:textId="77777777" w:rsidR="00DE1537" w:rsidRDefault="00DE1537" w:rsidP="00343F3E">
      <w:pPr>
        <w:pStyle w:val="ListBullet"/>
      </w:pPr>
      <w:r>
        <w:t>loss of production</w:t>
      </w:r>
    </w:p>
    <w:p w14:paraId="60745B40" w14:textId="77777777" w:rsidR="00DE1537" w:rsidRDefault="00DE1537" w:rsidP="00343F3E">
      <w:pPr>
        <w:pStyle w:val="ListBullet"/>
      </w:pPr>
      <w:r>
        <w:t>disruption of public services, water, electricity or telecommunications</w:t>
      </w:r>
    </w:p>
    <w:p w14:paraId="6ADD8DCC" w14:textId="77777777" w:rsidR="00DE1537" w:rsidRDefault="00DE1537" w:rsidP="00343F3E">
      <w:pPr>
        <w:pStyle w:val="ListBullet"/>
      </w:pPr>
      <w:proofErr w:type="gramStart"/>
      <w:r>
        <w:t>emergency</w:t>
      </w:r>
      <w:proofErr w:type="gramEnd"/>
      <w:r>
        <w:t xml:space="preserve"> response and relief.</w:t>
      </w:r>
    </w:p>
    <w:p w14:paraId="5095CC5C" w14:textId="08DBD832" w:rsidR="00DE1537" w:rsidRDefault="00DE1537" w:rsidP="00343F3E">
      <w:pPr>
        <w:pStyle w:val="BodyText"/>
      </w:pPr>
      <w:r>
        <w:t xml:space="preserve">Indirect costs are often difficult to quantify and there is no set methodology for measuring them. For example, the 2009 Victorian Bushfires Royal Commission </w:t>
      </w:r>
      <w:r w:rsidR="007C5656" w:rsidRPr="007C5656">
        <w:t>(2010b)</w:t>
      </w:r>
      <w:r>
        <w:t xml:space="preserve"> contended that the contribution of volunteers involved in the 2009 Black Saturday bushfires could not be estimated with any reasonable accuracy. In a broad sense, indirect costs are likely to be felt the most at the community level and are not likely to be significant (in terms of magnitude) relative to direct disaster costs at the economy-wide level.</w:t>
      </w:r>
    </w:p>
    <w:p w14:paraId="1DCDCC00" w14:textId="77777777" w:rsidR="00DE1537" w:rsidRPr="002C7C9A" w:rsidRDefault="00DE1537" w:rsidP="00343F3E">
      <w:pPr>
        <w:pStyle w:val="Heading3"/>
      </w:pPr>
      <w:r w:rsidRPr="002C7C9A">
        <w:t>Intangible or non</w:t>
      </w:r>
      <w:r>
        <w:noBreakHyphen/>
      </w:r>
      <w:r w:rsidRPr="002C7C9A">
        <w:t>market costs</w:t>
      </w:r>
    </w:p>
    <w:p w14:paraId="7B17E906" w14:textId="7CA8F243" w:rsidR="00DE1537" w:rsidRDefault="00DE1537" w:rsidP="00343F3E">
      <w:pPr>
        <w:pStyle w:val="BodyText"/>
      </w:pPr>
      <w:r>
        <w:t>Intangible (or non</w:t>
      </w:r>
      <w:r>
        <w:noBreakHyphen/>
        <w:t xml:space="preserve">market) costs capture direct and indirect damages that cannot easily be priced and that are not bought and sold on markets </w:t>
      </w:r>
      <w:r w:rsidRPr="00274D7C">
        <w:rPr>
          <w:szCs w:val="24"/>
        </w:rPr>
        <w:t>(BTE 2001; Hallegatte and Przyluski 2010; Keating, Handmer and Whittaker 2013)</w:t>
      </w:r>
      <w:r>
        <w:t>. These include:</w:t>
      </w:r>
    </w:p>
    <w:p w14:paraId="5F5380E4" w14:textId="77777777" w:rsidR="00DE1537" w:rsidRDefault="00DE1537" w:rsidP="00343F3E">
      <w:pPr>
        <w:pStyle w:val="ListBullet"/>
      </w:pPr>
      <w:r>
        <w:t>stress, injury and loss of life</w:t>
      </w:r>
    </w:p>
    <w:p w14:paraId="21849275" w14:textId="77777777" w:rsidR="00DE1537" w:rsidRDefault="00DE1537" w:rsidP="00343F3E">
      <w:pPr>
        <w:pStyle w:val="ListBullet"/>
      </w:pPr>
      <w:r>
        <w:t>ecosystem damage</w:t>
      </w:r>
    </w:p>
    <w:p w14:paraId="75F34DFE" w14:textId="77777777" w:rsidR="00DE1537" w:rsidRDefault="00DE1537" w:rsidP="00343F3E">
      <w:pPr>
        <w:pStyle w:val="ListBullet"/>
      </w:pPr>
      <w:proofErr w:type="gramStart"/>
      <w:r>
        <w:t>loss</w:t>
      </w:r>
      <w:proofErr w:type="gramEnd"/>
      <w:r>
        <w:t xml:space="preserve"> of cultural heritage.</w:t>
      </w:r>
    </w:p>
    <w:p w14:paraId="12041205" w14:textId="77777777" w:rsidR="00DE1537" w:rsidRDefault="00DE1537" w:rsidP="00343F3E">
      <w:pPr>
        <w:pStyle w:val="BodyText"/>
      </w:pPr>
      <w:r>
        <w:lastRenderedPageBreak/>
        <w:t xml:space="preserve">Inquiry participants contended that these costs are difficult to </w:t>
      </w:r>
      <w:proofErr w:type="gramStart"/>
      <w:r>
        <w:t>quantify,</w:t>
      </w:r>
      <w:proofErr w:type="gramEnd"/>
      <w:r>
        <w:t xml:space="preserve"> can accrue over the long term and can have serious impacts (Australian Psychological Society, sub. </w:t>
      </w:r>
      <w:proofErr w:type="gramStart"/>
      <w:r>
        <w:t>DR144; Australian Red Cross, sub.</w:t>
      </w:r>
      <w:proofErr w:type="gramEnd"/>
      <w:r>
        <w:t> </w:t>
      </w:r>
      <w:proofErr w:type="gramStart"/>
      <w:r>
        <w:t>56; QMDC, sub.</w:t>
      </w:r>
      <w:proofErr w:type="gramEnd"/>
      <w:r>
        <w:t> 48). For example, the stress of being affected by a natural disaster can ‘lead to a cardiac event requiring extensive hospitalisation and intervention as well as long term rehabilitation and medication’ (Tegwen Howell, sub. 6, p. 2). Other costs such as the reduction in animal welfare can have secondary effects on human welfare (for example, if the family pet dies during a bushfire), making such costs even harder to quantify (World Animal Protection, sub. DR143).</w:t>
      </w:r>
    </w:p>
    <w:p w14:paraId="41341053" w14:textId="3258920E" w:rsidR="00DE1537" w:rsidRDefault="00DE1537" w:rsidP="00343F3E">
      <w:pPr>
        <w:pStyle w:val="BodyText"/>
      </w:pPr>
      <w:r>
        <w:t>Researchers and policy makers have attempted to provide estimates of some intangible costs (such as the statistical value of a lost life).</w:t>
      </w:r>
      <w:r w:rsidRPr="003E3C4A">
        <w:rPr>
          <w:rStyle w:val="FootnoteReference"/>
        </w:rPr>
        <w:footnoteReference w:id="4"/>
      </w:r>
      <w:r>
        <w:t xml:space="preserve"> However, such monetary estimates have often proved contentious, and there remain barriers to acceptance of such methods by policy makers </w:t>
      </w:r>
      <w:r w:rsidRPr="00F112FA">
        <w:rPr>
          <w:szCs w:val="24"/>
        </w:rPr>
        <w:t>(Baker and Ruting 2014)</w:t>
      </w:r>
      <w:r>
        <w:t>.</w:t>
      </w:r>
    </w:p>
    <w:p w14:paraId="05631713" w14:textId="77777777" w:rsidR="00DE1537" w:rsidRDefault="00DE1537" w:rsidP="00343F3E">
      <w:pPr>
        <w:pStyle w:val="Heading3"/>
      </w:pPr>
      <w:r>
        <w:t>Estimating the economic costs of natural disasters</w:t>
      </w:r>
    </w:p>
    <w:p w14:paraId="4578DBFD" w14:textId="77777777" w:rsidR="00DE1537" w:rsidRDefault="00DE1537" w:rsidP="00343F3E">
      <w:pPr>
        <w:pStyle w:val="BodyText"/>
      </w:pPr>
      <w:r w:rsidRPr="00E73500">
        <w:t>Data on the different cost components of natural disasters are limited. While some elements of direct disaster costs are available through the Australian Emergency Management Institute and the ICA (box</w:t>
      </w:r>
      <w:r>
        <w:t> 1.3</w:t>
      </w:r>
      <w:r w:rsidRPr="00E73500">
        <w:t>), data on intangible and indirect costs are mostly unavailable</w:t>
      </w:r>
      <w:r w:rsidRPr="003D78FE">
        <w:t xml:space="preserve"> — reflecting the complexities in estimating such costs. </w:t>
      </w:r>
      <w:r w:rsidRPr="009B3B18">
        <w:t>Given</w:t>
      </w:r>
      <w:r w:rsidRPr="002C7C9A">
        <w:t xml:space="preserve"> these constraints, few studies have attempted to estimate the different cost components of natural disasters. One notable exception is the </w:t>
      </w:r>
      <w:r>
        <w:t xml:space="preserve">2009 </w:t>
      </w:r>
      <w:r w:rsidRPr="00F112FA">
        <w:t>Victorian Bushfires Royal Commission</w:t>
      </w:r>
      <w:r>
        <w:t>,</w:t>
      </w:r>
      <w:r w:rsidRPr="00F112FA">
        <w:t xml:space="preserve"> </w:t>
      </w:r>
      <w:r>
        <w:t>which</w:t>
      </w:r>
      <w:r w:rsidRPr="00F112FA">
        <w:t xml:space="preserve"> estimated</w:t>
      </w:r>
      <w:r>
        <w:t xml:space="preserve"> the</w:t>
      </w:r>
      <w:r w:rsidRPr="00F112FA">
        <w:t xml:space="preserve"> total economic costs of the 2009 </w:t>
      </w:r>
      <w:r>
        <w:t>Black Saturday bushfires</w:t>
      </w:r>
      <w:r w:rsidRPr="00F112FA">
        <w:t xml:space="preserve"> (box</w:t>
      </w:r>
      <w:r>
        <w:t> 1.</w:t>
      </w:r>
      <w:r w:rsidRPr="00353878">
        <w:t>6</w:t>
      </w:r>
      <w:r w:rsidRPr="00BF0D42">
        <w:t>).</w:t>
      </w:r>
      <w:r w:rsidRPr="003E3C4A">
        <w:rPr>
          <w:rStyle w:val="FootnoteReference"/>
        </w:rPr>
        <w:footnoteReference w:id="5"/>
      </w:r>
    </w:p>
    <w:p w14:paraId="15776D76" w14:textId="77777777" w:rsidR="00525827" w:rsidRPr="002C7C9A" w:rsidRDefault="00525827" w:rsidP="00525827">
      <w:pPr>
        <w:pStyle w:val="BodyText"/>
      </w:pPr>
      <w:r w:rsidRPr="00EC24BB">
        <w:t xml:space="preserve">There is no consensus on how to measure the economic costs of natural disasters. Existing publications have not always estimated the economic costs of natural disasters in a similar way and, for the same disaster, reported estimates of economic costs often vary. For example, the reported economic costs of the 2009 </w:t>
      </w:r>
      <w:r>
        <w:t>Black Saturday bushfires</w:t>
      </w:r>
      <w:r w:rsidRPr="00EC24BB">
        <w:t xml:space="preserve"> range from $1.4</w:t>
      </w:r>
      <w:r>
        <w:t> </w:t>
      </w:r>
      <w:r w:rsidRPr="00EC24BB">
        <w:t>billion to $4.4</w:t>
      </w:r>
      <w:r>
        <w:t> </w:t>
      </w:r>
      <w:r w:rsidRPr="00EC24BB">
        <w:t>bill</w:t>
      </w:r>
      <w:r w:rsidRPr="002C7C9A">
        <w:t xml:space="preserve">ion </w:t>
      </w:r>
      <w:r w:rsidRPr="007C5656">
        <w:rPr>
          <w:szCs w:val="24"/>
        </w:rPr>
        <w:t>(Actuaries Institute, sub. 97; Stephenson, Handmer and Haywood 2012; VBRC 2010b)</w:t>
      </w:r>
      <w:r w:rsidRPr="002C7C9A">
        <w:t>.</w:t>
      </w:r>
    </w:p>
    <w:p w14:paraId="1BF1D1D8" w14:textId="225B80D7" w:rsidR="00525827" w:rsidRDefault="00525827" w:rsidP="00343F3E">
      <w:pPr>
        <w:pStyle w:val="BodyText"/>
      </w:pPr>
      <w:r w:rsidRPr="000D2004">
        <w:t>Australia</w:t>
      </w:r>
      <w:r>
        <w:noBreakHyphen/>
      </w:r>
      <w:r w:rsidRPr="000D2004">
        <w:t>wide estimates of the economic costs of natural disasters also vary significantly, depending on the methodology and data source</w:t>
      </w:r>
      <w:r>
        <w:t>s</w:t>
      </w:r>
      <w:r w:rsidRPr="000D2004">
        <w:t xml:space="preserve"> used. Some researchers report fiscal costs while others report financial costs, economic costs, </w:t>
      </w:r>
      <w:r>
        <w:t>insurance losses</w:t>
      </w:r>
      <w:r w:rsidRPr="000D2004">
        <w:t xml:space="preserve"> or a combination of these</w:t>
      </w:r>
      <w:r>
        <w:t xml:space="preserve"> measures</w:t>
      </w:r>
      <w:r w:rsidRPr="000D2004">
        <w:t>. For example, the Senate Environment and Communications References Committee (2013) heard estimates ranging from $900</w:t>
      </w:r>
      <w:r>
        <w:t> </w:t>
      </w:r>
      <w:r w:rsidRPr="000D2004">
        <w:t>million to $4</w:t>
      </w:r>
      <w:r>
        <w:t> </w:t>
      </w:r>
      <w:r w:rsidRPr="000D2004">
        <w:t xml:space="preserve">billion per year. </w:t>
      </w:r>
      <w:r w:rsidRPr="000D2004">
        <w:lastRenderedPageBreak/>
        <w:t>Deloitte Access Economics (2013), on the other hand, reported a current estimate of around $6.3 billion per year</w:t>
      </w:r>
      <w:r>
        <w:t xml:space="preserve"> (discussed below)</w:t>
      </w:r>
      <w:r w:rsidRPr="000D2004">
        <w:t>.</w:t>
      </w:r>
    </w:p>
    <w:p w14:paraId="489C5991"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1F0E9AC" w14:textId="77777777" w:rsidTr="00343F3E">
        <w:tc>
          <w:tcPr>
            <w:tcW w:w="8771" w:type="dxa"/>
            <w:tcBorders>
              <w:top w:val="single" w:sz="6" w:space="0" w:color="78A22F"/>
              <w:left w:val="nil"/>
              <w:bottom w:val="nil"/>
              <w:right w:val="nil"/>
            </w:tcBorders>
            <w:shd w:val="clear" w:color="auto" w:fill="F2F2F2" w:themeFill="background1" w:themeFillShade="F2"/>
          </w:tcPr>
          <w:p w14:paraId="3124F5A8" w14:textId="02E8A458" w:rsidR="00DE1537" w:rsidRDefault="00DE1537">
            <w:pPr>
              <w:pStyle w:val="BoxTitle"/>
            </w:pPr>
            <w:r>
              <w:rPr>
                <w:b w:val="0"/>
              </w:rPr>
              <w:t>Box 1.</w:t>
            </w:r>
            <w:r>
              <w:rPr>
                <w:b w:val="0"/>
                <w:noProof/>
              </w:rPr>
              <w:t>6</w:t>
            </w:r>
            <w:r>
              <w:tab/>
              <w:t>A cost breakdown of the 2009 Black Saturday bushfires</w:t>
            </w:r>
          </w:p>
        </w:tc>
      </w:tr>
      <w:tr w:rsidR="00DE1537" w14:paraId="00FB8348" w14:textId="77777777" w:rsidTr="00343F3E">
        <w:trPr>
          <w:cantSplit/>
        </w:trPr>
        <w:tc>
          <w:tcPr>
            <w:tcW w:w="8771" w:type="dxa"/>
            <w:tcBorders>
              <w:top w:val="nil"/>
              <w:left w:val="nil"/>
              <w:bottom w:val="nil"/>
              <w:right w:val="nil"/>
            </w:tcBorders>
            <w:shd w:val="clear" w:color="auto" w:fill="F2F2F2" w:themeFill="background1" w:themeFillShade="F2"/>
          </w:tcPr>
          <w:p w14:paraId="42415BCD" w14:textId="6985C8E3" w:rsidR="00DE1537" w:rsidRDefault="00DE1537" w:rsidP="00343F3E">
            <w:pPr>
              <w:pStyle w:val="Box"/>
            </w:pPr>
            <w:r>
              <w:t xml:space="preserve">The 2009 Victorian Bushfires Royal Commission estimated the economic costs of the bushfires at $4.4 billion. In their methodology, the fiscal costs of the bushfires were counted as economic costs — captured under supplementary funding from the Victorian Government and costs associated with the Victorian Bushfire Reconstruction and Recovery Authority. The Authority was a channel for funds from the Australian and Victorian Governments and managed expenditure from donations </w:t>
            </w:r>
            <w:r w:rsidR="007C5656" w:rsidRPr="007C5656">
              <w:rPr>
                <w:rFonts w:cs="Arial"/>
                <w:szCs w:val="24"/>
              </w:rPr>
              <w:t>(VBRC 2010b)</w:t>
            </w:r>
            <w:r>
              <w:t xml:space="preserve">. Some overlap is likely between the components of direct costs and the indirect costs associated with the Authority since some government funding was to address the direct damage of disasters. Because of data limitations, the Royal Commission did not estimate the cost of injuries, the loss of native animals, livestock and crops, and the value of work undertaken by volunteers. </w:t>
            </w:r>
          </w:p>
          <w:p w14:paraId="606BAC1A" w14:textId="77777777" w:rsidR="00DE1537" w:rsidRDefault="00DE1537" w:rsidP="00343F3E">
            <w:pPr>
              <w:pStyle w:val="BoxSpaceAbove"/>
            </w:pPr>
          </w:p>
          <w:tbl>
            <w:tblPr>
              <w:tblW w:w="8320"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320"/>
            </w:tblGrid>
            <w:tr w:rsidR="00DE1537" w14:paraId="72B9D4F0" w14:textId="77777777" w:rsidTr="00343F3E">
              <w:trPr>
                <w:trHeight w:val="506"/>
              </w:trPr>
              <w:tc>
                <w:tcPr>
                  <w:tcW w:w="8320" w:type="dxa"/>
                  <w:tcBorders>
                    <w:top w:val="single" w:sz="6" w:space="0" w:color="78A22F"/>
                    <w:left w:val="nil"/>
                    <w:bottom w:val="nil"/>
                    <w:right w:val="nil"/>
                  </w:tcBorders>
                  <w:shd w:val="clear" w:color="auto" w:fill="auto"/>
                </w:tcPr>
                <w:p w14:paraId="1DB6391D" w14:textId="77777777" w:rsidR="00DE1537" w:rsidRPr="00784A05" w:rsidRDefault="00DE1537" w:rsidP="00343F3E">
                  <w:pPr>
                    <w:pStyle w:val="TableTitle"/>
                  </w:pPr>
                  <w:r w:rsidRPr="006B7F50">
                    <w:rPr>
                      <w:sz w:val="22"/>
                    </w:rPr>
                    <w:t>Estimated economic costs of the 2009 Black Saturday bushfires</w:t>
                  </w:r>
                </w:p>
              </w:tc>
            </w:tr>
            <w:tr w:rsidR="00DE1537" w14:paraId="1CD27161" w14:textId="77777777" w:rsidTr="00343F3E">
              <w:trPr>
                <w:cantSplit/>
                <w:trHeight w:val="1176"/>
              </w:trPr>
              <w:tc>
                <w:tcPr>
                  <w:tcW w:w="8320" w:type="dxa"/>
                  <w:tcBorders>
                    <w:top w:val="nil"/>
                    <w:left w:val="nil"/>
                    <w:bottom w:val="nil"/>
                    <w:right w:val="nil"/>
                  </w:tcBorders>
                  <w:shd w:val="clear" w:color="auto" w:fill="auto"/>
                </w:tcPr>
                <w:tbl>
                  <w:tblPr>
                    <w:tblW w:w="8064" w:type="dxa"/>
                    <w:tblLayout w:type="fixed"/>
                    <w:tblCellMar>
                      <w:top w:w="28" w:type="dxa"/>
                      <w:left w:w="0" w:type="dxa"/>
                      <w:right w:w="0" w:type="dxa"/>
                    </w:tblCellMar>
                    <w:tblLook w:val="0000" w:firstRow="0" w:lastRow="0" w:firstColumn="0" w:lastColumn="0" w:noHBand="0" w:noVBand="0"/>
                  </w:tblPr>
                  <w:tblGrid>
                    <w:gridCol w:w="7043"/>
                    <w:gridCol w:w="1021"/>
                  </w:tblGrid>
                  <w:tr w:rsidR="00DE1537" w14:paraId="595CAE98" w14:textId="77777777" w:rsidTr="00343F3E">
                    <w:trPr>
                      <w:trHeight w:val="331"/>
                    </w:trPr>
                    <w:tc>
                      <w:tcPr>
                        <w:tcW w:w="4367" w:type="pct"/>
                        <w:tcBorders>
                          <w:top w:val="single" w:sz="6" w:space="0" w:color="BFBFBF"/>
                          <w:bottom w:val="single" w:sz="6" w:space="0" w:color="BFBFBF" w:themeColor="background2"/>
                        </w:tcBorders>
                        <w:shd w:val="clear" w:color="auto" w:fill="auto"/>
                        <w:tcMar>
                          <w:top w:w="28" w:type="dxa"/>
                        </w:tcMar>
                      </w:tcPr>
                      <w:p w14:paraId="5E2AFF5C" w14:textId="77777777" w:rsidR="00DE1537" w:rsidRDefault="00DE1537" w:rsidP="00343F3E">
                        <w:pPr>
                          <w:pStyle w:val="TableColumnHeading"/>
                          <w:jc w:val="left"/>
                        </w:pPr>
                        <w:r>
                          <w:t>Item</w:t>
                        </w:r>
                      </w:p>
                    </w:tc>
                    <w:tc>
                      <w:tcPr>
                        <w:tcW w:w="633" w:type="pct"/>
                        <w:tcBorders>
                          <w:top w:val="single" w:sz="6" w:space="0" w:color="BFBFBF"/>
                          <w:bottom w:val="single" w:sz="6" w:space="0" w:color="BFBFBF" w:themeColor="background2"/>
                        </w:tcBorders>
                        <w:shd w:val="clear" w:color="auto" w:fill="auto"/>
                        <w:tcMar>
                          <w:top w:w="28" w:type="dxa"/>
                        </w:tcMar>
                      </w:tcPr>
                      <w:p w14:paraId="32935626" w14:textId="77777777" w:rsidR="00DE1537" w:rsidRDefault="00DE1537" w:rsidP="00343F3E">
                        <w:pPr>
                          <w:pStyle w:val="TableColumnHeading"/>
                          <w:ind w:right="28"/>
                        </w:pPr>
                        <w:r>
                          <w:t>Cost ($m)</w:t>
                        </w:r>
                      </w:p>
                    </w:tc>
                  </w:tr>
                  <w:tr w:rsidR="00DE1537" w14:paraId="5AE7FA9F" w14:textId="77777777" w:rsidTr="00343F3E">
                    <w:trPr>
                      <w:trHeight w:val="221"/>
                    </w:trPr>
                    <w:tc>
                      <w:tcPr>
                        <w:tcW w:w="4367" w:type="pct"/>
                        <w:tcBorders>
                          <w:top w:val="single" w:sz="6" w:space="0" w:color="BFBFBF"/>
                        </w:tcBorders>
                      </w:tcPr>
                      <w:p w14:paraId="53A2DF4D" w14:textId="77777777" w:rsidR="00DE1537" w:rsidRDefault="00DE1537" w:rsidP="00343F3E">
                        <w:pPr>
                          <w:pStyle w:val="TableBodyText"/>
                          <w:jc w:val="left"/>
                        </w:pPr>
                        <w:r w:rsidRPr="00030D1D">
                          <w:rPr>
                            <w:b/>
                          </w:rPr>
                          <w:t xml:space="preserve">Direct </w:t>
                        </w:r>
                        <w:r>
                          <w:rPr>
                            <w:b/>
                          </w:rPr>
                          <w:t>c</w:t>
                        </w:r>
                        <w:r w:rsidRPr="00030D1D">
                          <w:rPr>
                            <w:b/>
                          </w:rPr>
                          <w:t>osts</w:t>
                        </w:r>
                      </w:p>
                    </w:tc>
                    <w:tc>
                      <w:tcPr>
                        <w:tcW w:w="633" w:type="pct"/>
                        <w:tcBorders>
                          <w:top w:val="single" w:sz="6" w:space="0" w:color="BFBFBF"/>
                        </w:tcBorders>
                      </w:tcPr>
                      <w:p w14:paraId="2A5D5DE6" w14:textId="77777777" w:rsidR="00DE1537" w:rsidRDefault="00DE1537" w:rsidP="00343F3E">
                        <w:pPr>
                          <w:pStyle w:val="TableBodyText"/>
                          <w:ind w:right="28"/>
                        </w:pPr>
                      </w:p>
                    </w:tc>
                  </w:tr>
                  <w:tr w:rsidR="00DE1537" w14:paraId="782ED199" w14:textId="77777777" w:rsidTr="00343F3E">
                    <w:trPr>
                      <w:trHeight w:val="233"/>
                    </w:trPr>
                    <w:tc>
                      <w:tcPr>
                        <w:tcW w:w="4367" w:type="pct"/>
                        <w:shd w:val="clear" w:color="auto" w:fill="auto"/>
                      </w:tcPr>
                      <w:p w14:paraId="10869D33" w14:textId="77777777" w:rsidR="00DE1537" w:rsidRDefault="00DE1537" w:rsidP="00343F3E">
                        <w:pPr>
                          <w:pStyle w:val="TableBodyText"/>
                          <w:jc w:val="left"/>
                        </w:pPr>
                        <w:r>
                          <w:t xml:space="preserve">  General insurance payouts</w:t>
                        </w:r>
                      </w:p>
                    </w:tc>
                    <w:tc>
                      <w:tcPr>
                        <w:tcW w:w="633" w:type="pct"/>
                        <w:shd w:val="clear" w:color="auto" w:fill="auto"/>
                      </w:tcPr>
                      <w:p w14:paraId="17497589" w14:textId="77777777" w:rsidR="00DE1537" w:rsidRDefault="00DE1537" w:rsidP="00343F3E">
                        <w:pPr>
                          <w:pStyle w:val="TableBodyText"/>
                          <w:ind w:right="28"/>
                        </w:pPr>
                        <w:r>
                          <w:t>1 200</w:t>
                        </w:r>
                      </w:p>
                    </w:tc>
                  </w:tr>
                  <w:tr w:rsidR="00DE1537" w14:paraId="7A0D4A7D" w14:textId="77777777" w:rsidTr="00343F3E">
                    <w:trPr>
                      <w:trHeight w:val="233"/>
                    </w:trPr>
                    <w:tc>
                      <w:tcPr>
                        <w:tcW w:w="4367" w:type="pct"/>
                        <w:shd w:val="clear" w:color="auto" w:fill="auto"/>
                      </w:tcPr>
                      <w:p w14:paraId="372BC9B4" w14:textId="77777777" w:rsidR="00DE1537" w:rsidRDefault="00DE1537" w:rsidP="00343F3E">
                        <w:pPr>
                          <w:pStyle w:val="TableBodyText"/>
                          <w:jc w:val="left"/>
                        </w:pPr>
                        <w:r>
                          <w:t xml:space="preserve">  Loss and damage to public infrastructure</w:t>
                        </w:r>
                      </w:p>
                    </w:tc>
                    <w:tc>
                      <w:tcPr>
                        <w:tcW w:w="633" w:type="pct"/>
                        <w:shd w:val="clear" w:color="auto" w:fill="auto"/>
                      </w:tcPr>
                      <w:p w14:paraId="25E5C041" w14:textId="77777777" w:rsidR="00DE1537" w:rsidRDefault="00DE1537" w:rsidP="00343F3E">
                        <w:pPr>
                          <w:pStyle w:val="TableBodyText"/>
                          <w:ind w:right="28"/>
                        </w:pPr>
                        <w:r>
                          <w:t>77</w:t>
                        </w:r>
                      </w:p>
                    </w:tc>
                  </w:tr>
                  <w:tr w:rsidR="00DE1537" w14:paraId="6ECF3DBB" w14:textId="77777777" w:rsidTr="00343F3E">
                    <w:trPr>
                      <w:trHeight w:val="233"/>
                    </w:trPr>
                    <w:tc>
                      <w:tcPr>
                        <w:tcW w:w="4367" w:type="pct"/>
                        <w:shd w:val="clear" w:color="auto" w:fill="auto"/>
                      </w:tcPr>
                      <w:p w14:paraId="6AEF852F" w14:textId="77777777" w:rsidR="00DE1537" w:rsidRDefault="00DE1537" w:rsidP="00343F3E">
                        <w:pPr>
                          <w:pStyle w:val="TableBodyText"/>
                          <w:jc w:val="left"/>
                        </w:pPr>
                        <w:r>
                          <w:t xml:space="preserve">  Value of destroyed timber, replanting and salvage costs</w:t>
                        </w:r>
                      </w:p>
                    </w:tc>
                    <w:tc>
                      <w:tcPr>
                        <w:tcW w:w="633" w:type="pct"/>
                        <w:shd w:val="clear" w:color="auto" w:fill="auto"/>
                      </w:tcPr>
                      <w:p w14:paraId="01D54BF2" w14:textId="77777777" w:rsidR="00DE1537" w:rsidRDefault="00DE1537" w:rsidP="00343F3E">
                        <w:pPr>
                          <w:pStyle w:val="TableBodyText"/>
                          <w:ind w:right="28"/>
                        </w:pPr>
                        <w:r>
                          <w:t>658</w:t>
                        </w:r>
                      </w:p>
                    </w:tc>
                  </w:tr>
                  <w:tr w:rsidR="00DE1537" w14:paraId="2DC9B7DA" w14:textId="77777777" w:rsidTr="00343F3E">
                    <w:trPr>
                      <w:trHeight w:val="233"/>
                    </w:trPr>
                    <w:tc>
                      <w:tcPr>
                        <w:tcW w:w="4367" w:type="pct"/>
                        <w:shd w:val="clear" w:color="auto" w:fill="auto"/>
                      </w:tcPr>
                      <w:p w14:paraId="1F801F55" w14:textId="77777777" w:rsidR="00DE1537" w:rsidRDefault="00DE1537" w:rsidP="00343F3E">
                        <w:pPr>
                          <w:pStyle w:val="TableBodyText"/>
                          <w:jc w:val="left"/>
                        </w:pPr>
                        <w:r>
                          <w:t xml:space="preserve">  Asset damage and other costs incurred by Telstra and Melbourne Water</w:t>
                        </w:r>
                      </w:p>
                    </w:tc>
                    <w:tc>
                      <w:tcPr>
                        <w:tcW w:w="633" w:type="pct"/>
                        <w:shd w:val="clear" w:color="auto" w:fill="auto"/>
                      </w:tcPr>
                      <w:p w14:paraId="113EB59B" w14:textId="77777777" w:rsidR="00DE1537" w:rsidRDefault="00DE1537" w:rsidP="00343F3E">
                        <w:pPr>
                          <w:pStyle w:val="TableBodyText"/>
                          <w:ind w:right="28"/>
                        </w:pPr>
                        <w:r>
                          <w:t>25</w:t>
                        </w:r>
                      </w:p>
                    </w:tc>
                  </w:tr>
                  <w:tr w:rsidR="00DE1537" w14:paraId="5667960F" w14:textId="77777777" w:rsidTr="00343F3E">
                    <w:trPr>
                      <w:trHeight w:val="233"/>
                    </w:trPr>
                    <w:tc>
                      <w:tcPr>
                        <w:tcW w:w="4367" w:type="pct"/>
                        <w:shd w:val="clear" w:color="auto" w:fill="auto"/>
                      </w:tcPr>
                      <w:p w14:paraId="2E9EF70B" w14:textId="77777777" w:rsidR="00DE1537" w:rsidRDefault="00DE1537" w:rsidP="00343F3E">
                        <w:pPr>
                          <w:pStyle w:val="TableBodyText"/>
                          <w:jc w:val="left"/>
                        </w:pPr>
                        <w:r w:rsidRPr="00B53625">
                          <w:rPr>
                            <w:b/>
                          </w:rPr>
                          <w:t>In</w:t>
                        </w:r>
                        <w:r>
                          <w:rPr>
                            <w:b/>
                          </w:rPr>
                          <w:t>direct</w:t>
                        </w:r>
                        <w:r w:rsidRPr="00B53625">
                          <w:rPr>
                            <w:b/>
                          </w:rPr>
                          <w:t xml:space="preserve"> costs</w:t>
                        </w:r>
                      </w:p>
                    </w:tc>
                    <w:tc>
                      <w:tcPr>
                        <w:tcW w:w="633" w:type="pct"/>
                        <w:shd w:val="clear" w:color="auto" w:fill="auto"/>
                      </w:tcPr>
                      <w:p w14:paraId="23783A76" w14:textId="77777777" w:rsidR="00DE1537" w:rsidRDefault="00DE1537" w:rsidP="00343F3E">
                        <w:pPr>
                          <w:pStyle w:val="TableBodyText"/>
                          <w:ind w:right="28"/>
                        </w:pPr>
                      </w:p>
                    </w:tc>
                  </w:tr>
                  <w:tr w:rsidR="00DE1537" w14:paraId="29C43C91" w14:textId="77777777" w:rsidTr="00343F3E">
                    <w:trPr>
                      <w:trHeight w:val="233"/>
                    </w:trPr>
                    <w:tc>
                      <w:tcPr>
                        <w:tcW w:w="4367" w:type="pct"/>
                        <w:shd w:val="clear" w:color="auto" w:fill="auto"/>
                      </w:tcPr>
                      <w:p w14:paraId="5EF4AB71" w14:textId="77777777" w:rsidR="00DE1537" w:rsidRDefault="00DE1537" w:rsidP="00343F3E">
                        <w:pPr>
                          <w:pStyle w:val="TableBodyText"/>
                          <w:jc w:val="left"/>
                        </w:pPr>
                        <w:r>
                          <w:t xml:space="preserve">  Costs associated with the Victorian Bushfire Reconstruction and Recovery Authority</w:t>
                        </w:r>
                      </w:p>
                    </w:tc>
                    <w:tc>
                      <w:tcPr>
                        <w:tcW w:w="633" w:type="pct"/>
                        <w:shd w:val="clear" w:color="auto" w:fill="auto"/>
                      </w:tcPr>
                      <w:p w14:paraId="6B6200C3" w14:textId="77777777" w:rsidR="00DE1537" w:rsidRDefault="00DE1537" w:rsidP="00343F3E">
                        <w:pPr>
                          <w:pStyle w:val="TableBodyText"/>
                          <w:ind w:right="28"/>
                        </w:pPr>
                        <w:r>
                          <w:t>1 081</w:t>
                        </w:r>
                      </w:p>
                    </w:tc>
                  </w:tr>
                  <w:tr w:rsidR="00DE1537" w14:paraId="16A6AA59" w14:textId="77777777" w:rsidTr="00343F3E">
                    <w:trPr>
                      <w:trHeight w:val="233"/>
                    </w:trPr>
                    <w:tc>
                      <w:tcPr>
                        <w:tcW w:w="4367" w:type="pct"/>
                        <w:shd w:val="clear" w:color="auto" w:fill="auto"/>
                      </w:tcPr>
                      <w:p w14:paraId="68544696" w14:textId="77777777" w:rsidR="00DE1537" w:rsidRDefault="00DE1537" w:rsidP="00343F3E">
                        <w:pPr>
                          <w:pStyle w:val="TableBodyText"/>
                          <w:jc w:val="left"/>
                        </w:pPr>
                        <w:r>
                          <w:t xml:space="preserve">  Cost of 2009 Victorian Bushfires Royal Commission</w:t>
                        </w:r>
                      </w:p>
                    </w:tc>
                    <w:tc>
                      <w:tcPr>
                        <w:tcW w:w="633" w:type="pct"/>
                        <w:shd w:val="clear" w:color="auto" w:fill="auto"/>
                      </w:tcPr>
                      <w:p w14:paraId="0424E660" w14:textId="77777777" w:rsidR="00DE1537" w:rsidRDefault="00DE1537" w:rsidP="00343F3E">
                        <w:pPr>
                          <w:pStyle w:val="TableBodyText"/>
                          <w:ind w:right="28"/>
                        </w:pPr>
                        <w:r>
                          <w:t>90</w:t>
                        </w:r>
                      </w:p>
                    </w:tc>
                  </w:tr>
                  <w:tr w:rsidR="00DE1537" w14:paraId="2DDBD195" w14:textId="77777777" w:rsidTr="00343F3E">
                    <w:trPr>
                      <w:trHeight w:val="233"/>
                    </w:trPr>
                    <w:tc>
                      <w:tcPr>
                        <w:tcW w:w="4367" w:type="pct"/>
                        <w:shd w:val="clear" w:color="auto" w:fill="auto"/>
                      </w:tcPr>
                      <w:p w14:paraId="12E1D806" w14:textId="77777777" w:rsidR="00DE1537" w:rsidRDefault="00DE1537" w:rsidP="00343F3E">
                        <w:pPr>
                          <w:pStyle w:val="TableBodyText"/>
                          <w:jc w:val="left"/>
                        </w:pPr>
                        <w:r>
                          <w:rPr>
                            <w:b/>
                          </w:rPr>
                          <w:t>Intangible</w:t>
                        </w:r>
                        <w:r w:rsidRPr="005E79E5">
                          <w:rPr>
                            <w:b/>
                          </w:rPr>
                          <w:t xml:space="preserve"> costs</w:t>
                        </w:r>
                      </w:p>
                    </w:tc>
                    <w:tc>
                      <w:tcPr>
                        <w:tcW w:w="633" w:type="pct"/>
                        <w:shd w:val="clear" w:color="auto" w:fill="auto"/>
                      </w:tcPr>
                      <w:p w14:paraId="7D2920CA" w14:textId="77777777" w:rsidR="00DE1537" w:rsidRDefault="00DE1537" w:rsidP="00343F3E">
                        <w:pPr>
                          <w:pStyle w:val="TableBodyText"/>
                          <w:ind w:right="28"/>
                        </w:pPr>
                      </w:p>
                    </w:tc>
                  </w:tr>
                  <w:tr w:rsidR="00DE1537" w14:paraId="58E04164" w14:textId="77777777" w:rsidTr="00343F3E">
                    <w:trPr>
                      <w:trHeight w:val="233"/>
                    </w:trPr>
                    <w:tc>
                      <w:tcPr>
                        <w:tcW w:w="4367" w:type="pct"/>
                        <w:shd w:val="clear" w:color="auto" w:fill="auto"/>
                      </w:tcPr>
                      <w:p w14:paraId="6503FFB1" w14:textId="77777777" w:rsidR="00DE1537" w:rsidRDefault="00DE1537" w:rsidP="00343F3E">
                        <w:pPr>
                          <w:pStyle w:val="TableBodyText"/>
                          <w:jc w:val="left"/>
                        </w:pPr>
                        <w:r>
                          <w:t xml:space="preserve">  Loss of life</w:t>
                        </w:r>
                      </w:p>
                    </w:tc>
                    <w:tc>
                      <w:tcPr>
                        <w:tcW w:w="633" w:type="pct"/>
                        <w:shd w:val="clear" w:color="auto" w:fill="auto"/>
                      </w:tcPr>
                      <w:p w14:paraId="65751CD7" w14:textId="77777777" w:rsidR="00DE1537" w:rsidRDefault="00DE1537" w:rsidP="00343F3E">
                        <w:pPr>
                          <w:pStyle w:val="TableBodyText"/>
                          <w:ind w:right="28"/>
                        </w:pPr>
                        <w:r>
                          <w:t>645</w:t>
                        </w:r>
                      </w:p>
                    </w:tc>
                  </w:tr>
                  <w:tr w:rsidR="00DE1537" w14:paraId="411FEAA7" w14:textId="77777777" w:rsidTr="00343F3E">
                    <w:trPr>
                      <w:trHeight w:val="233"/>
                    </w:trPr>
                    <w:tc>
                      <w:tcPr>
                        <w:tcW w:w="4367" w:type="pct"/>
                        <w:shd w:val="clear" w:color="auto" w:fill="auto"/>
                      </w:tcPr>
                      <w:p w14:paraId="2E3978A3" w14:textId="77777777" w:rsidR="00DE1537" w:rsidRDefault="00DE1537" w:rsidP="00343F3E">
                        <w:pPr>
                          <w:pStyle w:val="TableBodyText"/>
                          <w:jc w:val="left"/>
                        </w:pPr>
                        <w:r w:rsidRPr="00B53625">
                          <w:rPr>
                            <w:b/>
                          </w:rPr>
                          <w:t xml:space="preserve">Other </w:t>
                        </w:r>
                        <w:r>
                          <w:rPr>
                            <w:b/>
                          </w:rPr>
                          <w:t>c</w:t>
                        </w:r>
                        <w:r w:rsidRPr="00B53625">
                          <w:rPr>
                            <w:b/>
                          </w:rPr>
                          <w:t>osts</w:t>
                        </w:r>
                      </w:p>
                    </w:tc>
                    <w:tc>
                      <w:tcPr>
                        <w:tcW w:w="633" w:type="pct"/>
                        <w:shd w:val="clear" w:color="auto" w:fill="auto"/>
                      </w:tcPr>
                      <w:p w14:paraId="6DD5E0DA" w14:textId="77777777" w:rsidR="00DE1537" w:rsidRDefault="00DE1537" w:rsidP="00343F3E">
                        <w:pPr>
                          <w:pStyle w:val="TableBodyText"/>
                          <w:ind w:right="28"/>
                        </w:pPr>
                      </w:p>
                    </w:tc>
                  </w:tr>
                  <w:tr w:rsidR="00DE1537" w14:paraId="30823BFC" w14:textId="77777777" w:rsidTr="00343F3E">
                    <w:trPr>
                      <w:trHeight w:val="233"/>
                    </w:trPr>
                    <w:tc>
                      <w:tcPr>
                        <w:tcW w:w="4367" w:type="pct"/>
                        <w:shd w:val="clear" w:color="auto" w:fill="auto"/>
                      </w:tcPr>
                      <w:p w14:paraId="0079F23F" w14:textId="77777777" w:rsidR="00DE1537" w:rsidRDefault="00DE1537" w:rsidP="00343F3E">
                        <w:pPr>
                          <w:pStyle w:val="TableBodyText"/>
                          <w:jc w:val="left"/>
                        </w:pPr>
                        <w:r>
                          <w:t xml:space="preserve">  Supplementary funding from the Victorian Government</w:t>
                        </w:r>
                      </w:p>
                    </w:tc>
                    <w:tc>
                      <w:tcPr>
                        <w:tcW w:w="633" w:type="pct"/>
                        <w:shd w:val="clear" w:color="auto" w:fill="auto"/>
                      </w:tcPr>
                      <w:p w14:paraId="614F0BBD" w14:textId="77777777" w:rsidR="00DE1537" w:rsidRDefault="00DE1537" w:rsidP="00343F3E">
                        <w:pPr>
                          <w:pStyle w:val="TableBodyText"/>
                          <w:ind w:right="28"/>
                        </w:pPr>
                        <w:r>
                          <w:t>593</w:t>
                        </w:r>
                      </w:p>
                    </w:tc>
                  </w:tr>
                  <w:tr w:rsidR="00DE1537" w14:paraId="12DE4AFC" w14:textId="77777777" w:rsidTr="00343F3E">
                    <w:trPr>
                      <w:trHeight w:val="233"/>
                    </w:trPr>
                    <w:tc>
                      <w:tcPr>
                        <w:tcW w:w="4367" w:type="pct"/>
                        <w:tcBorders>
                          <w:bottom w:val="single" w:sz="6" w:space="0" w:color="C8C8C8"/>
                        </w:tcBorders>
                        <w:shd w:val="clear" w:color="auto" w:fill="auto"/>
                      </w:tcPr>
                      <w:p w14:paraId="0F440E30" w14:textId="77777777" w:rsidR="00DE1537" w:rsidRDefault="00DE1537" w:rsidP="00343F3E">
                        <w:pPr>
                          <w:pStyle w:val="TableBodyText"/>
                          <w:jc w:val="left"/>
                        </w:pPr>
                        <w:r w:rsidRPr="002F7F0F">
                          <w:rPr>
                            <w:b/>
                          </w:rPr>
                          <w:t>Total</w:t>
                        </w:r>
                      </w:p>
                    </w:tc>
                    <w:tc>
                      <w:tcPr>
                        <w:tcW w:w="633" w:type="pct"/>
                        <w:tcBorders>
                          <w:bottom w:val="single" w:sz="6" w:space="0" w:color="C8C8C8"/>
                        </w:tcBorders>
                        <w:shd w:val="clear" w:color="auto" w:fill="auto"/>
                      </w:tcPr>
                      <w:p w14:paraId="40E10088" w14:textId="77777777" w:rsidR="00DE1537" w:rsidRDefault="00DE1537" w:rsidP="00343F3E">
                        <w:pPr>
                          <w:pStyle w:val="TableBodyText"/>
                          <w:ind w:right="28"/>
                        </w:pPr>
                        <w:r w:rsidRPr="005E39DC">
                          <w:rPr>
                            <w:b/>
                          </w:rPr>
                          <w:t>4 369</w:t>
                        </w:r>
                      </w:p>
                    </w:tc>
                  </w:tr>
                </w:tbl>
                <w:p w14:paraId="74EF5666" w14:textId="77777777" w:rsidR="00DE1537" w:rsidRDefault="00DE1537" w:rsidP="00343F3E">
                  <w:pPr>
                    <w:pStyle w:val="Box"/>
                  </w:pPr>
                </w:p>
              </w:tc>
            </w:tr>
            <w:tr w:rsidR="00DE1537" w14:paraId="50EC917E" w14:textId="77777777" w:rsidTr="00343F3E">
              <w:trPr>
                <w:cantSplit/>
                <w:trHeight w:val="270"/>
              </w:trPr>
              <w:tc>
                <w:tcPr>
                  <w:tcW w:w="8320" w:type="dxa"/>
                  <w:tcBorders>
                    <w:top w:val="nil"/>
                    <w:left w:val="nil"/>
                    <w:bottom w:val="nil"/>
                    <w:right w:val="nil"/>
                  </w:tcBorders>
                  <w:shd w:val="clear" w:color="auto" w:fill="auto"/>
                </w:tcPr>
                <w:p w14:paraId="5054667C" w14:textId="4EC7EB39" w:rsidR="00DE1537" w:rsidRDefault="00DE1537" w:rsidP="00343F3E">
                  <w:pPr>
                    <w:pStyle w:val="Source"/>
                  </w:pPr>
                  <w:r>
                    <w:rPr>
                      <w:i/>
                    </w:rPr>
                    <w:t>Source</w:t>
                  </w:r>
                  <w:r>
                    <w:t xml:space="preserve">: VBRC </w:t>
                  </w:r>
                  <w:r w:rsidR="007C5656" w:rsidRPr="007C5656">
                    <w:rPr>
                      <w:rFonts w:cs="Arial"/>
                    </w:rPr>
                    <w:t>(2010b)</w:t>
                  </w:r>
                  <w:r>
                    <w:t>.</w:t>
                  </w:r>
                </w:p>
              </w:tc>
            </w:tr>
            <w:tr w:rsidR="00DE1537" w14:paraId="09B6F20A" w14:textId="77777777" w:rsidTr="00343F3E">
              <w:trPr>
                <w:cantSplit/>
                <w:trHeight w:val="110"/>
              </w:trPr>
              <w:tc>
                <w:tcPr>
                  <w:tcW w:w="8320" w:type="dxa"/>
                  <w:tcBorders>
                    <w:top w:val="nil"/>
                    <w:left w:val="nil"/>
                    <w:bottom w:val="single" w:sz="6" w:space="0" w:color="78A22F"/>
                    <w:right w:val="nil"/>
                  </w:tcBorders>
                  <w:shd w:val="clear" w:color="auto" w:fill="auto"/>
                </w:tcPr>
                <w:p w14:paraId="1E965E93" w14:textId="77777777" w:rsidR="00DE1537" w:rsidRDefault="00DE1537" w:rsidP="00343F3E">
                  <w:pPr>
                    <w:pStyle w:val="Box"/>
                    <w:spacing w:before="0" w:line="120" w:lineRule="exact"/>
                  </w:pPr>
                </w:p>
              </w:tc>
            </w:tr>
            <w:tr w:rsidR="00DE1537" w:rsidRPr="000863A5" w14:paraId="4C4CF37F" w14:textId="77777777" w:rsidTr="00343F3E">
              <w:trPr>
                <w:trHeight w:val="184"/>
              </w:trPr>
              <w:tc>
                <w:tcPr>
                  <w:tcW w:w="8320" w:type="dxa"/>
                  <w:tcBorders>
                    <w:top w:val="single" w:sz="6" w:space="0" w:color="78A22F"/>
                    <w:left w:val="nil"/>
                    <w:bottom w:val="nil"/>
                    <w:right w:val="nil"/>
                  </w:tcBorders>
                </w:tcPr>
                <w:p w14:paraId="4A702BCB" w14:textId="77777777" w:rsidR="00DE1537" w:rsidRPr="00626D32" w:rsidRDefault="00DE1537" w:rsidP="00343F3E">
                  <w:pPr>
                    <w:pStyle w:val="BoxSpaceBelow"/>
                  </w:pPr>
                </w:p>
              </w:tc>
            </w:tr>
          </w:tbl>
          <w:p w14:paraId="3F26266E" w14:textId="77777777" w:rsidR="00DE1537" w:rsidRPr="004875A9" w:rsidRDefault="00DE1537" w:rsidP="00343F3E">
            <w:pPr>
              <w:pStyle w:val="Box"/>
              <w:keepLines/>
              <w:framePr w:w="2155" w:hSpace="227" w:vSpace="181" w:wrap="around" w:vAnchor="text" w:hAnchor="page" w:xAlign="outside" w:y="1"/>
            </w:pPr>
            <w:r w:rsidRPr="004875A9">
              <w:t xml:space="preserve">Subsequent studies have added to the information </w:t>
            </w:r>
            <w:r>
              <w:t>above</w:t>
            </w:r>
            <w:r w:rsidRPr="004875A9">
              <w:t>. For example:</w:t>
            </w:r>
          </w:p>
          <w:p w14:paraId="359D14E4" w14:textId="77777777" w:rsidR="00DE1537" w:rsidRPr="002C7C9A" w:rsidRDefault="00DE1537" w:rsidP="00343F3E">
            <w:pPr>
              <w:pStyle w:val="BoxListBullet"/>
            </w:pPr>
            <w:r w:rsidRPr="002C7C9A">
              <w:t>livestock losses (direct costs) were estimated at $18.6 million</w:t>
            </w:r>
          </w:p>
          <w:p w14:paraId="66373AE1" w14:textId="77777777" w:rsidR="00DE1537" w:rsidRPr="002C7C9A" w:rsidRDefault="00DE1537" w:rsidP="00343F3E">
            <w:pPr>
              <w:pStyle w:val="BoxListBullet"/>
            </w:pPr>
            <w:r w:rsidRPr="002C7C9A">
              <w:t>total agriculture losses (direct costs) were estimated at $733 million</w:t>
            </w:r>
          </w:p>
          <w:p w14:paraId="6FDAB196" w14:textId="77777777" w:rsidR="00DE1537" w:rsidRDefault="00DE1537" w:rsidP="00343F3E">
            <w:pPr>
              <w:pStyle w:val="BoxListBullet"/>
            </w:pPr>
            <w:r>
              <w:t xml:space="preserve">the cost of emergency response operations (indirect costs) was estimated at $344 million </w:t>
            </w:r>
          </w:p>
          <w:p w14:paraId="33DBBE41" w14:textId="77777777" w:rsidR="00DE1537" w:rsidRDefault="00DE1537" w:rsidP="00343F3E">
            <w:pPr>
              <w:pStyle w:val="BoxListBullet"/>
            </w:pPr>
            <w:r>
              <w:t xml:space="preserve">losses attributable to injuries (indirect costs) were estimated at $71 million </w:t>
            </w:r>
          </w:p>
          <w:p w14:paraId="101E99B6" w14:textId="2E6E1FCC" w:rsidR="00DE1537" w:rsidRDefault="00DE1537" w:rsidP="00343F3E">
            <w:pPr>
              <w:pStyle w:val="BoxListBullet"/>
              <w:rPr>
                <w:szCs w:val="24"/>
              </w:rPr>
            </w:pPr>
            <w:proofErr w:type="gramStart"/>
            <w:r>
              <w:t>environmental</w:t>
            </w:r>
            <w:proofErr w:type="gramEnd"/>
            <w:r>
              <w:t xml:space="preserve"> losses (intangible costs) were estimated at $366 million </w:t>
            </w:r>
            <w:r w:rsidRPr="00616B4D">
              <w:rPr>
                <w:rFonts w:cs="Arial"/>
                <w:szCs w:val="24"/>
              </w:rPr>
              <w:t>(Coll 2013; Stephenson, Handmer and Haywood 2012; World Animal Protection, sub. 37)</w:t>
            </w:r>
            <w:r>
              <w:t>.</w:t>
            </w:r>
          </w:p>
        </w:tc>
      </w:tr>
      <w:tr w:rsidR="00DE1537" w14:paraId="237D44BB"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BE8226B" w14:textId="77777777" w:rsidR="00DE1537" w:rsidRDefault="00DE1537">
            <w:pPr>
              <w:pStyle w:val="Box"/>
              <w:spacing w:before="0" w:line="120" w:lineRule="exact"/>
            </w:pPr>
          </w:p>
        </w:tc>
      </w:tr>
      <w:tr w:rsidR="00DE1537" w:rsidRPr="000863A5" w14:paraId="1BEBA44A" w14:textId="77777777" w:rsidTr="00343F3E">
        <w:tc>
          <w:tcPr>
            <w:tcW w:w="8771" w:type="dxa"/>
            <w:tcBorders>
              <w:top w:val="single" w:sz="6" w:space="0" w:color="78A22F"/>
              <w:left w:val="nil"/>
              <w:bottom w:val="nil"/>
              <w:right w:val="nil"/>
            </w:tcBorders>
          </w:tcPr>
          <w:p w14:paraId="17C2816B" w14:textId="77777777" w:rsidR="00DE1537" w:rsidRPr="00626D32" w:rsidRDefault="00DE1537" w:rsidP="00343F3E">
            <w:pPr>
              <w:pStyle w:val="BoxSpaceBelow"/>
            </w:pPr>
          </w:p>
        </w:tc>
      </w:tr>
    </w:tbl>
    <w:p w14:paraId="63757FF1" w14:textId="33859488" w:rsidR="00DE1537" w:rsidRPr="00045F3B" w:rsidRDefault="00DE1537" w:rsidP="00343F3E">
      <w:pPr>
        <w:pStyle w:val="BodyText"/>
      </w:pPr>
      <w:r w:rsidRPr="00045F3B">
        <w:t xml:space="preserve">These differences make a meaningful comparison of published estimates difficult. This has been discussed in </w:t>
      </w:r>
      <w:r w:rsidRPr="002C7C9A">
        <w:t xml:space="preserve">the empirical literature and in submissions to this inquiry </w:t>
      </w:r>
      <w:r w:rsidRPr="003E1C27">
        <w:rPr>
          <w:szCs w:val="24"/>
        </w:rPr>
        <w:t xml:space="preserve">(Crompton and </w:t>
      </w:r>
      <w:r w:rsidRPr="003E1C27">
        <w:rPr>
          <w:szCs w:val="24"/>
        </w:rPr>
        <w:lastRenderedPageBreak/>
        <w:t>McAneney 2008; ECRC 2013; Government of South Australia, sub. 67; Hallegatte and Przyluski 2010; Kousky 2012; QMDC, sub. 48)</w:t>
      </w:r>
      <w:r w:rsidRPr="002C7C9A">
        <w:t>. For example, Hallegatte and Przyluski (2010, p. 2)</w:t>
      </w:r>
      <w:r w:rsidRPr="00045F3B">
        <w:t xml:space="preserve"> contended that:</w:t>
      </w:r>
    </w:p>
    <w:p w14:paraId="2DBA233C" w14:textId="77777777" w:rsidR="00DE1537" w:rsidRDefault="00DE1537" w:rsidP="00343F3E">
      <w:pPr>
        <w:pStyle w:val="Quote"/>
      </w:pPr>
      <w:r>
        <w:t xml:space="preserve">… </w:t>
      </w:r>
      <w:proofErr w:type="gramStart"/>
      <w:r>
        <w:t>these</w:t>
      </w:r>
      <w:proofErr w:type="gramEnd"/>
      <w:r>
        <w:t xml:space="preserve"> various assessments are based on different methodologies and approaches, and they often reach quite different results. Beside technical problems, these discrepancies are due to the multi</w:t>
      </w:r>
      <w:r>
        <w:noBreakHyphen/>
        <w:t>dimensionality in disaster impacts and their large redistributive effects, which make it unclear what is included or not in disaster cost assessments. But most importantly, the purpose of these assessments is rarely specified, even though different purposes correspond to different perimeters of analysis and different definitions of what a cost is.</w:t>
      </w:r>
    </w:p>
    <w:p w14:paraId="58E670BD" w14:textId="77777777" w:rsidR="00DE1537" w:rsidRDefault="00DE1537" w:rsidP="00343F3E">
      <w:pPr>
        <w:pStyle w:val="BodyText"/>
      </w:pPr>
      <w:r>
        <w:t>The Queensland Murray-Darling Committee Inc. (sub. 48, p. 5) further stated that:</w:t>
      </w:r>
    </w:p>
    <w:p w14:paraId="1B7FE87E" w14:textId="77777777" w:rsidR="00DE1537" w:rsidRDefault="00DE1537" w:rsidP="00343F3E">
      <w:pPr>
        <w:pStyle w:val="Quote"/>
      </w:pPr>
      <w:r>
        <w:t>More work is needed figuring out the right methodologies to measure costs. The challenge is to calculate the impact of natural disasters in reasonable economic terms. O</w:t>
      </w:r>
      <w:r w:rsidRPr="003B2A95">
        <w:t xml:space="preserve">ur current financially based evaluation methods have difficulty quantifying the true costs for impacts of natural disasters for ecosystem and natural asset impacts as well </w:t>
      </w:r>
      <w:r>
        <w:t>as social and community impacts.</w:t>
      </w:r>
    </w:p>
    <w:p w14:paraId="1506D77C" w14:textId="5857ABD6" w:rsidR="00DE1537" w:rsidRPr="002C7C9A" w:rsidRDefault="00DE1537" w:rsidP="00343F3E">
      <w:pPr>
        <w:pStyle w:val="BodyText"/>
      </w:pPr>
      <w:r w:rsidRPr="002C7C9A">
        <w:t xml:space="preserve">As a starting point, the Commission has used the insurance losses </w:t>
      </w:r>
      <w:r>
        <w:t>from</w:t>
      </w:r>
      <w:r w:rsidRPr="002C7C9A">
        <w:t xml:space="preserve"> natural disasters to proxy the economic costs of natural disasters (other approaches are discussed in supplementary paper </w:t>
      </w:r>
      <w:r>
        <w:t>7</w:t>
      </w:r>
      <w:r w:rsidRPr="002C7C9A">
        <w:t>). Insurance losses are easily understood, available in the public domain on a time series basis, and available on a nominal basis as well as in normalised 2011 dollars (discussed below). However, a word of caution is needed.</w:t>
      </w:r>
      <w:r w:rsidRPr="000D2004">
        <w:t xml:space="preserve"> While insurance payouts reflect the replacement value of lost or damaged assets, the economic value</w:t>
      </w:r>
      <w:r>
        <w:t xml:space="preserve"> of these assets</w:t>
      </w:r>
      <w:r w:rsidRPr="000D2004">
        <w:t xml:space="preserve"> is most likely lower, depending on the economic life of the asset and its age (BTE 2001). Further, insur</w:t>
      </w:r>
      <w:r>
        <w:t>ance</w:t>
      </w:r>
      <w:r w:rsidRPr="000D2004">
        <w:t xml:space="preserve"> losses may</w:t>
      </w:r>
      <w:r w:rsidRPr="002C7C9A">
        <w:t xml:space="preserve"> </w:t>
      </w:r>
      <w:r w:rsidRPr="000D2004">
        <w:t xml:space="preserve">represent only a small proportion of </w:t>
      </w:r>
      <w:r w:rsidRPr="002C7C9A">
        <w:t xml:space="preserve">total economic costs </w:t>
      </w:r>
      <w:r w:rsidRPr="00480456">
        <w:rPr>
          <w:szCs w:val="24"/>
        </w:rPr>
        <w:t>(ABRDRSC, sub. 22 ; Middelmann 2007)</w:t>
      </w:r>
      <w:r w:rsidRPr="002C7C9A">
        <w:t>. Finally, insurance losses exclude assets that are not insured and do not fully capture the cost of lost and damaged assets that are underinsured.</w:t>
      </w:r>
    </w:p>
    <w:p w14:paraId="42855BE1" w14:textId="77777777" w:rsidR="00DE1537" w:rsidRDefault="00DE1537" w:rsidP="00343F3E">
      <w:pPr>
        <w:pStyle w:val="Heading3"/>
      </w:pPr>
      <w:r>
        <w:t>Insurance losses</w:t>
      </w:r>
    </w:p>
    <w:p w14:paraId="1122AA8C" w14:textId="747902D0" w:rsidR="00DE1537" w:rsidRDefault="00DE1537" w:rsidP="00343F3E">
      <w:pPr>
        <w:pStyle w:val="BodyText"/>
      </w:pPr>
      <w:r>
        <w:t xml:space="preserve">From 1970 to 2013, the insurance losses from natural disasters collectively exceeded $21 billion, an annual average of around $480 million (figure 1.2). While there is a general upward trend in insurance losses, with losses increasing significantly in the late 2000s, there is significant variability around that trend. In particular, annual losses are skewed by single, severe events. For </w:t>
      </w:r>
      <w:r w:rsidRPr="004559AE">
        <w:t xml:space="preserve">example, </w:t>
      </w:r>
      <w:r>
        <w:t>a total of</w:t>
      </w:r>
      <w:r w:rsidRPr="004559AE">
        <w:t xml:space="preserve"> five natural disasters</w:t>
      </w:r>
      <w:r>
        <w:t xml:space="preserve"> occurred in 2002, </w:t>
      </w:r>
      <w:r w:rsidRPr="004559AE">
        <w:t>resul</w:t>
      </w:r>
      <w:r>
        <w:t xml:space="preserve">ting </w:t>
      </w:r>
      <w:r w:rsidRPr="004559AE">
        <w:t>in insured losses of $50 million</w:t>
      </w:r>
      <w:r>
        <w:t>. This compares to</w:t>
      </w:r>
      <w:r w:rsidRPr="004559AE">
        <w:t xml:space="preserve"> a single hailstorm </w:t>
      </w:r>
      <w:r>
        <w:t xml:space="preserve">that </w:t>
      </w:r>
      <w:r w:rsidRPr="004559AE">
        <w:t>hit Sydney in 1999</w:t>
      </w:r>
      <w:r>
        <w:t>,</w:t>
      </w:r>
      <w:r w:rsidRPr="004559AE">
        <w:t xml:space="preserve"> result</w:t>
      </w:r>
      <w:r>
        <w:t>ing</w:t>
      </w:r>
      <w:r w:rsidRPr="004559AE">
        <w:t xml:space="preserve"> in $1.7 billion of insurance </w:t>
      </w:r>
      <w:r>
        <w:t>losses</w:t>
      </w:r>
      <w:r w:rsidRPr="004559AE">
        <w:t xml:space="preserve"> </w:t>
      </w:r>
      <w:r w:rsidR="007C5656" w:rsidRPr="007C5656">
        <w:rPr>
          <w:szCs w:val="24"/>
        </w:rPr>
        <w:t>(ICA 2014e)</w:t>
      </w:r>
      <w:r w:rsidRPr="004559AE">
        <w:t xml:space="preserve">. </w:t>
      </w:r>
    </w:p>
    <w:p w14:paraId="075A8DDA" w14:textId="0AD6023E" w:rsidR="005978C6" w:rsidRDefault="005978C6" w:rsidP="00343F3E">
      <w:pPr>
        <w:pStyle w:val="BodyText"/>
      </w:pPr>
      <w:r w:rsidRPr="004559AE">
        <w:t>Flood</w:t>
      </w:r>
      <w:r>
        <w:t>s</w:t>
      </w:r>
      <w:r w:rsidRPr="004559AE">
        <w:t xml:space="preserve"> and storm</w:t>
      </w:r>
      <w:r>
        <w:t>s</w:t>
      </w:r>
      <w:r w:rsidRPr="004559AE">
        <w:t xml:space="preserve"> are the most frequent and expensive natural disasters (figure</w:t>
      </w:r>
      <w:r>
        <w:t> 1.3</w:t>
      </w:r>
      <w:r w:rsidRPr="004559AE">
        <w:t>). These account</w:t>
      </w:r>
      <w:r>
        <w:t xml:space="preserve"> for 54 per cent of total insurance losses and for over half of the total number of disasters. Bushfires and cyclones are less frequent and represent around 23 per cent of total insurance losses. In contrast, earthquakes are uncommon and make up only 4 per cent of total insurance losses. </w:t>
      </w:r>
      <w:r w:rsidRPr="00E51005">
        <w:t xml:space="preserve">Across the country, accumulated insurance </w:t>
      </w:r>
      <w:r>
        <w:t>losses</w:t>
      </w:r>
      <w:r w:rsidRPr="00E51005">
        <w:t xml:space="preserve"> </w:t>
      </w:r>
      <w:r>
        <w:t xml:space="preserve">(in 2011 dollars) </w:t>
      </w:r>
      <w:r w:rsidRPr="00E51005">
        <w:lastRenderedPageBreak/>
        <w:t>have been greatest in New South Wales (mostly hail and storms), followed by Queensland (most</w:t>
      </w:r>
      <w:r>
        <w:t>ly floods and cyclones) (table 1.2</w:t>
      </w:r>
      <w:r w:rsidRPr="00E51005">
        <w:t>).</w:t>
      </w:r>
    </w:p>
    <w:p w14:paraId="79F56E3C" w14:textId="77777777" w:rsidR="00DE1537" w:rsidRDefault="00DE1537" w:rsidP="005978C6">
      <w:pPr>
        <w:pStyle w:val="BoxSpaceAbove"/>
        <w:spacing w:before="3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9EFA976" w14:textId="77777777" w:rsidTr="00343F3E">
        <w:tc>
          <w:tcPr>
            <w:tcW w:w="8771" w:type="dxa"/>
            <w:tcBorders>
              <w:top w:val="single" w:sz="6" w:space="0" w:color="78A22F"/>
              <w:left w:val="nil"/>
              <w:bottom w:val="nil"/>
              <w:right w:val="nil"/>
            </w:tcBorders>
            <w:shd w:val="clear" w:color="auto" w:fill="auto"/>
          </w:tcPr>
          <w:p w14:paraId="5792E889" w14:textId="3F61A760" w:rsidR="00DE1537" w:rsidRPr="00176D3F" w:rsidRDefault="00DE1537" w:rsidP="00343F3E">
            <w:pPr>
              <w:pStyle w:val="FigureTitle"/>
            </w:pPr>
            <w:r w:rsidRPr="00784A05">
              <w:rPr>
                <w:b w:val="0"/>
              </w:rPr>
              <w:t xml:space="preserve">Figure </w:t>
            </w:r>
            <w:r>
              <w:rPr>
                <w:b w:val="0"/>
              </w:rPr>
              <w:t>1.</w:t>
            </w:r>
            <w:r>
              <w:rPr>
                <w:b w:val="0"/>
                <w:noProof/>
              </w:rPr>
              <w:t>2</w:t>
            </w:r>
            <w:r>
              <w:tab/>
              <w:t>The insurance losses of natural disasters, 1970–2013</w:t>
            </w:r>
          </w:p>
        </w:tc>
      </w:tr>
      <w:tr w:rsidR="00DE1537" w14:paraId="6E79DC51"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7E101093" w14:textId="77777777" w:rsidTr="00343F3E">
              <w:tc>
                <w:tcPr>
                  <w:tcW w:w="5000" w:type="pct"/>
                  <w:tcBorders>
                    <w:top w:val="nil"/>
                    <w:bottom w:val="nil"/>
                  </w:tcBorders>
                </w:tcPr>
                <w:p w14:paraId="3A44D79A" w14:textId="77777777" w:rsidR="00DE1537" w:rsidRDefault="00DE1537" w:rsidP="00343F3E">
                  <w:pPr>
                    <w:pStyle w:val="Figure"/>
                    <w:spacing w:before="60" w:after="60"/>
                  </w:pPr>
                  <w:r>
                    <w:rPr>
                      <w:noProof/>
                    </w:rPr>
                    <w:drawing>
                      <wp:inline distT="0" distB="0" distL="0" distR="0" wp14:anchorId="2D9E7BBB" wp14:editId="33FD8A81">
                        <wp:extent cx="5382895" cy="2880995"/>
                        <wp:effectExtent l="0" t="0" r="8255" b="0"/>
                        <wp:docPr id="4" name="Picture 4" descr="This figure shows the nominal insurance losses from natural disasters from 1970 to 2013. There is a general upward trend in insurance losses, with losses increasing significantly in the late 2000s." title="The insurance losses of natural disasters, 197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82895" cy="2880995"/>
                                </a:xfrm>
                                <a:prstGeom prst="rect">
                                  <a:avLst/>
                                </a:prstGeom>
                                <a:noFill/>
                                <a:ln>
                                  <a:noFill/>
                                </a:ln>
                              </pic:spPr>
                            </pic:pic>
                          </a:graphicData>
                        </a:graphic>
                      </wp:inline>
                    </w:drawing>
                  </w:r>
                </w:p>
              </w:tc>
            </w:tr>
          </w:tbl>
          <w:p w14:paraId="4958CB3E" w14:textId="77777777" w:rsidR="00DE1537" w:rsidRDefault="00DE1537" w:rsidP="00343F3E">
            <w:pPr>
              <w:pStyle w:val="Figure"/>
            </w:pPr>
          </w:p>
        </w:tc>
      </w:tr>
      <w:tr w:rsidR="00DE1537" w:rsidRPr="00176D3F" w14:paraId="05EBD82D" w14:textId="77777777" w:rsidTr="00343F3E">
        <w:tc>
          <w:tcPr>
            <w:tcW w:w="8771" w:type="dxa"/>
            <w:tcBorders>
              <w:top w:val="nil"/>
              <w:left w:val="nil"/>
              <w:bottom w:val="nil"/>
              <w:right w:val="nil"/>
            </w:tcBorders>
            <w:shd w:val="clear" w:color="auto" w:fill="auto"/>
          </w:tcPr>
          <w:p w14:paraId="5406049D" w14:textId="112C1957" w:rsidR="00DE1537" w:rsidRPr="00176D3F" w:rsidRDefault="00DE1537" w:rsidP="00343F3E">
            <w:pPr>
              <w:pStyle w:val="Source"/>
            </w:pPr>
            <w:r>
              <w:rPr>
                <w:i/>
              </w:rPr>
              <w:t>Data source</w:t>
            </w:r>
            <w:r w:rsidRPr="00167F06">
              <w:t>:</w:t>
            </w:r>
            <w:r>
              <w:t xml:space="preserve"> ICA </w:t>
            </w:r>
            <w:r w:rsidR="007C5656" w:rsidRPr="007C5656">
              <w:rPr>
                <w:rFonts w:cs="Arial"/>
              </w:rPr>
              <w:t>(2014e)</w:t>
            </w:r>
            <w:r>
              <w:t>.</w:t>
            </w:r>
          </w:p>
        </w:tc>
      </w:tr>
      <w:tr w:rsidR="00DE1537" w14:paraId="3F6243F0" w14:textId="77777777" w:rsidTr="00343F3E">
        <w:tc>
          <w:tcPr>
            <w:tcW w:w="8771" w:type="dxa"/>
            <w:tcBorders>
              <w:top w:val="nil"/>
              <w:left w:val="nil"/>
              <w:bottom w:val="single" w:sz="6" w:space="0" w:color="78A22F"/>
              <w:right w:val="nil"/>
            </w:tcBorders>
            <w:shd w:val="clear" w:color="auto" w:fill="auto"/>
          </w:tcPr>
          <w:p w14:paraId="43D0E15B" w14:textId="77777777" w:rsidR="00DE1537" w:rsidRDefault="00DE1537" w:rsidP="00343F3E">
            <w:pPr>
              <w:pStyle w:val="Figurespace"/>
            </w:pPr>
          </w:p>
        </w:tc>
      </w:tr>
      <w:tr w:rsidR="00DE1537" w:rsidRPr="000863A5" w14:paraId="08283DD0" w14:textId="77777777" w:rsidTr="00343F3E">
        <w:tc>
          <w:tcPr>
            <w:tcW w:w="8771" w:type="dxa"/>
            <w:tcBorders>
              <w:top w:val="single" w:sz="6" w:space="0" w:color="78A22F"/>
              <w:left w:val="nil"/>
              <w:bottom w:val="nil"/>
              <w:right w:val="nil"/>
            </w:tcBorders>
          </w:tcPr>
          <w:p w14:paraId="37D52CE6" w14:textId="77777777" w:rsidR="00DE1537" w:rsidRPr="00626D32" w:rsidRDefault="00DE1537" w:rsidP="00343F3E">
            <w:pPr>
              <w:pStyle w:val="BoxSpaceBelow"/>
            </w:pPr>
          </w:p>
        </w:tc>
      </w:tr>
    </w:tbl>
    <w:p w14:paraId="1CC1D8E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4D02467" w14:textId="77777777" w:rsidTr="00343F3E">
        <w:tc>
          <w:tcPr>
            <w:tcW w:w="8771" w:type="dxa"/>
            <w:tcBorders>
              <w:top w:val="single" w:sz="6" w:space="0" w:color="78A22F"/>
              <w:left w:val="nil"/>
              <w:bottom w:val="nil"/>
              <w:right w:val="nil"/>
            </w:tcBorders>
            <w:shd w:val="clear" w:color="auto" w:fill="auto"/>
          </w:tcPr>
          <w:p w14:paraId="53AB7C66" w14:textId="402F612C" w:rsidR="00DE1537" w:rsidRPr="00176D3F" w:rsidRDefault="00DE1537" w:rsidP="00343F3E">
            <w:pPr>
              <w:pStyle w:val="FigureTitle"/>
            </w:pPr>
            <w:r w:rsidRPr="00784A05">
              <w:rPr>
                <w:b w:val="0"/>
              </w:rPr>
              <w:t xml:space="preserve">Figure </w:t>
            </w:r>
            <w:r>
              <w:rPr>
                <w:b w:val="0"/>
              </w:rPr>
              <w:t>1.</w:t>
            </w:r>
            <w:r>
              <w:rPr>
                <w:b w:val="0"/>
                <w:noProof/>
              </w:rPr>
              <w:t>3</w:t>
            </w:r>
            <w:r>
              <w:tab/>
              <w:t>Insurance losses by natural hazard</w:t>
            </w:r>
            <w:r w:rsidRPr="00183FAC">
              <w:rPr>
                <w:rStyle w:val="NoteLabel"/>
                <w:b/>
              </w:rPr>
              <w:t>a</w:t>
            </w:r>
          </w:p>
        </w:tc>
      </w:tr>
      <w:tr w:rsidR="00DE1537" w14:paraId="6855D2DD"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674186FB" w14:textId="77777777" w:rsidTr="00343F3E">
              <w:tc>
                <w:tcPr>
                  <w:tcW w:w="5000" w:type="pct"/>
                  <w:tcBorders>
                    <w:top w:val="nil"/>
                    <w:bottom w:val="nil"/>
                  </w:tcBorders>
                </w:tcPr>
                <w:p w14:paraId="70116AF7" w14:textId="77777777" w:rsidR="00DE1537" w:rsidRDefault="00DE1537" w:rsidP="00343F3E">
                  <w:pPr>
                    <w:pStyle w:val="Figure"/>
                    <w:spacing w:before="60" w:after="60"/>
                  </w:pPr>
                  <w:r>
                    <w:rPr>
                      <w:noProof/>
                    </w:rPr>
                    <w:drawing>
                      <wp:inline distT="0" distB="0" distL="0" distR="0" wp14:anchorId="20B73AFA" wp14:editId="305E4091">
                        <wp:extent cx="5400040" cy="2872740"/>
                        <wp:effectExtent l="0" t="0" r="0" b="3810"/>
                        <wp:docPr id="2" name="Picture 2" descr="This figure shows insurance losses by type of natural hazard. Storms account for 34 per cent of total insurance losses. Floods account for 20 per cent of insurance losses. Hailstorms account for 19 per cent of insurance losses. Cyclones account for 12 per cent of insurance losses. Bushfires account for 11 per cent of insurance losses. Finally, earthquakes account for 4 per cent of insurance losses." title="Insurance losses by natural haz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57E431C2" w14:textId="77777777" w:rsidR="00DE1537" w:rsidRDefault="00DE1537" w:rsidP="00343F3E">
            <w:pPr>
              <w:pStyle w:val="Figure"/>
            </w:pPr>
          </w:p>
        </w:tc>
      </w:tr>
      <w:tr w:rsidR="00DE1537" w:rsidRPr="00176D3F" w14:paraId="472DE730" w14:textId="77777777" w:rsidTr="00343F3E">
        <w:tc>
          <w:tcPr>
            <w:tcW w:w="8771" w:type="dxa"/>
            <w:tcBorders>
              <w:top w:val="nil"/>
              <w:left w:val="nil"/>
              <w:bottom w:val="nil"/>
              <w:right w:val="nil"/>
            </w:tcBorders>
            <w:shd w:val="clear" w:color="auto" w:fill="auto"/>
          </w:tcPr>
          <w:p w14:paraId="3F875DFF" w14:textId="77777777" w:rsidR="00DE1537" w:rsidRDefault="00DE1537" w:rsidP="00343F3E">
            <w:pPr>
              <w:pStyle w:val="Note"/>
            </w:pPr>
            <w:proofErr w:type="gramStart"/>
            <w:r w:rsidRPr="00183FAC">
              <w:rPr>
                <w:rStyle w:val="NoteLabel"/>
              </w:rPr>
              <w:t>a</w:t>
            </w:r>
            <w:proofErr w:type="gramEnd"/>
            <w:r>
              <w:t xml:space="preserve"> A larger bubble represents a greater proportion of total disaster cost attributed to that category.</w:t>
            </w:r>
          </w:p>
        </w:tc>
      </w:tr>
      <w:tr w:rsidR="00DE1537" w:rsidRPr="00176D3F" w14:paraId="0ABF11A8" w14:textId="77777777" w:rsidTr="00343F3E">
        <w:tc>
          <w:tcPr>
            <w:tcW w:w="8771" w:type="dxa"/>
            <w:tcBorders>
              <w:top w:val="nil"/>
              <w:left w:val="nil"/>
              <w:bottom w:val="nil"/>
              <w:right w:val="nil"/>
            </w:tcBorders>
            <w:shd w:val="clear" w:color="auto" w:fill="auto"/>
          </w:tcPr>
          <w:p w14:paraId="470AF753" w14:textId="35451130" w:rsidR="00DE1537" w:rsidRPr="00176D3F" w:rsidRDefault="00DE1537" w:rsidP="00343F3E">
            <w:pPr>
              <w:pStyle w:val="Source"/>
            </w:pPr>
            <w:r>
              <w:rPr>
                <w:i/>
              </w:rPr>
              <w:t>Data source</w:t>
            </w:r>
            <w:r w:rsidRPr="00167F06">
              <w:t xml:space="preserve">: </w:t>
            </w:r>
            <w:r>
              <w:t xml:space="preserve">ICA </w:t>
            </w:r>
            <w:r w:rsidR="007C5656" w:rsidRPr="007C5656">
              <w:rPr>
                <w:rFonts w:cs="Arial"/>
              </w:rPr>
              <w:t>(2014e)</w:t>
            </w:r>
            <w:r>
              <w:t>.</w:t>
            </w:r>
          </w:p>
        </w:tc>
      </w:tr>
      <w:tr w:rsidR="00DE1537" w14:paraId="487CE5D3" w14:textId="77777777" w:rsidTr="00343F3E">
        <w:tc>
          <w:tcPr>
            <w:tcW w:w="8771" w:type="dxa"/>
            <w:tcBorders>
              <w:top w:val="nil"/>
              <w:left w:val="nil"/>
              <w:bottom w:val="single" w:sz="6" w:space="0" w:color="78A22F"/>
              <w:right w:val="nil"/>
            </w:tcBorders>
            <w:shd w:val="clear" w:color="auto" w:fill="auto"/>
          </w:tcPr>
          <w:p w14:paraId="5F152016" w14:textId="77777777" w:rsidR="00DE1537" w:rsidRDefault="00DE1537" w:rsidP="00343F3E">
            <w:pPr>
              <w:pStyle w:val="Figurespace"/>
            </w:pPr>
          </w:p>
        </w:tc>
      </w:tr>
      <w:tr w:rsidR="00DE1537" w:rsidRPr="000863A5" w14:paraId="1037C16E" w14:textId="77777777" w:rsidTr="00343F3E">
        <w:tc>
          <w:tcPr>
            <w:tcW w:w="8771" w:type="dxa"/>
            <w:tcBorders>
              <w:top w:val="single" w:sz="6" w:space="0" w:color="78A22F"/>
              <w:left w:val="nil"/>
              <w:bottom w:val="nil"/>
              <w:right w:val="nil"/>
            </w:tcBorders>
          </w:tcPr>
          <w:p w14:paraId="7A89B6D3" w14:textId="77777777" w:rsidR="00DE1537" w:rsidRPr="00626D32" w:rsidRDefault="00DE1537" w:rsidP="00343F3E">
            <w:pPr>
              <w:pStyle w:val="BoxSpaceBelow"/>
            </w:pPr>
          </w:p>
        </w:tc>
      </w:tr>
    </w:tbl>
    <w:p w14:paraId="46044757"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004EBFF" w14:textId="77777777" w:rsidTr="00343F3E">
        <w:tc>
          <w:tcPr>
            <w:tcW w:w="8771" w:type="dxa"/>
            <w:tcBorders>
              <w:top w:val="single" w:sz="6" w:space="0" w:color="78A22F"/>
              <w:left w:val="nil"/>
              <w:bottom w:val="nil"/>
              <w:right w:val="nil"/>
            </w:tcBorders>
            <w:shd w:val="clear" w:color="auto" w:fill="auto"/>
          </w:tcPr>
          <w:p w14:paraId="2D31BF28" w14:textId="1FD6ED27" w:rsidR="00DE1537" w:rsidRDefault="00DE1537" w:rsidP="00343F3E">
            <w:pPr>
              <w:pStyle w:val="TableTitle"/>
            </w:pPr>
            <w:r>
              <w:rPr>
                <w:b w:val="0"/>
              </w:rPr>
              <w:t>Table 1.</w:t>
            </w:r>
            <w:r>
              <w:rPr>
                <w:b w:val="0"/>
                <w:noProof/>
              </w:rPr>
              <w:t>2</w:t>
            </w:r>
            <w:r>
              <w:tab/>
              <w:t>Insurance losses by natural hazard, 1970–2013</w:t>
            </w:r>
            <w:r w:rsidRPr="00B21542">
              <w:rPr>
                <w:rStyle w:val="NoteLabel"/>
                <w:b/>
              </w:rPr>
              <w:t>a</w:t>
            </w:r>
          </w:p>
          <w:p w14:paraId="687F203E" w14:textId="77777777" w:rsidR="00DE1537" w:rsidRPr="00784A05" w:rsidRDefault="00DE1537" w:rsidP="00343F3E">
            <w:pPr>
              <w:pStyle w:val="Subtitle"/>
            </w:pPr>
            <w:r>
              <w:t xml:space="preserve">$ </w:t>
            </w:r>
            <w:proofErr w:type="gramStart"/>
            <w:r>
              <w:t>million</w:t>
            </w:r>
            <w:proofErr w:type="gramEnd"/>
            <w:r>
              <w:t xml:space="preserve"> (2011 dollars)</w:t>
            </w:r>
          </w:p>
        </w:tc>
      </w:tr>
      <w:tr w:rsidR="00DE1537" w14:paraId="0D792A0B"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43"/>
              <w:gridCol w:w="829"/>
              <w:gridCol w:w="829"/>
              <w:gridCol w:w="828"/>
              <w:gridCol w:w="828"/>
              <w:gridCol w:w="828"/>
              <w:gridCol w:w="828"/>
              <w:gridCol w:w="828"/>
              <w:gridCol w:w="828"/>
              <w:gridCol w:w="818"/>
            </w:tblGrid>
            <w:tr w:rsidR="00DE1537" w14:paraId="718A8902" w14:textId="77777777" w:rsidTr="00343F3E">
              <w:tc>
                <w:tcPr>
                  <w:tcW w:w="614" w:type="pct"/>
                  <w:tcBorders>
                    <w:top w:val="single" w:sz="6" w:space="0" w:color="BFBFBF"/>
                    <w:bottom w:val="single" w:sz="6" w:space="0" w:color="BFBFBF"/>
                  </w:tcBorders>
                  <w:shd w:val="clear" w:color="auto" w:fill="auto"/>
                  <w:tcMar>
                    <w:top w:w="28" w:type="dxa"/>
                  </w:tcMar>
                </w:tcPr>
                <w:p w14:paraId="07DE910C" w14:textId="77777777" w:rsidR="00DE1537" w:rsidRDefault="00DE1537" w:rsidP="00343F3E">
                  <w:pPr>
                    <w:pStyle w:val="TableColumnHeading"/>
                    <w:jc w:val="left"/>
                  </w:pPr>
                  <w:r>
                    <w:t>Event type</w:t>
                  </w:r>
                </w:p>
              </w:tc>
              <w:tc>
                <w:tcPr>
                  <w:tcW w:w="488" w:type="pct"/>
                  <w:tcBorders>
                    <w:top w:val="single" w:sz="6" w:space="0" w:color="BFBFBF"/>
                    <w:bottom w:val="single" w:sz="6" w:space="0" w:color="BFBFBF"/>
                  </w:tcBorders>
                </w:tcPr>
                <w:p w14:paraId="006F3322" w14:textId="77777777" w:rsidR="00DE1537" w:rsidRDefault="00DE1537" w:rsidP="00343F3E">
                  <w:pPr>
                    <w:pStyle w:val="TableColumnHeading"/>
                  </w:pPr>
                  <w:r>
                    <w:t>NSW</w:t>
                  </w:r>
                </w:p>
              </w:tc>
              <w:tc>
                <w:tcPr>
                  <w:tcW w:w="488" w:type="pct"/>
                  <w:tcBorders>
                    <w:top w:val="single" w:sz="6" w:space="0" w:color="BFBFBF"/>
                    <w:bottom w:val="single" w:sz="6" w:space="0" w:color="BFBFBF"/>
                  </w:tcBorders>
                </w:tcPr>
                <w:p w14:paraId="4509548D" w14:textId="77777777" w:rsidR="00DE1537" w:rsidRDefault="00DE1537" w:rsidP="00343F3E">
                  <w:pPr>
                    <w:pStyle w:val="TableColumnHeading"/>
                  </w:pPr>
                  <w:r>
                    <w:t>Vic</w:t>
                  </w:r>
                </w:p>
              </w:tc>
              <w:tc>
                <w:tcPr>
                  <w:tcW w:w="488" w:type="pct"/>
                  <w:tcBorders>
                    <w:top w:val="single" w:sz="6" w:space="0" w:color="BFBFBF"/>
                    <w:bottom w:val="single" w:sz="6" w:space="0" w:color="BFBFBF"/>
                  </w:tcBorders>
                </w:tcPr>
                <w:p w14:paraId="11FD7DB8" w14:textId="77777777" w:rsidR="00DE1537" w:rsidRDefault="00DE1537" w:rsidP="00343F3E">
                  <w:pPr>
                    <w:pStyle w:val="TableColumnHeading"/>
                  </w:pPr>
                  <w:r>
                    <w:t>Qld</w:t>
                  </w:r>
                </w:p>
              </w:tc>
              <w:tc>
                <w:tcPr>
                  <w:tcW w:w="488" w:type="pct"/>
                  <w:tcBorders>
                    <w:top w:val="single" w:sz="6" w:space="0" w:color="BFBFBF"/>
                    <w:bottom w:val="single" w:sz="6" w:space="0" w:color="BFBFBF"/>
                  </w:tcBorders>
                </w:tcPr>
                <w:p w14:paraId="44CCA847" w14:textId="77777777" w:rsidR="00DE1537" w:rsidRDefault="00DE1537" w:rsidP="00343F3E">
                  <w:pPr>
                    <w:pStyle w:val="TableColumnHeading"/>
                  </w:pPr>
                  <w:r>
                    <w:t>SA</w:t>
                  </w:r>
                </w:p>
              </w:tc>
              <w:tc>
                <w:tcPr>
                  <w:tcW w:w="488" w:type="pct"/>
                  <w:tcBorders>
                    <w:top w:val="single" w:sz="6" w:space="0" w:color="BFBFBF"/>
                    <w:bottom w:val="single" w:sz="6" w:space="0" w:color="BFBFBF"/>
                  </w:tcBorders>
                </w:tcPr>
                <w:p w14:paraId="7A607A9D" w14:textId="77777777" w:rsidR="00DE1537" w:rsidRDefault="00DE1537" w:rsidP="00343F3E">
                  <w:pPr>
                    <w:pStyle w:val="TableColumnHeading"/>
                  </w:pPr>
                  <w:r>
                    <w:t>WA</w:t>
                  </w:r>
                </w:p>
              </w:tc>
              <w:tc>
                <w:tcPr>
                  <w:tcW w:w="488" w:type="pct"/>
                  <w:tcBorders>
                    <w:top w:val="single" w:sz="6" w:space="0" w:color="BFBFBF"/>
                    <w:bottom w:val="single" w:sz="6" w:space="0" w:color="BFBFBF"/>
                  </w:tcBorders>
                </w:tcPr>
                <w:p w14:paraId="624CDC88" w14:textId="77777777" w:rsidR="00DE1537" w:rsidRDefault="00DE1537" w:rsidP="00343F3E">
                  <w:pPr>
                    <w:pStyle w:val="TableColumnHeading"/>
                  </w:pPr>
                  <w:r>
                    <w:t>Tas</w:t>
                  </w:r>
                </w:p>
              </w:tc>
              <w:tc>
                <w:tcPr>
                  <w:tcW w:w="488" w:type="pct"/>
                  <w:tcBorders>
                    <w:top w:val="single" w:sz="6" w:space="0" w:color="BFBFBF"/>
                    <w:bottom w:val="single" w:sz="6" w:space="0" w:color="BFBFBF"/>
                  </w:tcBorders>
                </w:tcPr>
                <w:p w14:paraId="39B54538" w14:textId="77777777" w:rsidR="00DE1537" w:rsidRDefault="00DE1537" w:rsidP="00343F3E">
                  <w:pPr>
                    <w:pStyle w:val="TableColumnHeading"/>
                  </w:pPr>
                  <w:r>
                    <w:t>NT</w:t>
                  </w:r>
                </w:p>
              </w:tc>
              <w:tc>
                <w:tcPr>
                  <w:tcW w:w="488" w:type="pct"/>
                  <w:tcBorders>
                    <w:top w:val="single" w:sz="6" w:space="0" w:color="BFBFBF"/>
                    <w:bottom w:val="single" w:sz="6" w:space="0" w:color="BFBFBF"/>
                  </w:tcBorders>
                  <w:shd w:val="clear" w:color="auto" w:fill="auto"/>
                  <w:tcMar>
                    <w:top w:w="28" w:type="dxa"/>
                  </w:tcMar>
                </w:tcPr>
                <w:p w14:paraId="7A2D39D3" w14:textId="77777777" w:rsidR="00DE1537" w:rsidRDefault="00DE1537" w:rsidP="00343F3E">
                  <w:pPr>
                    <w:pStyle w:val="TableColumnHeading"/>
                  </w:pPr>
                  <w:r>
                    <w:t>ACT</w:t>
                  </w:r>
                </w:p>
              </w:tc>
              <w:tc>
                <w:tcPr>
                  <w:tcW w:w="482" w:type="pct"/>
                  <w:tcBorders>
                    <w:top w:val="single" w:sz="6" w:space="0" w:color="BFBFBF"/>
                    <w:bottom w:val="single" w:sz="6" w:space="0" w:color="BFBFBF"/>
                  </w:tcBorders>
                  <w:shd w:val="clear" w:color="auto" w:fill="auto"/>
                  <w:tcMar>
                    <w:top w:w="28" w:type="dxa"/>
                  </w:tcMar>
                </w:tcPr>
                <w:p w14:paraId="3410549B" w14:textId="77777777" w:rsidR="00DE1537" w:rsidRPr="009058F8" w:rsidRDefault="00DE1537" w:rsidP="00343F3E">
                  <w:pPr>
                    <w:pStyle w:val="TableColumnHeading"/>
                    <w:ind w:right="28"/>
                    <w:rPr>
                      <w:b/>
                    </w:rPr>
                  </w:pPr>
                  <w:r w:rsidRPr="009058F8">
                    <w:rPr>
                      <w:b/>
                    </w:rPr>
                    <w:t>Total</w:t>
                  </w:r>
                </w:p>
              </w:tc>
            </w:tr>
            <w:tr w:rsidR="00DE1537" w14:paraId="22C4DF0A" w14:textId="77777777" w:rsidTr="00343F3E">
              <w:tc>
                <w:tcPr>
                  <w:tcW w:w="614" w:type="pct"/>
                  <w:tcBorders>
                    <w:top w:val="single" w:sz="6" w:space="0" w:color="BFBFBF"/>
                  </w:tcBorders>
                </w:tcPr>
                <w:p w14:paraId="6AB71599" w14:textId="77777777" w:rsidR="00DE1537" w:rsidRDefault="00DE1537" w:rsidP="00343F3E">
                  <w:pPr>
                    <w:pStyle w:val="TableBodyText"/>
                    <w:spacing w:before="40"/>
                    <w:jc w:val="left"/>
                  </w:pPr>
                  <w:r>
                    <w:t>Bushfire</w:t>
                  </w:r>
                </w:p>
              </w:tc>
              <w:tc>
                <w:tcPr>
                  <w:tcW w:w="488" w:type="pct"/>
                  <w:tcBorders>
                    <w:top w:val="single" w:sz="6" w:space="0" w:color="BFBFBF"/>
                  </w:tcBorders>
                  <w:vAlign w:val="bottom"/>
                </w:tcPr>
                <w:p w14:paraId="0CC482CD" w14:textId="77777777" w:rsidR="00DE1537" w:rsidRDefault="00DE1537" w:rsidP="00343F3E">
                  <w:pPr>
                    <w:pStyle w:val="TableBodyText"/>
                    <w:spacing w:before="40"/>
                  </w:pPr>
                  <w:r w:rsidRPr="002318FB">
                    <w:t>527</w:t>
                  </w:r>
                </w:p>
              </w:tc>
              <w:tc>
                <w:tcPr>
                  <w:tcW w:w="488" w:type="pct"/>
                  <w:tcBorders>
                    <w:top w:val="single" w:sz="6" w:space="0" w:color="BFBFBF"/>
                  </w:tcBorders>
                  <w:vAlign w:val="bottom"/>
                </w:tcPr>
                <w:p w14:paraId="69DA9B62" w14:textId="77777777" w:rsidR="00DE1537" w:rsidRDefault="00DE1537" w:rsidP="00343F3E">
                  <w:pPr>
                    <w:pStyle w:val="TableBodyText"/>
                    <w:spacing w:before="40"/>
                  </w:pPr>
                  <w:r w:rsidRPr="002318FB">
                    <w:t>1</w:t>
                  </w:r>
                  <w:r>
                    <w:t xml:space="preserve"> </w:t>
                  </w:r>
                  <w:r w:rsidRPr="002318FB">
                    <w:t>650</w:t>
                  </w:r>
                </w:p>
              </w:tc>
              <w:tc>
                <w:tcPr>
                  <w:tcW w:w="488" w:type="pct"/>
                  <w:tcBorders>
                    <w:top w:val="single" w:sz="6" w:space="0" w:color="BFBFBF"/>
                  </w:tcBorders>
                  <w:vAlign w:val="bottom"/>
                </w:tcPr>
                <w:p w14:paraId="0287DF30" w14:textId="77777777" w:rsidR="00DE1537" w:rsidRDefault="00DE1537" w:rsidP="00343F3E">
                  <w:pPr>
                    <w:pStyle w:val="TableBodyText"/>
                    <w:spacing w:before="40"/>
                  </w:pPr>
                  <w:r w:rsidRPr="00432EDC">
                    <w:t>–</w:t>
                  </w:r>
                </w:p>
              </w:tc>
              <w:tc>
                <w:tcPr>
                  <w:tcW w:w="488" w:type="pct"/>
                  <w:tcBorders>
                    <w:top w:val="single" w:sz="6" w:space="0" w:color="BFBFBF"/>
                  </w:tcBorders>
                  <w:vAlign w:val="bottom"/>
                </w:tcPr>
                <w:p w14:paraId="3189ED16" w14:textId="77777777" w:rsidR="00DE1537" w:rsidRDefault="00DE1537" w:rsidP="00343F3E">
                  <w:pPr>
                    <w:pStyle w:val="TableBodyText"/>
                    <w:spacing w:before="40"/>
                  </w:pPr>
                  <w:r w:rsidRPr="002318FB">
                    <w:t>189</w:t>
                  </w:r>
                </w:p>
              </w:tc>
              <w:tc>
                <w:tcPr>
                  <w:tcW w:w="488" w:type="pct"/>
                  <w:tcBorders>
                    <w:top w:val="single" w:sz="6" w:space="0" w:color="BFBFBF"/>
                  </w:tcBorders>
                  <w:vAlign w:val="bottom"/>
                </w:tcPr>
                <w:p w14:paraId="135924C3" w14:textId="77777777" w:rsidR="00DE1537" w:rsidRPr="002318FB" w:rsidRDefault="00DE1537" w:rsidP="00343F3E">
                  <w:pPr>
                    <w:pStyle w:val="TableBodyText"/>
                    <w:spacing w:before="40"/>
                  </w:pPr>
                  <w:r w:rsidRPr="002318FB">
                    <w:t>96</w:t>
                  </w:r>
                </w:p>
              </w:tc>
              <w:tc>
                <w:tcPr>
                  <w:tcW w:w="488" w:type="pct"/>
                  <w:tcBorders>
                    <w:top w:val="single" w:sz="6" w:space="0" w:color="BFBFBF"/>
                  </w:tcBorders>
                  <w:vAlign w:val="bottom"/>
                </w:tcPr>
                <w:p w14:paraId="5DE4070F" w14:textId="77777777" w:rsidR="00DE1537" w:rsidRDefault="00DE1537" w:rsidP="00343F3E">
                  <w:pPr>
                    <w:pStyle w:val="TableBodyText"/>
                    <w:spacing w:before="40"/>
                  </w:pPr>
                  <w:r w:rsidRPr="002318FB">
                    <w:t>100</w:t>
                  </w:r>
                </w:p>
              </w:tc>
              <w:tc>
                <w:tcPr>
                  <w:tcW w:w="488" w:type="pct"/>
                  <w:tcBorders>
                    <w:top w:val="single" w:sz="6" w:space="0" w:color="BFBFBF"/>
                  </w:tcBorders>
                  <w:vAlign w:val="bottom"/>
                </w:tcPr>
                <w:p w14:paraId="0FEFA976" w14:textId="77777777" w:rsidR="00DE1537" w:rsidRDefault="00DE1537" w:rsidP="00343F3E">
                  <w:pPr>
                    <w:pStyle w:val="TableBodyText"/>
                    <w:spacing w:before="40"/>
                  </w:pPr>
                  <w:r w:rsidRPr="00432EDC">
                    <w:t>–</w:t>
                  </w:r>
                </w:p>
              </w:tc>
              <w:tc>
                <w:tcPr>
                  <w:tcW w:w="488" w:type="pct"/>
                  <w:tcBorders>
                    <w:top w:val="single" w:sz="6" w:space="0" w:color="BFBFBF"/>
                  </w:tcBorders>
                  <w:vAlign w:val="bottom"/>
                </w:tcPr>
                <w:p w14:paraId="7844D3A1" w14:textId="77777777" w:rsidR="00DE1537" w:rsidRDefault="00DE1537" w:rsidP="00343F3E">
                  <w:pPr>
                    <w:pStyle w:val="TableBodyText"/>
                    <w:spacing w:before="40"/>
                  </w:pPr>
                  <w:r w:rsidRPr="002318FB">
                    <w:t>440</w:t>
                  </w:r>
                </w:p>
              </w:tc>
              <w:tc>
                <w:tcPr>
                  <w:tcW w:w="482" w:type="pct"/>
                  <w:tcBorders>
                    <w:top w:val="single" w:sz="6" w:space="0" w:color="BFBFBF"/>
                  </w:tcBorders>
                  <w:vAlign w:val="bottom"/>
                </w:tcPr>
                <w:p w14:paraId="0377B76F" w14:textId="77777777" w:rsidR="00DE1537" w:rsidRPr="009058F8" w:rsidRDefault="00DE1537" w:rsidP="00343F3E">
                  <w:pPr>
                    <w:pStyle w:val="TableBodyText"/>
                    <w:framePr w:w="2155" w:hSpace="227" w:vSpace="181" w:wrap="around" w:vAnchor="text" w:hAnchor="page" w:xAlign="outside" w:y="1"/>
                    <w:spacing w:before="40"/>
                    <w:ind w:right="28"/>
                    <w:rPr>
                      <w:b/>
                    </w:rPr>
                  </w:pPr>
                  <w:r w:rsidRPr="009058F8">
                    <w:rPr>
                      <w:b/>
                    </w:rPr>
                    <w:t>3 002</w:t>
                  </w:r>
                </w:p>
              </w:tc>
            </w:tr>
            <w:tr w:rsidR="00DE1537" w14:paraId="35B8280F" w14:textId="77777777" w:rsidTr="00343F3E">
              <w:tc>
                <w:tcPr>
                  <w:tcW w:w="614" w:type="pct"/>
                </w:tcPr>
                <w:p w14:paraId="75AD4192" w14:textId="77777777" w:rsidR="00DE1537" w:rsidRDefault="00DE1537" w:rsidP="00343F3E">
                  <w:pPr>
                    <w:pStyle w:val="TableBodyText"/>
                    <w:jc w:val="left"/>
                  </w:pPr>
                  <w:r>
                    <w:t>Cyclone</w:t>
                  </w:r>
                </w:p>
              </w:tc>
              <w:tc>
                <w:tcPr>
                  <w:tcW w:w="488" w:type="pct"/>
                  <w:vAlign w:val="bottom"/>
                </w:tcPr>
                <w:p w14:paraId="12B96E0F" w14:textId="77777777" w:rsidR="00DE1537" w:rsidRDefault="00DE1537" w:rsidP="00343F3E">
                  <w:pPr>
                    <w:pStyle w:val="TableBodyText"/>
                  </w:pPr>
                  <w:r w:rsidRPr="002318FB">
                    <w:t>36</w:t>
                  </w:r>
                </w:p>
              </w:tc>
              <w:tc>
                <w:tcPr>
                  <w:tcW w:w="488" w:type="pct"/>
                  <w:vAlign w:val="bottom"/>
                </w:tcPr>
                <w:p w14:paraId="6EBFFE34" w14:textId="77777777" w:rsidR="00DE1537" w:rsidRDefault="00DE1537" w:rsidP="00343F3E">
                  <w:pPr>
                    <w:pStyle w:val="TableBodyText"/>
                  </w:pPr>
                  <w:r w:rsidRPr="00432EDC">
                    <w:t>–</w:t>
                  </w:r>
                </w:p>
              </w:tc>
              <w:tc>
                <w:tcPr>
                  <w:tcW w:w="488" w:type="pct"/>
                  <w:vAlign w:val="bottom"/>
                </w:tcPr>
                <w:p w14:paraId="5687F90A" w14:textId="77777777" w:rsidR="00DE1537" w:rsidRDefault="00DE1537" w:rsidP="00343F3E">
                  <w:pPr>
                    <w:pStyle w:val="TableBodyText"/>
                  </w:pPr>
                  <w:r w:rsidRPr="002318FB">
                    <w:t>3</w:t>
                  </w:r>
                  <w:r>
                    <w:t xml:space="preserve"> </w:t>
                  </w:r>
                  <w:r w:rsidRPr="002318FB">
                    <w:t>329</w:t>
                  </w:r>
                </w:p>
              </w:tc>
              <w:tc>
                <w:tcPr>
                  <w:tcW w:w="488" w:type="pct"/>
                </w:tcPr>
                <w:p w14:paraId="3969E0E8" w14:textId="77777777" w:rsidR="00DE1537" w:rsidRDefault="00DE1537" w:rsidP="00343F3E">
                  <w:pPr>
                    <w:pStyle w:val="TableBodyText"/>
                  </w:pPr>
                  <w:r w:rsidRPr="000233ED">
                    <w:t>–</w:t>
                  </w:r>
                </w:p>
              </w:tc>
              <w:tc>
                <w:tcPr>
                  <w:tcW w:w="488" w:type="pct"/>
                  <w:vAlign w:val="bottom"/>
                </w:tcPr>
                <w:p w14:paraId="2DE5E9D1" w14:textId="77777777" w:rsidR="00DE1537" w:rsidRDefault="00DE1537" w:rsidP="00343F3E">
                  <w:pPr>
                    <w:pStyle w:val="TableBodyText"/>
                  </w:pPr>
                  <w:r w:rsidRPr="002318FB">
                    <w:t>486</w:t>
                  </w:r>
                </w:p>
              </w:tc>
              <w:tc>
                <w:tcPr>
                  <w:tcW w:w="488" w:type="pct"/>
                  <w:vAlign w:val="bottom"/>
                </w:tcPr>
                <w:p w14:paraId="6847BFFB" w14:textId="77777777" w:rsidR="00DE1537" w:rsidRDefault="00DE1537" w:rsidP="00343F3E">
                  <w:pPr>
                    <w:pStyle w:val="TableBodyText"/>
                  </w:pPr>
                  <w:r w:rsidRPr="00432EDC">
                    <w:t>–</w:t>
                  </w:r>
                </w:p>
              </w:tc>
              <w:tc>
                <w:tcPr>
                  <w:tcW w:w="488" w:type="pct"/>
                  <w:vAlign w:val="bottom"/>
                </w:tcPr>
                <w:p w14:paraId="239CDDD9" w14:textId="77777777" w:rsidR="00DE1537" w:rsidRDefault="00DE1537" w:rsidP="00343F3E">
                  <w:pPr>
                    <w:pStyle w:val="TableBodyText"/>
                  </w:pPr>
                  <w:r w:rsidRPr="002318FB">
                    <w:t>1</w:t>
                  </w:r>
                  <w:r>
                    <w:t xml:space="preserve"> </w:t>
                  </w:r>
                  <w:r w:rsidRPr="002318FB">
                    <w:t>529</w:t>
                  </w:r>
                </w:p>
              </w:tc>
              <w:tc>
                <w:tcPr>
                  <w:tcW w:w="488" w:type="pct"/>
                </w:tcPr>
                <w:p w14:paraId="53F78341" w14:textId="77777777" w:rsidR="00DE1537" w:rsidRDefault="00DE1537" w:rsidP="00343F3E">
                  <w:pPr>
                    <w:pStyle w:val="TableBodyText"/>
                  </w:pPr>
                  <w:r w:rsidRPr="00007611">
                    <w:t>–</w:t>
                  </w:r>
                </w:p>
              </w:tc>
              <w:tc>
                <w:tcPr>
                  <w:tcW w:w="482" w:type="pct"/>
                  <w:vAlign w:val="bottom"/>
                </w:tcPr>
                <w:p w14:paraId="59734202" w14:textId="77777777" w:rsidR="00DE1537" w:rsidRPr="009058F8" w:rsidRDefault="00DE1537" w:rsidP="00343F3E">
                  <w:pPr>
                    <w:pStyle w:val="TableBodyText"/>
                    <w:framePr w:w="2155" w:hSpace="227" w:vSpace="181" w:wrap="around" w:vAnchor="text" w:hAnchor="page" w:xAlign="outside" w:y="1"/>
                    <w:ind w:right="28"/>
                    <w:rPr>
                      <w:b/>
                    </w:rPr>
                  </w:pPr>
                  <w:r w:rsidRPr="009058F8">
                    <w:rPr>
                      <w:b/>
                    </w:rPr>
                    <w:t>5 379</w:t>
                  </w:r>
                </w:p>
              </w:tc>
            </w:tr>
            <w:tr w:rsidR="00DE1537" w14:paraId="3534E4D5" w14:textId="77777777" w:rsidTr="00343F3E">
              <w:tc>
                <w:tcPr>
                  <w:tcW w:w="614" w:type="pct"/>
                </w:tcPr>
                <w:p w14:paraId="74E59F6A" w14:textId="77777777" w:rsidR="00DE1537" w:rsidRDefault="00DE1537" w:rsidP="00343F3E">
                  <w:pPr>
                    <w:pStyle w:val="TableBodyText"/>
                    <w:jc w:val="left"/>
                  </w:pPr>
                  <w:r>
                    <w:t>Flood</w:t>
                  </w:r>
                </w:p>
              </w:tc>
              <w:tc>
                <w:tcPr>
                  <w:tcW w:w="488" w:type="pct"/>
                  <w:vAlign w:val="bottom"/>
                </w:tcPr>
                <w:p w14:paraId="282188CA" w14:textId="77777777" w:rsidR="00DE1537" w:rsidRDefault="00DE1537" w:rsidP="00343F3E">
                  <w:pPr>
                    <w:pStyle w:val="TableBodyText"/>
                  </w:pPr>
                  <w:r w:rsidRPr="002318FB">
                    <w:t>965</w:t>
                  </w:r>
                </w:p>
              </w:tc>
              <w:tc>
                <w:tcPr>
                  <w:tcW w:w="488" w:type="pct"/>
                  <w:vAlign w:val="bottom"/>
                </w:tcPr>
                <w:p w14:paraId="29897AC9" w14:textId="77777777" w:rsidR="00DE1537" w:rsidRDefault="00DE1537" w:rsidP="00343F3E">
                  <w:pPr>
                    <w:pStyle w:val="TableBodyText"/>
                  </w:pPr>
                  <w:r w:rsidRPr="002318FB">
                    <w:t>400</w:t>
                  </w:r>
                </w:p>
              </w:tc>
              <w:tc>
                <w:tcPr>
                  <w:tcW w:w="488" w:type="pct"/>
                  <w:vAlign w:val="bottom"/>
                </w:tcPr>
                <w:p w14:paraId="1A383CD9" w14:textId="77777777" w:rsidR="00DE1537" w:rsidRDefault="00DE1537" w:rsidP="00343F3E">
                  <w:pPr>
                    <w:pStyle w:val="TableBodyText"/>
                  </w:pPr>
                  <w:r w:rsidRPr="002318FB">
                    <w:t>3</w:t>
                  </w:r>
                  <w:r>
                    <w:t xml:space="preserve"> </w:t>
                  </w:r>
                  <w:r w:rsidRPr="002318FB">
                    <w:t>630</w:t>
                  </w:r>
                </w:p>
              </w:tc>
              <w:tc>
                <w:tcPr>
                  <w:tcW w:w="488" w:type="pct"/>
                </w:tcPr>
                <w:p w14:paraId="7A8323C6" w14:textId="77777777" w:rsidR="00DE1537" w:rsidRDefault="00DE1537" w:rsidP="00343F3E">
                  <w:pPr>
                    <w:pStyle w:val="TableBodyText"/>
                  </w:pPr>
                  <w:r w:rsidRPr="000233ED">
                    <w:t>–</w:t>
                  </w:r>
                </w:p>
              </w:tc>
              <w:tc>
                <w:tcPr>
                  <w:tcW w:w="488" w:type="pct"/>
                  <w:vAlign w:val="bottom"/>
                </w:tcPr>
                <w:p w14:paraId="1400660F" w14:textId="77777777" w:rsidR="00DE1537" w:rsidRPr="002318FB" w:rsidRDefault="00DE1537" w:rsidP="00343F3E">
                  <w:pPr>
                    <w:pStyle w:val="TableBodyText"/>
                  </w:pPr>
                  <w:r w:rsidRPr="002318FB">
                    <w:t>24</w:t>
                  </w:r>
                </w:p>
              </w:tc>
              <w:tc>
                <w:tcPr>
                  <w:tcW w:w="488" w:type="pct"/>
                  <w:vAlign w:val="bottom"/>
                </w:tcPr>
                <w:p w14:paraId="6E57FBFA" w14:textId="77777777" w:rsidR="00DE1537" w:rsidRDefault="00DE1537" w:rsidP="00343F3E">
                  <w:pPr>
                    <w:pStyle w:val="TableBodyText"/>
                  </w:pPr>
                  <w:r w:rsidRPr="002318FB">
                    <w:t>51</w:t>
                  </w:r>
                </w:p>
              </w:tc>
              <w:tc>
                <w:tcPr>
                  <w:tcW w:w="488" w:type="pct"/>
                  <w:vAlign w:val="bottom"/>
                </w:tcPr>
                <w:p w14:paraId="406A9E4E" w14:textId="77777777" w:rsidR="00DE1537" w:rsidRDefault="00DE1537" w:rsidP="00343F3E">
                  <w:pPr>
                    <w:pStyle w:val="TableBodyText"/>
                  </w:pPr>
                  <w:r w:rsidRPr="002318FB">
                    <w:t>123</w:t>
                  </w:r>
                </w:p>
              </w:tc>
              <w:tc>
                <w:tcPr>
                  <w:tcW w:w="488" w:type="pct"/>
                </w:tcPr>
                <w:p w14:paraId="5547F32C" w14:textId="77777777" w:rsidR="00DE1537" w:rsidRDefault="00DE1537" w:rsidP="00343F3E">
                  <w:pPr>
                    <w:pStyle w:val="TableBodyText"/>
                  </w:pPr>
                  <w:r w:rsidRPr="00007611">
                    <w:t>–</w:t>
                  </w:r>
                </w:p>
              </w:tc>
              <w:tc>
                <w:tcPr>
                  <w:tcW w:w="482" w:type="pct"/>
                  <w:vAlign w:val="bottom"/>
                </w:tcPr>
                <w:p w14:paraId="4448BAD9" w14:textId="77777777" w:rsidR="00DE1537" w:rsidRPr="009058F8" w:rsidRDefault="00DE1537" w:rsidP="00343F3E">
                  <w:pPr>
                    <w:pStyle w:val="TableBodyText"/>
                    <w:framePr w:w="2155" w:hSpace="227" w:vSpace="181" w:wrap="around" w:vAnchor="text" w:hAnchor="page" w:xAlign="outside" w:y="1"/>
                    <w:ind w:right="28"/>
                    <w:rPr>
                      <w:b/>
                    </w:rPr>
                  </w:pPr>
                  <w:r w:rsidRPr="009058F8">
                    <w:rPr>
                      <w:b/>
                    </w:rPr>
                    <w:t>5 192</w:t>
                  </w:r>
                </w:p>
              </w:tc>
            </w:tr>
            <w:tr w:rsidR="00DE1537" w14:paraId="5DCBF015" w14:textId="77777777" w:rsidTr="00343F3E">
              <w:tc>
                <w:tcPr>
                  <w:tcW w:w="614" w:type="pct"/>
                </w:tcPr>
                <w:p w14:paraId="493B9C97" w14:textId="77777777" w:rsidR="00DE1537" w:rsidRDefault="00DE1537" w:rsidP="00343F3E">
                  <w:pPr>
                    <w:pStyle w:val="TableBodyText"/>
                    <w:jc w:val="left"/>
                  </w:pPr>
                  <w:r>
                    <w:t>Storm</w:t>
                  </w:r>
                </w:p>
              </w:tc>
              <w:tc>
                <w:tcPr>
                  <w:tcW w:w="488" w:type="pct"/>
                  <w:vAlign w:val="bottom"/>
                </w:tcPr>
                <w:p w14:paraId="0EF32533" w14:textId="77777777" w:rsidR="00DE1537" w:rsidRDefault="00DE1537" w:rsidP="00343F3E">
                  <w:pPr>
                    <w:pStyle w:val="TableBodyText"/>
                  </w:pPr>
                  <w:r w:rsidRPr="002318FB">
                    <w:t>2</w:t>
                  </w:r>
                  <w:r>
                    <w:t xml:space="preserve"> </w:t>
                  </w:r>
                  <w:r w:rsidRPr="002318FB">
                    <w:t>747</w:t>
                  </w:r>
                </w:p>
              </w:tc>
              <w:tc>
                <w:tcPr>
                  <w:tcW w:w="488" w:type="pct"/>
                  <w:vAlign w:val="bottom"/>
                </w:tcPr>
                <w:p w14:paraId="20E6CEED" w14:textId="77777777" w:rsidR="00DE1537" w:rsidRDefault="00DE1537" w:rsidP="00343F3E">
                  <w:pPr>
                    <w:pStyle w:val="TableBodyText"/>
                  </w:pPr>
                  <w:r w:rsidRPr="002318FB">
                    <w:t>2</w:t>
                  </w:r>
                  <w:r>
                    <w:t xml:space="preserve"> </w:t>
                  </w:r>
                  <w:r w:rsidRPr="002318FB">
                    <w:t>439</w:t>
                  </w:r>
                </w:p>
              </w:tc>
              <w:tc>
                <w:tcPr>
                  <w:tcW w:w="488" w:type="pct"/>
                  <w:vAlign w:val="bottom"/>
                </w:tcPr>
                <w:p w14:paraId="519D12D1" w14:textId="77777777" w:rsidR="00DE1537" w:rsidRDefault="00DE1537" w:rsidP="00343F3E">
                  <w:pPr>
                    <w:pStyle w:val="TableBodyText"/>
                  </w:pPr>
                  <w:r w:rsidRPr="002318FB">
                    <w:t>1</w:t>
                  </w:r>
                  <w:r>
                    <w:t xml:space="preserve"> </w:t>
                  </w:r>
                  <w:r w:rsidRPr="002318FB">
                    <w:t>376</w:t>
                  </w:r>
                </w:p>
              </w:tc>
              <w:tc>
                <w:tcPr>
                  <w:tcW w:w="488" w:type="pct"/>
                  <w:vAlign w:val="bottom"/>
                </w:tcPr>
                <w:p w14:paraId="11E7C906" w14:textId="77777777" w:rsidR="00DE1537" w:rsidRDefault="00DE1537" w:rsidP="00343F3E">
                  <w:pPr>
                    <w:pStyle w:val="TableBodyText"/>
                  </w:pPr>
                  <w:r w:rsidRPr="002318FB">
                    <w:t>47</w:t>
                  </w:r>
                </w:p>
              </w:tc>
              <w:tc>
                <w:tcPr>
                  <w:tcW w:w="488" w:type="pct"/>
                  <w:vAlign w:val="bottom"/>
                </w:tcPr>
                <w:p w14:paraId="0417B0A4" w14:textId="77777777" w:rsidR="00DE1537" w:rsidRPr="002318FB" w:rsidRDefault="00DE1537" w:rsidP="00343F3E">
                  <w:pPr>
                    <w:pStyle w:val="TableBodyText"/>
                  </w:pPr>
                  <w:r w:rsidRPr="002318FB">
                    <w:t>1</w:t>
                  </w:r>
                  <w:r>
                    <w:t xml:space="preserve"> </w:t>
                  </w:r>
                  <w:r w:rsidRPr="002318FB">
                    <w:t>232</w:t>
                  </w:r>
                </w:p>
              </w:tc>
              <w:tc>
                <w:tcPr>
                  <w:tcW w:w="488" w:type="pct"/>
                  <w:vAlign w:val="bottom"/>
                </w:tcPr>
                <w:p w14:paraId="1BE045AB" w14:textId="77777777" w:rsidR="00DE1537" w:rsidRDefault="00DE1537" w:rsidP="00343F3E">
                  <w:pPr>
                    <w:pStyle w:val="TableBodyText"/>
                  </w:pPr>
                  <w:r w:rsidRPr="002318FB">
                    <w:t>34</w:t>
                  </w:r>
                </w:p>
              </w:tc>
              <w:tc>
                <w:tcPr>
                  <w:tcW w:w="488" w:type="pct"/>
                </w:tcPr>
                <w:p w14:paraId="05DD6C8B" w14:textId="77777777" w:rsidR="00DE1537" w:rsidRDefault="00DE1537" w:rsidP="00343F3E">
                  <w:pPr>
                    <w:pStyle w:val="TableBodyText"/>
                  </w:pPr>
                  <w:r w:rsidRPr="00891ECB">
                    <w:t>–</w:t>
                  </w:r>
                </w:p>
              </w:tc>
              <w:tc>
                <w:tcPr>
                  <w:tcW w:w="488" w:type="pct"/>
                </w:tcPr>
                <w:p w14:paraId="1A99C58C" w14:textId="77777777" w:rsidR="00DE1537" w:rsidRDefault="00DE1537" w:rsidP="00343F3E">
                  <w:pPr>
                    <w:pStyle w:val="TableBodyText"/>
                  </w:pPr>
                  <w:r w:rsidRPr="00007611">
                    <w:t>–</w:t>
                  </w:r>
                </w:p>
              </w:tc>
              <w:tc>
                <w:tcPr>
                  <w:tcW w:w="482" w:type="pct"/>
                  <w:vAlign w:val="bottom"/>
                </w:tcPr>
                <w:p w14:paraId="183C566A" w14:textId="77777777" w:rsidR="00DE1537" w:rsidRPr="009058F8" w:rsidRDefault="00DE1537" w:rsidP="00343F3E">
                  <w:pPr>
                    <w:pStyle w:val="TableBodyText"/>
                    <w:framePr w:w="2155" w:hSpace="227" w:vSpace="181" w:wrap="around" w:vAnchor="text" w:hAnchor="page" w:xAlign="outside" w:y="1"/>
                    <w:ind w:right="28"/>
                    <w:rPr>
                      <w:b/>
                    </w:rPr>
                  </w:pPr>
                  <w:r w:rsidRPr="009058F8">
                    <w:rPr>
                      <w:b/>
                    </w:rPr>
                    <w:t>7 874</w:t>
                  </w:r>
                </w:p>
              </w:tc>
            </w:tr>
            <w:tr w:rsidR="00DE1537" w14:paraId="3BB87700" w14:textId="77777777" w:rsidTr="00343F3E">
              <w:tc>
                <w:tcPr>
                  <w:tcW w:w="614" w:type="pct"/>
                </w:tcPr>
                <w:p w14:paraId="73C62BB8" w14:textId="77777777" w:rsidR="00DE1537" w:rsidRDefault="00DE1537" w:rsidP="00343F3E">
                  <w:pPr>
                    <w:pStyle w:val="TableBodyText"/>
                    <w:jc w:val="left"/>
                  </w:pPr>
                  <w:r>
                    <w:t>Hail</w:t>
                  </w:r>
                </w:p>
              </w:tc>
              <w:tc>
                <w:tcPr>
                  <w:tcW w:w="488" w:type="pct"/>
                  <w:vAlign w:val="bottom"/>
                </w:tcPr>
                <w:p w14:paraId="148826BC" w14:textId="77777777" w:rsidR="00DE1537" w:rsidRDefault="00DE1537" w:rsidP="00343F3E">
                  <w:pPr>
                    <w:pStyle w:val="TableBodyText"/>
                  </w:pPr>
                  <w:r w:rsidRPr="002318FB">
                    <w:t>4</w:t>
                  </w:r>
                  <w:r>
                    <w:t xml:space="preserve"> </w:t>
                  </w:r>
                  <w:r w:rsidRPr="002318FB">
                    <w:t>856</w:t>
                  </w:r>
                </w:p>
              </w:tc>
              <w:tc>
                <w:tcPr>
                  <w:tcW w:w="488" w:type="pct"/>
                  <w:vAlign w:val="bottom"/>
                </w:tcPr>
                <w:p w14:paraId="4642BB8F" w14:textId="77777777" w:rsidR="00DE1537" w:rsidRDefault="00DE1537" w:rsidP="00343F3E">
                  <w:pPr>
                    <w:pStyle w:val="TableBodyText"/>
                  </w:pPr>
                  <w:r w:rsidRPr="002318FB">
                    <w:t>294</w:t>
                  </w:r>
                </w:p>
              </w:tc>
              <w:tc>
                <w:tcPr>
                  <w:tcW w:w="488" w:type="pct"/>
                  <w:vAlign w:val="bottom"/>
                </w:tcPr>
                <w:p w14:paraId="09223ECF" w14:textId="77777777" w:rsidR="00DE1537" w:rsidRDefault="00DE1537" w:rsidP="00343F3E">
                  <w:pPr>
                    <w:pStyle w:val="TableBodyText"/>
                  </w:pPr>
                  <w:r w:rsidRPr="002318FB">
                    <w:t>949</w:t>
                  </w:r>
                </w:p>
              </w:tc>
              <w:tc>
                <w:tcPr>
                  <w:tcW w:w="488" w:type="pct"/>
                  <w:vAlign w:val="bottom"/>
                </w:tcPr>
                <w:p w14:paraId="01D04739" w14:textId="77777777" w:rsidR="00DE1537" w:rsidRDefault="00DE1537" w:rsidP="00343F3E">
                  <w:pPr>
                    <w:pStyle w:val="TableBodyText"/>
                  </w:pPr>
                  <w:r w:rsidRPr="002318FB">
                    <w:t>92</w:t>
                  </w:r>
                </w:p>
              </w:tc>
              <w:tc>
                <w:tcPr>
                  <w:tcW w:w="488" w:type="pct"/>
                  <w:vAlign w:val="bottom"/>
                </w:tcPr>
                <w:p w14:paraId="2E48F5C7" w14:textId="77777777" w:rsidR="00DE1537" w:rsidRPr="002318FB" w:rsidRDefault="00DE1537" w:rsidP="00343F3E">
                  <w:pPr>
                    <w:pStyle w:val="TableBodyText"/>
                  </w:pPr>
                  <w:r w:rsidRPr="002318FB">
                    <w:t>0</w:t>
                  </w:r>
                </w:p>
              </w:tc>
              <w:tc>
                <w:tcPr>
                  <w:tcW w:w="488" w:type="pct"/>
                  <w:vAlign w:val="bottom"/>
                </w:tcPr>
                <w:p w14:paraId="4009A33E" w14:textId="77777777" w:rsidR="00DE1537" w:rsidRDefault="00DE1537" w:rsidP="00343F3E">
                  <w:pPr>
                    <w:pStyle w:val="TableBodyText"/>
                  </w:pPr>
                  <w:r w:rsidRPr="002318FB">
                    <w:t>86</w:t>
                  </w:r>
                </w:p>
              </w:tc>
              <w:tc>
                <w:tcPr>
                  <w:tcW w:w="488" w:type="pct"/>
                </w:tcPr>
                <w:p w14:paraId="4CC86B19" w14:textId="77777777" w:rsidR="00DE1537" w:rsidRDefault="00DE1537" w:rsidP="00343F3E">
                  <w:pPr>
                    <w:pStyle w:val="TableBodyText"/>
                  </w:pPr>
                  <w:r w:rsidRPr="00891ECB">
                    <w:t>–</w:t>
                  </w:r>
                </w:p>
              </w:tc>
              <w:tc>
                <w:tcPr>
                  <w:tcW w:w="488" w:type="pct"/>
                </w:tcPr>
                <w:p w14:paraId="3FC1754D" w14:textId="77777777" w:rsidR="00DE1537" w:rsidRDefault="00DE1537" w:rsidP="00343F3E">
                  <w:pPr>
                    <w:pStyle w:val="TableBodyText"/>
                  </w:pPr>
                  <w:r w:rsidRPr="00007611">
                    <w:t>–</w:t>
                  </w:r>
                </w:p>
              </w:tc>
              <w:tc>
                <w:tcPr>
                  <w:tcW w:w="482" w:type="pct"/>
                  <w:vAlign w:val="bottom"/>
                </w:tcPr>
                <w:p w14:paraId="7BBDCEEE" w14:textId="77777777" w:rsidR="00DE1537" w:rsidRPr="009058F8" w:rsidRDefault="00DE1537" w:rsidP="00343F3E">
                  <w:pPr>
                    <w:pStyle w:val="TableBodyText"/>
                    <w:framePr w:w="2155" w:hSpace="227" w:vSpace="181" w:wrap="around" w:vAnchor="text" w:hAnchor="page" w:xAlign="outside" w:y="1"/>
                    <w:ind w:right="28"/>
                    <w:rPr>
                      <w:b/>
                    </w:rPr>
                  </w:pPr>
                  <w:r w:rsidRPr="009058F8">
                    <w:rPr>
                      <w:b/>
                    </w:rPr>
                    <w:t>6 277</w:t>
                  </w:r>
                </w:p>
              </w:tc>
            </w:tr>
            <w:tr w:rsidR="00DE1537" w14:paraId="31352FFF" w14:textId="77777777" w:rsidTr="00343F3E">
              <w:tc>
                <w:tcPr>
                  <w:tcW w:w="614" w:type="pct"/>
                  <w:shd w:val="clear" w:color="auto" w:fill="auto"/>
                </w:tcPr>
                <w:p w14:paraId="2EB9FC1D" w14:textId="77777777" w:rsidR="00DE1537" w:rsidRDefault="00DE1537" w:rsidP="00343F3E">
                  <w:pPr>
                    <w:pStyle w:val="TableBodyText"/>
                    <w:jc w:val="left"/>
                  </w:pPr>
                  <w:r>
                    <w:t>Earthquake</w:t>
                  </w:r>
                </w:p>
              </w:tc>
              <w:tc>
                <w:tcPr>
                  <w:tcW w:w="488" w:type="pct"/>
                  <w:vAlign w:val="bottom"/>
                </w:tcPr>
                <w:p w14:paraId="3009B875" w14:textId="77777777" w:rsidR="00DE1537" w:rsidRDefault="00DE1537" w:rsidP="00343F3E">
                  <w:pPr>
                    <w:pStyle w:val="TableBodyText"/>
                  </w:pPr>
                  <w:r w:rsidRPr="002318FB">
                    <w:t>1</w:t>
                  </w:r>
                  <w:r>
                    <w:t xml:space="preserve"> </w:t>
                  </w:r>
                  <w:r w:rsidRPr="002318FB">
                    <w:t>657</w:t>
                  </w:r>
                </w:p>
              </w:tc>
              <w:tc>
                <w:tcPr>
                  <w:tcW w:w="488" w:type="pct"/>
                </w:tcPr>
                <w:p w14:paraId="7FF624C3" w14:textId="77777777" w:rsidR="00DE1537" w:rsidRDefault="00DE1537" w:rsidP="00343F3E">
                  <w:pPr>
                    <w:pStyle w:val="TableBodyText"/>
                  </w:pPr>
                  <w:r w:rsidRPr="0075276C">
                    <w:t>–</w:t>
                  </w:r>
                </w:p>
              </w:tc>
              <w:tc>
                <w:tcPr>
                  <w:tcW w:w="488" w:type="pct"/>
                </w:tcPr>
                <w:p w14:paraId="20ED38E3" w14:textId="77777777" w:rsidR="00DE1537" w:rsidRDefault="00DE1537" w:rsidP="00343F3E">
                  <w:pPr>
                    <w:pStyle w:val="TableBodyText"/>
                  </w:pPr>
                  <w:r w:rsidRPr="0075276C">
                    <w:t>–</w:t>
                  </w:r>
                </w:p>
              </w:tc>
              <w:tc>
                <w:tcPr>
                  <w:tcW w:w="488" w:type="pct"/>
                </w:tcPr>
                <w:p w14:paraId="47AC3375" w14:textId="77777777" w:rsidR="00DE1537" w:rsidRDefault="00DE1537" w:rsidP="00343F3E">
                  <w:pPr>
                    <w:pStyle w:val="TableBodyText"/>
                  </w:pPr>
                  <w:r w:rsidRPr="0075276C">
                    <w:t>–</w:t>
                  </w:r>
                </w:p>
              </w:tc>
              <w:tc>
                <w:tcPr>
                  <w:tcW w:w="488" w:type="pct"/>
                  <w:vAlign w:val="bottom"/>
                </w:tcPr>
                <w:p w14:paraId="343EE4EC" w14:textId="77777777" w:rsidR="00DE1537" w:rsidRDefault="00DE1537" w:rsidP="00343F3E">
                  <w:pPr>
                    <w:pStyle w:val="TableBodyText"/>
                  </w:pPr>
                  <w:r w:rsidRPr="002318FB">
                    <w:t>15</w:t>
                  </w:r>
                </w:p>
              </w:tc>
              <w:tc>
                <w:tcPr>
                  <w:tcW w:w="488" w:type="pct"/>
                </w:tcPr>
                <w:p w14:paraId="6BE10E45" w14:textId="77777777" w:rsidR="00DE1537" w:rsidRDefault="00DE1537" w:rsidP="00343F3E">
                  <w:pPr>
                    <w:pStyle w:val="TableBodyText"/>
                  </w:pPr>
                  <w:r w:rsidRPr="003335DE">
                    <w:t>–</w:t>
                  </w:r>
                </w:p>
              </w:tc>
              <w:tc>
                <w:tcPr>
                  <w:tcW w:w="488" w:type="pct"/>
                </w:tcPr>
                <w:p w14:paraId="33ED536B" w14:textId="77777777" w:rsidR="00DE1537" w:rsidRDefault="00DE1537" w:rsidP="00343F3E">
                  <w:pPr>
                    <w:pStyle w:val="TableBodyText"/>
                  </w:pPr>
                  <w:r w:rsidRPr="003335DE">
                    <w:t>–</w:t>
                  </w:r>
                </w:p>
              </w:tc>
              <w:tc>
                <w:tcPr>
                  <w:tcW w:w="488" w:type="pct"/>
                  <w:shd w:val="clear" w:color="auto" w:fill="auto"/>
                </w:tcPr>
                <w:p w14:paraId="32A60E5B" w14:textId="77777777" w:rsidR="00DE1537" w:rsidRDefault="00DE1537" w:rsidP="00343F3E">
                  <w:pPr>
                    <w:pStyle w:val="TableBodyText"/>
                  </w:pPr>
                  <w:r w:rsidRPr="003335DE">
                    <w:t>–</w:t>
                  </w:r>
                </w:p>
              </w:tc>
              <w:tc>
                <w:tcPr>
                  <w:tcW w:w="482" w:type="pct"/>
                  <w:shd w:val="clear" w:color="auto" w:fill="auto"/>
                  <w:vAlign w:val="bottom"/>
                </w:tcPr>
                <w:p w14:paraId="278194C6" w14:textId="77777777" w:rsidR="00DE1537" w:rsidRPr="009058F8" w:rsidRDefault="00DE1537" w:rsidP="00343F3E">
                  <w:pPr>
                    <w:pStyle w:val="TableBodyText"/>
                    <w:framePr w:w="2155" w:hSpace="227" w:vSpace="181" w:wrap="around" w:vAnchor="text" w:hAnchor="page" w:xAlign="outside" w:y="1"/>
                    <w:ind w:right="28"/>
                    <w:rPr>
                      <w:b/>
                    </w:rPr>
                  </w:pPr>
                  <w:r w:rsidRPr="009058F8">
                    <w:rPr>
                      <w:b/>
                    </w:rPr>
                    <w:t>1 671</w:t>
                  </w:r>
                </w:p>
              </w:tc>
            </w:tr>
            <w:tr w:rsidR="00DE1537" w:rsidRPr="00DB3920" w14:paraId="41EB5E0D" w14:textId="77777777" w:rsidTr="00343F3E">
              <w:tc>
                <w:tcPr>
                  <w:tcW w:w="614" w:type="pct"/>
                  <w:shd w:val="clear" w:color="auto" w:fill="auto"/>
                </w:tcPr>
                <w:p w14:paraId="607F08BA" w14:textId="77777777" w:rsidR="00DE1537" w:rsidRPr="00DB3920" w:rsidRDefault="00DE1537" w:rsidP="00343F3E">
                  <w:pPr>
                    <w:pStyle w:val="TableBodyText"/>
                    <w:jc w:val="left"/>
                    <w:rPr>
                      <w:b/>
                    </w:rPr>
                  </w:pPr>
                  <w:r w:rsidRPr="00DB3920">
                    <w:rPr>
                      <w:b/>
                    </w:rPr>
                    <w:t>Total</w:t>
                  </w:r>
                </w:p>
              </w:tc>
              <w:tc>
                <w:tcPr>
                  <w:tcW w:w="488" w:type="pct"/>
                  <w:vAlign w:val="bottom"/>
                </w:tcPr>
                <w:p w14:paraId="047E9F2A" w14:textId="77777777" w:rsidR="00DE1537" w:rsidRPr="00DB3920" w:rsidRDefault="00DE1537" w:rsidP="00343F3E">
                  <w:pPr>
                    <w:pStyle w:val="TableBodyText"/>
                    <w:rPr>
                      <w:b/>
                    </w:rPr>
                  </w:pPr>
                  <w:r w:rsidRPr="00DB3920">
                    <w:rPr>
                      <w:b/>
                    </w:rPr>
                    <w:t>10 788</w:t>
                  </w:r>
                </w:p>
              </w:tc>
              <w:tc>
                <w:tcPr>
                  <w:tcW w:w="488" w:type="pct"/>
                  <w:vAlign w:val="bottom"/>
                </w:tcPr>
                <w:p w14:paraId="08ACCEB3" w14:textId="77777777" w:rsidR="00DE1537" w:rsidRPr="00DB3920" w:rsidRDefault="00DE1537" w:rsidP="00343F3E">
                  <w:pPr>
                    <w:pStyle w:val="TableBodyText"/>
                    <w:rPr>
                      <w:b/>
                    </w:rPr>
                  </w:pPr>
                  <w:r w:rsidRPr="00DB3920">
                    <w:rPr>
                      <w:b/>
                    </w:rPr>
                    <w:t>4 783</w:t>
                  </w:r>
                </w:p>
              </w:tc>
              <w:tc>
                <w:tcPr>
                  <w:tcW w:w="488" w:type="pct"/>
                  <w:vAlign w:val="bottom"/>
                </w:tcPr>
                <w:p w14:paraId="68826498" w14:textId="77777777" w:rsidR="00DE1537" w:rsidRPr="00DB3920" w:rsidRDefault="00DE1537" w:rsidP="00343F3E">
                  <w:pPr>
                    <w:pStyle w:val="TableBodyText"/>
                    <w:rPr>
                      <w:b/>
                    </w:rPr>
                  </w:pPr>
                  <w:r w:rsidRPr="00DB3920">
                    <w:rPr>
                      <w:b/>
                    </w:rPr>
                    <w:t>9 283</w:t>
                  </w:r>
                </w:p>
              </w:tc>
              <w:tc>
                <w:tcPr>
                  <w:tcW w:w="488" w:type="pct"/>
                  <w:vAlign w:val="bottom"/>
                </w:tcPr>
                <w:p w14:paraId="6D5A0491" w14:textId="77777777" w:rsidR="00DE1537" w:rsidRPr="00DB3920" w:rsidRDefault="00DE1537" w:rsidP="00343F3E">
                  <w:pPr>
                    <w:pStyle w:val="TableBodyText"/>
                    <w:rPr>
                      <w:b/>
                    </w:rPr>
                  </w:pPr>
                  <w:r w:rsidRPr="00DB3920">
                    <w:rPr>
                      <w:b/>
                    </w:rPr>
                    <w:t>327</w:t>
                  </w:r>
                </w:p>
              </w:tc>
              <w:tc>
                <w:tcPr>
                  <w:tcW w:w="488" w:type="pct"/>
                  <w:vAlign w:val="bottom"/>
                </w:tcPr>
                <w:p w14:paraId="316E175A" w14:textId="77777777" w:rsidR="00DE1537" w:rsidRPr="00DB3920" w:rsidRDefault="00DE1537" w:rsidP="00343F3E">
                  <w:pPr>
                    <w:pStyle w:val="TableBodyText"/>
                    <w:rPr>
                      <w:b/>
                    </w:rPr>
                  </w:pPr>
                  <w:r w:rsidRPr="00DB3920">
                    <w:rPr>
                      <w:b/>
                    </w:rPr>
                    <w:t>1 852</w:t>
                  </w:r>
                </w:p>
              </w:tc>
              <w:tc>
                <w:tcPr>
                  <w:tcW w:w="488" w:type="pct"/>
                  <w:vAlign w:val="bottom"/>
                </w:tcPr>
                <w:p w14:paraId="6782A817" w14:textId="77777777" w:rsidR="00DE1537" w:rsidRPr="00DB3920" w:rsidRDefault="00DE1537" w:rsidP="00343F3E">
                  <w:pPr>
                    <w:pStyle w:val="TableBodyText"/>
                    <w:rPr>
                      <w:b/>
                    </w:rPr>
                  </w:pPr>
                  <w:r w:rsidRPr="00DB3920">
                    <w:rPr>
                      <w:b/>
                    </w:rPr>
                    <w:t>271</w:t>
                  </w:r>
                </w:p>
              </w:tc>
              <w:tc>
                <w:tcPr>
                  <w:tcW w:w="488" w:type="pct"/>
                  <w:vAlign w:val="bottom"/>
                </w:tcPr>
                <w:p w14:paraId="1A7776BD" w14:textId="77777777" w:rsidR="00DE1537" w:rsidRPr="00DB3920" w:rsidRDefault="00DE1537" w:rsidP="00343F3E">
                  <w:pPr>
                    <w:pStyle w:val="TableBodyText"/>
                    <w:rPr>
                      <w:b/>
                    </w:rPr>
                  </w:pPr>
                  <w:r w:rsidRPr="00DB3920">
                    <w:rPr>
                      <w:b/>
                    </w:rPr>
                    <w:t>1 652</w:t>
                  </w:r>
                </w:p>
              </w:tc>
              <w:tc>
                <w:tcPr>
                  <w:tcW w:w="488" w:type="pct"/>
                  <w:shd w:val="clear" w:color="auto" w:fill="auto"/>
                  <w:vAlign w:val="bottom"/>
                </w:tcPr>
                <w:p w14:paraId="7412F837" w14:textId="77777777" w:rsidR="00DE1537" w:rsidRPr="00DB3920" w:rsidRDefault="00DE1537" w:rsidP="00343F3E">
                  <w:pPr>
                    <w:pStyle w:val="TableBodyText"/>
                    <w:rPr>
                      <w:b/>
                    </w:rPr>
                  </w:pPr>
                  <w:r w:rsidRPr="00DB3920">
                    <w:rPr>
                      <w:b/>
                    </w:rPr>
                    <w:t>440</w:t>
                  </w:r>
                </w:p>
              </w:tc>
              <w:tc>
                <w:tcPr>
                  <w:tcW w:w="482" w:type="pct"/>
                  <w:shd w:val="clear" w:color="auto" w:fill="auto"/>
                  <w:vAlign w:val="bottom"/>
                </w:tcPr>
                <w:p w14:paraId="16C941BB" w14:textId="77777777" w:rsidR="00DE1537" w:rsidRPr="001C3DFA" w:rsidRDefault="00DE1537" w:rsidP="00343F3E">
                  <w:pPr>
                    <w:pStyle w:val="TableBodyText"/>
                    <w:ind w:right="28"/>
                    <w:rPr>
                      <w:b/>
                    </w:rPr>
                  </w:pPr>
                  <w:r w:rsidRPr="001C3DFA">
                    <w:rPr>
                      <w:b/>
                    </w:rPr>
                    <w:t>29 395</w:t>
                  </w:r>
                </w:p>
              </w:tc>
            </w:tr>
            <w:tr w:rsidR="00DE1537" w:rsidRPr="001C3DFA" w14:paraId="4F74A7E3" w14:textId="77777777" w:rsidTr="00343F3E">
              <w:tc>
                <w:tcPr>
                  <w:tcW w:w="614" w:type="pct"/>
                  <w:tcBorders>
                    <w:bottom w:val="single" w:sz="6" w:space="0" w:color="BFBFBF"/>
                  </w:tcBorders>
                  <w:shd w:val="clear" w:color="auto" w:fill="auto"/>
                </w:tcPr>
                <w:p w14:paraId="7D83FE9F" w14:textId="77777777" w:rsidR="00DE1537" w:rsidRPr="001C3DFA" w:rsidRDefault="00DE1537" w:rsidP="00343F3E">
                  <w:pPr>
                    <w:pStyle w:val="TableBodyText"/>
                    <w:jc w:val="left"/>
                    <w:rPr>
                      <w:i/>
                    </w:rPr>
                  </w:pPr>
                  <w:r w:rsidRPr="001C3DFA">
                    <w:rPr>
                      <w:i/>
                    </w:rPr>
                    <w:t>Per cent</w:t>
                  </w:r>
                </w:p>
              </w:tc>
              <w:tc>
                <w:tcPr>
                  <w:tcW w:w="488" w:type="pct"/>
                  <w:tcBorders>
                    <w:bottom w:val="single" w:sz="6" w:space="0" w:color="BFBFBF"/>
                  </w:tcBorders>
                </w:tcPr>
                <w:p w14:paraId="4BCC1B2A" w14:textId="77777777" w:rsidR="00DE1537" w:rsidRPr="001C3DFA" w:rsidRDefault="00DE1537" w:rsidP="00343F3E">
                  <w:pPr>
                    <w:pStyle w:val="TableBodyText"/>
                    <w:rPr>
                      <w:i/>
                    </w:rPr>
                  </w:pPr>
                  <w:r w:rsidRPr="001C3DFA">
                    <w:rPr>
                      <w:i/>
                    </w:rPr>
                    <w:t xml:space="preserve"> 36.7 </w:t>
                  </w:r>
                </w:p>
              </w:tc>
              <w:tc>
                <w:tcPr>
                  <w:tcW w:w="488" w:type="pct"/>
                  <w:tcBorders>
                    <w:bottom w:val="single" w:sz="6" w:space="0" w:color="BFBFBF"/>
                  </w:tcBorders>
                </w:tcPr>
                <w:p w14:paraId="703AE868" w14:textId="77777777" w:rsidR="00DE1537" w:rsidRPr="001C3DFA" w:rsidRDefault="00DE1537" w:rsidP="00343F3E">
                  <w:pPr>
                    <w:pStyle w:val="TableBodyText"/>
                    <w:rPr>
                      <w:i/>
                    </w:rPr>
                  </w:pPr>
                  <w:r w:rsidRPr="001C3DFA">
                    <w:rPr>
                      <w:i/>
                    </w:rPr>
                    <w:t xml:space="preserve"> 16.3 </w:t>
                  </w:r>
                </w:p>
              </w:tc>
              <w:tc>
                <w:tcPr>
                  <w:tcW w:w="488" w:type="pct"/>
                  <w:tcBorders>
                    <w:bottom w:val="single" w:sz="6" w:space="0" w:color="BFBFBF"/>
                  </w:tcBorders>
                </w:tcPr>
                <w:p w14:paraId="1EF2C8EE" w14:textId="77777777" w:rsidR="00DE1537" w:rsidRPr="001C3DFA" w:rsidRDefault="00DE1537" w:rsidP="00343F3E">
                  <w:pPr>
                    <w:pStyle w:val="TableBodyText"/>
                    <w:rPr>
                      <w:i/>
                    </w:rPr>
                  </w:pPr>
                  <w:r w:rsidRPr="001C3DFA">
                    <w:rPr>
                      <w:i/>
                    </w:rPr>
                    <w:t xml:space="preserve"> 31.6 </w:t>
                  </w:r>
                </w:p>
              </w:tc>
              <w:tc>
                <w:tcPr>
                  <w:tcW w:w="488" w:type="pct"/>
                  <w:tcBorders>
                    <w:bottom w:val="single" w:sz="6" w:space="0" w:color="BFBFBF"/>
                  </w:tcBorders>
                </w:tcPr>
                <w:p w14:paraId="6313228F" w14:textId="77777777" w:rsidR="00DE1537" w:rsidRPr="001C3DFA" w:rsidRDefault="00DE1537" w:rsidP="00343F3E">
                  <w:pPr>
                    <w:pStyle w:val="TableBodyText"/>
                    <w:rPr>
                      <w:i/>
                    </w:rPr>
                  </w:pPr>
                  <w:r w:rsidRPr="001C3DFA">
                    <w:rPr>
                      <w:i/>
                    </w:rPr>
                    <w:t xml:space="preserve"> 1.1 </w:t>
                  </w:r>
                </w:p>
              </w:tc>
              <w:tc>
                <w:tcPr>
                  <w:tcW w:w="488" w:type="pct"/>
                  <w:tcBorders>
                    <w:bottom w:val="single" w:sz="6" w:space="0" w:color="BFBFBF"/>
                  </w:tcBorders>
                </w:tcPr>
                <w:p w14:paraId="7021A874" w14:textId="77777777" w:rsidR="00DE1537" w:rsidRPr="001C3DFA" w:rsidRDefault="00DE1537" w:rsidP="00343F3E">
                  <w:pPr>
                    <w:pStyle w:val="TableBodyText"/>
                    <w:rPr>
                      <w:i/>
                    </w:rPr>
                  </w:pPr>
                  <w:r w:rsidRPr="001C3DFA">
                    <w:rPr>
                      <w:i/>
                    </w:rPr>
                    <w:t xml:space="preserve"> 6.3 </w:t>
                  </w:r>
                </w:p>
              </w:tc>
              <w:tc>
                <w:tcPr>
                  <w:tcW w:w="488" w:type="pct"/>
                  <w:tcBorders>
                    <w:bottom w:val="single" w:sz="6" w:space="0" w:color="BFBFBF"/>
                  </w:tcBorders>
                </w:tcPr>
                <w:p w14:paraId="5648688B" w14:textId="77777777" w:rsidR="00DE1537" w:rsidRPr="001C3DFA" w:rsidRDefault="00DE1537" w:rsidP="00343F3E">
                  <w:pPr>
                    <w:pStyle w:val="TableBodyText"/>
                    <w:rPr>
                      <w:i/>
                    </w:rPr>
                  </w:pPr>
                  <w:r w:rsidRPr="001C3DFA">
                    <w:rPr>
                      <w:i/>
                    </w:rPr>
                    <w:t xml:space="preserve"> 0.9 </w:t>
                  </w:r>
                </w:p>
              </w:tc>
              <w:tc>
                <w:tcPr>
                  <w:tcW w:w="488" w:type="pct"/>
                  <w:tcBorders>
                    <w:bottom w:val="single" w:sz="6" w:space="0" w:color="BFBFBF"/>
                  </w:tcBorders>
                </w:tcPr>
                <w:p w14:paraId="32DF86D2" w14:textId="77777777" w:rsidR="00DE1537" w:rsidRPr="001C3DFA" w:rsidRDefault="00DE1537" w:rsidP="00343F3E">
                  <w:pPr>
                    <w:pStyle w:val="TableBodyText"/>
                    <w:rPr>
                      <w:i/>
                    </w:rPr>
                  </w:pPr>
                  <w:r w:rsidRPr="001C3DFA">
                    <w:rPr>
                      <w:i/>
                    </w:rPr>
                    <w:t xml:space="preserve"> 5.6 </w:t>
                  </w:r>
                </w:p>
              </w:tc>
              <w:tc>
                <w:tcPr>
                  <w:tcW w:w="488" w:type="pct"/>
                  <w:tcBorders>
                    <w:bottom w:val="single" w:sz="6" w:space="0" w:color="BFBFBF"/>
                  </w:tcBorders>
                  <w:shd w:val="clear" w:color="auto" w:fill="auto"/>
                </w:tcPr>
                <w:p w14:paraId="4443F676" w14:textId="77777777" w:rsidR="00DE1537" w:rsidRPr="001C3DFA" w:rsidRDefault="00DE1537" w:rsidP="00343F3E">
                  <w:pPr>
                    <w:pStyle w:val="TableBodyText"/>
                    <w:rPr>
                      <w:i/>
                    </w:rPr>
                  </w:pPr>
                  <w:r w:rsidRPr="001C3DFA">
                    <w:rPr>
                      <w:i/>
                    </w:rPr>
                    <w:t xml:space="preserve"> 1.5 </w:t>
                  </w:r>
                </w:p>
              </w:tc>
              <w:tc>
                <w:tcPr>
                  <w:tcW w:w="482" w:type="pct"/>
                  <w:tcBorders>
                    <w:bottom w:val="single" w:sz="6" w:space="0" w:color="BFBFBF"/>
                  </w:tcBorders>
                  <w:shd w:val="clear" w:color="auto" w:fill="auto"/>
                </w:tcPr>
                <w:p w14:paraId="7E52F457" w14:textId="77777777" w:rsidR="00DE1537" w:rsidRPr="00325861" w:rsidRDefault="00DE1537" w:rsidP="00343F3E">
                  <w:pPr>
                    <w:pStyle w:val="TableBodyText"/>
                    <w:framePr w:w="2155" w:hSpace="227" w:vSpace="181" w:wrap="around" w:vAnchor="text" w:hAnchor="page" w:xAlign="outside" w:y="1"/>
                    <w:ind w:right="28"/>
                    <w:rPr>
                      <w:i/>
                    </w:rPr>
                  </w:pPr>
                  <w:r w:rsidRPr="001C3DFA">
                    <w:t xml:space="preserve"> </w:t>
                  </w:r>
                  <w:r w:rsidRPr="001C3DFA">
                    <w:rPr>
                      <w:i/>
                    </w:rPr>
                    <w:t xml:space="preserve">100.0 </w:t>
                  </w:r>
                </w:p>
              </w:tc>
            </w:tr>
          </w:tbl>
          <w:p w14:paraId="49599A16" w14:textId="77777777" w:rsidR="00DE1537" w:rsidRDefault="00DE1537" w:rsidP="00343F3E">
            <w:pPr>
              <w:pStyle w:val="Box"/>
            </w:pPr>
          </w:p>
        </w:tc>
      </w:tr>
      <w:tr w:rsidR="00DE1537" w14:paraId="6E42078A" w14:textId="77777777" w:rsidTr="00343F3E">
        <w:trPr>
          <w:cantSplit/>
        </w:trPr>
        <w:tc>
          <w:tcPr>
            <w:tcW w:w="8771" w:type="dxa"/>
            <w:tcBorders>
              <w:top w:val="nil"/>
              <w:left w:val="nil"/>
              <w:bottom w:val="nil"/>
              <w:right w:val="nil"/>
            </w:tcBorders>
            <w:shd w:val="clear" w:color="auto" w:fill="auto"/>
          </w:tcPr>
          <w:p w14:paraId="7C4E989F" w14:textId="77777777" w:rsidR="00DE1537" w:rsidRDefault="00DE1537" w:rsidP="00343F3E">
            <w:pPr>
              <w:pStyle w:val="Note"/>
              <w:rPr>
                <w:i/>
              </w:rPr>
            </w:pPr>
            <w:proofErr w:type="gramStart"/>
            <w:r w:rsidRPr="008E77FE">
              <w:rPr>
                <w:rStyle w:val="NoteLabel"/>
              </w:rPr>
              <w:t>a</w:t>
            </w:r>
            <w:proofErr w:type="gramEnd"/>
            <w:r>
              <w:t xml:space="preserve"> Where events were recorded as impacting multiple states, costs have been divided evenly across those states. </w:t>
            </w:r>
            <w:r w:rsidRPr="00B21542">
              <w:t>–</w:t>
            </w:r>
            <w:r>
              <w:t xml:space="preserve"> Nil or rounded to zero.</w:t>
            </w:r>
          </w:p>
        </w:tc>
      </w:tr>
      <w:tr w:rsidR="00DE1537" w14:paraId="0093E556" w14:textId="77777777" w:rsidTr="00343F3E">
        <w:trPr>
          <w:cantSplit/>
        </w:trPr>
        <w:tc>
          <w:tcPr>
            <w:tcW w:w="8771" w:type="dxa"/>
            <w:tcBorders>
              <w:top w:val="nil"/>
              <w:left w:val="nil"/>
              <w:bottom w:val="nil"/>
              <w:right w:val="nil"/>
            </w:tcBorders>
            <w:shd w:val="clear" w:color="auto" w:fill="auto"/>
          </w:tcPr>
          <w:p w14:paraId="76283C08" w14:textId="78654C57" w:rsidR="00DE1537" w:rsidRDefault="00DE1537" w:rsidP="00343F3E">
            <w:pPr>
              <w:pStyle w:val="TableBodyText"/>
              <w:keepNext w:val="0"/>
              <w:spacing w:before="80" w:after="0" w:line="220" w:lineRule="exact"/>
              <w:ind w:left="0" w:right="0"/>
              <w:jc w:val="both"/>
              <w:rPr>
                <w:i/>
              </w:rPr>
            </w:pPr>
            <w:r>
              <w:rPr>
                <w:i/>
              </w:rPr>
              <w:t>Data sources</w:t>
            </w:r>
            <w:r w:rsidRPr="00167F06">
              <w:t xml:space="preserve">: </w:t>
            </w:r>
            <w:r>
              <w:t xml:space="preserve">ICA </w:t>
            </w:r>
            <w:r w:rsidR="007C5656" w:rsidRPr="007C5656">
              <w:rPr>
                <w:rFonts w:cs="Arial"/>
              </w:rPr>
              <w:t>(2014e)</w:t>
            </w:r>
            <w:r>
              <w:t>; Productivity Commission estimates.</w:t>
            </w:r>
          </w:p>
        </w:tc>
      </w:tr>
      <w:tr w:rsidR="00DE1537" w14:paraId="40A81B58" w14:textId="77777777" w:rsidTr="00343F3E">
        <w:trPr>
          <w:cantSplit/>
        </w:trPr>
        <w:tc>
          <w:tcPr>
            <w:tcW w:w="8771" w:type="dxa"/>
            <w:tcBorders>
              <w:top w:val="nil"/>
              <w:left w:val="nil"/>
              <w:bottom w:val="single" w:sz="6" w:space="0" w:color="78A22F"/>
              <w:right w:val="nil"/>
            </w:tcBorders>
            <w:shd w:val="clear" w:color="auto" w:fill="auto"/>
          </w:tcPr>
          <w:p w14:paraId="44D1D368" w14:textId="77777777" w:rsidR="00DE1537" w:rsidRDefault="00DE1537" w:rsidP="00343F3E">
            <w:pPr>
              <w:pStyle w:val="Box"/>
              <w:spacing w:before="0" w:line="120" w:lineRule="exact"/>
            </w:pPr>
          </w:p>
        </w:tc>
      </w:tr>
      <w:tr w:rsidR="00DE1537" w:rsidRPr="000863A5" w14:paraId="532E8E0A" w14:textId="77777777" w:rsidTr="00343F3E">
        <w:tc>
          <w:tcPr>
            <w:tcW w:w="8771" w:type="dxa"/>
            <w:tcBorders>
              <w:top w:val="single" w:sz="6" w:space="0" w:color="78A22F"/>
              <w:left w:val="nil"/>
              <w:bottom w:val="nil"/>
              <w:right w:val="nil"/>
            </w:tcBorders>
          </w:tcPr>
          <w:p w14:paraId="0C2DC6C1" w14:textId="77777777" w:rsidR="00DE1537" w:rsidRPr="00626D32" w:rsidRDefault="00DE1537" w:rsidP="00343F3E">
            <w:pPr>
              <w:pStyle w:val="BoxSpaceBelow"/>
            </w:pPr>
          </w:p>
        </w:tc>
      </w:tr>
    </w:tbl>
    <w:p w14:paraId="3C0BEAC0" w14:textId="77777777" w:rsidR="00DE1537" w:rsidRDefault="00DE1537" w:rsidP="00343F3E">
      <w:pPr>
        <w:pStyle w:val="BodyText"/>
      </w:pPr>
      <w:r w:rsidRPr="002C7C9A">
        <w:t>Beyond the magnitude of damages resulting from a natural disaster, nominal insurance losses capture a range of influences, from inflation to population growth. For example, the upward trend in nominal insurance losses is weaker when deflated to 2011 dollars using the consumer price index (figure</w:t>
      </w:r>
      <w:r>
        <w:t> 1.4</w:t>
      </w:r>
      <w:r w:rsidRPr="002C7C9A">
        <w:t xml:space="preserve">). This illustrates the role that inflation played in rising natural disaster costs. </w:t>
      </w:r>
      <w:r>
        <w:t>T</w:t>
      </w:r>
      <w:r w:rsidRPr="002C7C9A">
        <w:t xml:space="preserve">he upward trend mostly disappears when insurance losses are normalised to 2011 values — </w:t>
      </w:r>
      <w:r w:rsidRPr="000D2004">
        <w:t>losses that would have been incurred if recorded natural disasters were to happen again under socioeconomic conditions prevailing in 2011</w:t>
      </w:r>
      <w:r>
        <w:t xml:space="preserve"> </w:t>
      </w:r>
      <w:r w:rsidRPr="002C7C9A">
        <w:t>(box </w:t>
      </w:r>
      <w:r>
        <w:t>1.</w:t>
      </w:r>
      <w:r w:rsidRPr="002C7C9A">
        <w:t>7). This suggests that the socioeconomic factors used in the normalisation methodology can explain a lot of the rise in insurance losses (discussed below).</w:t>
      </w:r>
    </w:p>
    <w:p w14:paraId="4E00E076" w14:textId="5DC87397" w:rsidR="004B1EBB" w:rsidRPr="002C7C9A" w:rsidRDefault="004B1EBB" w:rsidP="00343F3E">
      <w:pPr>
        <w:pStyle w:val="BodyText"/>
      </w:pPr>
      <w:r w:rsidRPr="00B77AA8">
        <w:t xml:space="preserve">A ranking of the five costliest natural disasters since 1970 differs according to whether </w:t>
      </w:r>
      <w:r>
        <w:t>insurance losses</w:t>
      </w:r>
      <w:r w:rsidRPr="00B77AA8">
        <w:t xml:space="preserve"> are measured in nominal, deflated, or normalised form (table</w:t>
      </w:r>
      <w:r>
        <w:t> 1.3</w:t>
      </w:r>
      <w:r w:rsidRPr="00B77AA8">
        <w:t>)</w:t>
      </w:r>
      <w:r w:rsidRPr="00B7645F">
        <w:t xml:space="preserve">. </w:t>
      </w:r>
      <w:r>
        <w:t>However</w:t>
      </w:r>
      <w:r w:rsidRPr="00B7645F">
        <w:t xml:space="preserve">, </w:t>
      </w:r>
      <w:r w:rsidRPr="00B77AA8">
        <w:t>irrespective of the indicator used, the 2010</w:t>
      </w:r>
      <w:r>
        <w:t>–11</w:t>
      </w:r>
      <w:r w:rsidRPr="00B77AA8">
        <w:t xml:space="preserve"> Queensland flood</w:t>
      </w:r>
      <w:r>
        <w:t>s</w:t>
      </w:r>
      <w:r w:rsidRPr="00B77AA8">
        <w:t xml:space="preserve"> and the 1999</w:t>
      </w:r>
      <w:r>
        <w:t> </w:t>
      </w:r>
      <w:r w:rsidRPr="00B77AA8">
        <w:t>Sydney hailstorm rank among the costliest natural disasters in Australia</w:t>
      </w:r>
      <w:r>
        <w:t xml:space="preserve"> in terms of insurance losses.</w:t>
      </w:r>
    </w:p>
    <w:p w14:paraId="3039AEC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272B431" w14:textId="77777777" w:rsidTr="00343F3E">
        <w:tc>
          <w:tcPr>
            <w:tcW w:w="8771" w:type="dxa"/>
            <w:tcBorders>
              <w:top w:val="single" w:sz="6" w:space="0" w:color="78A22F"/>
              <w:left w:val="nil"/>
              <w:bottom w:val="nil"/>
              <w:right w:val="nil"/>
            </w:tcBorders>
            <w:shd w:val="clear" w:color="auto" w:fill="auto"/>
          </w:tcPr>
          <w:p w14:paraId="2FF2D8C4" w14:textId="19E18FCD" w:rsidR="00DE1537" w:rsidRPr="00246EB5" w:rsidRDefault="00DE1537" w:rsidP="00343F3E">
            <w:pPr>
              <w:pStyle w:val="FigureTitle"/>
            </w:pPr>
            <w:r w:rsidRPr="00784A05">
              <w:rPr>
                <w:b w:val="0"/>
              </w:rPr>
              <w:t xml:space="preserve">Figure </w:t>
            </w:r>
            <w:r>
              <w:rPr>
                <w:b w:val="0"/>
              </w:rPr>
              <w:t>1.</w:t>
            </w:r>
            <w:r>
              <w:rPr>
                <w:b w:val="0"/>
                <w:noProof/>
              </w:rPr>
              <w:t>4</w:t>
            </w:r>
            <w:r>
              <w:tab/>
              <w:t>Nominal, deflated and normalised insurance losses from natural disasters, 1970–2013</w:t>
            </w:r>
            <w:r w:rsidRPr="00B21542">
              <w:rPr>
                <w:rStyle w:val="NoteLabel"/>
                <w:b/>
              </w:rPr>
              <w:t>a</w:t>
            </w:r>
          </w:p>
        </w:tc>
      </w:tr>
      <w:tr w:rsidR="00DE1537" w14:paraId="1A759B2E"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64590CEB" w14:textId="77777777" w:rsidTr="00343F3E">
              <w:tc>
                <w:tcPr>
                  <w:tcW w:w="5000" w:type="pct"/>
                  <w:tcBorders>
                    <w:top w:val="nil"/>
                    <w:bottom w:val="nil"/>
                  </w:tcBorders>
                </w:tcPr>
                <w:p w14:paraId="55777F3C" w14:textId="77777777" w:rsidR="00DE1537" w:rsidRDefault="00DE1537" w:rsidP="00343F3E">
                  <w:pPr>
                    <w:pStyle w:val="Figure"/>
                    <w:spacing w:before="60" w:after="60"/>
                  </w:pPr>
                  <w:r>
                    <w:rPr>
                      <w:noProof/>
                    </w:rPr>
                    <w:drawing>
                      <wp:inline distT="0" distB="0" distL="0" distR="0" wp14:anchorId="2ADFD9E9" wp14:editId="68B79450">
                        <wp:extent cx="5391150" cy="2854325"/>
                        <wp:effectExtent l="0" t="0" r="0" b="3175"/>
                        <wp:docPr id="14" name="Picture 14" descr="This figure shows the nominal, deflated and normalised insurance losses from natural disasters from 1970 to 2013. Deflated losses are in 2011 dollars and normalised losses are insurance losses that would have been incurred if past natural disasters were to happen in 2011. To obtain normalised losses, nominal insurance losses are adjusted for changes in population, wealth, inflation, and building standards in areas prone to tropical cyclones. The upward trend in nominal insurance losses is weaker when deflated to 2011 dollars. It mostly disappears when insurance losses are normalised. There are high peaks in normalised losses in the years of catastrophic natural disasters, such as Cyclone Tracy in 1974." title="Nominal, deflated and normalised insurance losses from natural disasters, 197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91150" cy="2854325"/>
                                </a:xfrm>
                                <a:prstGeom prst="rect">
                                  <a:avLst/>
                                </a:prstGeom>
                                <a:noFill/>
                                <a:ln>
                                  <a:noFill/>
                                </a:ln>
                              </pic:spPr>
                            </pic:pic>
                          </a:graphicData>
                        </a:graphic>
                      </wp:inline>
                    </w:drawing>
                  </w:r>
                </w:p>
              </w:tc>
            </w:tr>
          </w:tbl>
          <w:p w14:paraId="47517155" w14:textId="77777777" w:rsidR="00DE1537" w:rsidRDefault="00DE1537" w:rsidP="00343F3E">
            <w:pPr>
              <w:pStyle w:val="Figure"/>
            </w:pPr>
          </w:p>
        </w:tc>
      </w:tr>
      <w:tr w:rsidR="00DE1537" w:rsidRPr="00176D3F" w14:paraId="18FDC8CF" w14:textId="77777777" w:rsidTr="00343F3E">
        <w:tc>
          <w:tcPr>
            <w:tcW w:w="8771" w:type="dxa"/>
            <w:tcBorders>
              <w:top w:val="nil"/>
              <w:left w:val="nil"/>
              <w:bottom w:val="nil"/>
              <w:right w:val="nil"/>
            </w:tcBorders>
            <w:shd w:val="clear" w:color="auto" w:fill="auto"/>
          </w:tcPr>
          <w:p w14:paraId="2CCEEA43" w14:textId="77777777" w:rsidR="00DE1537" w:rsidRPr="00B553BF" w:rsidRDefault="00DE1537" w:rsidP="00343F3E">
            <w:pPr>
              <w:pStyle w:val="Note"/>
              <w:rPr>
                <w:rStyle w:val="NoteLabel"/>
              </w:rPr>
            </w:pPr>
            <w:proofErr w:type="gramStart"/>
            <w:r>
              <w:rPr>
                <w:rStyle w:val="NoteLabel"/>
              </w:rPr>
              <w:t>a</w:t>
            </w:r>
            <w:proofErr w:type="gramEnd"/>
            <w:r>
              <w:rPr>
                <w:rStyle w:val="NoteLabel"/>
              </w:rPr>
              <w:t xml:space="preserve"> </w:t>
            </w:r>
            <w:r>
              <w:t>Normalised losses are insurance losses that would have been incurred if past natural disasters were to happen in 2011. To obtain normalised losses, Risk Frontiers took nominal insurance losses and adjusted them for changes in inflation, population, wealth, and building standards in areas prone to tropical cyclones.</w:t>
            </w:r>
          </w:p>
        </w:tc>
      </w:tr>
      <w:tr w:rsidR="00DE1537" w:rsidRPr="00176D3F" w14:paraId="2E9E17DA" w14:textId="77777777" w:rsidTr="00343F3E">
        <w:tc>
          <w:tcPr>
            <w:tcW w:w="8771" w:type="dxa"/>
            <w:tcBorders>
              <w:top w:val="nil"/>
              <w:left w:val="nil"/>
              <w:bottom w:val="nil"/>
              <w:right w:val="nil"/>
            </w:tcBorders>
            <w:shd w:val="clear" w:color="auto" w:fill="auto"/>
          </w:tcPr>
          <w:p w14:paraId="5B0D7714" w14:textId="3B4CBA38" w:rsidR="00DE1537" w:rsidRPr="00176D3F" w:rsidRDefault="00DE1537" w:rsidP="00343F3E">
            <w:pPr>
              <w:pStyle w:val="Source"/>
            </w:pPr>
            <w:r>
              <w:rPr>
                <w:i/>
              </w:rPr>
              <w:t>Data sources</w:t>
            </w:r>
            <w:r w:rsidRPr="00167F06">
              <w:t>:</w:t>
            </w:r>
            <w:r>
              <w:t xml:space="preserve"> ICA </w:t>
            </w:r>
            <w:r w:rsidR="007C5656" w:rsidRPr="007C5656">
              <w:rPr>
                <w:rFonts w:cs="Arial"/>
              </w:rPr>
              <w:t>(2014e)</w:t>
            </w:r>
            <w:r>
              <w:t>; Productivity Commission estimates.</w:t>
            </w:r>
          </w:p>
        </w:tc>
      </w:tr>
      <w:tr w:rsidR="00DE1537" w14:paraId="35AFF39B" w14:textId="77777777" w:rsidTr="00343F3E">
        <w:tc>
          <w:tcPr>
            <w:tcW w:w="8771" w:type="dxa"/>
            <w:tcBorders>
              <w:top w:val="nil"/>
              <w:left w:val="nil"/>
              <w:bottom w:val="single" w:sz="6" w:space="0" w:color="78A22F"/>
              <w:right w:val="nil"/>
            </w:tcBorders>
            <w:shd w:val="clear" w:color="auto" w:fill="auto"/>
          </w:tcPr>
          <w:p w14:paraId="0205DB05" w14:textId="77777777" w:rsidR="00DE1537" w:rsidRDefault="00DE1537" w:rsidP="00343F3E">
            <w:pPr>
              <w:pStyle w:val="Figurespace"/>
            </w:pPr>
          </w:p>
        </w:tc>
      </w:tr>
      <w:tr w:rsidR="00DE1537" w:rsidRPr="000863A5" w14:paraId="2DC3BD32" w14:textId="77777777" w:rsidTr="00343F3E">
        <w:tc>
          <w:tcPr>
            <w:tcW w:w="8771" w:type="dxa"/>
            <w:tcBorders>
              <w:top w:val="single" w:sz="6" w:space="0" w:color="78A22F"/>
              <w:left w:val="nil"/>
              <w:bottom w:val="nil"/>
              <w:right w:val="nil"/>
            </w:tcBorders>
          </w:tcPr>
          <w:p w14:paraId="3A216245" w14:textId="77777777" w:rsidR="00DE1537" w:rsidRPr="00626D32" w:rsidRDefault="00DE1537" w:rsidP="00343F3E">
            <w:pPr>
              <w:pStyle w:val="BoxSpaceBelow"/>
            </w:pPr>
          </w:p>
        </w:tc>
      </w:tr>
    </w:tbl>
    <w:p w14:paraId="493DEF9F"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3301D06" w14:textId="77777777" w:rsidTr="00343F3E">
        <w:tc>
          <w:tcPr>
            <w:tcW w:w="8771" w:type="dxa"/>
            <w:tcBorders>
              <w:top w:val="single" w:sz="6" w:space="0" w:color="78A22F"/>
              <w:left w:val="nil"/>
              <w:bottom w:val="nil"/>
              <w:right w:val="nil"/>
            </w:tcBorders>
            <w:shd w:val="clear" w:color="auto" w:fill="F2F2F2" w:themeFill="background1" w:themeFillShade="F2"/>
          </w:tcPr>
          <w:p w14:paraId="681E7309" w14:textId="41B58919" w:rsidR="00DE1537" w:rsidRDefault="00DE1537">
            <w:pPr>
              <w:pStyle w:val="BoxTitle"/>
            </w:pPr>
            <w:r>
              <w:rPr>
                <w:b w:val="0"/>
              </w:rPr>
              <w:t>Box 1.</w:t>
            </w:r>
            <w:r>
              <w:rPr>
                <w:b w:val="0"/>
                <w:noProof/>
              </w:rPr>
              <w:t>7</w:t>
            </w:r>
            <w:r>
              <w:tab/>
              <w:t>Normalised insurance losses</w:t>
            </w:r>
          </w:p>
        </w:tc>
      </w:tr>
      <w:tr w:rsidR="00DE1537" w14:paraId="0780FCA4" w14:textId="77777777" w:rsidTr="00343F3E">
        <w:trPr>
          <w:cantSplit/>
        </w:trPr>
        <w:tc>
          <w:tcPr>
            <w:tcW w:w="8771" w:type="dxa"/>
            <w:tcBorders>
              <w:top w:val="nil"/>
              <w:left w:val="nil"/>
              <w:bottom w:val="nil"/>
              <w:right w:val="nil"/>
            </w:tcBorders>
            <w:shd w:val="clear" w:color="auto" w:fill="F2F2F2" w:themeFill="background1" w:themeFillShade="F2"/>
          </w:tcPr>
          <w:p w14:paraId="17D65995" w14:textId="180391F5" w:rsidR="00DE1537" w:rsidRDefault="00DE1537">
            <w:pPr>
              <w:pStyle w:val="Box"/>
            </w:pPr>
            <w:r>
              <w:t xml:space="preserve">Normalised insurance losses mean losses that would have been incurred if past natural disasters were to happen at a predetermined future date — 2011 (1 July 2011 – 30 June 2012) in the Insurance Council of Australia dataset. The methodology used to </w:t>
            </w:r>
            <w:r w:rsidRPr="0002758E">
              <w:t>normalise insurance</w:t>
            </w:r>
            <w:r w:rsidRPr="00506128">
              <w:t xml:space="preserve"> losses is discussed </w:t>
            </w:r>
            <w:r>
              <w:t>by</w:t>
            </w:r>
            <w:r w:rsidRPr="00506128">
              <w:t xml:space="preserve"> Crompton </w:t>
            </w:r>
            <w:r w:rsidRPr="0002758E">
              <w:t xml:space="preserve">(2011) and Crompton and McAneney </w:t>
            </w:r>
            <w:r w:rsidRPr="00E8198B">
              <w:t>(2008)</w:t>
            </w:r>
            <w:r>
              <w:t>. In essence, nominal losses are adjusted for changes in population, wealth and inflation where these changes are proxied by changes in the number, size and average nominal value of dwellings over time. For tropical cyclone losses, improved building standards in areas prone to tropical cyclones are also included in the normalisation methodology.</w:t>
            </w:r>
          </w:p>
          <w:p w14:paraId="153759E9" w14:textId="77777777" w:rsidR="00DE1537" w:rsidRDefault="00DE1537">
            <w:pPr>
              <w:pStyle w:val="Box"/>
            </w:pPr>
            <w:r>
              <w:t>The work undertaken to normalise insurance losses was funded by the Insurance Council of Australia and carried out by Risk Frontiers (Risk Frontiers, sub. DR132).</w:t>
            </w:r>
          </w:p>
        </w:tc>
      </w:tr>
      <w:tr w:rsidR="00DE1537" w14:paraId="21A0DB54"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7A68CD82" w14:textId="77777777" w:rsidR="00DE1537" w:rsidRDefault="00DE1537">
            <w:pPr>
              <w:pStyle w:val="Box"/>
              <w:spacing w:before="0" w:line="120" w:lineRule="exact"/>
            </w:pPr>
          </w:p>
        </w:tc>
      </w:tr>
      <w:tr w:rsidR="00DE1537" w:rsidRPr="000863A5" w14:paraId="47971BDE" w14:textId="77777777" w:rsidTr="00343F3E">
        <w:tc>
          <w:tcPr>
            <w:tcW w:w="8771" w:type="dxa"/>
            <w:tcBorders>
              <w:top w:val="single" w:sz="6" w:space="0" w:color="78A22F"/>
              <w:left w:val="nil"/>
              <w:bottom w:val="nil"/>
              <w:right w:val="nil"/>
            </w:tcBorders>
          </w:tcPr>
          <w:p w14:paraId="330AFCF5" w14:textId="77777777" w:rsidR="00DE1537" w:rsidRPr="00626D32" w:rsidRDefault="00DE1537" w:rsidP="00343F3E">
            <w:pPr>
              <w:pStyle w:val="BoxSpaceBelow"/>
            </w:pPr>
          </w:p>
        </w:tc>
      </w:tr>
    </w:tbl>
    <w:p w14:paraId="3F5A49E4"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DE1537" w14:paraId="630EE330" w14:textId="77777777" w:rsidTr="00343F3E">
        <w:tc>
          <w:tcPr>
            <w:tcW w:w="8909" w:type="dxa"/>
            <w:tcBorders>
              <w:top w:val="single" w:sz="6" w:space="0" w:color="78A22F"/>
              <w:left w:val="nil"/>
              <w:bottom w:val="nil"/>
              <w:right w:val="nil"/>
            </w:tcBorders>
            <w:shd w:val="clear" w:color="auto" w:fill="auto"/>
          </w:tcPr>
          <w:p w14:paraId="05D17930" w14:textId="3CCE1188" w:rsidR="00DE1537" w:rsidRDefault="00DE1537" w:rsidP="00343F3E">
            <w:pPr>
              <w:pStyle w:val="TableTitle"/>
            </w:pPr>
            <w:r>
              <w:rPr>
                <w:b w:val="0"/>
              </w:rPr>
              <w:t>Table 1.</w:t>
            </w:r>
            <w:r>
              <w:rPr>
                <w:b w:val="0"/>
                <w:noProof/>
              </w:rPr>
              <w:t>3</w:t>
            </w:r>
            <w:r>
              <w:tab/>
              <w:t>The five costliest natural disasters in Australia, 1970–2013</w:t>
            </w:r>
          </w:p>
          <w:p w14:paraId="5022D33E" w14:textId="77777777" w:rsidR="00DE1537" w:rsidRPr="00784A05" w:rsidRDefault="00DE1537" w:rsidP="00343F3E">
            <w:pPr>
              <w:pStyle w:val="Subtitle"/>
            </w:pPr>
            <w:r>
              <w:t>Various forms of insurance losses</w:t>
            </w:r>
          </w:p>
        </w:tc>
      </w:tr>
      <w:tr w:rsidR="00DE1537" w14:paraId="2A1E98B4" w14:textId="77777777" w:rsidTr="00343F3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586"/>
              <w:gridCol w:w="1797"/>
              <w:gridCol w:w="709"/>
              <w:gridCol w:w="1840"/>
              <w:gridCol w:w="720"/>
              <w:gridCol w:w="2125"/>
              <w:gridCol w:w="848"/>
            </w:tblGrid>
            <w:tr w:rsidR="00DE1537" w14:paraId="34A3A25A" w14:textId="77777777" w:rsidTr="00343F3E">
              <w:tc>
                <w:tcPr>
                  <w:tcW w:w="341" w:type="pct"/>
                  <w:tcBorders>
                    <w:top w:val="single" w:sz="6" w:space="0" w:color="BFBFBF"/>
                    <w:bottom w:val="single" w:sz="6" w:space="0" w:color="BFBFBF"/>
                  </w:tcBorders>
                  <w:shd w:val="clear" w:color="auto" w:fill="auto"/>
                  <w:tcMar>
                    <w:top w:w="28" w:type="dxa"/>
                  </w:tcMar>
                </w:tcPr>
                <w:p w14:paraId="4D2E9755" w14:textId="77777777" w:rsidR="00DE1537" w:rsidRDefault="00DE1537" w:rsidP="00343F3E">
                  <w:pPr>
                    <w:pStyle w:val="TableColumnHeading"/>
                    <w:jc w:val="left"/>
                  </w:pPr>
                  <w:r>
                    <w:t>Rank</w:t>
                  </w:r>
                </w:p>
              </w:tc>
              <w:tc>
                <w:tcPr>
                  <w:tcW w:w="1455" w:type="pct"/>
                  <w:gridSpan w:val="2"/>
                  <w:tcBorders>
                    <w:top w:val="single" w:sz="6" w:space="0" w:color="BFBFBF"/>
                    <w:bottom w:val="single" w:sz="6" w:space="0" w:color="BFBFBF"/>
                  </w:tcBorders>
                  <w:shd w:val="clear" w:color="auto" w:fill="auto"/>
                  <w:tcMar>
                    <w:top w:w="28" w:type="dxa"/>
                  </w:tcMar>
                </w:tcPr>
                <w:p w14:paraId="0F706B21" w14:textId="77777777" w:rsidR="00DE1537" w:rsidRPr="00F5290D" w:rsidRDefault="00DE1537" w:rsidP="00343F3E">
                  <w:pPr>
                    <w:pStyle w:val="TableColumnHeading"/>
                    <w:jc w:val="center"/>
                  </w:pPr>
                  <w:r w:rsidRPr="00F34662">
                    <w:t>Nominal cost</w:t>
                  </w:r>
                </w:p>
              </w:tc>
              <w:tc>
                <w:tcPr>
                  <w:tcW w:w="1478" w:type="pct"/>
                  <w:gridSpan w:val="2"/>
                  <w:tcBorders>
                    <w:top w:val="single" w:sz="6" w:space="0" w:color="BFBFBF"/>
                    <w:bottom w:val="single" w:sz="6" w:space="0" w:color="BFBFBF"/>
                  </w:tcBorders>
                </w:tcPr>
                <w:p w14:paraId="66CA7CE5" w14:textId="77777777" w:rsidR="00DE1537" w:rsidRPr="007B4FE1" w:rsidRDefault="00DE1537" w:rsidP="00343F3E">
                  <w:pPr>
                    <w:pStyle w:val="TableColumnHeading"/>
                    <w:jc w:val="center"/>
                  </w:pPr>
                  <w:r w:rsidRPr="007B4FE1">
                    <w:t>Deflated cost</w:t>
                  </w:r>
                </w:p>
              </w:tc>
              <w:tc>
                <w:tcPr>
                  <w:tcW w:w="1726" w:type="pct"/>
                  <w:gridSpan w:val="2"/>
                  <w:tcBorders>
                    <w:top w:val="single" w:sz="6" w:space="0" w:color="BFBFBF"/>
                    <w:bottom w:val="single" w:sz="6" w:space="0" w:color="BFBFBF"/>
                  </w:tcBorders>
                </w:tcPr>
                <w:p w14:paraId="012647F8" w14:textId="77777777" w:rsidR="00DE1537" w:rsidRDefault="00DE1537" w:rsidP="00343F3E">
                  <w:pPr>
                    <w:pStyle w:val="TableColumnHeading"/>
                    <w:jc w:val="center"/>
                  </w:pPr>
                  <w:r>
                    <w:t>Normalised cost</w:t>
                  </w:r>
                </w:p>
              </w:tc>
            </w:tr>
            <w:tr w:rsidR="00DE1537" w14:paraId="405E844F" w14:textId="77777777" w:rsidTr="00343F3E">
              <w:tc>
                <w:tcPr>
                  <w:tcW w:w="341" w:type="pct"/>
                  <w:tcBorders>
                    <w:top w:val="single" w:sz="6" w:space="0" w:color="BFBFBF"/>
                  </w:tcBorders>
                </w:tcPr>
                <w:p w14:paraId="04982573" w14:textId="77777777" w:rsidR="00DE1537" w:rsidRDefault="00DE1537" w:rsidP="00343F3E">
                  <w:pPr>
                    <w:pStyle w:val="TableUnitsRow"/>
                    <w:jc w:val="left"/>
                  </w:pPr>
                </w:p>
              </w:tc>
              <w:tc>
                <w:tcPr>
                  <w:tcW w:w="1043" w:type="pct"/>
                  <w:tcBorders>
                    <w:top w:val="single" w:sz="6" w:space="0" w:color="BFBFBF"/>
                  </w:tcBorders>
                </w:tcPr>
                <w:p w14:paraId="5BE16815" w14:textId="77777777" w:rsidR="00DE1537" w:rsidRDefault="00DE1537" w:rsidP="00343F3E">
                  <w:pPr>
                    <w:pStyle w:val="TableBodyText"/>
                    <w:jc w:val="left"/>
                    <w:rPr>
                      <w:i/>
                    </w:rPr>
                  </w:pPr>
                  <w:r>
                    <w:t>Event</w:t>
                  </w:r>
                </w:p>
              </w:tc>
              <w:tc>
                <w:tcPr>
                  <w:tcW w:w="412" w:type="pct"/>
                  <w:tcBorders>
                    <w:top w:val="single" w:sz="6" w:space="0" w:color="BFBFBF"/>
                  </w:tcBorders>
                </w:tcPr>
                <w:p w14:paraId="7162D1C5" w14:textId="77777777" w:rsidR="00DE1537" w:rsidRDefault="00DE1537" w:rsidP="00343F3E">
                  <w:pPr>
                    <w:pStyle w:val="TableBodyText"/>
                    <w:jc w:val="center"/>
                    <w:rPr>
                      <w:i/>
                    </w:rPr>
                  </w:pPr>
                  <w:r>
                    <w:t xml:space="preserve"> $b</w:t>
                  </w:r>
                </w:p>
              </w:tc>
              <w:tc>
                <w:tcPr>
                  <w:tcW w:w="1068" w:type="pct"/>
                  <w:tcBorders>
                    <w:top w:val="single" w:sz="6" w:space="0" w:color="BFBFBF"/>
                  </w:tcBorders>
                </w:tcPr>
                <w:p w14:paraId="77165685" w14:textId="77777777" w:rsidR="00DE1537" w:rsidRDefault="00DE1537" w:rsidP="00343F3E">
                  <w:pPr>
                    <w:pStyle w:val="TableBodyText"/>
                    <w:jc w:val="left"/>
                    <w:rPr>
                      <w:i/>
                    </w:rPr>
                  </w:pPr>
                  <w:r>
                    <w:t>Event</w:t>
                  </w:r>
                </w:p>
              </w:tc>
              <w:tc>
                <w:tcPr>
                  <w:tcW w:w="410" w:type="pct"/>
                  <w:tcBorders>
                    <w:top w:val="single" w:sz="6" w:space="0" w:color="BFBFBF"/>
                  </w:tcBorders>
                </w:tcPr>
                <w:p w14:paraId="2F0211FF" w14:textId="77777777" w:rsidR="00DE1537" w:rsidRDefault="00DE1537" w:rsidP="00343F3E">
                  <w:pPr>
                    <w:pStyle w:val="TableBodyText"/>
                    <w:rPr>
                      <w:i/>
                    </w:rPr>
                  </w:pPr>
                  <w:r>
                    <w:t>2011$b</w:t>
                  </w:r>
                </w:p>
              </w:tc>
              <w:tc>
                <w:tcPr>
                  <w:tcW w:w="1233" w:type="pct"/>
                  <w:tcBorders>
                    <w:top w:val="single" w:sz="6" w:space="0" w:color="BFBFBF"/>
                  </w:tcBorders>
                </w:tcPr>
                <w:p w14:paraId="7D7929D7" w14:textId="77777777" w:rsidR="00DE1537" w:rsidRDefault="00DE1537" w:rsidP="00343F3E">
                  <w:pPr>
                    <w:pStyle w:val="TableBodyText"/>
                    <w:ind w:left="170"/>
                    <w:jc w:val="left"/>
                  </w:pPr>
                  <w:r>
                    <w:t>Event</w:t>
                  </w:r>
                </w:p>
              </w:tc>
              <w:tc>
                <w:tcPr>
                  <w:tcW w:w="493" w:type="pct"/>
                  <w:tcBorders>
                    <w:top w:val="single" w:sz="6" w:space="0" w:color="BFBFBF"/>
                  </w:tcBorders>
                </w:tcPr>
                <w:p w14:paraId="2C4724E1" w14:textId="77777777" w:rsidR="00DE1537" w:rsidRDefault="00DE1537" w:rsidP="00343F3E">
                  <w:pPr>
                    <w:pStyle w:val="TableBodyText"/>
                    <w:ind w:right="28"/>
                  </w:pPr>
                  <w:r>
                    <w:t>2011$b</w:t>
                  </w:r>
                </w:p>
              </w:tc>
            </w:tr>
            <w:tr w:rsidR="00DE1537" w14:paraId="009B3845" w14:textId="77777777" w:rsidTr="00343F3E">
              <w:trPr>
                <w:trHeight w:val="424"/>
              </w:trPr>
              <w:tc>
                <w:tcPr>
                  <w:tcW w:w="341" w:type="pct"/>
                  <w:shd w:val="clear" w:color="auto" w:fill="F2F2F2"/>
                </w:tcPr>
                <w:p w14:paraId="0506A9DD" w14:textId="77777777" w:rsidR="00DE1537" w:rsidRDefault="00DE1537" w:rsidP="00343F3E">
                  <w:pPr>
                    <w:pStyle w:val="TableBodyText"/>
                    <w:jc w:val="left"/>
                  </w:pPr>
                  <w:r>
                    <w:t>1</w:t>
                  </w:r>
                </w:p>
              </w:tc>
              <w:tc>
                <w:tcPr>
                  <w:tcW w:w="1043" w:type="pct"/>
                  <w:shd w:val="clear" w:color="auto" w:fill="F2F2F2"/>
                </w:tcPr>
                <w:p w14:paraId="6BAF2A9F" w14:textId="77777777" w:rsidR="00DE1537" w:rsidRDefault="00DE1537" w:rsidP="00343F3E">
                  <w:pPr>
                    <w:pStyle w:val="TableBodyText"/>
                    <w:jc w:val="left"/>
                  </w:pPr>
                  <w:r>
                    <w:t>2010–11 Queensland floods</w:t>
                  </w:r>
                </w:p>
              </w:tc>
              <w:tc>
                <w:tcPr>
                  <w:tcW w:w="412" w:type="pct"/>
                  <w:shd w:val="clear" w:color="auto" w:fill="F2F2F2"/>
                </w:tcPr>
                <w:p w14:paraId="3A02FD77" w14:textId="77777777" w:rsidR="00DE1537" w:rsidRDefault="00DE1537" w:rsidP="00343F3E">
                  <w:pPr>
                    <w:pStyle w:val="TableBodyText"/>
                    <w:jc w:val="center"/>
                    <w:rPr>
                      <w:i/>
                    </w:rPr>
                  </w:pPr>
                  <w:r>
                    <w:t>2.4</w:t>
                  </w:r>
                </w:p>
              </w:tc>
              <w:tc>
                <w:tcPr>
                  <w:tcW w:w="1068" w:type="pct"/>
                  <w:shd w:val="clear" w:color="auto" w:fill="F2F2F2"/>
                </w:tcPr>
                <w:p w14:paraId="1FC280B2" w14:textId="77777777" w:rsidR="00DE1537" w:rsidRDefault="00DE1537" w:rsidP="00343F3E">
                  <w:pPr>
                    <w:pStyle w:val="TableBodyText"/>
                    <w:jc w:val="left"/>
                    <w:rPr>
                      <w:i/>
                    </w:rPr>
                  </w:pPr>
                  <w:r>
                    <w:t>2010–11 Queensland floods</w:t>
                  </w:r>
                </w:p>
              </w:tc>
              <w:tc>
                <w:tcPr>
                  <w:tcW w:w="410" w:type="pct"/>
                  <w:shd w:val="clear" w:color="auto" w:fill="F2F2F2"/>
                </w:tcPr>
                <w:p w14:paraId="03CFE491" w14:textId="77777777" w:rsidR="00DE1537" w:rsidRDefault="00DE1537" w:rsidP="00343F3E">
                  <w:pPr>
                    <w:pStyle w:val="TableBodyText"/>
                    <w:rPr>
                      <w:i/>
                    </w:rPr>
                  </w:pPr>
                  <w:r>
                    <w:t>2.5</w:t>
                  </w:r>
                </w:p>
              </w:tc>
              <w:tc>
                <w:tcPr>
                  <w:tcW w:w="1233" w:type="pct"/>
                  <w:shd w:val="clear" w:color="auto" w:fill="F2F2F2"/>
                </w:tcPr>
                <w:p w14:paraId="59802F1E" w14:textId="77777777" w:rsidR="00DE1537" w:rsidRDefault="00DE1537" w:rsidP="00343F3E">
                  <w:pPr>
                    <w:pStyle w:val="TableBodyText"/>
                    <w:ind w:left="170"/>
                    <w:jc w:val="left"/>
                    <w:rPr>
                      <w:i/>
                    </w:rPr>
                  </w:pPr>
                  <w:r>
                    <w:t>1999 Sydney hailstorm</w:t>
                  </w:r>
                </w:p>
              </w:tc>
              <w:tc>
                <w:tcPr>
                  <w:tcW w:w="493" w:type="pct"/>
                  <w:shd w:val="clear" w:color="auto" w:fill="F2F2F2"/>
                </w:tcPr>
                <w:p w14:paraId="259C84B1" w14:textId="77777777" w:rsidR="00DE1537" w:rsidRDefault="00DE1537" w:rsidP="00343F3E">
                  <w:pPr>
                    <w:pStyle w:val="TableBodyText"/>
                    <w:ind w:right="28"/>
                    <w:rPr>
                      <w:i/>
                    </w:rPr>
                  </w:pPr>
                  <w:r>
                    <w:t>4.3</w:t>
                  </w:r>
                </w:p>
              </w:tc>
            </w:tr>
            <w:tr w:rsidR="00DE1537" w14:paraId="47A388D9" w14:textId="77777777" w:rsidTr="00343F3E">
              <w:tc>
                <w:tcPr>
                  <w:tcW w:w="341" w:type="pct"/>
                  <w:shd w:val="clear" w:color="auto" w:fill="auto"/>
                </w:tcPr>
                <w:p w14:paraId="5DCA6ADC" w14:textId="77777777" w:rsidR="00DE1537" w:rsidRDefault="00DE1537" w:rsidP="00343F3E">
                  <w:pPr>
                    <w:pStyle w:val="TableBodyText"/>
                    <w:jc w:val="left"/>
                  </w:pPr>
                  <w:r>
                    <w:t>2</w:t>
                  </w:r>
                </w:p>
              </w:tc>
              <w:tc>
                <w:tcPr>
                  <w:tcW w:w="1043" w:type="pct"/>
                  <w:shd w:val="clear" w:color="auto" w:fill="auto"/>
                </w:tcPr>
                <w:p w14:paraId="397251D1" w14:textId="77777777" w:rsidR="00DE1537" w:rsidRDefault="00DE1537" w:rsidP="00343F3E">
                  <w:pPr>
                    <w:pStyle w:val="TableBodyText"/>
                    <w:jc w:val="left"/>
                  </w:pPr>
                  <w:r>
                    <w:t>1999 Sydney hailstorm</w:t>
                  </w:r>
                </w:p>
              </w:tc>
              <w:tc>
                <w:tcPr>
                  <w:tcW w:w="412" w:type="pct"/>
                  <w:shd w:val="clear" w:color="auto" w:fill="auto"/>
                </w:tcPr>
                <w:p w14:paraId="71B98056" w14:textId="77777777" w:rsidR="00DE1537" w:rsidRDefault="00DE1537" w:rsidP="00343F3E">
                  <w:pPr>
                    <w:pStyle w:val="TableBodyText"/>
                    <w:jc w:val="center"/>
                    <w:rPr>
                      <w:i/>
                    </w:rPr>
                  </w:pPr>
                  <w:r>
                    <w:t>1.7</w:t>
                  </w:r>
                </w:p>
              </w:tc>
              <w:tc>
                <w:tcPr>
                  <w:tcW w:w="1068" w:type="pct"/>
                </w:tcPr>
                <w:p w14:paraId="747D5308" w14:textId="77777777" w:rsidR="00DE1537" w:rsidRDefault="00DE1537" w:rsidP="00343F3E">
                  <w:pPr>
                    <w:pStyle w:val="TableBodyText"/>
                    <w:jc w:val="left"/>
                    <w:rPr>
                      <w:i/>
                    </w:rPr>
                  </w:pPr>
                  <w:r>
                    <w:t>1999 Sydney hailstorm</w:t>
                  </w:r>
                </w:p>
              </w:tc>
              <w:tc>
                <w:tcPr>
                  <w:tcW w:w="410" w:type="pct"/>
                </w:tcPr>
                <w:p w14:paraId="06E75A69" w14:textId="77777777" w:rsidR="00DE1537" w:rsidRDefault="00DE1537" w:rsidP="00343F3E">
                  <w:pPr>
                    <w:pStyle w:val="TableBodyText"/>
                    <w:rPr>
                      <w:i/>
                    </w:rPr>
                  </w:pPr>
                  <w:r>
                    <w:t>2.5</w:t>
                  </w:r>
                </w:p>
              </w:tc>
              <w:tc>
                <w:tcPr>
                  <w:tcW w:w="1233" w:type="pct"/>
                </w:tcPr>
                <w:p w14:paraId="74843566" w14:textId="77777777" w:rsidR="00DE1537" w:rsidRDefault="00DE1537" w:rsidP="00343F3E">
                  <w:pPr>
                    <w:pStyle w:val="TableBodyText"/>
                    <w:ind w:left="170"/>
                    <w:jc w:val="left"/>
                    <w:rPr>
                      <w:i/>
                    </w:rPr>
                  </w:pPr>
                  <w:r>
                    <w:t>1974 Cyclone Tracy</w:t>
                  </w:r>
                </w:p>
              </w:tc>
              <w:tc>
                <w:tcPr>
                  <w:tcW w:w="493" w:type="pct"/>
                </w:tcPr>
                <w:p w14:paraId="0F01804B" w14:textId="77777777" w:rsidR="00DE1537" w:rsidRDefault="00DE1537" w:rsidP="00343F3E">
                  <w:pPr>
                    <w:pStyle w:val="TableBodyText"/>
                    <w:ind w:right="28"/>
                    <w:rPr>
                      <w:i/>
                    </w:rPr>
                  </w:pPr>
                  <w:r>
                    <w:t>4.1</w:t>
                  </w:r>
                </w:p>
              </w:tc>
            </w:tr>
            <w:tr w:rsidR="00DE1537" w14:paraId="20D297E3" w14:textId="77777777" w:rsidTr="00343F3E">
              <w:tc>
                <w:tcPr>
                  <w:tcW w:w="341" w:type="pct"/>
                  <w:shd w:val="clear" w:color="auto" w:fill="F2F2F2"/>
                </w:tcPr>
                <w:p w14:paraId="67C5D13C" w14:textId="77777777" w:rsidR="00DE1537" w:rsidRDefault="00DE1537" w:rsidP="00343F3E">
                  <w:pPr>
                    <w:pStyle w:val="TableBodyText"/>
                    <w:jc w:val="left"/>
                  </w:pPr>
                  <w:r>
                    <w:t>3</w:t>
                  </w:r>
                </w:p>
              </w:tc>
              <w:tc>
                <w:tcPr>
                  <w:tcW w:w="1043" w:type="pct"/>
                  <w:shd w:val="clear" w:color="auto" w:fill="F2F2F2"/>
                </w:tcPr>
                <w:p w14:paraId="2AF8D3EC" w14:textId="77777777" w:rsidR="00DE1537" w:rsidRDefault="00DE1537" w:rsidP="00343F3E">
                  <w:pPr>
                    <w:pStyle w:val="TableBodyText"/>
                    <w:jc w:val="left"/>
                  </w:pPr>
                  <w:r>
                    <w:t>2007 Newcastle and Hunter Valley storm</w:t>
                  </w:r>
                </w:p>
              </w:tc>
              <w:tc>
                <w:tcPr>
                  <w:tcW w:w="412" w:type="pct"/>
                  <w:shd w:val="clear" w:color="auto" w:fill="F2F2F2"/>
                </w:tcPr>
                <w:p w14:paraId="26E6D882" w14:textId="77777777" w:rsidR="00DE1537" w:rsidRDefault="00DE1537" w:rsidP="00343F3E">
                  <w:pPr>
                    <w:pStyle w:val="TableBodyText"/>
                    <w:jc w:val="center"/>
                    <w:rPr>
                      <w:i/>
                    </w:rPr>
                  </w:pPr>
                  <w:r>
                    <w:t>1.5</w:t>
                  </w:r>
                </w:p>
              </w:tc>
              <w:tc>
                <w:tcPr>
                  <w:tcW w:w="1068" w:type="pct"/>
                  <w:shd w:val="clear" w:color="auto" w:fill="F2F2F2"/>
                </w:tcPr>
                <w:p w14:paraId="010CA98E" w14:textId="77777777" w:rsidR="00DE1537" w:rsidRDefault="00DE1537" w:rsidP="00343F3E">
                  <w:pPr>
                    <w:pStyle w:val="TableBodyText"/>
                    <w:jc w:val="left"/>
                    <w:rPr>
                      <w:i/>
                    </w:rPr>
                  </w:pPr>
                  <w:r>
                    <w:t>2007 Newcastle and Hunter Valley storm</w:t>
                  </w:r>
                </w:p>
              </w:tc>
              <w:tc>
                <w:tcPr>
                  <w:tcW w:w="410" w:type="pct"/>
                  <w:shd w:val="clear" w:color="auto" w:fill="F2F2F2"/>
                </w:tcPr>
                <w:p w14:paraId="5DD15426" w14:textId="77777777" w:rsidR="00DE1537" w:rsidRDefault="00DE1537" w:rsidP="00343F3E">
                  <w:pPr>
                    <w:pStyle w:val="TableBodyText"/>
                    <w:rPr>
                      <w:i/>
                    </w:rPr>
                  </w:pPr>
                  <w:r>
                    <w:t>1.7</w:t>
                  </w:r>
                </w:p>
              </w:tc>
              <w:tc>
                <w:tcPr>
                  <w:tcW w:w="1233" w:type="pct"/>
                  <w:shd w:val="clear" w:color="auto" w:fill="F2F2F2"/>
                </w:tcPr>
                <w:p w14:paraId="42960C0C" w14:textId="77777777" w:rsidR="00DE1537" w:rsidRDefault="00DE1537" w:rsidP="00343F3E">
                  <w:pPr>
                    <w:pStyle w:val="TableBodyText"/>
                    <w:ind w:left="170"/>
                    <w:jc w:val="left"/>
                    <w:rPr>
                      <w:i/>
                    </w:rPr>
                  </w:pPr>
                  <w:r>
                    <w:t>1989 Newcastle earthquake</w:t>
                  </w:r>
                </w:p>
              </w:tc>
              <w:tc>
                <w:tcPr>
                  <w:tcW w:w="493" w:type="pct"/>
                  <w:shd w:val="clear" w:color="auto" w:fill="F2F2F2"/>
                </w:tcPr>
                <w:p w14:paraId="1159104A" w14:textId="77777777" w:rsidR="00DE1537" w:rsidRDefault="00DE1537" w:rsidP="00343F3E">
                  <w:pPr>
                    <w:pStyle w:val="TableBodyText"/>
                    <w:ind w:right="28"/>
                    <w:rPr>
                      <w:i/>
                    </w:rPr>
                  </w:pPr>
                  <w:r>
                    <w:t>3.2</w:t>
                  </w:r>
                </w:p>
              </w:tc>
            </w:tr>
            <w:tr w:rsidR="00DE1537" w14:paraId="6EBDD8F4" w14:textId="77777777" w:rsidTr="00343F3E">
              <w:tc>
                <w:tcPr>
                  <w:tcW w:w="341" w:type="pct"/>
                  <w:shd w:val="clear" w:color="auto" w:fill="auto"/>
                </w:tcPr>
                <w:p w14:paraId="4A19B15C" w14:textId="77777777" w:rsidR="00DE1537" w:rsidRDefault="00DE1537" w:rsidP="00343F3E">
                  <w:pPr>
                    <w:pStyle w:val="TableBodyText"/>
                    <w:jc w:val="left"/>
                  </w:pPr>
                  <w:r>
                    <w:t>4</w:t>
                  </w:r>
                </w:p>
              </w:tc>
              <w:tc>
                <w:tcPr>
                  <w:tcW w:w="1043" w:type="pct"/>
                  <w:shd w:val="clear" w:color="auto" w:fill="auto"/>
                </w:tcPr>
                <w:p w14:paraId="56B604B7" w14:textId="77777777" w:rsidR="00DE1537" w:rsidRDefault="00DE1537" w:rsidP="00343F3E">
                  <w:pPr>
                    <w:pStyle w:val="TableBodyText"/>
                    <w:jc w:val="left"/>
                  </w:pPr>
                  <w:r>
                    <w:t>2011 Cyclone Yasi</w:t>
                  </w:r>
                </w:p>
              </w:tc>
              <w:tc>
                <w:tcPr>
                  <w:tcW w:w="412" w:type="pct"/>
                  <w:shd w:val="clear" w:color="auto" w:fill="auto"/>
                </w:tcPr>
                <w:p w14:paraId="1FDFC8B5" w14:textId="77777777" w:rsidR="00DE1537" w:rsidRDefault="00DE1537" w:rsidP="00343F3E">
                  <w:pPr>
                    <w:pStyle w:val="TableBodyText"/>
                    <w:jc w:val="center"/>
                    <w:rPr>
                      <w:i/>
                    </w:rPr>
                  </w:pPr>
                  <w:r>
                    <w:t>1.4</w:t>
                  </w:r>
                </w:p>
              </w:tc>
              <w:tc>
                <w:tcPr>
                  <w:tcW w:w="1068" w:type="pct"/>
                </w:tcPr>
                <w:p w14:paraId="672394A1" w14:textId="77777777" w:rsidR="00DE1537" w:rsidRDefault="00DE1537" w:rsidP="00343F3E">
                  <w:pPr>
                    <w:pStyle w:val="TableBodyText"/>
                    <w:jc w:val="left"/>
                    <w:rPr>
                      <w:i/>
                    </w:rPr>
                  </w:pPr>
                  <w:r>
                    <w:t>1989 Newcastle earthquake</w:t>
                  </w:r>
                </w:p>
              </w:tc>
              <w:tc>
                <w:tcPr>
                  <w:tcW w:w="410" w:type="pct"/>
                </w:tcPr>
                <w:p w14:paraId="5B09CC43" w14:textId="77777777" w:rsidR="00DE1537" w:rsidRDefault="00DE1537" w:rsidP="00343F3E">
                  <w:pPr>
                    <w:pStyle w:val="TableBodyText"/>
                    <w:rPr>
                      <w:i/>
                    </w:rPr>
                  </w:pPr>
                  <w:r>
                    <w:t>1.6</w:t>
                  </w:r>
                </w:p>
              </w:tc>
              <w:tc>
                <w:tcPr>
                  <w:tcW w:w="1233" w:type="pct"/>
                </w:tcPr>
                <w:p w14:paraId="21EE1623" w14:textId="77777777" w:rsidR="00DE1537" w:rsidRDefault="00DE1537" w:rsidP="00343F3E">
                  <w:pPr>
                    <w:pStyle w:val="TableBodyText"/>
                    <w:ind w:left="170"/>
                    <w:jc w:val="left"/>
                    <w:rPr>
                      <w:i/>
                    </w:rPr>
                  </w:pPr>
                  <w:r>
                    <w:t>1974 Cyclone Wanda and Brisbane flood</w:t>
                  </w:r>
                </w:p>
              </w:tc>
              <w:tc>
                <w:tcPr>
                  <w:tcW w:w="493" w:type="pct"/>
                </w:tcPr>
                <w:p w14:paraId="45D3F07E" w14:textId="77777777" w:rsidR="00DE1537" w:rsidRDefault="00DE1537" w:rsidP="00343F3E">
                  <w:pPr>
                    <w:pStyle w:val="TableBodyText"/>
                    <w:ind w:right="28"/>
                    <w:rPr>
                      <w:i/>
                    </w:rPr>
                  </w:pPr>
                  <w:r>
                    <w:t>2.6</w:t>
                  </w:r>
                </w:p>
              </w:tc>
            </w:tr>
            <w:tr w:rsidR="00DE1537" w14:paraId="07998688" w14:textId="77777777" w:rsidTr="00343F3E">
              <w:tc>
                <w:tcPr>
                  <w:tcW w:w="341" w:type="pct"/>
                  <w:tcBorders>
                    <w:bottom w:val="single" w:sz="6" w:space="0" w:color="BFBFBF"/>
                  </w:tcBorders>
                  <w:shd w:val="clear" w:color="auto" w:fill="F2F2F2"/>
                </w:tcPr>
                <w:p w14:paraId="0438F7EA" w14:textId="77777777" w:rsidR="00DE1537" w:rsidRDefault="00DE1537" w:rsidP="00343F3E">
                  <w:pPr>
                    <w:pStyle w:val="TableBodyText"/>
                    <w:jc w:val="left"/>
                  </w:pPr>
                  <w:r>
                    <w:t>5</w:t>
                  </w:r>
                </w:p>
              </w:tc>
              <w:tc>
                <w:tcPr>
                  <w:tcW w:w="1043" w:type="pct"/>
                  <w:tcBorders>
                    <w:bottom w:val="single" w:sz="6" w:space="0" w:color="BFBFBF"/>
                  </w:tcBorders>
                  <w:shd w:val="clear" w:color="auto" w:fill="F2F2F2"/>
                </w:tcPr>
                <w:p w14:paraId="188B7572" w14:textId="77777777" w:rsidR="00DE1537" w:rsidRDefault="00DE1537" w:rsidP="00343F3E">
                  <w:pPr>
                    <w:pStyle w:val="TableBodyText"/>
                    <w:jc w:val="left"/>
                  </w:pPr>
                  <w:r>
                    <w:t>2009 Black Saturday bushfires</w:t>
                  </w:r>
                </w:p>
              </w:tc>
              <w:tc>
                <w:tcPr>
                  <w:tcW w:w="412" w:type="pct"/>
                  <w:tcBorders>
                    <w:bottom w:val="single" w:sz="6" w:space="0" w:color="BFBFBF"/>
                  </w:tcBorders>
                  <w:shd w:val="clear" w:color="auto" w:fill="F2F2F2"/>
                </w:tcPr>
                <w:p w14:paraId="39255B0D" w14:textId="77777777" w:rsidR="00DE1537" w:rsidRDefault="00DE1537" w:rsidP="00343F3E">
                  <w:pPr>
                    <w:pStyle w:val="TableBodyText"/>
                    <w:jc w:val="center"/>
                    <w:rPr>
                      <w:i/>
                    </w:rPr>
                  </w:pPr>
                  <w:r>
                    <w:t>1.1</w:t>
                  </w:r>
                </w:p>
              </w:tc>
              <w:tc>
                <w:tcPr>
                  <w:tcW w:w="1068" w:type="pct"/>
                  <w:tcBorders>
                    <w:bottom w:val="single" w:sz="6" w:space="0" w:color="BFBFBF"/>
                  </w:tcBorders>
                  <w:shd w:val="clear" w:color="auto" w:fill="F2F2F2"/>
                </w:tcPr>
                <w:p w14:paraId="6922C3E2" w14:textId="77777777" w:rsidR="00DE1537" w:rsidRDefault="00DE1537" w:rsidP="00343F3E">
                  <w:pPr>
                    <w:pStyle w:val="TableBodyText"/>
                    <w:jc w:val="left"/>
                    <w:rPr>
                      <w:i/>
                    </w:rPr>
                  </w:pPr>
                  <w:r>
                    <w:t>1974 Cyclone Tracy</w:t>
                  </w:r>
                </w:p>
              </w:tc>
              <w:tc>
                <w:tcPr>
                  <w:tcW w:w="410" w:type="pct"/>
                  <w:tcBorders>
                    <w:bottom w:val="single" w:sz="6" w:space="0" w:color="BFBFBF"/>
                  </w:tcBorders>
                  <w:shd w:val="clear" w:color="auto" w:fill="F2F2F2"/>
                </w:tcPr>
                <w:p w14:paraId="75C19DD9" w14:textId="77777777" w:rsidR="00DE1537" w:rsidRDefault="00DE1537" w:rsidP="00343F3E">
                  <w:pPr>
                    <w:pStyle w:val="TableBodyText"/>
                    <w:rPr>
                      <w:i/>
                    </w:rPr>
                  </w:pPr>
                  <w:r>
                    <w:t>1.4</w:t>
                  </w:r>
                </w:p>
              </w:tc>
              <w:tc>
                <w:tcPr>
                  <w:tcW w:w="1233" w:type="pct"/>
                  <w:tcBorders>
                    <w:bottom w:val="single" w:sz="6" w:space="0" w:color="BFBFBF"/>
                  </w:tcBorders>
                  <w:shd w:val="clear" w:color="auto" w:fill="F2F2F2"/>
                </w:tcPr>
                <w:p w14:paraId="1FD18B7D" w14:textId="77777777" w:rsidR="00DE1537" w:rsidRDefault="00DE1537" w:rsidP="00343F3E">
                  <w:pPr>
                    <w:pStyle w:val="TableBodyText"/>
                    <w:ind w:left="170"/>
                    <w:jc w:val="left"/>
                    <w:rPr>
                      <w:i/>
                    </w:rPr>
                  </w:pPr>
                  <w:r>
                    <w:t>2010–11 Queensland floods</w:t>
                  </w:r>
                </w:p>
              </w:tc>
              <w:tc>
                <w:tcPr>
                  <w:tcW w:w="493" w:type="pct"/>
                  <w:tcBorders>
                    <w:bottom w:val="single" w:sz="6" w:space="0" w:color="BFBFBF"/>
                  </w:tcBorders>
                  <w:shd w:val="clear" w:color="auto" w:fill="F2F2F2"/>
                </w:tcPr>
                <w:p w14:paraId="44E1056A" w14:textId="77777777" w:rsidR="00DE1537" w:rsidRDefault="00DE1537" w:rsidP="00343F3E">
                  <w:pPr>
                    <w:pStyle w:val="TableBodyText"/>
                    <w:ind w:right="28"/>
                    <w:rPr>
                      <w:i/>
                    </w:rPr>
                  </w:pPr>
                  <w:r>
                    <w:t>2.4</w:t>
                  </w:r>
                </w:p>
              </w:tc>
            </w:tr>
          </w:tbl>
          <w:p w14:paraId="27CACCC6" w14:textId="77777777" w:rsidR="00DE1537" w:rsidRDefault="00DE1537" w:rsidP="00343F3E">
            <w:pPr>
              <w:pStyle w:val="Box"/>
            </w:pPr>
          </w:p>
        </w:tc>
      </w:tr>
      <w:tr w:rsidR="00DE1537" w14:paraId="7102F4C7" w14:textId="77777777" w:rsidTr="00343F3E">
        <w:trPr>
          <w:cantSplit/>
          <w:trHeight w:val="232"/>
        </w:trPr>
        <w:tc>
          <w:tcPr>
            <w:tcW w:w="8909" w:type="dxa"/>
            <w:tcBorders>
              <w:top w:val="nil"/>
              <w:left w:val="nil"/>
              <w:bottom w:val="nil"/>
              <w:right w:val="nil"/>
            </w:tcBorders>
            <w:shd w:val="clear" w:color="auto" w:fill="auto"/>
          </w:tcPr>
          <w:p w14:paraId="72D503E2" w14:textId="04D17B96" w:rsidR="00DE1537" w:rsidRDefault="00DE1537" w:rsidP="00343F3E">
            <w:pPr>
              <w:pStyle w:val="TableBodyText"/>
              <w:keepNext w:val="0"/>
              <w:spacing w:before="80" w:after="120" w:line="220" w:lineRule="exact"/>
              <w:ind w:left="0" w:right="0"/>
              <w:jc w:val="both"/>
              <w:rPr>
                <w:i/>
              </w:rPr>
            </w:pPr>
            <w:r>
              <w:rPr>
                <w:i/>
              </w:rPr>
              <w:t>Sources</w:t>
            </w:r>
            <w:r w:rsidRPr="00167F06">
              <w:t xml:space="preserve">: </w:t>
            </w:r>
            <w:r>
              <w:t xml:space="preserve">ICA </w:t>
            </w:r>
            <w:r w:rsidR="007C5656" w:rsidRPr="007C5656">
              <w:rPr>
                <w:rFonts w:cs="Arial"/>
              </w:rPr>
              <w:t>(2014e)</w:t>
            </w:r>
            <w:r>
              <w:t>; Productivity Commission estimates.</w:t>
            </w:r>
          </w:p>
        </w:tc>
      </w:tr>
      <w:tr w:rsidR="00DE1537" w:rsidRPr="000863A5" w14:paraId="4786D7F5" w14:textId="77777777" w:rsidTr="00343F3E">
        <w:tc>
          <w:tcPr>
            <w:tcW w:w="8909" w:type="dxa"/>
            <w:tcBorders>
              <w:top w:val="single" w:sz="6" w:space="0" w:color="78A22F"/>
              <w:left w:val="nil"/>
              <w:bottom w:val="nil"/>
              <w:right w:val="nil"/>
            </w:tcBorders>
          </w:tcPr>
          <w:p w14:paraId="197563EA" w14:textId="77777777" w:rsidR="00DE1537" w:rsidRPr="00626D32" w:rsidRDefault="00DE1537" w:rsidP="00343F3E">
            <w:pPr>
              <w:pStyle w:val="BoxSpaceBelow"/>
            </w:pPr>
          </w:p>
        </w:tc>
      </w:tr>
    </w:tbl>
    <w:p w14:paraId="1B17A494" w14:textId="77777777" w:rsidR="00DE1537" w:rsidRPr="00B21542" w:rsidRDefault="00DE1537" w:rsidP="00343F3E">
      <w:pPr>
        <w:pStyle w:val="BodyText"/>
      </w:pPr>
      <w:r w:rsidRPr="000D2004">
        <w:t>While such costly natural disasters are relatively uncommon, these account for the bul</w:t>
      </w:r>
      <w:r>
        <w:t>k of insurance losses over the p</w:t>
      </w:r>
      <w:r w:rsidRPr="000D2004">
        <w:t xml:space="preserve">ast </w:t>
      </w:r>
      <w:r>
        <w:t>four</w:t>
      </w:r>
      <w:r w:rsidRPr="000D2004">
        <w:t xml:space="preserve"> decades. For example, </w:t>
      </w:r>
      <w:proofErr w:type="gramStart"/>
      <w:r w:rsidRPr="000D2004">
        <w:t>under</w:t>
      </w:r>
      <w:proofErr w:type="gramEnd"/>
      <w:r w:rsidRPr="000D2004">
        <w:t xml:space="preserve"> 4 per cent of all disasters had a nominal </w:t>
      </w:r>
      <w:r>
        <w:t>loss</w:t>
      </w:r>
      <w:r w:rsidRPr="000D2004">
        <w:t xml:space="preserve"> exceeding $1 billion. At the same time, these accounted for 48 per cent of total </w:t>
      </w:r>
      <w:r>
        <w:t>insurance losses</w:t>
      </w:r>
      <w:r w:rsidRPr="000D2004">
        <w:t xml:space="preserve">. More broadly, the 20 costliest natural disasters (top 10 per </w:t>
      </w:r>
      <w:r w:rsidRPr="002E3D14">
        <w:t xml:space="preserve">cent) accounted for nearly 80 per cent of total </w:t>
      </w:r>
      <w:r>
        <w:t>insurance losses</w:t>
      </w:r>
      <w:r w:rsidRPr="002E3D14">
        <w:t>, or $16.1 billion (figure</w:t>
      </w:r>
      <w:r>
        <w:t> 1.5</w:t>
      </w:r>
      <w:r w:rsidRPr="002E3D14">
        <w:t>).</w:t>
      </w:r>
    </w:p>
    <w:p w14:paraId="3AC2D213" w14:textId="46670DDC" w:rsidR="00DE1537" w:rsidRDefault="00DE1537" w:rsidP="004B1EBB">
      <w:pPr>
        <w:pStyle w:val="BodyText"/>
      </w:pPr>
      <w:r>
        <w:t xml:space="preserve">From a policy perspective, this finding stresses the importance of </w:t>
      </w:r>
      <w:r w:rsidRPr="002E3D14">
        <w:t>policy settings and</w:t>
      </w:r>
      <w:r w:rsidRPr="000D2004">
        <w:t xml:space="preserve"> natural disaster funding arrangements </w:t>
      </w:r>
      <w:r>
        <w:t>that</w:t>
      </w:r>
      <w:r w:rsidRPr="000D2004">
        <w:t xml:space="preserve"> </w:t>
      </w:r>
      <w:r>
        <w:t xml:space="preserve">are </w:t>
      </w:r>
      <w:r w:rsidRPr="000D2004">
        <w:t xml:space="preserve">designed to deal with costly natural disasters. </w:t>
      </w:r>
      <w:r>
        <w:t xml:space="preserve">This is particularly important given the existence of vertical fiscal imbalance. </w:t>
      </w:r>
      <w:r w:rsidRPr="000D2004">
        <w:t xml:space="preserve">The goal of funding arrangements </w:t>
      </w:r>
      <w:r>
        <w:t>is</w:t>
      </w:r>
      <w:r w:rsidRPr="000D2004">
        <w:t xml:space="preserve"> not to provide support for every natural disaster</w:t>
      </w:r>
      <w:r>
        <w:t xml:space="preserve"> — </w:t>
      </w:r>
      <w:r w:rsidRPr="000D2004">
        <w:t>disaster damage cannot be entirely prevented</w:t>
      </w:r>
      <w:r>
        <w:t xml:space="preserve"> — </w:t>
      </w:r>
      <w:r w:rsidRPr="000D2004">
        <w:t xml:space="preserve">but </w:t>
      </w:r>
      <w:r>
        <w:t xml:space="preserve">for </w:t>
      </w:r>
      <w:r w:rsidRPr="000D2004">
        <w:t xml:space="preserve">those at the high end of the cost and community impact spectrum. </w:t>
      </w:r>
      <w:r w:rsidRPr="00D82A30">
        <w:t>Neuma</w:t>
      </w:r>
      <w:r w:rsidRPr="00D845AA">
        <w:t>yer, Pl</w:t>
      </w:r>
      <w:r w:rsidRPr="00936950">
        <w:t>ümper</w:t>
      </w:r>
      <w:r w:rsidRPr="000D2004">
        <w:t xml:space="preserve"> and Barthel (2013, p. 14) argued that ‘small</w:t>
      </w:r>
      <w:r>
        <w:noBreakHyphen/>
      </w:r>
      <w:r w:rsidRPr="000D2004">
        <w:t xml:space="preserve">scale damage is often unavoidable and essentially random </w:t>
      </w:r>
      <w:r>
        <w:t>…</w:t>
      </w:r>
      <w:r w:rsidRPr="000D2004">
        <w:t xml:space="preserve"> Where disaster preparedness should have its strongest effect is in the mitigation and prevention of large</w:t>
      </w:r>
      <w:r>
        <w:noBreakHyphen/>
      </w:r>
      <w:r w:rsidRPr="000D2004">
        <w:t>scale damage’.</w:t>
      </w:r>
    </w:p>
    <w:p w14:paraId="48AB0E15" w14:textId="77777777" w:rsidR="004B1EBB" w:rsidRDefault="004B1EBB" w:rsidP="004B1EBB">
      <w:pPr>
        <w:pStyle w:val="Heading3"/>
      </w:pPr>
      <w:r>
        <w:t>Explaining the rising costs of natural disasters</w:t>
      </w:r>
    </w:p>
    <w:p w14:paraId="654814DE" w14:textId="77777777" w:rsidR="004B1EBB" w:rsidRDefault="004B1EBB" w:rsidP="004B1EBB">
      <w:pPr>
        <w:pStyle w:val="BodyText"/>
      </w:pPr>
      <w:r>
        <w:t>Several factors can explain the rising costs of natural disasters experienced over the past decade. These include rising population, wealth and asset prices, and increasing settlement in disaster</w:t>
      </w:r>
      <w:r>
        <w:noBreakHyphen/>
        <w:t>prone areas.</w:t>
      </w:r>
    </w:p>
    <w:p w14:paraId="19556F4E" w14:textId="77777777" w:rsidR="004B1EBB" w:rsidRDefault="004B1EBB" w:rsidP="004B1EBB">
      <w:pPr>
        <w:pStyle w:val="ListBullet"/>
      </w:pPr>
      <w:r>
        <w:t xml:space="preserve">Along with population growth </w:t>
      </w:r>
      <w:proofErr w:type="gramStart"/>
      <w:r>
        <w:t>comes</w:t>
      </w:r>
      <w:proofErr w:type="gramEnd"/>
      <w:r>
        <w:t xml:space="preserve"> an increase in the number of homes, businesses, infrastructure and other assets exposed to damage from natural disasters. </w:t>
      </w:r>
    </w:p>
    <w:p w14:paraId="7D9BB0F7" w14:textId="77777777" w:rsidR="004B1EBB" w:rsidRDefault="004B1EBB" w:rsidP="004B1EBB">
      <w:pPr>
        <w:pStyle w:val="ListBullet"/>
      </w:pPr>
      <w:r>
        <w:t xml:space="preserve">The general increase in wealth and house prices in Australia has increased the value of assets at risk of disaster damage. </w:t>
      </w:r>
    </w:p>
    <w:p w14:paraId="58E0E552" w14:textId="77777777" w:rsidR="004B1EBB" w:rsidRDefault="004B1EBB" w:rsidP="004B1EBB">
      <w:pPr>
        <w:pStyle w:val="ListBullet"/>
      </w:pPr>
      <w:r>
        <w:lastRenderedPageBreak/>
        <w:t>A growing number of people have settled in areas prone to natural disasters (often for lifestyle reasons), increasing their own exposure as well as the exposure of public and private assets.</w:t>
      </w:r>
    </w:p>
    <w:p w14:paraId="53B79F4C" w14:textId="6CCFE926" w:rsidR="004B1EBB" w:rsidRPr="004B1EBB" w:rsidRDefault="004B1EBB" w:rsidP="004B1EBB">
      <w:pPr>
        <w:pStyle w:val="ListBullet2"/>
      </w:pPr>
      <w:r>
        <w:t xml:space="preserve">This is especially a problem in some coastal areas prone to coastal inundation and storm surges. </w:t>
      </w:r>
    </w:p>
    <w:p w14:paraId="5F01F326"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A89520D" w14:textId="77777777" w:rsidTr="00343F3E">
        <w:tc>
          <w:tcPr>
            <w:tcW w:w="8771" w:type="dxa"/>
            <w:tcBorders>
              <w:top w:val="single" w:sz="6" w:space="0" w:color="78A22F"/>
              <w:left w:val="nil"/>
              <w:bottom w:val="nil"/>
              <w:right w:val="nil"/>
            </w:tcBorders>
            <w:shd w:val="clear" w:color="auto" w:fill="auto"/>
          </w:tcPr>
          <w:p w14:paraId="68D9E73F" w14:textId="3AC1EE22" w:rsidR="00DE1537" w:rsidRPr="00176D3F" w:rsidRDefault="00DE1537" w:rsidP="00343F3E">
            <w:pPr>
              <w:pStyle w:val="FigureTitle"/>
            </w:pPr>
            <w:r w:rsidRPr="00784A05">
              <w:rPr>
                <w:b w:val="0"/>
              </w:rPr>
              <w:t xml:space="preserve">Figure </w:t>
            </w:r>
            <w:r>
              <w:rPr>
                <w:b w:val="0"/>
              </w:rPr>
              <w:t>1.</w:t>
            </w:r>
            <w:r>
              <w:rPr>
                <w:b w:val="0"/>
                <w:noProof/>
              </w:rPr>
              <w:t>5</w:t>
            </w:r>
            <w:r>
              <w:tab/>
              <w:t xml:space="preserve">Cumulative insurance losses from natural disasters, </w:t>
            </w:r>
            <w:r>
              <w:br/>
              <w:t>1970–2013</w:t>
            </w:r>
            <w:r w:rsidRPr="00E64C77">
              <w:rPr>
                <w:rStyle w:val="NoteLabel"/>
                <w:b/>
              </w:rPr>
              <w:t>a</w:t>
            </w:r>
          </w:p>
        </w:tc>
      </w:tr>
      <w:tr w:rsidR="00DE1537" w14:paraId="3CB50308"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73F86895" w14:textId="77777777" w:rsidTr="00343F3E">
              <w:tc>
                <w:tcPr>
                  <w:tcW w:w="5000" w:type="pct"/>
                  <w:tcBorders>
                    <w:top w:val="nil"/>
                    <w:bottom w:val="nil"/>
                  </w:tcBorders>
                </w:tcPr>
                <w:p w14:paraId="511D815B" w14:textId="77777777" w:rsidR="00DE1537" w:rsidRDefault="00DE1537" w:rsidP="00343F3E">
                  <w:pPr>
                    <w:pStyle w:val="Figure"/>
                    <w:spacing w:before="60" w:after="60"/>
                  </w:pPr>
                  <w:r>
                    <w:rPr>
                      <w:noProof/>
                    </w:rPr>
                    <w:drawing>
                      <wp:inline distT="0" distB="0" distL="0" distR="0" wp14:anchorId="65C1A4A4" wp14:editId="50D610C7">
                        <wp:extent cx="5391150" cy="2910205"/>
                        <wp:effectExtent l="0" t="0" r="0" b="4445"/>
                        <wp:docPr id="6" name="Picture 6" descr="This figure shows the cumulative insurance losses from natural disasters from 1970 to 2013. Insurances losses are ordered in deciles from least costly natural disasters to most costly. Each loss decile represents 20 natural disasters. The costliest 10 per cent of natural disasters account for nearly 80 per cent of total insurance losses (or $16.1 billion)." title="Cumulative 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91150" cy="2910205"/>
                                </a:xfrm>
                                <a:prstGeom prst="rect">
                                  <a:avLst/>
                                </a:prstGeom>
                                <a:noFill/>
                                <a:ln>
                                  <a:noFill/>
                                </a:ln>
                              </pic:spPr>
                            </pic:pic>
                          </a:graphicData>
                        </a:graphic>
                      </wp:inline>
                    </w:drawing>
                  </w:r>
                </w:p>
              </w:tc>
            </w:tr>
          </w:tbl>
          <w:p w14:paraId="1BD104E2" w14:textId="77777777" w:rsidR="00DE1537" w:rsidRDefault="00DE1537" w:rsidP="00343F3E">
            <w:pPr>
              <w:pStyle w:val="Figure"/>
            </w:pPr>
          </w:p>
        </w:tc>
      </w:tr>
      <w:tr w:rsidR="00DE1537" w:rsidRPr="00176D3F" w14:paraId="0D2621CC" w14:textId="77777777" w:rsidTr="00343F3E">
        <w:trPr>
          <w:trHeight w:val="480"/>
        </w:trPr>
        <w:tc>
          <w:tcPr>
            <w:tcW w:w="8771" w:type="dxa"/>
            <w:tcBorders>
              <w:top w:val="nil"/>
              <w:left w:val="nil"/>
              <w:bottom w:val="nil"/>
              <w:right w:val="nil"/>
            </w:tcBorders>
            <w:shd w:val="clear" w:color="auto" w:fill="auto"/>
          </w:tcPr>
          <w:p w14:paraId="074214D7" w14:textId="77777777" w:rsidR="00DE1537" w:rsidRPr="00176D3F" w:rsidRDefault="00DE1537" w:rsidP="00343F3E">
            <w:pPr>
              <w:pStyle w:val="Note"/>
              <w:rPr>
                <w:i/>
              </w:rPr>
            </w:pPr>
            <w:proofErr w:type="gramStart"/>
            <w:r>
              <w:rPr>
                <w:rStyle w:val="NoteLabel"/>
              </w:rPr>
              <w:t>a</w:t>
            </w:r>
            <w:proofErr w:type="gramEnd"/>
            <w:r>
              <w:t xml:space="preserve"> </w:t>
            </w:r>
            <w:r w:rsidRPr="00703EE1">
              <w:rPr>
                <w:rFonts w:eastAsiaTheme="minorHAnsi"/>
              </w:rPr>
              <w:t xml:space="preserve">Each </w:t>
            </w:r>
            <w:r>
              <w:rPr>
                <w:rFonts w:eastAsiaTheme="minorHAnsi"/>
              </w:rPr>
              <w:t>loss</w:t>
            </w:r>
            <w:r w:rsidRPr="00703EE1">
              <w:rPr>
                <w:rFonts w:eastAsiaTheme="minorHAnsi"/>
              </w:rPr>
              <w:t xml:space="preserve"> decile represents 20 natural disasters. The deciles are ordered from</w:t>
            </w:r>
            <w:r w:rsidRPr="00E64C77">
              <w:t xml:space="preserve"> least costly natural disasters to most costly natural disasters.</w:t>
            </w:r>
          </w:p>
        </w:tc>
      </w:tr>
      <w:tr w:rsidR="00DE1537" w:rsidRPr="00176D3F" w14:paraId="007FCDFC" w14:textId="77777777" w:rsidTr="00343F3E">
        <w:tc>
          <w:tcPr>
            <w:tcW w:w="8771" w:type="dxa"/>
            <w:tcBorders>
              <w:top w:val="nil"/>
              <w:left w:val="nil"/>
              <w:bottom w:val="nil"/>
              <w:right w:val="nil"/>
            </w:tcBorders>
            <w:shd w:val="clear" w:color="auto" w:fill="auto"/>
          </w:tcPr>
          <w:p w14:paraId="0AEB509A" w14:textId="4F77B2F6" w:rsidR="00DE1537" w:rsidRPr="00176D3F" w:rsidRDefault="00DE1537" w:rsidP="00343F3E">
            <w:pPr>
              <w:pStyle w:val="Source"/>
            </w:pPr>
            <w:r>
              <w:rPr>
                <w:i/>
              </w:rPr>
              <w:t>Data sources</w:t>
            </w:r>
            <w:r w:rsidRPr="00176D3F">
              <w:t xml:space="preserve">: </w:t>
            </w:r>
            <w:r>
              <w:t xml:space="preserve">ICA </w:t>
            </w:r>
            <w:r w:rsidR="007C5656" w:rsidRPr="007C5656">
              <w:rPr>
                <w:rFonts w:cs="Arial"/>
              </w:rPr>
              <w:t>(2014e)</w:t>
            </w:r>
            <w:r>
              <w:t>; Productivity Commission estimates.</w:t>
            </w:r>
          </w:p>
        </w:tc>
      </w:tr>
      <w:tr w:rsidR="00DE1537" w14:paraId="2B2B4E73" w14:textId="77777777" w:rsidTr="00343F3E">
        <w:tc>
          <w:tcPr>
            <w:tcW w:w="8771" w:type="dxa"/>
            <w:tcBorders>
              <w:top w:val="nil"/>
              <w:left w:val="nil"/>
              <w:bottom w:val="single" w:sz="6" w:space="0" w:color="78A22F"/>
              <w:right w:val="nil"/>
            </w:tcBorders>
            <w:shd w:val="clear" w:color="auto" w:fill="auto"/>
          </w:tcPr>
          <w:p w14:paraId="420DEC34" w14:textId="77777777" w:rsidR="00DE1537" w:rsidRDefault="00DE1537" w:rsidP="00343F3E">
            <w:pPr>
              <w:pStyle w:val="Figurespace"/>
            </w:pPr>
          </w:p>
        </w:tc>
      </w:tr>
      <w:tr w:rsidR="00DE1537" w:rsidRPr="000863A5" w14:paraId="7A6D6D96" w14:textId="77777777" w:rsidTr="00343F3E">
        <w:tc>
          <w:tcPr>
            <w:tcW w:w="8771" w:type="dxa"/>
            <w:tcBorders>
              <w:top w:val="single" w:sz="6" w:space="0" w:color="78A22F"/>
              <w:left w:val="nil"/>
              <w:bottom w:val="nil"/>
              <w:right w:val="nil"/>
            </w:tcBorders>
          </w:tcPr>
          <w:p w14:paraId="376D62A0" w14:textId="77777777" w:rsidR="00DE1537" w:rsidRPr="00626D32" w:rsidRDefault="00DE1537" w:rsidP="00343F3E">
            <w:pPr>
              <w:pStyle w:val="BoxSpaceBelow"/>
            </w:pPr>
          </w:p>
        </w:tc>
      </w:tr>
    </w:tbl>
    <w:p w14:paraId="05714DF6" w14:textId="2CD8C82D" w:rsidR="00DE1537" w:rsidRPr="000D2004" w:rsidRDefault="00DE1537" w:rsidP="00343F3E">
      <w:pPr>
        <w:pStyle w:val="BodyText"/>
      </w:pPr>
      <w:r w:rsidRPr="000D2004">
        <w:t xml:space="preserve">The significant contribution of these factors to rising disaster costs is well documented in the literature as well as in submissions to this inquiry </w:t>
      </w:r>
      <w:r w:rsidRPr="0064221D">
        <w:rPr>
          <w:szCs w:val="24"/>
        </w:rPr>
        <w:t xml:space="preserve">(Australian Coastal Society, sub. </w:t>
      </w:r>
      <w:proofErr w:type="gramStart"/>
      <w:r w:rsidRPr="0064221D">
        <w:rPr>
          <w:szCs w:val="24"/>
        </w:rPr>
        <w:t>DR187; Deloitte Access Economics 2013; Geoscience Australia, sub.</w:t>
      </w:r>
      <w:proofErr w:type="gramEnd"/>
      <w:r w:rsidRPr="0064221D">
        <w:rPr>
          <w:szCs w:val="24"/>
        </w:rPr>
        <w:t xml:space="preserve"> </w:t>
      </w:r>
      <w:proofErr w:type="gramStart"/>
      <w:r w:rsidRPr="0064221D">
        <w:rPr>
          <w:szCs w:val="24"/>
        </w:rPr>
        <w:t>111; IAG, sub.</w:t>
      </w:r>
      <w:proofErr w:type="gramEnd"/>
      <w:r w:rsidRPr="0064221D">
        <w:rPr>
          <w:szCs w:val="24"/>
        </w:rPr>
        <w:t xml:space="preserve"> </w:t>
      </w:r>
      <w:proofErr w:type="gramStart"/>
      <w:r w:rsidRPr="0064221D">
        <w:rPr>
          <w:szCs w:val="24"/>
        </w:rPr>
        <w:t>24; Queensland Government, sub.</w:t>
      </w:r>
      <w:proofErr w:type="gramEnd"/>
      <w:r w:rsidRPr="0064221D">
        <w:rPr>
          <w:szCs w:val="24"/>
        </w:rPr>
        <w:t xml:space="preserve"> 31)</w:t>
      </w:r>
      <w:r>
        <w:t>.</w:t>
      </w:r>
      <w:r w:rsidRPr="000D2004">
        <w:t xml:space="preserve"> For example, the CSIRO (sub.</w:t>
      </w:r>
      <w:r>
        <w:t> </w:t>
      </w:r>
      <w:r w:rsidRPr="000D2004">
        <w:t>72, p.</w:t>
      </w:r>
      <w:r>
        <w:t> </w:t>
      </w:r>
      <w:r w:rsidRPr="000D2004">
        <w:t>11) reported that ‘in south</w:t>
      </w:r>
      <w:r>
        <w:noBreakHyphen/>
      </w:r>
      <w:r w:rsidRPr="000D2004">
        <w:t>east Queensland, based on current development patterns, the number of residential buildings affected by a 1 in 100</w:t>
      </w:r>
      <w:r>
        <w:t> </w:t>
      </w:r>
      <w:r w:rsidRPr="000D2004">
        <w:t>year storm tide inundation event nearly doubles in 2030 compared with today</w:t>
      </w:r>
      <w:r>
        <w:t>’</w:t>
      </w:r>
      <w:r w:rsidRPr="000D2004">
        <w:t>. Insurance Australia Group (sub.</w:t>
      </w:r>
      <w:r>
        <w:t> </w:t>
      </w:r>
      <w:r w:rsidRPr="000D2004">
        <w:t>24, p. 6) further contended that:</w:t>
      </w:r>
    </w:p>
    <w:p w14:paraId="66C897ED" w14:textId="77777777" w:rsidR="00DE1537" w:rsidRPr="000D2004" w:rsidRDefault="00DE1537" w:rsidP="00343F3E">
      <w:pPr>
        <w:pStyle w:val="Quote"/>
      </w:pPr>
      <w:r w:rsidRPr="000D2004">
        <w:t xml:space="preserve">… </w:t>
      </w:r>
      <w:proofErr w:type="gramStart"/>
      <w:r w:rsidRPr="000D2004">
        <w:t>there</w:t>
      </w:r>
      <w:proofErr w:type="gramEnd"/>
      <w:r w:rsidRPr="000D2004">
        <w:t xml:space="preserve"> are a number of factors contributing to the increased economic and community impact of natural perils. We are seeing marked increases in population density, especially in areas that are prone to natural disasters (particularly around coastal areas), leading to more damage and a rise in the quantum of damage. The increasing value of building and contents and sub</w:t>
      </w:r>
      <w:r>
        <w:noBreakHyphen/>
      </w:r>
      <w:r w:rsidRPr="000D2004">
        <w:t>par building standards, also contribute to a rise in the cost of natural disasters.</w:t>
      </w:r>
    </w:p>
    <w:p w14:paraId="38795CD4" w14:textId="547DA7A2" w:rsidR="00DE1537" w:rsidRPr="000D2004" w:rsidRDefault="00DE1537" w:rsidP="00343F3E">
      <w:pPr>
        <w:pStyle w:val="BodyText"/>
      </w:pPr>
      <w:r>
        <w:lastRenderedPageBreak/>
        <w:t>R</w:t>
      </w:r>
      <w:r w:rsidRPr="007E21C0">
        <w:t>ecent studies have reported that once the socioeconomic factors discussed above are taken into account, there is no strong evidence that climate change has play</w:t>
      </w:r>
      <w:r>
        <w:t>ed</w:t>
      </w:r>
      <w:r w:rsidRPr="007E21C0">
        <w:t xml:space="preserve"> a significant role in rising disaster costs</w:t>
      </w:r>
      <w:r>
        <w:t xml:space="preserve"> to date</w:t>
      </w:r>
      <w:r w:rsidRPr="007E21C0">
        <w:t xml:space="preserve"> (for example, Barthel and Neumayer 2012; Bouwer 2011; McAneney and Crompton 2013; Risk Frontiers 2011). McAneney and Crompton (2013, p. 8) reported tha</w:t>
      </w:r>
      <w:r w:rsidRPr="000D2004">
        <w:t>t:</w:t>
      </w:r>
    </w:p>
    <w:p w14:paraId="22EB02EA" w14:textId="77777777" w:rsidR="00DE1537" w:rsidRDefault="00DE1537" w:rsidP="00343F3E">
      <w:pPr>
        <w:pStyle w:val="Quote"/>
      </w:pPr>
      <w:r>
        <w:t xml:space="preserve">… </w:t>
      </w:r>
      <w:proofErr w:type="gramStart"/>
      <w:r>
        <w:t>no</w:t>
      </w:r>
      <w:proofErr w:type="gramEnd"/>
      <w:r>
        <w:t xml:space="preserve"> trend is evident in the normalised losses … implying that socio</w:t>
      </w:r>
      <w:r>
        <w:noBreakHyphen/>
        <w:t>economic factors are sufficient to explain the increase in the cost of insurance sector losses … In other words, it is not possible to detect an anthropogenic climate change signal once losses are normalised. We note that despite record high 2012/13 summer air temperatures across Australia, industry losses for the most recent financial year — 1 July 2012 to 30 June 2013 — are very close to the long</w:t>
      </w:r>
      <w:r>
        <w:noBreakHyphen/>
        <w:t>term average normalised loss of AUD 1.1 billion.</w:t>
      </w:r>
    </w:p>
    <w:p w14:paraId="2CDB92F1" w14:textId="77777777" w:rsidR="00DE1537" w:rsidRDefault="00DE1537" w:rsidP="00343F3E">
      <w:pPr>
        <w:pStyle w:val="BodyText"/>
      </w:pPr>
      <w:r w:rsidRPr="00D46F9A">
        <w:t>However, climate change is a gradual phenomenon, and it is not surprising that the above study detected no discernible impact over the relatively short period considered. Looking forward, climate change may impact on the costs of natural disasters</w:t>
      </w:r>
      <w:r>
        <w:t xml:space="preserve"> through changes in the frequency and intensity of some extreme weather events.</w:t>
      </w:r>
    </w:p>
    <w:p w14:paraId="7EA0E969" w14:textId="77777777" w:rsidR="00DE1537" w:rsidRPr="000D2004" w:rsidRDefault="00DE1537" w:rsidP="00343F3E">
      <w:pPr>
        <w:pStyle w:val="BodyText"/>
      </w:pPr>
      <w:r w:rsidRPr="00D46F9A">
        <w:t>Some cost drivers, such as the increasing concentration of people and assets in disaster</w:t>
      </w:r>
      <w:r w:rsidRPr="00D46F9A">
        <w:noBreakHyphen/>
        <w:t>prone areas, could be mitigated through a framework that supports effective management of natural disaster risks.</w:t>
      </w:r>
      <w:r w:rsidRPr="000D2004">
        <w:t xml:space="preserve"> Such a </w:t>
      </w:r>
      <w:r>
        <w:t>framework</w:t>
      </w:r>
      <w:r w:rsidRPr="000D2004">
        <w:t xml:space="preserve"> would </w:t>
      </w:r>
      <w:r>
        <w:t>involve</w:t>
      </w:r>
      <w:r w:rsidRPr="000D2004">
        <w:t xml:space="preserve"> clear understanding and communication of disaster risks, effective land</w:t>
      </w:r>
      <w:r>
        <w:t xml:space="preserve"> </w:t>
      </w:r>
      <w:r w:rsidRPr="000D2004">
        <w:t>use planning and building regulations, and efficient insurance markets (chapter</w:t>
      </w:r>
      <w:r>
        <w:t> 4</w:t>
      </w:r>
      <w:r w:rsidRPr="000D2004">
        <w:t>).</w:t>
      </w:r>
    </w:p>
    <w:p w14:paraId="7E275461" w14:textId="77777777" w:rsidR="00DE1537" w:rsidRDefault="00DE1537" w:rsidP="00343F3E">
      <w:pPr>
        <w:pStyle w:val="Heading3"/>
      </w:pPr>
      <w:r>
        <w:t>Projections of natural disaster costs</w:t>
      </w:r>
    </w:p>
    <w:p w14:paraId="45DD1B61" w14:textId="14F4FAFF" w:rsidR="00DE1537" w:rsidRDefault="00DE1537" w:rsidP="00343F3E">
      <w:pPr>
        <w:pStyle w:val="BodyText"/>
      </w:pPr>
      <w:r>
        <w:t xml:space="preserve">Projections of natural disaster costs are scarce, reflecting the inherent difficulties in estimating the future occurrence and expected cost of these events. Nevertheless, a number of inquiry participants indicated that the cost of natural disasters is likely to continue rising in the future under current funding arrangements (for example, ABRDRSC, subs. 22, DR160; CSIRO, sub. 72; McGowan and Tiernan, sub. 83). Deloitte Access Economics </w:t>
      </w:r>
      <w:r w:rsidRPr="00104A6C">
        <w:t>(2013)</w:t>
      </w:r>
      <w:r>
        <w:t xml:space="preserve"> recently reported projections of disaster costs in Australia (box 1.8).</w:t>
      </w:r>
    </w:p>
    <w:p w14:paraId="6EAC610F" w14:textId="77777777" w:rsidR="004111C2" w:rsidRDefault="004111C2" w:rsidP="004111C2">
      <w:pPr>
        <w:pStyle w:val="BodyText"/>
      </w:pPr>
      <w:r>
        <w:t>To help in its assessment of natural disaster funding arrangements, the Commission has developed some simple and illustrative projections of the insurance losses from, and economic costs of, natural disasters in Australia (figure 1.6). The projection period is 2014–23, where 2014–18 is the medium term and 2014–23 the long term. The method used to obtain these projections is discussed in supplementary paper 7. Based on the Commission’s projections:</w:t>
      </w:r>
    </w:p>
    <w:p w14:paraId="66147F1F" w14:textId="77777777" w:rsidR="004111C2" w:rsidRDefault="004111C2" w:rsidP="004111C2">
      <w:pPr>
        <w:pStyle w:val="ListBullet"/>
      </w:pPr>
      <w:r w:rsidRPr="002C7C9A">
        <w:t xml:space="preserve">the average nominal growth rate in insurance losses over the projection period is approximately </w:t>
      </w:r>
      <w:r>
        <w:t>5–</w:t>
      </w:r>
      <w:r w:rsidRPr="002C7C9A">
        <w:t>6 per cent per annum</w:t>
      </w:r>
    </w:p>
    <w:p w14:paraId="3B5DC013" w14:textId="77777777" w:rsidR="004111C2" w:rsidRDefault="004111C2" w:rsidP="004111C2">
      <w:pPr>
        <w:pStyle w:val="ListBullet"/>
      </w:pPr>
      <w:r>
        <w:t xml:space="preserve">in the medium term (2018), </w:t>
      </w:r>
      <w:r w:rsidRPr="00A70A15">
        <w:t xml:space="preserve">annual insurance losses could be </w:t>
      </w:r>
      <w:r>
        <w:t>in the range of</w:t>
      </w:r>
      <w:r w:rsidRPr="00A70A15">
        <w:t xml:space="preserve"> $1.1 billion</w:t>
      </w:r>
      <w:r>
        <w:t xml:space="preserve"> to</w:t>
      </w:r>
      <w:r w:rsidRPr="00A70A15">
        <w:t xml:space="preserve"> $2.9 billion</w:t>
      </w:r>
    </w:p>
    <w:p w14:paraId="169E5D64" w14:textId="77777777" w:rsidR="004111C2" w:rsidRDefault="004111C2" w:rsidP="004111C2">
      <w:pPr>
        <w:pStyle w:val="ListBullet"/>
      </w:pPr>
      <w:r>
        <w:lastRenderedPageBreak/>
        <w:t xml:space="preserve">in the long term (2023), </w:t>
      </w:r>
      <w:r w:rsidRPr="00A70A15">
        <w:t xml:space="preserve">annual insurance losses could be </w:t>
      </w:r>
      <w:r>
        <w:t>in the range of</w:t>
      </w:r>
      <w:r w:rsidRPr="00A70A15">
        <w:t xml:space="preserve"> $1.2 billion </w:t>
      </w:r>
      <w:r>
        <w:t>to</w:t>
      </w:r>
      <w:r w:rsidRPr="00A70A15">
        <w:t xml:space="preserve"> $3.0 billion</w:t>
      </w:r>
    </w:p>
    <w:p w14:paraId="1807BAF1" w14:textId="780C272B" w:rsidR="004111C2" w:rsidRDefault="004111C2" w:rsidP="00343F3E">
      <w:pPr>
        <w:pStyle w:val="ListBullet"/>
      </w:pPr>
      <w:proofErr w:type="gramStart"/>
      <w:r>
        <w:t>annual</w:t>
      </w:r>
      <w:proofErr w:type="gramEnd"/>
      <w:r>
        <w:t xml:space="preserve"> economic costs could be between $2.4 billion and $14.6 billion</w:t>
      </w:r>
      <w:r w:rsidRPr="00D64ADD">
        <w:t xml:space="preserve"> </w:t>
      </w:r>
      <w:r w:rsidRPr="00B21542">
        <w:t>in the medium term (2018) and between $</w:t>
      </w:r>
      <w:r>
        <w:t>2.6</w:t>
      </w:r>
      <w:r w:rsidRPr="00B21542">
        <w:t xml:space="preserve"> billion and $1</w:t>
      </w:r>
      <w:r>
        <w:t>5.1</w:t>
      </w:r>
      <w:r w:rsidRPr="00B21542">
        <w:t xml:space="preserve"> b</w:t>
      </w:r>
      <w:r>
        <w:t>illion in the long term (2023).</w:t>
      </w:r>
    </w:p>
    <w:p w14:paraId="4E7021BE"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9DA766A" w14:textId="77777777" w:rsidTr="00343F3E">
        <w:tc>
          <w:tcPr>
            <w:tcW w:w="8771" w:type="dxa"/>
            <w:tcBorders>
              <w:top w:val="single" w:sz="6" w:space="0" w:color="78A22F"/>
              <w:left w:val="nil"/>
              <w:bottom w:val="nil"/>
              <w:right w:val="nil"/>
            </w:tcBorders>
            <w:shd w:val="clear" w:color="auto" w:fill="F2F2F2" w:themeFill="background1" w:themeFillShade="F2"/>
          </w:tcPr>
          <w:p w14:paraId="3ECB5722" w14:textId="7A1C7DE1" w:rsidR="00DE1537" w:rsidRDefault="00DE1537" w:rsidP="00343F3E">
            <w:pPr>
              <w:pStyle w:val="BoxTitle"/>
            </w:pPr>
            <w:r>
              <w:rPr>
                <w:b w:val="0"/>
              </w:rPr>
              <w:t>Box 1.</w:t>
            </w:r>
            <w:r>
              <w:rPr>
                <w:b w:val="0"/>
                <w:noProof/>
              </w:rPr>
              <w:t>8</w:t>
            </w:r>
            <w:r>
              <w:tab/>
              <w:t xml:space="preserve">Projections of disaster costs in Australia </w:t>
            </w:r>
          </w:p>
        </w:tc>
      </w:tr>
      <w:tr w:rsidR="00DE1537" w14:paraId="3FF3602C" w14:textId="77777777" w:rsidTr="00343F3E">
        <w:trPr>
          <w:cantSplit/>
          <w:trHeight w:val="10201"/>
        </w:trPr>
        <w:tc>
          <w:tcPr>
            <w:tcW w:w="8771" w:type="dxa"/>
            <w:tcBorders>
              <w:top w:val="nil"/>
              <w:left w:val="nil"/>
              <w:bottom w:val="nil"/>
              <w:right w:val="nil"/>
            </w:tcBorders>
            <w:shd w:val="clear" w:color="auto" w:fill="F2F2F2" w:themeFill="background1" w:themeFillShade="F2"/>
          </w:tcPr>
          <w:p w14:paraId="6CFD89C9" w14:textId="77777777" w:rsidR="00DE1537" w:rsidRDefault="00DE1537" w:rsidP="00343F3E">
            <w:pPr>
              <w:pStyle w:val="Box"/>
            </w:pPr>
            <w:r>
              <w:t xml:space="preserve">Using historical data on the incidence of natural disasters, Deloitte Access Economics developed projections of the future costs of natural disasters for the period 2011–50. Its projections captured three distinct components of natural disaster costs, namely insurance losses, broader social costs, and fiscal costs (potential climate change effects were excluded). Adding up these three components </w:t>
            </w:r>
            <w:r w:rsidRPr="001933DE">
              <w:t>yielded the total economic costs of natural disasters.</w:t>
            </w:r>
            <w:r w:rsidRPr="001F429A">
              <w:t xml:space="preserve"> (Double counting of some costs is a potential problem with this approach.)</w:t>
            </w:r>
            <w:r w:rsidRPr="003D6A8F">
              <w:t xml:space="preserve"> This is different and not comparable</w:t>
            </w:r>
            <w:r w:rsidRPr="00776518">
              <w:t xml:space="preserve"> to the Commission’s approach where the economic and fiscal costs of natural disasters</w:t>
            </w:r>
            <w:r w:rsidRPr="00B86E12">
              <w:t xml:space="preserve"> are considered separately.</w:t>
            </w:r>
          </w:p>
          <w:p w14:paraId="559BD695" w14:textId="77777777" w:rsidR="00DE1537" w:rsidRDefault="00DE1537" w:rsidP="00343F3E">
            <w:pPr>
              <w:pStyle w:val="BoxHeading1"/>
              <w:rPr>
                <w:rStyle w:val="NoteLabel"/>
                <w:b/>
              </w:rPr>
            </w:pPr>
            <w:r>
              <w:t>Projected</w:t>
            </w:r>
            <w:r w:rsidRPr="006B3050">
              <w:t xml:space="preserve"> total economic cost of natural disasters</w:t>
            </w:r>
            <w:r>
              <w:t>,</w:t>
            </w:r>
            <w:r w:rsidRPr="006B3050">
              <w:t xml:space="preserve"> 2011–50</w:t>
            </w:r>
            <w:r w:rsidRPr="00BE38E1">
              <w:rPr>
                <w:rStyle w:val="NoteLabel"/>
                <w:b/>
              </w:rPr>
              <w:t>a</w:t>
            </w:r>
          </w:p>
          <w:p w14:paraId="568407FD" w14:textId="77777777" w:rsidR="00DE1537" w:rsidRDefault="00DE1537" w:rsidP="00343F3E">
            <w:pPr>
              <w:pStyle w:val="Box"/>
              <w:jc w:val="center"/>
            </w:pPr>
            <w:r>
              <w:rPr>
                <w:noProof/>
              </w:rPr>
              <w:drawing>
                <wp:inline distT="0" distB="0" distL="0" distR="0" wp14:anchorId="3F4E7D08" wp14:editId="411F7479">
                  <wp:extent cx="5123815" cy="2044700"/>
                  <wp:effectExtent l="0" t="0" r="0" b="0"/>
                  <wp:docPr id="8" name="Picture 8" descr="This figure shows Deloitte Access Economics’ projected total economic cost of natural disasters for the period 2011 to 2050, broken down by state and territory. Economic cost includes insurance losses, fiscal costs and broader social costs. The projections suggest that Queensland will incur the bulk of economic costs, followed by New South Wales." title="Projected total economic cost of natural disasters, 20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nd\Reporting\Draft report\Chapter materials\SP 8\Deloitte figure.PNG"/>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23815" cy="2044700"/>
                          </a:xfrm>
                          <a:prstGeom prst="rect">
                            <a:avLst/>
                          </a:prstGeom>
                          <a:noFill/>
                          <a:ln>
                            <a:noFill/>
                          </a:ln>
                        </pic:spPr>
                      </pic:pic>
                    </a:graphicData>
                  </a:graphic>
                </wp:inline>
              </w:drawing>
            </w:r>
          </w:p>
          <w:p w14:paraId="22336A66" w14:textId="77777777" w:rsidR="00DE1537" w:rsidRDefault="00DE1537" w:rsidP="00343F3E">
            <w:pPr>
              <w:pStyle w:val="Note"/>
            </w:pPr>
            <w:proofErr w:type="gramStart"/>
            <w:r>
              <w:rPr>
                <w:rStyle w:val="NoteLabel"/>
              </w:rPr>
              <w:t>a</w:t>
            </w:r>
            <w:proofErr w:type="gramEnd"/>
            <w:r>
              <w:t xml:space="preserve"> Including insurance losses, broader social costs and fiscal costs.</w:t>
            </w:r>
          </w:p>
          <w:p w14:paraId="29859DB4" w14:textId="77777777" w:rsidR="00DE1537" w:rsidRDefault="00DE1537" w:rsidP="00343F3E">
            <w:pPr>
              <w:pStyle w:val="Box"/>
              <w:spacing w:before="200"/>
              <w:rPr>
                <w:rFonts w:asciiTheme="minorHAnsi" w:eastAsiaTheme="minorHAnsi" w:hAnsiTheme="minorHAnsi" w:cstheme="minorBidi"/>
                <w:szCs w:val="22"/>
                <w:lang w:eastAsia="en-US"/>
              </w:rPr>
            </w:pPr>
            <w:r>
              <w:t xml:space="preserve">From a current average of </w:t>
            </w:r>
            <w:r w:rsidRPr="00035BA8">
              <w:t>around $6.3 billion</w:t>
            </w:r>
            <w:r>
              <w:t xml:space="preserve"> per year, the total economic cost of natural disasters in Australia was projected by Deloitte Access Economics </w:t>
            </w:r>
            <w:r w:rsidRPr="00035BA8">
              <w:t xml:space="preserve">to grow in real terms </w:t>
            </w:r>
            <w:r>
              <w:t>by</w:t>
            </w:r>
            <w:r w:rsidRPr="00035BA8">
              <w:t xml:space="preserve"> 3.5</w:t>
            </w:r>
            <w:r>
              <w:t> </w:t>
            </w:r>
            <w:r w:rsidRPr="00035BA8">
              <w:t>per cent annually</w:t>
            </w:r>
            <w:r>
              <w:t xml:space="preserve"> (driven mainly by population growth, concentrated infrastructure density, and continuing migration to disaster</w:t>
            </w:r>
            <w:r>
              <w:noBreakHyphen/>
              <w:t>prone areas). On this growth path, annual economic costs were projected to double by 2030 and increase to an average of $23 billion per annum by 2050. The highest share of these costs is expected to result from disasters in Queensland, followed by New South Wales.</w:t>
            </w:r>
          </w:p>
          <w:p w14:paraId="05FFC348" w14:textId="76D191F7" w:rsidR="00DE1537" w:rsidRPr="00C43998" w:rsidRDefault="00DE1537" w:rsidP="00343F3E">
            <w:pPr>
              <w:pStyle w:val="Box"/>
              <w:spacing w:after="100" w:afterAutospacing="1"/>
            </w:pPr>
            <w:r>
              <w:t xml:space="preserve">A limitation of this analysis is the use of multipliers reported by Joy </w:t>
            </w:r>
            <w:r w:rsidRPr="005A7E3E">
              <w:rPr>
                <w:rFonts w:cs="Arial"/>
              </w:rPr>
              <w:t>(1991)</w:t>
            </w:r>
            <w:r>
              <w:t xml:space="preserve"> to scale up insurance losses to economic costs. The present relevance of these multipliers is debatable (supplementary paper 7). </w:t>
            </w:r>
            <w:r w:rsidRPr="00B21542">
              <w:t>Impo</w:t>
            </w:r>
            <w:r>
              <w:t xml:space="preserve">rtantly, Joy’s multipliers ‘were provided by the [Insurance Council of Australia] and are subjective impressions based on experience rather than analytical estimates’ </w:t>
            </w:r>
            <w:r w:rsidRPr="00F419C3">
              <w:rPr>
                <w:szCs w:val="24"/>
              </w:rPr>
              <w:t>(Joy 1991, p. 3)</w:t>
            </w:r>
            <w:r>
              <w:t xml:space="preserve">. The Bureau of Transport Economics </w:t>
            </w:r>
            <w:r w:rsidRPr="002E00E2">
              <w:rPr>
                <w:szCs w:val="24"/>
              </w:rPr>
              <w:t>(2001, p. 13)</w:t>
            </w:r>
            <w:r>
              <w:t xml:space="preserve"> further stated that ‘the accuracy of these factors is difficult to gauge. The factors undoubtedly contain large error bands as a result of their simplicity’.</w:t>
            </w:r>
          </w:p>
        </w:tc>
      </w:tr>
      <w:tr w:rsidR="00DE1537" w14:paraId="56974D3B" w14:textId="77777777" w:rsidTr="00343F3E">
        <w:trPr>
          <w:cantSplit/>
        </w:trPr>
        <w:tc>
          <w:tcPr>
            <w:tcW w:w="8771" w:type="dxa"/>
            <w:tcBorders>
              <w:top w:val="nil"/>
              <w:left w:val="nil"/>
              <w:bottom w:val="nil"/>
              <w:right w:val="nil"/>
            </w:tcBorders>
            <w:shd w:val="clear" w:color="auto" w:fill="F2F2F2" w:themeFill="background1" w:themeFillShade="F2"/>
          </w:tcPr>
          <w:p w14:paraId="76BD489B" w14:textId="08CE7B3B" w:rsidR="00DE1537" w:rsidRDefault="00DE1537" w:rsidP="00343F3E">
            <w:pPr>
              <w:pStyle w:val="BoxSource"/>
              <w:rPr>
                <w:i/>
              </w:rPr>
            </w:pPr>
            <w:r>
              <w:rPr>
                <w:i/>
              </w:rPr>
              <w:t>Sources</w:t>
            </w:r>
            <w:r w:rsidRPr="00167F06">
              <w:t xml:space="preserve">: </w:t>
            </w:r>
            <w:r>
              <w:t>A</w:t>
            </w:r>
            <w:r w:rsidRPr="00035BA8">
              <w:t>B</w:t>
            </w:r>
            <w:r>
              <w:t>RD</w:t>
            </w:r>
            <w:r w:rsidRPr="00035BA8">
              <w:t>RSC</w:t>
            </w:r>
            <w:r>
              <w:t>,</w:t>
            </w:r>
            <w:r w:rsidRPr="00035BA8">
              <w:t xml:space="preserve"> sub</w:t>
            </w:r>
            <w:r>
              <w:t>s</w:t>
            </w:r>
            <w:r w:rsidRPr="00035BA8">
              <w:t>.</w:t>
            </w:r>
            <w:r>
              <w:t> </w:t>
            </w:r>
            <w:r w:rsidRPr="00035BA8">
              <w:t>22</w:t>
            </w:r>
            <w:r>
              <w:t xml:space="preserve">, DR160; BTE </w:t>
            </w:r>
            <w:r w:rsidRPr="00BB4032">
              <w:rPr>
                <w:rFonts w:cs="Arial"/>
              </w:rPr>
              <w:t>(2001)</w:t>
            </w:r>
            <w:r>
              <w:t xml:space="preserve">; Deloitte Access Economics </w:t>
            </w:r>
            <w:r w:rsidRPr="00C05A8C">
              <w:rPr>
                <w:rFonts w:cs="Arial"/>
              </w:rPr>
              <w:t>(2013)</w:t>
            </w:r>
            <w:r>
              <w:t xml:space="preserve">; Joy </w:t>
            </w:r>
            <w:r w:rsidRPr="00BB4032">
              <w:rPr>
                <w:rFonts w:cs="Arial"/>
              </w:rPr>
              <w:t>(1991)</w:t>
            </w:r>
            <w:r>
              <w:t>; Munich Reinsurance Company, sub. DR136.</w:t>
            </w:r>
          </w:p>
        </w:tc>
      </w:tr>
      <w:tr w:rsidR="00DE1537" w14:paraId="4F0E03A7"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57AB212" w14:textId="77777777" w:rsidR="00DE1537" w:rsidRDefault="00DE1537">
            <w:pPr>
              <w:pStyle w:val="Box"/>
              <w:spacing w:before="0" w:line="120" w:lineRule="exact"/>
            </w:pPr>
          </w:p>
        </w:tc>
      </w:tr>
      <w:tr w:rsidR="00DE1537" w:rsidRPr="000863A5" w14:paraId="3D4BD40E" w14:textId="77777777" w:rsidTr="00343F3E">
        <w:tc>
          <w:tcPr>
            <w:tcW w:w="8771" w:type="dxa"/>
            <w:tcBorders>
              <w:top w:val="single" w:sz="6" w:space="0" w:color="78A22F"/>
              <w:left w:val="nil"/>
              <w:bottom w:val="nil"/>
              <w:right w:val="nil"/>
            </w:tcBorders>
          </w:tcPr>
          <w:p w14:paraId="67AEF076" w14:textId="77777777" w:rsidR="00DE1537" w:rsidRPr="00626D32" w:rsidRDefault="00DE1537" w:rsidP="00343F3E">
            <w:pPr>
              <w:pStyle w:val="BoxSpaceBelow"/>
            </w:pPr>
          </w:p>
        </w:tc>
      </w:tr>
    </w:tbl>
    <w:p w14:paraId="4B30843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38701B4" w14:textId="77777777" w:rsidTr="00343F3E">
        <w:tc>
          <w:tcPr>
            <w:tcW w:w="8771" w:type="dxa"/>
            <w:tcBorders>
              <w:top w:val="single" w:sz="6" w:space="0" w:color="78A22F"/>
              <w:left w:val="nil"/>
              <w:bottom w:val="nil"/>
              <w:right w:val="nil"/>
            </w:tcBorders>
            <w:shd w:val="clear" w:color="auto" w:fill="auto"/>
          </w:tcPr>
          <w:p w14:paraId="1F4C0C77" w14:textId="1F40CC9F" w:rsidR="00DE1537" w:rsidRPr="00176D3F" w:rsidRDefault="00DE1537" w:rsidP="00343F3E">
            <w:pPr>
              <w:pStyle w:val="FigureTitle"/>
            </w:pPr>
            <w:r w:rsidRPr="00784A05">
              <w:rPr>
                <w:b w:val="0"/>
              </w:rPr>
              <w:t xml:space="preserve">Figure </w:t>
            </w:r>
            <w:r>
              <w:rPr>
                <w:b w:val="0"/>
              </w:rPr>
              <w:t>1.</w:t>
            </w:r>
            <w:r>
              <w:rPr>
                <w:b w:val="0"/>
                <w:noProof/>
              </w:rPr>
              <w:t>6</w:t>
            </w:r>
            <w:r>
              <w:tab/>
              <w:t>Projected central estimates of the economic costs of natural disasters</w:t>
            </w:r>
            <w:r w:rsidRPr="00BA2311">
              <w:rPr>
                <w:rStyle w:val="NoteLabel"/>
                <w:b/>
              </w:rPr>
              <w:t>a</w:t>
            </w:r>
          </w:p>
        </w:tc>
      </w:tr>
      <w:tr w:rsidR="00DE1537" w14:paraId="75BF6D44"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5214D3AC" w14:textId="77777777" w:rsidTr="00343F3E">
              <w:tc>
                <w:tcPr>
                  <w:tcW w:w="5000" w:type="pct"/>
                  <w:tcBorders>
                    <w:top w:val="nil"/>
                    <w:bottom w:val="nil"/>
                  </w:tcBorders>
                </w:tcPr>
                <w:p w14:paraId="2D593361" w14:textId="77777777" w:rsidR="00DE1537" w:rsidRDefault="00DE1537" w:rsidP="00343F3E">
                  <w:pPr>
                    <w:pStyle w:val="Figure"/>
                    <w:spacing w:before="60" w:after="60"/>
                  </w:pPr>
                  <w:r>
                    <w:rPr>
                      <w:noProof/>
                    </w:rPr>
                    <w:drawing>
                      <wp:inline distT="0" distB="0" distL="0" distR="0" wp14:anchorId="6EC41441" wp14:editId="7349FAB2">
                        <wp:extent cx="5398770" cy="2950210"/>
                        <wp:effectExtent l="0" t="0" r="0" b="2540"/>
                        <wp:docPr id="5" name="Picture 5" descr="This figure shows projected central estimates of the economic costs of natural disasters in the medium term (2018) and long term (2023). Nominal insurance costs are also shown for comparison. The Commission’s approach to estimating these economic costs is discussed in supplementary paper 8. Annual economic costs could be between $2.4 billion and $14.6 billion in the medium term and between $2.6 billion and $15.1 billion in the long term." title="Projected central estimates of 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98770" cy="2950210"/>
                                </a:xfrm>
                                <a:prstGeom prst="rect">
                                  <a:avLst/>
                                </a:prstGeom>
                                <a:noFill/>
                                <a:ln>
                                  <a:noFill/>
                                </a:ln>
                              </pic:spPr>
                            </pic:pic>
                          </a:graphicData>
                        </a:graphic>
                      </wp:inline>
                    </w:drawing>
                  </w:r>
                </w:p>
              </w:tc>
            </w:tr>
          </w:tbl>
          <w:p w14:paraId="0409599C" w14:textId="77777777" w:rsidR="00DE1537" w:rsidRDefault="00DE1537" w:rsidP="00343F3E">
            <w:pPr>
              <w:pStyle w:val="Figure"/>
            </w:pPr>
          </w:p>
        </w:tc>
      </w:tr>
      <w:tr w:rsidR="00DE1537" w:rsidRPr="00176D3F" w14:paraId="7C39E9C5" w14:textId="77777777" w:rsidTr="00343F3E">
        <w:tc>
          <w:tcPr>
            <w:tcW w:w="8771" w:type="dxa"/>
            <w:tcBorders>
              <w:top w:val="nil"/>
              <w:left w:val="nil"/>
              <w:bottom w:val="nil"/>
              <w:right w:val="nil"/>
            </w:tcBorders>
            <w:shd w:val="clear" w:color="auto" w:fill="auto"/>
          </w:tcPr>
          <w:p w14:paraId="4BCFC15D" w14:textId="77777777" w:rsidR="00DE1537" w:rsidRPr="00176D3F" w:rsidRDefault="00DE1537" w:rsidP="00343F3E">
            <w:pPr>
              <w:pStyle w:val="Note"/>
            </w:pPr>
            <w:proofErr w:type="gramStart"/>
            <w:r>
              <w:rPr>
                <w:rStyle w:val="NoteLabel"/>
              </w:rPr>
              <w:t>a</w:t>
            </w:r>
            <w:proofErr w:type="gramEnd"/>
            <w:r>
              <w:t xml:space="preserve"> The low ratio is 0.2 and the high ratio is 0.5. These ratios express insurance losses as a proportion of economic costs. The projection period is 2014 to 2023. The medium term is 2018 and the long term is 2023.</w:t>
            </w:r>
          </w:p>
        </w:tc>
      </w:tr>
      <w:tr w:rsidR="00DE1537" w:rsidRPr="00176D3F" w14:paraId="677C1FE8" w14:textId="77777777" w:rsidTr="00343F3E">
        <w:tc>
          <w:tcPr>
            <w:tcW w:w="8771" w:type="dxa"/>
            <w:tcBorders>
              <w:top w:val="nil"/>
              <w:left w:val="nil"/>
              <w:bottom w:val="nil"/>
              <w:right w:val="nil"/>
            </w:tcBorders>
            <w:shd w:val="clear" w:color="auto" w:fill="auto"/>
          </w:tcPr>
          <w:p w14:paraId="54CA145D" w14:textId="63217A2A" w:rsidR="00DE1537" w:rsidRPr="00176D3F" w:rsidRDefault="00DE1537" w:rsidP="00343F3E">
            <w:pPr>
              <w:pStyle w:val="Source"/>
            </w:pPr>
            <w:r>
              <w:rPr>
                <w:i/>
              </w:rPr>
              <w:t>Data sources</w:t>
            </w:r>
            <w:r w:rsidRPr="00167F06">
              <w:t>:</w:t>
            </w:r>
            <w:r>
              <w:t xml:space="preserve"> ICA </w:t>
            </w:r>
            <w:r w:rsidR="007C5656" w:rsidRPr="007C5656">
              <w:rPr>
                <w:rFonts w:cs="Arial"/>
              </w:rPr>
              <w:t>(2014e)</w:t>
            </w:r>
            <w:r>
              <w:t>; Productivity Commission estimates.</w:t>
            </w:r>
          </w:p>
        </w:tc>
      </w:tr>
      <w:tr w:rsidR="00DE1537" w14:paraId="11C74CD3" w14:textId="77777777" w:rsidTr="00343F3E">
        <w:tc>
          <w:tcPr>
            <w:tcW w:w="8771" w:type="dxa"/>
            <w:tcBorders>
              <w:top w:val="nil"/>
              <w:left w:val="nil"/>
              <w:bottom w:val="single" w:sz="6" w:space="0" w:color="78A22F"/>
              <w:right w:val="nil"/>
            </w:tcBorders>
            <w:shd w:val="clear" w:color="auto" w:fill="auto"/>
          </w:tcPr>
          <w:p w14:paraId="1FE0E53E" w14:textId="77777777" w:rsidR="00DE1537" w:rsidRDefault="00DE1537" w:rsidP="00343F3E">
            <w:pPr>
              <w:pStyle w:val="Figurespace"/>
            </w:pPr>
          </w:p>
        </w:tc>
      </w:tr>
      <w:tr w:rsidR="00DE1537" w:rsidRPr="000863A5" w14:paraId="5B64145B" w14:textId="77777777" w:rsidTr="00343F3E">
        <w:tc>
          <w:tcPr>
            <w:tcW w:w="8771" w:type="dxa"/>
            <w:tcBorders>
              <w:top w:val="single" w:sz="6" w:space="0" w:color="78A22F"/>
              <w:left w:val="nil"/>
              <w:bottom w:val="nil"/>
              <w:right w:val="nil"/>
            </w:tcBorders>
          </w:tcPr>
          <w:p w14:paraId="25DAF134" w14:textId="77777777" w:rsidR="00DE1537" w:rsidRPr="00626D32" w:rsidRDefault="00DE1537" w:rsidP="00343F3E">
            <w:pPr>
              <w:pStyle w:val="BoxSpaceBelow"/>
            </w:pPr>
          </w:p>
        </w:tc>
      </w:tr>
    </w:tbl>
    <w:p w14:paraId="296DD74E" w14:textId="3E90E87F" w:rsidR="00DE1537" w:rsidRDefault="00DE1537" w:rsidP="00343F3E">
      <w:pPr>
        <w:pStyle w:val="Heading2"/>
      </w:pPr>
      <w:bookmarkStart w:id="6" w:name="_Toc406424312"/>
      <w:r>
        <w:t>1.4</w:t>
      </w:r>
      <w:r>
        <w:tab/>
        <w:t>The f</w:t>
      </w:r>
      <w:r w:rsidRPr="007E5C13">
        <w:t>iscal costs of natural disasters</w:t>
      </w:r>
      <w:bookmarkEnd w:id="6"/>
    </w:p>
    <w:p w14:paraId="75E9828E" w14:textId="77777777" w:rsidR="00DE1537" w:rsidRPr="000D2004" w:rsidRDefault="00DE1537" w:rsidP="00343F3E">
      <w:pPr>
        <w:pStyle w:val="BodyText"/>
      </w:pPr>
      <w:r w:rsidRPr="000D2004">
        <w:t>The fiscal costs of natural disasters capture expenditure by different levels of government on initiatives related to pre</w:t>
      </w:r>
      <w:r>
        <w:noBreakHyphen/>
      </w:r>
      <w:r w:rsidRPr="000D2004">
        <w:t xml:space="preserve"> as well as post</w:t>
      </w:r>
      <w:r>
        <w:noBreakHyphen/>
      </w:r>
      <w:r w:rsidRPr="000D2004">
        <w:t xml:space="preserve">disaster management. </w:t>
      </w:r>
      <w:r>
        <w:t>A</w:t>
      </w:r>
      <w:r w:rsidRPr="000D2004">
        <w:t>ll</w:t>
      </w:r>
      <w:r>
        <w:t xml:space="preserve"> levels of government are</w:t>
      </w:r>
      <w:r w:rsidRPr="000D2004">
        <w:t xml:space="preserve"> financially exposed to the impacts of natural disasters through their various roles and responsibilities such as ownership of public assets and management of shared risks. </w:t>
      </w:r>
      <w:r>
        <w:t>Whilst</w:t>
      </w:r>
      <w:r w:rsidRPr="000D2004">
        <w:t xml:space="preserve"> natural disaster management activities are </w:t>
      </w:r>
      <w:r>
        <w:t xml:space="preserve">chiefly </w:t>
      </w:r>
      <w:r w:rsidRPr="000D2004">
        <w:t xml:space="preserve">the responsibility of </w:t>
      </w:r>
      <w:r>
        <w:t>state, territory and local</w:t>
      </w:r>
      <w:r w:rsidRPr="000D2004">
        <w:t xml:space="preserve"> governments, the Australian </w:t>
      </w:r>
      <w:r>
        <w:t>G</w:t>
      </w:r>
      <w:r w:rsidRPr="000D2004">
        <w:t>overnment also provide</w:t>
      </w:r>
      <w:r>
        <w:t>s</w:t>
      </w:r>
      <w:r w:rsidRPr="000D2004">
        <w:t xml:space="preserve"> significant disaster funding </w:t>
      </w:r>
      <w:r>
        <w:t>(</w:t>
      </w:r>
      <w:r w:rsidRPr="000D2004">
        <w:t>supplementary paper</w:t>
      </w:r>
      <w:r>
        <w:t> 2)</w:t>
      </w:r>
      <w:r w:rsidRPr="000D2004">
        <w:t>.</w:t>
      </w:r>
    </w:p>
    <w:p w14:paraId="1A427CC5" w14:textId="77777777" w:rsidR="00DE1537" w:rsidRPr="007746A9" w:rsidRDefault="00DE1537" w:rsidP="00343F3E">
      <w:pPr>
        <w:pStyle w:val="BodyText"/>
      </w:pPr>
      <w:r>
        <w:t>F</w:t>
      </w:r>
      <w:r w:rsidRPr="000D2004">
        <w:t>iscal costs differ by natural disaster, depending on the damage it causes, the proportion of that damage covered by insurance, and the extent of underinsurance and non</w:t>
      </w:r>
      <w:r>
        <w:noBreakHyphen/>
      </w:r>
      <w:r w:rsidRPr="000D2004">
        <w:t>insura</w:t>
      </w:r>
      <w:r>
        <w:t>n</w:t>
      </w:r>
      <w:r w:rsidRPr="000D2004">
        <w:t>ce. For example, hailstorm</w:t>
      </w:r>
      <w:r>
        <w:t xml:space="preserve">s </w:t>
      </w:r>
      <w:r w:rsidRPr="000D2004">
        <w:t xml:space="preserve">generally result in high </w:t>
      </w:r>
      <w:r>
        <w:t>insurance losses</w:t>
      </w:r>
      <w:r w:rsidRPr="000D2004">
        <w:t xml:space="preserve"> but relatively low fiscal costs because most of the damage is to insured private assets. On the other hand, a flood has a larger fiscal impact because, in addition to private assets, it damages public infrastructure such as roads, bridges and </w:t>
      </w:r>
      <w:r>
        <w:t>schools</w:t>
      </w:r>
      <w:r w:rsidRPr="000D2004">
        <w:t xml:space="preserve">. </w:t>
      </w:r>
      <w:r>
        <w:t xml:space="preserve">The fiscal impact of a natural disaster can also change over time. For example, the recent increase in the uptake of flood insurance is likely to </w:t>
      </w:r>
      <w:r w:rsidRPr="007746A9">
        <w:t>reduce the fiscal costs of natural disasters, with a higher proportion of costs borne by insurance companies.</w:t>
      </w:r>
    </w:p>
    <w:p w14:paraId="03B95CB9" w14:textId="77777777" w:rsidR="00DE1537" w:rsidRPr="000D2004" w:rsidRDefault="00DE1537" w:rsidP="00343F3E">
      <w:pPr>
        <w:pStyle w:val="BodyText"/>
      </w:pPr>
      <w:r w:rsidRPr="007746A9">
        <w:lastRenderedPageBreak/>
        <w:t>Some of the economic and fiscal costs of natural disasters are likely to overlap, resulting in double counting. For example, damage to a public asset (such as a bridge) is classified as a direct market cost and will also result in a fiscal cost when the government repairs that asset. The same holds for repairs to housing (</w:t>
      </w:r>
      <w:r w:rsidRPr="002C7C9A">
        <w:t xml:space="preserve">direct market costs) as well as emergency accommodation and removal of debris (indirect market costs) that are eligible for government assistance. In contrast, </w:t>
      </w:r>
      <w:r w:rsidRPr="000D2004">
        <w:t>other costs such as the one</w:t>
      </w:r>
      <w:r>
        <w:noBreakHyphen/>
      </w:r>
      <w:r w:rsidRPr="000D2004">
        <w:t>off non</w:t>
      </w:r>
      <w:r>
        <w:noBreakHyphen/>
      </w:r>
      <w:r w:rsidRPr="000D2004">
        <w:t>means</w:t>
      </w:r>
      <w:r>
        <w:noBreakHyphen/>
      </w:r>
      <w:r w:rsidRPr="000D2004">
        <w:t xml:space="preserve">tested Australian Government Disaster Recovery Payment are transfers, and transfers are not considered to be economic costs. </w:t>
      </w:r>
    </w:p>
    <w:p w14:paraId="7926DFCC" w14:textId="77777777" w:rsidR="00DE1537" w:rsidRPr="002C7C9A" w:rsidRDefault="00DE1537" w:rsidP="00343F3E">
      <w:pPr>
        <w:pStyle w:val="Heading3"/>
      </w:pPr>
      <w:r w:rsidRPr="002C7C9A">
        <w:t>Estimating the fiscal costs of natural disasters</w:t>
      </w:r>
    </w:p>
    <w:p w14:paraId="636496F5" w14:textId="77777777" w:rsidR="00DE1537" w:rsidRDefault="00DE1537" w:rsidP="00343F3E">
      <w:pPr>
        <w:pStyle w:val="BodyText"/>
      </w:pPr>
      <w:r>
        <w:t xml:space="preserve">The Commission has estimated the fiscal costs of natural disasters by grouping the costs incurred by </w:t>
      </w:r>
      <w:r w:rsidRPr="00EE106E">
        <w:t xml:space="preserve">the Australian Government </w:t>
      </w:r>
      <w:r>
        <w:t>as follows</w:t>
      </w:r>
      <w:r w:rsidRPr="00EE106E">
        <w:t>:</w:t>
      </w:r>
    </w:p>
    <w:p w14:paraId="25002CF7" w14:textId="77777777" w:rsidR="00DE1537" w:rsidRPr="00EE106E" w:rsidRDefault="00DE1537" w:rsidP="00343F3E">
      <w:pPr>
        <w:pStyle w:val="ListBullet"/>
      </w:pPr>
      <w:r>
        <w:t>pre</w:t>
      </w:r>
      <w:r>
        <w:noBreakHyphen/>
        <w:t>disaster expenditure</w:t>
      </w:r>
    </w:p>
    <w:p w14:paraId="12C9D228" w14:textId="77777777" w:rsidR="00DE1537" w:rsidRDefault="00DE1537" w:rsidP="00343F3E">
      <w:pPr>
        <w:pStyle w:val="ListBullet2"/>
      </w:pPr>
      <w:r w:rsidRPr="001F7CB1">
        <w:t>payments to state</w:t>
      </w:r>
      <w:r>
        <w:t xml:space="preserve"> and territory</w:t>
      </w:r>
      <w:r w:rsidRPr="001F7CB1">
        <w:t xml:space="preserve"> governments for mitigation through the National Partnership Agreement </w:t>
      </w:r>
      <w:r>
        <w:t>on</w:t>
      </w:r>
      <w:r w:rsidRPr="001F7CB1">
        <w:t xml:space="preserve"> Natural Disaster Resilience </w:t>
      </w:r>
      <w:r>
        <w:t>(NPANDR) (and formerly through specific purpose payments)</w:t>
      </w:r>
    </w:p>
    <w:p w14:paraId="638FF483" w14:textId="77777777" w:rsidR="00DE1537" w:rsidRDefault="00DE1537" w:rsidP="00343F3E">
      <w:pPr>
        <w:pStyle w:val="ListBullet2"/>
      </w:pPr>
      <w:r>
        <w:t>funding for the National Emergency Management Projects, National Flood Risk Information Project, Bushfire and Natural Hazards Cooperative Research Centre, National Emergency Volunteer Support Fund, National Bushfire Mitigation Program and programs through the Australian Emergency Management Institute</w:t>
      </w:r>
    </w:p>
    <w:p w14:paraId="24A43755" w14:textId="77777777" w:rsidR="00DE1537" w:rsidRDefault="00DE1537" w:rsidP="00343F3E">
      <w:pPr>
        <w:pStyle w:val="ListBullet"/>
      </w:pPr>
      <w:r>
        <w:t>post</w:t>
      </w:r>
      <w:r>
        <w:noBreakHyphen/>
        <w:t>disaster expenditure</w:t>
      </w:r>
    </w:p>
    <w:p w14:paraId="4AEB8761" w14:textId="77777777" w:rsidR="00DE1537" w:rsidRDefault="00DE1537" w:rsidP="00343F3E">
      <w:pPr>
        <w:pStyle w:val="ListBullet2"/>
      </w:pPr>
      <w:r>
        <w:t>payments to state and territory governments through the Natural Disaster Relief and Recovery Arrangements (NDRRA)</w:t>
      </w:r>
    </w:p>
    <w:p w14:paraId="48B5635D" w14:textId="77777777" w:rsidR="00DE1537" w:rsidRDefault="00DE1537" w:rsidP="00343F3E">
      <w:pPr>
        <w:pStyle w:val="ListBullet2"/>
      </w:pPr>
      <w:r>
        <w:t>payments to eligible individuals affected by major disasters through the Australian Government Disaster Recovery Payment</w:t>
      </w:r>
    </w:p>
    <w:p w14:paraId="71B1B96E" w14:textId="77777777" w:rsidR="00DE1537" w:rsidRDefault="00DE1537" w:rsidP="00343F3E">
      <w:pPr>
        <w:pStyle w:val="ListBullet2"/>
      </w:pPr>
      <w:r>
        <w:t>contributions for the National Aerial Firefighting Arrangements and Emergency Alert</w:t>
      </w:r>
    </w:p>
    <w:p w14:paraId="4A239836" w14:textId="77777777" w:rsidR="00DE1537" w:rsidRDefault="00DE1537" w:rsidP="00343F3E">
      <w:pPr>
        <w:pStyle w:val="ListBullet2"/>
      </w:pPr>
      <w:proofErr w:type="gramStart"/>
      <w:r>
        <w:t>other</w:t>
      </w:r>
      <w:proofErr w:type="gramEnd"/>
      <w:r>
        <w:t xml:space="preserve"> post</w:t>
      </w:r>
      <w:r>
        <w:noBreakHyphen/>
        <w:t>disaster support such as the Disaster Recovery Allowance and ex</w:t>
      </w:r>
      <w:r>
        <w:noBreakHyphen/>
        <w:t>gratia payments.</w:t>
      </w:r>
    </w:p>
    <w:p w14:paraId="529334FF" w14:textId="77777777" w:rsidR="00DE1537" w:rsidRPr="001F7CB1" w:rsidRDefault="00DE1537" w:rsidP="00343F3E">
      <w:pPr>
        <w:pStyle w:val="BodyText"/>
      </w:pPr>
      <w:r>
        <w:t>The costs incurred by state and territory governments were grouped as:</w:t>
      </w:r>
    </w:p>
    <w:p w14:paraId="7464EB42" w14:textId="77777777" w:rsidR="00DE1537" w:rsidRDefault="00DE1537" w:rsidP="00343F3E">
      <w:pPr>
        <w:pStyle w:val="ListBullet"/>
      </w:pPr>
      <w:r>
        <w:t>pre</w:t>
      </w:r>
      <w:r>
        <w:noBreakHyphen/>
        <w:t>disaster expenditure</w:t>
      </w:r>
    </w:p>
    <w:p w14:paraId="5EA22DE6" w14:textId="77777777" w:rsidR="00DE1537" w:rsidRDefault="00DE1537" w:rsidP="00343F3E">
      <w:pPr>
        <w:pStyle w:val="ListBullet2"/>
      </w:pPr>
      <w:r>
        <w:t>reported expenditure on mitigation programs funded through the NPANDR (net of Australian Government funding)</w:t>
      </w:r>
    </w:p>
    <w:p w14:paraId="0EC7B231" w14:textId="77777777" w:rsidR="00DE1537" w:rsidRDefault="00DE1537" w:rsidP="00343F3E">
      <w:pPr>
        <w:pStyle w:val="ListBullet"/>
      </w:pPr>
      <w:r>
        <w:t>post</w:t>
      </w:r>
      <w:r>
        <w:noBreakHyphen/>
        <w:t>disaster expenditure</w:t>
      </w:r>
    </w:p>
    <w:p w14:paraId="1E0BA8EA" w14:textId="77777777" w:rsidR="00DE1537" w:rsidRDefault="00DE1537" w:rsidP="00343F3E">
      <w:pPr>
        <w:pStyle w:val="ListBullet2"/>
      </w:pPr>
      <w:proofErr w:type="gramStart"/>
      <w:r>
        <w:t>expenditure</w:t>
      </w:r>
      <w:proofErr w:type="gramEnd"/>
      <w:r>
        <w:t xml:space="preserve"> on disaster relief and recovery through the NDRRA (net of reimbursements from the Australian Government) and other initiatives.</w:t>
      </w:r>
    </w:p>
    <w:p w14:paraId="405BEBCE" w14:textId="77777777" w:rsidR="00DE1537" w:rsidRDefault="00DE1537" w:rsidP="00343F3E">
      <w:pPr>
        <w:pStyle w:val="BodyText"/>
      </w:pPr>
      <w:r>
        <w:lastRenderedPageBreak/>
        <w:t xml:space="preserve">Disaster funding arrangements for local governments were not considered because, first, consistent fiscal data are not available at that level and, second, </w:t>
      </w:r>
      <w:proofErr w:type="gramStart"/>
      <w:r>
        <w:t>part of their natural disaster costs are</w:t>
      </w:r>
      <w:proofErr w:type="gramEnd"/>
      <w:r>
        <w:t xml:space="preserve"> captured by expenditure at the state and territory level. Furthermore, local governments undertake a number of disaster management activities that are part of their day</w:t>
      </w:r>
      <w:r>
        <w:noBreakHyphen/>
        <w:t>to</w:t>
      </w:r>
      <w:r>
        <w:noBreakHyphen/>
        <w:t>day operations and are not separately identified in their budgets as mitigation, relief or recovery. For higher levels of government, expenditure data were drawn from a range of documents including government budgets, submissions to this inquiry, and implementation plans.</w:t>
      </w:r>
    </w:p>
    <w:p w14:paraId="21720CAA" w14:textId="77777777" w:rsidR="00DE1537" w:rsidRDefault="00DE1537" w:rsidP="00343F3E">
      <w:pPr>
        <w:pStyle w:val="Heading3"/>
      </w:pPr>
      <w:r>
        <w:t>Available estimates</w:t>
      </w:r>
    </w:p>
    <w:p w14:paraId="2F5C8C88" w14:textId="18F6A375" w:rsidR="00DE1537" w:rsidRPr="003C3151" w:rsidRDefault="00DE1537" w:rsidP="00343F3E">
      <w:pPr>
        <w:pStyle w:val="BodyText"/>
      </w:pPr>
      <w:r>
        <w:t>The recent series of natural disasters has had</w:t>
      </w:r>
      <w:r w:rsidRPr="00A47021">
        <w:t xml:space="preserve"> </w:t>
      </w:r>
      <w:r>
        <w:t xml:space="preserve">significant fiscal </w:t>
      </w:r>
      <w:r w:rsidRPr="00A47021">
        <w:t>impacts</w:t>
      </w:r>
      <w:r>
        <w:t xml:space="preserve"> on the Australian Government, and many state, territory and local governments</w:t>
      </w:r>
      <w:r w:rsidRPr="00A47021">
        <w:t xml:space="preserve">. </w:t>
      </w:r>
      <w:r>
        <w:t xml:space="preserve">Since recovery expenditure is treated ex post in budgets, the sudden need for funds after a natural disaster can lead to fiscal volatility. </w:t>
      </w:r>
      <w:r w:rsidRPr="00A47021">
        <w:t xml:space="preserve">These are risks to </w:t>
      </w:r>
      <w:r>
        <w:t>government</w:t>
      </w:r>
      <w:r w:rsidRPr="00A47021">
        <w:t xml:space="preserve"> budget</w:t>
      </w:r>
      <w:r>
        <w:t>s</w:t>
      </w:r>
      <w:r w:rsidRPr="00A47021">
        <w:t xml:space="preserve"> which add to o</w:t>
      </w:r>
      <w:r>
        <w:t>ther long</w:t>
      </w:r>
      <w:r>
        <w:noBreakHyphen/>
        <w:t>term fiscal pressures</w:t>
      </w:r>
      <w:r w:rsidRPr="00A47021">
        <w:t xml:space="preserve"> </w:t>
      </w:r>
      <w:r>
        <w:t xml:space="preserve">(such as those identified in the </w:t>
      </w:r>
      <w:r>
        <w:rPr>
          <w:i/>
        </w:rPr>
        <w:t>Intergenerational Reports</w:t>
      </w:r>
      <w:r>
        <w:t>)</w:t>
      </w:r>
      <w:r w:rsidRPr="00A47021">
        <w:t xml:space="preserve">. </w:t>
      </w:r>
      <w:r>
        <w:t xml:space="preserve">For example, the risks to Australian Government finances were noted by the National Commission of Audit </w:t>
      </w:r>
      <w:r w:rsidRPr="00392F65">
        <w:rPr>
          <w:szCs w:val="24"/>
        </w:rPr>
        <w:t>(2014, p. 94)</w:t>
      </w:r>
      <w:r>
        <w:t>: ‘</w:t>
      </w:r>
      <w:r w:rsidRPr="003C3151">
        <w:rPr>
          <w:rStyle w:val="QuoteChar"/>
        </w:rPr>
        <w:t>the very large and unforseen state payments that can arise under the NDRRA pose considerable risks for managing the Commonwealth’s Budget and its fiscal strategies</w:t>
      </w:r>
      <w:r>
        <w:rPr>
          <w:rStyle w:val="QuoteChar"/>
        </w:rPr>
        <w:t>’</w:t>
      </w:r>
      <w:r w:rsidRPr="003C3151">
        <w:rPr>
          <w:rStyle w:val="QuoteChar"/>
        </w:rPr>
        <w:t>.</w:t>
      </w:r>
      <w:r w:rsidRPr="003C3151">
        <w:t xml:space="preserve"> </w:t>
      </w:r>
    </w:p>
    <w:p w14:paraId="0C880EC8" w14:textId="36CA13C3" w:rsidR="00DE1537" w:rsidRPr="000D2004" w:rsidRDefault="00DE1537" w:rsidP="00343F3E">
      <w:pPr>
        <w:pStyle w:val="BodyText"/>
      </w:pPr>
      <w:r w:rsidRPr="000D2004">
        <w:t>The Queensland Government (sub</w:t>
      </w:r>
      <w:r>
        <w:t>. </w:t>
      </w:r>
      <w:r w:rsidRPr="000D2004">
        <w:t>31) submitted that rapid onset natural disasters resulted in approximately $14 billion of NDRRA expenditure in the past seven years. In another example, Deloitte Access Economics (2013, p. 20) reported the following based on an analysis of NDRRA expenditure:</w:t>
      </w:r>
    </w:p>
    <w:p w14:paraId="5AABCC2C" w14:textId="77777777" w:rsidR="00DE1537" w:rsidRPr="00EF3B91" w:rsidRDefault="00DE1537" w:rsidP="00343F3E">
      <w:pPr>
        <w:pStyle w:val="Quote"/>
      </w:pPr>
      <w:r w:rsidRPr="00EF3B91">
        <w:t>Based on historical averages, total annual costs to governments of natural disasters are expected to be around $700 million per year in real terms. This estimate is derived from the natural disaster costs estimated above and an assessment of historical data.</w:t>
      </w:r>
    </w:p>
    <w:p w14:paraId="0BC492B2" w14:textId="77777777" w:rsidR="00DE1537" w:rsidRDefault="00DE1537" w:rsidP="00343F3E">
      <w:pPr>
        <w:pStyle w:val="Quote"/>
        <w:rPr>
          <w:rFonts w:eastAsia="FrutigerNextPro-Light"/>
        </w:rPr>
      </w:pPr>
      <w:r w:rsidRPr="00EF3B91">
        <w:rPr>
          <w:rFonts w:eastAsia="FrutigerNextPro-Light"/>
        </w:rPr>
        <w:t xml:space="preserve">Historical data indicates that the Australian and state governments collectively face around 11% of the total economic costs of natural disasters. It is estimated that 80% of this government expenditure is outlaid by the Australian Government. </w:t>
      </w:r>
    </w:p>
    <w:p w14:paraId="0F3C80EC" w14:textId="77777777" w:rsidR="00DE1537" w:rsidRPr="00EF3B91" w:rsidRDefault="00DE1537" w:rsidP="00343F3E">
      <w:pPr>
        <w:pStyle w:val="Quote"/>
        <w:rPr>
          <w:rFonts w:eastAsia="FrutigerNextPro-Light"/>
        </w:rPr>
      </w:pPr>
      <w:r w:rsidRPr="00EF3B91">
        <w:rPr>
          <w:rFonts w:eastAsia="FrutigerNextPro-Light"/>
        </w:rPr>
        <w:t>Considering the increase in natural disaster costs forecast over the period to 2050, it is anticipated that governments will eventually face an annual cost of around $2.3 billion in real terms (up from $700 million).</w:t>
      </w:r>
    </w:p>
    <w:p w14:paraId="1F2A9170" w14:textId="77777777" w:rsidR="00DE1537" w:rsidRDefault="00DE1537" w:rsidP="00343F3E">
      <w:pPr>
        <w:pStyle w:val="Heading4"/>
      </w:pPr>
      <w:r>
        <w:t xml:space="preserve">Fiscal costs for the Australian </w:t>
      </w:r>
      <w:r w:rsidRPr="00601DC1">
        <w:t>Government</w:t>
      </w:r>
    </w:p>
    <w:p w14:paraId="3F1A35E7" w14:textId="77777777" w:rsidR="00DE1537" w:rsidRPr="002C7C9A" w:rsidRDefault="00DE1537" w:rsidP="00343F3E">
      <w:pPr>
        <w:pStyle w:val="BodyText"/>
        <w:rPr>
          <w:rFonts w:eastAsiaTheme="minorHAnsi"/>
        </w:rPr>
      </w:pPr>
      <w:r w:rsidRPr="002C7C9A">
        <w:t>The Australian Government provides considerable funding for the management of natural disasters.</w:t>
      </w:r>
      <w:r w:rsidRPr="002C7C9A" w:rsidDel="00E15113">
        <w:t xml:space="preserve"> </w:t>
      </w:r>
      <w:r w:rsidRPr="002C7C9A">
        <w:t>Total expenditure by the Australian Government on pre</w:t>
      </w:r>
      <w:r>
        <w:noBreakHyphen/>
      </w:r>
      <w:r w:rsidRPr="002C7C9A">
        <w:t>disaster as well as post</w:t>
      </w:r>
      <w:r w:rsidRPr="002C7C9A">
        <w:noBreakHyphen/>
        <w:t>disaster initiatives for the period 2002</w:t>
      </w:r>
      <w:r>
        <w:noBreakHyphen/>
      </w:r>
      <w:r w:rsidRPr="002C7C9A">
        <w:t>03 to 2014</w:t>
      </w:r>
      <w:r>
        <w:noBreakHyphen/>
      </w:r>
      <w:r w:rsidRPr="002C7C9A">
        <w:t>15 was in excess of $13.5 billion. This is consistent with evidence presented by the Attorney</w:t>
      </w:r>
      <w:r>
        <w:noBreakHyphen/>
      </w:r>
      <w:r w:rsidRPr="002C7C9A">
        <w:t>General’s Department (sub.</w:t>
      </w:r>
      <w:r>
        <w:t> </w:t>
      </w:r>
      <w:r w:rsidRPr="002C7C9A">
        <w:t>90).</w:t>
      </w:r>
    </w:p>
    <w:p w14:paraId="6B92ABF1" w14:textId="77777777" w:rsidR="00DE1537" w:rsidRPr="002C7C9A" w:rsidRDefault="00DE1537" w:rsidP="00343F3E">
      <w:pPr>
        <w:pStyle w:val="BodyText"/>
      </w:pPr>
      <w:r w:rsidRPr="000D2004">
        <w:lastRenderedPageBreak/>
        <w:t>Since 2002</w:t>
      </w:r>
      <w:r>
        <w:noBreakHyphen/>
      </w:r>
      <w:r w:rsidRPr="000D2004">
        <w:t>03,</w:t>
      </w:r>
      <w:r>
        <w:t xml:space="preserve"> </w:t>
      </w:r>
      <w:r w:rsidRPr="000D2004">
        <w:t xml:space="preserve">Australian Government </w:t>
      </w:r>
      <w:r>
        <w:t xml:space="preserve">expenditure </w:t>
      </w:r>
      <w:r w:rsidRPr="000D2004">
        <w:t>on pre</w:t>
      </w:r>
      <w:r>
        <w:noBreakHyphen/>
      </w:r>
      <w:r w:rsidRPr="000D2004">
        <w:t>disaster initiatives</w:t>
      </w:r>
      <w:r>
        <w:t xml:space="preserve"> has been over</w:t>
      </w:r>
      <w:r w:rsidRPr="000D2004">
        <w:t xml:space="preserve"> $</w:t>
      </w:r>
      <w:r>
        <w:t>55</w:t>
      </w:r>
      <w:r w:rsidRPr="000D2004">
        <w:t>0</w:t>
      </w:r>
      <w:r>
        <w:t> </w:t>
      </w:r>
      <w:r w:rsidRPr="000D2004">
        <w:t>million (table</w:t>
      </w:r>
      <w:r>
        <w:t> 1.4</w:t>
      </w:r>
      <w:r w:rsidRPr="000D2004">
        <w:t>). The major component of pre</w:t>
      </w:r>
      <w:r w:rsidRPr="000D2004">
        <w:noBreakHyphen/>
        <w:t>disaster spending was expenditure through the NPANDR</w:t>
      </w:r>
      <w:r>
        <w:t xml:space="preserve"> —</w:t>
      </w:r>
      <w:r w:rsidRPr="000D2004">
        <w:t xml:space="preserve"> </w:t>
      </w:r>
      <w:r>
        <w:t>about 60</w:t>
      </w:r>
      <w:r w:rsidRPr="000D2004">
        <w:t xml:space="preserve"> per cent of total pre</w:t>
      </w:r>
      <w:r>
        <w:noBreakHyphen/>
      </w:r>
      <w:r w:rsidRPr="000D2004">
        <w:t>disaster expenditure.</w:t>
      </w:r>
      <w:r>
        <w:t xml:space="preserve"> </w:t>
      </w:r>
    </w:p>
    <w:p w14:paraId="74DB3243"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58CA0BF" w14:textId="77777777" w:rsidTr="00343F3E">
        <w:tc>
          <w:tcPr>
            <w:tcW w:w="8771" w:type="dxa"/>
            <w:tcBorders>
              <w:top w:val="single" w:sz="6" w:space="0" w:color="78A22F"/>
              <w:left w:val="nil"/>
              <w:bottom w:val="nil"/>
              <w:right w:val="nil"/>
            </w:tcBorders>
            <w:shd w:val="clear" w:color="auto" w:fill="auto"/>
          </w:tcPr>
          <w:p w14:paraId="18241BF8" w14:textId="73903A3D" w:rsidR="00DE1537" w:rsidRDefault="00DE1537" w:rsidP="00343F3E">
            <w:pPr>
              <w:pStyle w:val="FigureTitle"/>
              <w:rPr>
                <w:rStyle w:val="SubtitleChar"/>
              </w:rPr>
            </w:pPr>
            <w:r>
              <w:rPr>
                <w:b w:val="0"/>
              </w:rPr>
              <w:t>Table 1.</w:t>
            </w:r>
            <w:r>
              <w:rPr>
                <w:b w:val="0"/>
                <w:noProof/>
              </w:rPr>
              <w:t>4</w:t>
            </w:r>
            <w:r>
              <w:tab/>
              <w:t xml:space="preserve">Estimated </w:t>
            </w:r>
            <w:r w:rsidRPr="00223F43">
              <w:t xml:space="preserve">Australian </w:t>
            </w:r>
            <w:r>
              <w:t>G</w:t>
            </w:r>
            <w:r w:rsidRPr="00223F43">
              <w:t>overnment</w:t>
            </w:r>
            <w:r>
              <w:t xml:space="preserve"> pre</w:t>
            </w:r>
            <w:r>
              <w:noBreakHyphen/>
            </w:r>
            <w:r w:rsidRPr="00223F43">
              <w:t>disaster expenditure</w:t>
            </w:r>
          </w:p>
          <w:p w14:paraId="3C51B4AA" w14:textId="77777777" w:rsidR="00DE1537" w:rsidRPr="00436B35" w:rsidRDefault="00DE1537" w:rsidP="00343F3E">
            <w:pPr>
              <w:pStyle w:val="Subtitle"/>
            </w:pPr>
            <w:r w:rsidRPr="00606C8C">
              <w:rPr>
                <w:rStyle w:val="SubtitleChar"/>
              </w:rPr>
              <w:t>2002</w:t>
            </w:r>
            <w:r>
              <w:rPr>
                <w:rStyle w:val="SubtitleChar"/>
              </w:rPr>
              <w:noBreakHyphen/>
            </w:r>
            <w:r w:rsidRPr="00606C8C">
              <w:rPr>
                <w:rStyle w:val="SubtitleChar"/>
              </w:rPr>
              <w:t>03 to 2014</w:t>
            </w:r>
            <w:r>
              <w:rPr>
                <w:rStyle w:val="SubtitleChar"/>
              </w:rPr>
              <w:noBreakHyphen/>
            </w:r>
            <w:r w:rsidRPr="00606C8C">
              <w:rPr>
                <w:rStyle w:val="SubtitleChar"/>
              </w:rPr>
              <w:t>15</w:t>
            </w:r>
          </w:p>
        </w:tc>
      </w:tr>
      <w:tr w:rsidR="00DE1537" w14:paraId="3FFFD975"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DE1537" w14:paraId="56815714" w14:textId="77777777" w:rsidTr="00343F3E">
              <w:tc>
                <w:tcPr>
                  <w:tcW w:w="1000" w:type="pct"/>
                  <w:tcBorders>
                    <w:top w:val="single" w:sz="6" w:space="0" w:color="BFBFBF"/>
                    <w:bottom w:val="single" w:sz="6" w:space="0" w:color="BFBFBF"/>
                  </w:tcBorders>
                  <w:shd w:val="clear" w:color="auto" w:fill="auto"/>
                  <w:tcMar>
                    <w:top w:w="28" w:type="dxa"/>
                  </w:tcMar>
                </w:tcPr>
                <w:p w14:paraId="1EFF81B3" w14:textId="77777777" w:rsidR="00DE1537" w:rsidRDefault="00DE1537" w:rsidP="00343F3E">
                  <w:pPr>
                    <w:pStyle w:val="TableColumnHeading"/>
                    <w:jc w:val="left"/>
                  </w:pPr>
                  <w:r>
                    <w:t>Financial year</w:t>
                  </w:r>
                </w:p>
              </w:tc>
              <w:tc>
                <w:tcPr>
                  <w:tcW w:w="1002" w:type="pct"/>
                  <w:tcBorders>
                    <w:top w:val="single" w:sz="6" w:space="0" w:color="BFBFBF"/>
                    <w:bottom w:val="single" w:sz="6" w:space="0" w:color="BFBFBF"/>
                  </w:tcBorders>
                  <w:shd w:val="clear" w:color="auto" w:fill="auto"/>
                  <w:tcMar>
                    <w:top w:w="28" w:type="dxa"/>
                  </w:tcMar>
                </w:tcPr>
                <w:p w14:paraId="4B1F805A" w14:textId="77777777" w:rsidR="00DE1537" w:rsidRDefault="00DE1537" w:rsidP="00343F3E">
                  <w:pPr>
                    <w:pStyle w:val="TableColumnHeading"/>
                    <w:spacing w:before="20"/>
                    <w:ind w:right="28"/>
                  </w:pPr>
                  <w:r>
                    <w:t>NPANDR/SPPs</w:t>
                  </w:r>
                  <w:r w:rsidRPr="000D2A3F">
                    <w:rPr>
                      <w:rStyle w:val="NoteLabel"/>
                      <w:i w:val="0"/>
                    </w:rPr>
                    <w:t>a</w:t>
                  </w:r>
                </w:p>
              </w:tc>
              <w:tc>
                <w:tcPr>
                  <w:tcW w:w="1000" w:type="pct"/>
                  <w:tcBorders>
                    <w:top w:val="single" w:sz="6" w:space="0" w:color="BFBFBF"/>
                    <w:bottom w:val="single" w:sz="6" w:space="0" w:color="BFBFBF"/>
                  </w:tcBorders>
                  <w:shd w:val="clear" w:color="auto" w:fill="auto"/>
                  <w:tcMar>
                    <w:top w:w="28" w:type="dxa"/>
                  </w:tcMar>
                </w:tcPr>
                <w:p w14:paraId="128BCBBF" w14:textId="77777777" w:rsidR="00DE1537" w:rsidRPr="00432EDC" w:rsidRDefault="00DE1537" w:rsidP="00343F3E">
                  <w:pPr>
                    <w:pStyle w:val="TableColumnHeading"/>
                  </w:pPr>
                  <w:r w:rsidRPr="00432EDC">
                    <w:t>NEMP</w:t>
                  </w:r>
                </w:p>
              </w:tc>
              <w:tc>
                <w:tcPr>
                  <w:tcW w:w="999" w:type="pct"/>
                  <w:tcBorders>
                    <w:top w:val="single" w:sz="6" w:space="0" w:color="BFBFBF"/>
                    <w:bottom w:val="single" w:sz="6" w:space="0" w:color="BFBFBF"/>
                  </w:tcBorders>
                </w:tcPr>
                <w:p w14:paraId="18142A11" w14:textId="77777777" w:rsidR="00DE1537" w:rsidRDefault="00DE1537" w:rsidP="00343F3E">
                  <w:pPr>
                    <w:pStyle w:val="TableColumnHeading"/>
                    <w:spacing w:before="20"/>
                    <w:ind w:right="28"/>
                  </w:pPr>
                  <w:r>
                    <w:t>Other</w:t>
                  </w:r>
                  <w:r w:rsidRPr="003343E2">
                    <w:rPr>
                      <w:rStyle w:val="NoteLabel"/>
                      <w:i w:val="0"/>
                    </w:rPr>
                    <w:t>b</w:t>
                  </w:r>
                </w:p>
              </w:tc>
              <w:tc>
                <w:tcPr>
                  <w:tcW w:w="999" w:type="pct"/>
                  <w:tcBorders>
                    <w:top w:val="single" w:sz="6" w:space="0" w:color="BFBFBF"/>
                    <w:bottom w:val="single" w:sz="6" w:space="0" w:color="BFBFBF"/>
                  </w:tcBorders>
                </w:tcPr>
                <w:p w14:paraId="589E932F" w14:textId="77777777" w:rsidR="00DE1537" w:rsidRPr="00ED5001" w:rsidRDefault="00DE1537" w:rsidP="00343F3E">
                  <w:pPr>
                    <w:pStyle w:val="TableColumnHeading"/>
                    <w:ind w:right="28"/>
                    <w:rPr>
                      <w:b/>
                    </w:rPr>
                  </w:pPr>
                  <w:r w:rsidRPr="00ED5001">
                    <w:rPr>
                      <w:b/>
                    </w:rPr>
                    <w:t>Total</w:t>
                  </w:r>
                </w:p>
              </w:tc>
            </w:tr>
            <w:tr w:rsidR="00DE1537" w14:paraId="37C7691D" w14:textId="77777777" w:rsidTr="00343F3E">
              <w:tc>
                <w:tcPr>
                  <w:tcW w:w="1000" w:type="pct"/>
                  <w:tcBorders>
                    <w:top w:val="single" w:sz="6" w:space="0" w:color="BFBFBF"/>
                  </w:tcBorders>
                </w:tcPr>
                <w:p w14:paraId="3AF66E69" w14:textId="77777777" w:rsidR="00DE1537" w:rsidRDefault="00DE1537" w:rsidP="00343F3E">
                  <w:pPr>
                    <w:pStyle w:val="TableUnitsRow"/>
                    <w:jc w:val="left"/>
                  </w:pPr>
                </w:p>
              </w:tc>
              <w:tc>
                <w:tcPr>
                  <w:tcW w:w="1002" w:type="pct"/>
                  <w:tcBorders>
                    <w:top w:val="single" w:sz="6" w:space="0" w:color="BFBFBF"/>
                  </w:tcBorders>
                </w:tcPr>
                <w:p w14:paraId="1AF68B50" w14:textId="77777777" w:rsidR="00DE1537" w:rsidRPr="009B658C" w:rsidRDefault="00DE1537" w:rsidP="00343F3E">
                  <w:pPr>
                    <w:pStyle w:val="TableUnitsRow"/>
                  </w:pPr>
                  <w:r w:rsidRPr="009B658C">
                    <w:t>$m</w:t>
                  </w:r>
                </w:p>
              </w:tc>
              <w:tc>
                <w:tcPr>
                  <w:tcW w:w="1000" w:type="pct"/>
                  <w:tcBorders>
                    <w:top w:val="single" w:sz="6" w:space="0" w:color="BFBFBF"/>
                  </w:tcBorders>
                </w:tcPr>
                <w:p w14:paraId="7F4B3561" w14:textId="77777777" w:rsidR="00DE1537" w:rsidRPr="009B658C" w:rsidRDefault="00DE1537" w:rsidP="00343F3E">
                  <w:pPr>
                    <w:pStyle w:val="TableUnitsRow"/>
                  </w:pPr>
                  <w:r w:rsidRPr="009B658C">
                    <w:t>$m</w:t>
                  </w:r>
                </w:p>
              </w:tc>
              <w:tc>
                <w:tcPr>
                  <w:tcW w:w="999" w:type="pct"/>
                  <w:tcBorders>
                    <w:top w:val="single" w:sz="6" w:space="0" w:color="BFBFBF"/>
                  </w:tcBorders>
                </w:tcPr>
                <w:p w14:paraId="034BC8B9" w14:textId="77777777" w:rsidR="00DE1537" w:rsidRPr="009B658C" w:rsidRDefault="00DE1537" w:rsidP="00343F3E">
                  <w:pPr>
                    <w:pStyle w:val="TableUnitsRow"/>
                  </w:pPr>
                  <w:r w:rsidRPr="009B658C">
                    <w:t>$m</w:t>
                  </w:r>
                </w:p>
              </w:tc>
              <w:tc>
                <w:tcPr>
                  <w:tcW w:w="999" w:type="pct"/>
                  <w:tcBorders>
                    <w:top w:val="single" w:sz="6" w:space="0" w:color="BFBFBF"/>
                  </w:tcBorders>
                </w:tcPr>
                <w:p w14:paraId="0D6005B3" w14:textId="77777777" w:rsidR="00DE1537" w:rsidRDefault="00DE1537" w:rsidP="00343F3E">
                  <w:pPr>
                    <w:pStyle w:val="TableUnitsRow"/>
                    <w:ind w:right="28"/>
                  </w:pPr>
                  <w:r>
                    <w:t>$m</w:t>
                  </w:r>
                </w:p>
              </w:tc>
            </w:tr>
            <w:tr w:rsidR="00DE1537" w14:paraId="2963549F" w14:textId="77777777" w:rsidTr="00343F3E">
              <w:tc>
                <w:tcPr>
                  <w:tcW w:w="1000" w:type="pct"/>
                </w:tcPr>
                <w:p w14:paraId="78185A25" w14:textId="77777777" w:rsidR="00DE1537" w:rsidRDefault="00DE1537" w:rsidP="00343F3E">
                  <w:pPr>
                    <w:pStyle w:val="TableBodyText"/>
                    <w:jc w:val="left"/>
                  </w:pPr>
                  <w:r>
                    <w:t>2002-03</w:t>
                  </w:r>
                </w:p>
              </w:tc>
              <w:tc>
                <w:tcPr>
                  <w:tcW w:w="1002" w:type="pct"/>
                </w:tcPr>
                <w:p w14:paraId="59472AC3" w14:textId="77777777" w:rsidR="00DE1537" w:rsidRPr="00432EDC" w:rsidRDefault="00DE1537" w:rsidP="00343F3E">
                  <w:pPr>
                    <w:pStyle w:val="TableBodyText"/>
                  </w:pPr>
                  <w:r w:rsidRPr="00432EDC">
                    <w:t>18.4</w:t>
                  </w:r>
                </w:p>
              </w:tc>
              <w:tc>
                <w:tcPr>
                  <w:tcW w:w="1000" w:type="pct"/>
                </w:tcPr>
                <w:p w14:paraId="1A405548" w14:textId="77777777" w:rsidR="00DE1537" w:rsidRPr="00432EDC" w:rsidRDefault="00DE1537" w:rsidP="00343F3E">
                  <w:pPr>
                    <w:pStyle w:val="TableBodyText"/>
                  </w:pPr>
                  <w:r w:rsidRPr="00432EDC">
                    <w:t>–</w:t>
                  </w:r>
                </w:p>
              </w:tc>
              <w:tc>
                <w:tcPr>
                  <w:tcW w:w="999" w:type="pct"/>
                </w:tcPr>
                <w:p w14:paraId="311467D9" w14:textId="77777777" w:rsidR="00DE1537" w:rsidRPr="00432EDC" w:rsidRDefault="00DE1537" w:rsidP="00343F3E">
                  <w:pPr>
                    <w:pStyle w:val="TableBodyText"/>
                  </w:pPr>
                  <w:r w:rsidRPr="00432EDC">
                    <w:t>8.0</w:t>
                  </w:r>
                </w:p>
              </w:tc>
              <w:tc>
                <w:tcPr>
                  <w:tcW w:w="999" w:type="pct"/>
                </w:tcPr>
                <w:p w14:paraId="76E0CE9D" w14:textId="77777777" w:rsidR="00DE1537" w:rsidRPr="00367FF1" w:rsidRDefault="00DE1537" w:rsidP="00343F3E">
                  <w:pPr>
                    <w:pStyle w:val="TableBodyText"/>
                    <w:ind w:right="0"/>
                    <w:rPr>
                      <w:b/>
                    </w:rPr>
                  </w:pPr>
                  <w:r>
                    <w:rPr>
                      <w:b/>
                    </w:rPr>
                    <w:t>26.4</w:t>
                  </w:r>
                </w:p>
              </w:tc>
            </w:tr>
            <w:tr w:rsidR="00DE1537" w14:paraId="34A76171" w14:textId="77777777" w:rsidTr="00343F3E">
              <w:tc>
                <w:tcPr>
                  <w:tcW w:w="1000" w:type="pct"/>
                </w:tcPr>
                <w:p w14:paraId="62B22DB4" w14:textId="77777777" w:rsidR="00DE1537" w:rsidRDefault="00DE1537" w:rsidP="00343F3E">
                  <w:pPr>
                    <w:pStyle w:val="TableBodyText"/>
                    <w:jc w:val="left"/>
                  </w:pPr>
                  <w:r>
                    <w:t>2003-04</w:t>
                  </w:r>
                </w:p>
              </w:tc>
              <w:tc>
                <w:tcPr>
                  <w:tcW w:w="1002" w:type="pct"/>
                </w:tcPr>
                <w:p w14:paraId="68903957" w14:textId="77777777" w:rsidR="00DE1537" w:rsidRPr="00432EDC" w:rsidRDefault="00DE1537" w:rsidP="00343F3E">
                  <w:pPr>
                    <w:pStyle w:val="TableBodyText"/>
                  </w:pPr>
                  <w:r w:rsidRPr="00432EDC">
                    <w:t>10.2</w:t>
                  </w:r>
                </w:p>
              </w:tc>
              <w:tc>
                <w:tcPr>
                  <w:tcW w:w="1000" w:type="pct"/>
                </w:tcPr>
                <w:p w14:paraId="7FF4AE78" w14:textId="77777777" w:rsidR="00DE1537" w:rsidRPr="00432EDC" w:rsidRDefault="00DE1537" w:rsidP="00343F3E">
                  <w:pPr>
                    <w:pStyle w:val="TableBodyText"/>
                  </w:pPr>
                  <w:r w:rsidRPr="00432EDC">
                    <w:t>–</w:t>
                  </w:r>
                </w:p>
              </w:tc>
              <w:tc>
                <w:tcPr>
                  <w:tcW w:w="999" w:type="pct"/>
                </w:tcPr>
                <w:p w14:paraId="68D63910" w14:textId="77777777" w:rsidR="00DE1537" w:rsidRPr="00432EDC" w:rsidRDefault="00DE1537" w:rsidP="00343F3E">
                  <w:pPr>
                    <w:pStyle w:val="TableBodyText"/>
                  </w:pPr>
                  <w:r w:rsidRPr="00432EDC">
                    <w:t>10.2</w:t>
                  </w:r>
                </w:p>
              </w:tc>
              <w:tc>
                <w:tcPr>
                  <w:tcW w:w="999" w:type="pct"/>
                </w:tcPr>
                <w:p w14:paraId="7D58043C" w14:textId="77777777" w:rsidR="00DE1537" w:rsidRPr="00367FF1" w:rsidRDefault="00DE1537" w:rsidP="00343F3E">
                  <w:pPr>
                    <w:pStyle w:val="TableBodyText"/>
                    <w:ind w:right="0"/>
                    <w:rPr>
                      <w:b/>
                    </w:rPr>
                  </w:pPr>
                  <w:r>
                    <w:rPr>
                      <w:b/>
                    </w:rPr>
                    <w:t>20.4</w:t>
                  </w:r>
                </w:p>
              </w:tc>
            </w:tr>
            <w:tr w:rsidR="00DE1537" w14:paraId="55E3481D" w14:textId="77777777" w:rsidTr="00343F3E">
              <w:tc>
                <w:tcPr>
                  <w:tcW w:w="1000" w:type="pct"/>
                </w:tcPr>
                <w:p w14:paraId="1451F841" w14:textId="77777777" w:rsidR="00DE1537" w:rsidRDefault="00DE1537" w:rsidP="00343F3E">
                  <w:pPr>
                    <w:pStyle w:val="TableBodyText"/>
                    <w:jc w:val="left"/>
                  </w:pPr>
                  <w:r>
                    <w:t>2004-05</w:t>
                  </w:r>
                </w:p>
              </w:tc>
              <w:tc>
                <w:tcPr>
                  <w:tcW w:w="1002" w:type="pct"/>
                </w:tcPr>
                <w:p w14:paraId="27ADA50A" w14:textId="77777777" w:rsidR="00DE1537" w:rsidRPr="00432EDC" w:rsidRDefault="00DE1537" w:rsidP="00343F3E">
                  <w:pPr>
                    <w:pStyle w:val="TableBodyText"/>
                  </w:pPr>
                  <w:r w:rsidRPr="00432EDC">
                    <w:t>15.5</w:t>
                  </w:r>
                </w:p>
              </w:tc>
              <w:tc>
                <w:tcPr>
                  <w:tcW w:w="1000" w:type="pct"/>
                </w:tcPr>
                <w:p w14:paraId="4BA138CA" w14:textId="77777777" w:rsidR="00DE1537" w:rsidRPr="00432EDC" w:rsidRDefault="00DE1537" w:rsidP="00343F3E">
                  <w:pPr>
                    <w:pStyle w:val="TableBodyText"/>
                  </w:pPr>
                  <w:r w:rsidRPr="00432EDC">
                    <w:t>–</w:t>
                  </w:r>
                </w:p>
              </w:tc>
              <w:tc>
                <w:tcPr>
                  <w:tcW w:w="999" w:type="pct"/>
                </w:tcPr>
                <w:p w14:paraId="030C7427" w14:textId="77777777" w:rsidR="00DE1537" w:rsidRPr="00432EDC" w:rsidRDefault="00DE1537" w:rsidP="00343F3E">
                  <w:pPr>
                    <w:pStyle w:val="TableBodyText"/>
                  </w:pPr>
                  <w:r w:rsidRPr="00432EDC">
                    <w:t>12.4</w:t>
                  </w:r>
                </w:p>
              </w:tc>
              <w:tc>
                <w:tcPr>
                  <w:tcW w:w="999" w:type="pct"/>
                </w:tcPr>
                <w:p w14:paraId="0FD0BCAF" w14:textId="77777777" w:rsidR="00DE1537" w:rsidRPr="00367FF1" w:rsidRDefault="00DE1537" w:rsidP="00343F3E">
                  <w:pPr>
                    <w:pStyle w:val="TableBodyText"/>
                    <w:ind w:right="0"/>
                    <w:rPr>
                      <w:b/>
                    </w:rPr>
                  </w:pPr>
                  <w:r>
                    <w:rPr>
                      <w:b/>
                    </w:rPr>
                    <w:t>27.9</w:t>
                  </w:r>
                </w:p>
              </w:tc>
            </w:tr>
            <w:tr w:rsidR="00DE1537" w14:paraId="230F25B6" w14:textId="77777777" w:rsidTr="00343F3E">
              <w:tc>
                <w:tcPr>
                  <w:tcW w:w="1000" w:type="pct"/>
                </w:tcPr>
                <w:p w14:paraId="0B525668" w14:textId="77777777" w:rsidR="00DE1537" w:rsidRDefault="00DE1537" w:rsidP="00343F3E">
                  <w:pPr>
                    <w:pStyle w:val="TableBodyText"/>
                    <w:jc w:val="left"/>
                  </w:pPr>
                  <w:r>
                    <w:t>2005-06</w:t>
                  </w:r>
                </w:p>
              </w:tc>
              <w:tc>
                <w:tcPr>
                  <w:tcW w:w="1002" w:type="pct"/>
                </w:tcPr>
                <w:p w14:paraId="70C98D66" w14:textId="77777777" w:rsidR="00DE1537" w:rsidRPr="00432EDC" w:rsidRDefault="00DE1537" w:rsidP="00343F3E">
                  <w:pPr>
                    <w:pStyle w:val="TableBodyText"/>
                  </w:pPr>
                  <w:r w:rsidRPr="00432EDC">
                    <w:t>30.9</w:t>
                  </w:r>
                </w:p>
              </w:tc>
              <w:tc>
                <w:tcPr>
                  <w:tcW w:w="1000" w:type="pct"/>
                </w:tcPr>
                <w:p w14:paraId="7F42760A" w14:textId="77777777" w:rsidR="00DE1537" w:rsidRPr="00432EDC" w:rsidRDefault="00DE1537" w:rsidP="00343F3E">
                  <w:pPr>
                    <w:pStyle w:val="TableBodyText"/>
                  </w:pPr>
                  <w:r w:rsidRPr="00432EDC">
                    <w:t>–</w:t>
                  </w:r>
                </w:p>
              </w:tc>
              <w:tc>
                <w:tcPr>
                  <w:tcW w:w="999" w:type="pct"/>
                </w:tcPr>
                <w:p w14:paraId="33B764BB" w14:textId="77777777" w:rsidR="00DE1537" w:rsidRPr="00432EDC" w:rsidRDefault="00DE1537" w:rsidP="00343F3E">
                  <w:pPr>
                    <w:pStyle w:val="TableBodyText"/>
                  </w:pPr>
                  <w:r w:rsidRPr="00432EDC">
                    <w:t>20.0</w:t>
                  </w:r>
                </w:p>
              </w:tc>
              <w:tc>
                <w:tcPr>
                  <w:tcW w:w="999" w:type="pct"/>
                </w:tcPr>
                <w:p w14:paraId="1DA02098" w14:textId="77777777" w:rsidR="00DE1537" w:rsidRPr="00367FF1" w:rsidRDefault="00DE1537" w:rsidP="00343F3E">
                  <w:pPr>
                    <w:pStyle w:val="TableBodyText"/>
                    <w:ind w:right="0"/>
                    <w:rPr>
                      <w:b/>
                    </w:rPr>
                  </w:pPr>
                  <w:r>
                    <w:rPr>
                      <w:b/>
                    </w:rPr>
                    <w:t>50.9</w:t>
                  </w:r>
                </w:p>
              </w:tc>
            </w:tr>
            <w:tr w:rsidR="00DE1537" w14:paraId="41619A56" w14:textId="77777777" w:rsidTr="00343F3E">
              <w:tc>
                <w:tcPr>
                  <w:tcW w:w="1000" w:type="pct"/>
                </w:tcPr>
                <w:p w14:paraId="17267D54" w14:textId="77777777" w:rsidR="00DE1537" w:rsidRDefault="00DE1537" w:rsidP="00343F3E">
                  <w:pPr>
                    <w:pStyle w:val="TableBodyText"/>
                    <w:jc w:val="left"/>
                  </w:pPr>
                  <w:r>
                    <w:t>2006-07</w:t>
                  </w:r>
                </w:p>
              </w:tc>
              <w:tc>
                <w:tcPr>
                  <w:tcW w:w="1002" w:type="pct"/>
                </w:tcPr>
                <w:p w14:paraId="3AA2BA8F" w14:textId="77777777" w:rsidR="00DE1537" w:rsidRPr="00432EDC" w:rsidRDefault="00DE1537" w:rsidP="00343F3E">
                  <w:pPr>
                    <w:pStyle w:val="TableBodyText"/>
                  </w:pPr>
                  <w:r w:rsidRPr="00432EDC">
                    <w:t>24.0</w:t>
                  </w:r>
                </w:p>
              </w:tc>
              <w:tc>
                <w:tcPr>
                  <w:tcW w:w="1000" w:type="pct"/>
                </w:tcPr>
                <w:p w14:paraId="0FDBDEE3" w14:textId="77777777" w:rsidR="00DE1537" w:rsidRPr="00432EDC" w:rsidRDefault="00DE1537" w:rsidP="00343F3E">
                  <w:pPr>
                    <w:pStyle w:val="TableBodyText"/>
                  </w:pPr>
                  <w:r w:rsidRPr="00432EDC">
                    <w:t>–</w:t>
                  </w:r>
                </w:p>
              </w:tc>
              <w:tc>
                <w:tcPr>
                  <w:tcW w:w="999" w:type="pct"/>
                </w:tcPr>
                <w:p w14:paraId="01026344" w14:textId="77777777" w:rsidR="00DE1537" w:rsidRPr="00432EDC" w:rsidRDefault="00DE1537" w:rsidP="00343F3E">
                  <w:pPr>
                    <w:pStyle w:val="TableBodyText"/>
                  </w:pPr>
                  <w:r w:rsidRPr="00432EDC">
                    <w:t>17.7</w:t>
                  </w:r>
                </w:p>
              </w:tc>
              <w:tc>
                <w:tcPr>
                  <w:tcW w:w="999" w:type="pct"/>
                </w:tcPr>
                <w:p w14:paraId="53A6CF0A" w14:textId="77777777" w:rsidR="00DE1537" w:rsidRPr="00367FF1" w:rsidRDefault="00DE1537" w:rsidP="00343F3E">
                  <w:pPr>
                    <w:pStyle w:val="TableBodyText"/>
                    <w:ind w:right="0"/>
                    <w:rPr>
                      <w:b/>
                    </w:rPr>
                  </w:pPr>
                  <w:r>
                    <w:rPr>
                      <w:b/>
                    </w:rPr>
                    <w:t>41.7</w:t>
                  </w:r>
                </w:p>
              </w:tc>
            </w:tr>
            <w:tr w:rsidR="00DE1537" w14:paraId="6E75E952" w14:textId="77777777" w:rsidTr="00343F3E">
              <w:tc>
                <w:tcPr>
                  <w:tcW w:w="1000" w:type="pct"/>
                </w:tcPr>
                <w:p w14:paraId="586AA32B" w14:textId="77777777" w:rsidR="00DE1537" w:rsidRDefault="00DE1537" w:rsidP="00343F3E">
                  <w:pPr>
                    <w:pStyle w:val="TableBodyText"/>
                    <w:jc w:val="left"/>
                  </w:pPr>
                  <w:r>
                    <w:t>2007-08</w:t>
                  </w:r>
                </w:p>
              </w:tc>
              <w:tc>
                <w:tcPr>
                  <w:tcW w:w="1002" w:type="pct"/>
                </w:tcPr>
                <w:p w14:paraId="0E027EDE" w14:textId="77777777" w:rsidR="00DE1537" w:rsidRPr="00432EDC" w:rsidRDefault="00DE1537" w:rsidP="00343F3E">
                  <w:pPr>
                    <w:pStyle w:val="TableBodyText"/>
                  </w:pPr>
                  <w:r w:rsidRPr="00432EDC">
                    <w:t>30.2</w:t>
                  </w:r>
                </w:p>
              </w:tc>
              <w:tc>
                <w:tcPr>
                  <w:tcW w:w="1000" w:type="pct"/>
                </w:tcPr>
                <w:p w14:paraId="10C9C0C0" w14:textId="77777777" w:rsidR="00DE1537" w:rsidRPr="00432EDC" w:rsidRDefault="00DE1537" w:rsidP="00343F3E">
                  <w:pPr>
                    <w:pStyle w:val="TableBodyText"/>
                  </w:pPr>
                  <w:r w:rsidRPr="00432EDC">
                    <w:t>–</w:t>
                  </w:r>
                </w:p>
              </w:tc>
              <w:tc>
                <w:tcPr>
                  <w:tcW w:w="999" w:type="pct"/>
                </w:tcPr>
                <w:p w14:paraId="26F43EC6" w14:textId="77777777" w:rsidR="00DE1537" w:rsidRPr="00432EDC" w:rsidRDefault="00DE1537" w:rsidP="00343F3E">
                  <w:pPr>
                    <w:pStyle w:val="TableBodyText"/>
                  </w:pPr>
                  <w:r w:rsidRPr="00432EDC">
                    <w:t>17.4</w:t>
                  </w:r>
                </w:p>
              </w:tc>
              <w:tc>
                <w:tcPr>
                  <w:tcW w:w="999" w:type="pct"/>
                </w:tcPr>
                <w:p w14:paraId="0318EE2D" w14:textId="77777777" w:rsidR="00DE1537" w:rsidRPr="00367FF1" w:rsidRDefault="00DE1537" w:rsidP="00343F3E">
                  <w:pPr>
                    <w:pStyle w:val="TableBodyText"/>
                    <w:ind w:right="0"/>
                    <w:rPr>
                      <w:b/>
                    </w:rPr>
                  </w:pPr>
                  <w:r>
                    <w:rPr>
                      <w:b/>
                    </w:rPr>
                    <w:t>47.6</w:t>
                  </w:r>
                </w:p>
              </w:tc>
            </w:tr>
            <w:tr w:rsidR="00DE1537" w14:paraId="60318DDA" w14:textId="77777777" w:rsidTr="00343F3E">
              <w:tc>
                <w:tcPr>
                  <w:tcW w:w="1000" w:type="pct"/>
                </w:tcPr>
                <w:p w14:paraId="3C84D8BE" w14:textId="77777777" w:rsidR="00DE1537" w:rsidRDefault="00DE1537" w:rsidP="00343F3E">
                  <w:pPr>
                    <w:pStyle w:val="TableBodyText"/>
                    <w:jc w:val="left"/>
                  </w:pPr>
                  <w:r>
                    <w:t>2008-09</w:t>
                  </w:r>
                </w:p>
              </w:tc>
              <w:tc>
                <w:tcPr>
                  <w:tcW w:w="1002" w:type="pct"/>
                </w:tcPr>
                <w:p w14:paraId="4F7BB548" w14:textId="77777777" w:rsidR="00DE1537" w:rsidRPr="00432EDC" w:rsidRDefault="00DE1537" w:rsidP="00343F3E">
                  <w:pPr>
                    <w:pStyle w:val="TableBodyText"/>
                  </w:pPr>
                  <w:r w:rsidRPr="00432EDC">
                    <w:t>36.9</w:t>
                  </w:r>
                </w:p>
              </w:tc>
              <w:tc>
                <w:tcPr>
                  <w:tcW w:w="1000" w:type="pct"/>
                </w:tcPr>
                <w:p w14:paraId="57E67734" w14:textId="77777777" w:rsidR="00DE1537" w:rsidRPr="00432EDC" w:rsidRDefault="00DE1537" w:rsidP="00343F3E">
                  <w:pPr>
                    <w:pStyle w:val="TableBodyText"/>
                  </w:pPr>
                  <w:r w:rsidRPr="00432EDC">
                    <w:t>–</w:t>
                  </w:r>
                </w:p>
              </w:tc>
              <w:tc>
                <w:tcPr>
                  <w:tcW w:w="999" w:type="pct"/>
                </w:tcPr>
                <w:p w14:paraId="3F77DCE2" w14:textId="77777777" w:rsidR="00DE1537" w:rsidRPr="00432EDC" w:rsidRDefault="00DE1537" w:rsidP="00343F3E">
                  <w:pPr>
                    <w:pStyle w:val="TableBodyText"/>
                  </w:pPr>
                  <w:r w:rsidRPr="00432EDC">
                    <w:t>15.6</w:t>
                  </w:r>
                </w:p>
              </w:tc>
              <w:tc>
                <w:tcPr>
                  <w:tcW w:w="999" w:type="pct"/>
                </w:tcPr>
                <w:p w14:paraId="74619F84" w14:textId="77777777" w:rsidR="00DE1537" w:rsidRPr="00367FF1" w:rsidRDefault="00DE1537" w:rsidP="00343F3E">
                  <w:pPr>
                    <w:pStyle w:val="TableBodyText"/>
                    <w:ind w:right="0"/>
                    <w:rPr>
                      <w:b/>
                    </w:rPr>
                  </w:pPr>
                  <w:r>
                    <w:rPr>
                      <w:b/>
                    </w:rPr>
                    <w:t>52.5</w:t>
                  </w:r>
                </w:p>
              </w:tc>
            </w:tr>
            <w:tr w:rsidR="00DE1537" w14:paraId="14D3679F" w14:textId="77777777" w:rsidTr="00343F3E">
              <w:tc>
                <w:tcPr>
                  <w:tcW w:w="1000" w:type="pct"/>
                </w:tcPr>
                <w:p w14:paraId="681BCA9F" w14:textId="77777777" w:rsidR="00DE1537" w:rsidRDefault="00DE1537" w:rsidP="00343F3E">
                  <w:pPr>
                    <w:pStyle w:val="TableBodyText"/>
                    <w:jc w:val="left"/>
                  </w:pPr>
                  <w:r>
                    <w:t>2009-10</w:t>
                  </w:r>
                </w:p>
              </w:tc>
              <w:tc>
                <w:tcPr>
                  <w:tcW w:w="1002" w:type="pct"/>
                </w:tcPr>
                <w:p w14:paraId="0D391B38" w14:textId="77777777" w:rsidR="00DE1537" w:rsidRPr="00432EDC" w:rsidRDefault="00DE1537" w:rsidP="00343F3E">
                  <w:pPr>
                    <w:pStyle w:val="TableBodyText"/>
                  </w:pPr>
                  <w:r w:rsidRPr="00432EDC">
                    <w:t>34.1</w:t>
                  </w:r>
                </w:p>
              </w:tc>
              <w:tc>
                <w:tcPr>
                  <w:tcW w:w="1000" w:type="pct"/>
                </w:tcPr>
                <w:p w14:paraId="62D5E492" w14:textId="77777777" w:rsidR="00DE1537" w:rsidRPr="00432EDC" w:rsidRDefault="00DE1537" w:rsidP="00343F3E">
                  <w:pPr>
                    <w:pStyle w:val="TableBodyText"/>
                  </w:pPr>
                  <w:r w:rsidRPr="00432EDC">
                    <w:t>3.6</w:t>
                  </w:r>
                </w:p>
              </w:tc>
              <w:tc>
                <w:tcPr>
                  <w:tcW w:w="999" w:type="pct"/>
                </w:tcPr>
                <w:p w14:paraId="42AE9BD7" w14:textId="77777777" w:rsidR="00DE1537" w:rsidRPr="00432EDC" w:rsidRDefault="00DE1537" w:rsidP="00343F3E">
                  <w:pPr>
                    <w:pStyle w:val="TableBodyText"/>
                  </w:pPr>
                  <w:r w:rsidRPr="00432EDC">
                    <w:t>15.0</w:t>
                  </w:r>
                </w:p>
              </w:tc>
              <w:tc>
                <w:tcPr>
                  <w:tcW w:w="999" w:type="pct"/>
                </w:tcPr>
                <w:p w14:paraId="3F9D6909" w14:textId="77777777" w:rsidR="00DE1537" w:rsidRPr="00367FF1" w:rsidRDefault="00DE1537" w:rsidP="00343F3E">
                  <w:pPr>
                    <w:pStyle w:val="TableBodyText"/>
                    <w:ind w:right="0"/>
                    <w:rPr>
                      <w:b/>
                    </w:rPr>
                  </w:pPr>
                  <w:r>
                    <w:rPr>
                      <w:b/>
                    </w:rPr>
                    <w:t>52.7</w:t>
                  </w:r>
                </w:p>
              </w:tc>
            </w:tr>
            <w:tr w:rsidR="00DE1537" w14:paraId="0860C2F5" w14:textId="77777777" w:rsidTr="00343F3E">
              <w:tc>
                <w:tcPr>
                  <w:tcW w:w="1000" w:type="pct"/>
                </w:tcPr>
                <w:p w14:paraId="0D3B0114" w14:textId="77777777" w:rsidR="00DE1537" w:rsidRDefault="00DE1537" w:rsidP="00343F3E">
                  <w:pPr>
                    <w:pStyle w:val="TableBodyText"/>
                    <w:jc w:val="left"/>
                  </w:pPr>
                  <w:r>
                    <w:t>2010-11</w:t>
                  </w:r>
                </w:p>
              </w:tc>
              <w:tc>
                <w:tcPr>
                  <w:tcW w:w="1002" w:type="pct"/>
                </w:tcPr>
                <w:p w14:paraId="2BA5063A" w14:textId="77777777" w:rsidR="00DE1537" w:rsidRPr="00432EDC" w:rsidRDefault="00DE1537" w:rsidP="00343F3E">
                  <w:pPr>
                    <w:pStyle w:val="TableBodyText"/>
                  </w:pPr>
                  <w:r w:rsidRPr="00432EDC">
                    <w:t>26.4</w:t>
                  </w:r>
                </w:p>
              </w:tc>
              <w:tc>
                <w:tcPr>
                  <w:tcW w:w="1000" w:type="pct"/>
                </w:tcPr>
                <w:p w14:paraId="74ECAE1E" w14:textId="77777777" w:rsidR="00DE1537" w:rsidRPr="00432EDC" w:rsidRDefault="00DE1537" w:rsidP="00343F3E">
                  <w:pPr>
                    <w:pStyle w:val="TableBodyText"/>
                  </w:pPr>
                  <w:r w:rsidRPr="00432EDC">
                    <w:t>3.6</w:t>
                  </w:r>
                </w:p>
              </w:tc>
              <w:tc>
                <w:tcPr>
                  <w:tcW w:w="999" w:type="pct"/>
                </w:tcPr>
                <w:p w14:paraId="36E0A6F1" w14:textId="77777777" w:rsidR="00DE1537" w:rsidRPr="00432EDC" w:rsidRDefault="00DE1537" w:rsidP="00343F3E">
                  <w:pPr>
                    <w:pStyle w:val="TableBodyText"/>
                  </w:pPr>
                  <w:r w:rsidRPr="00432EDC">
                    <w:t>13.0</w:t>
                  </w:r>
                </w:p>
              </w:tc>
              <w:tc>
                <w:tcPr>
                  <w:tcW w:w="999" w:type="pct"/>
                </w:tcPr>
                <w:p w14:paraId="6371308F" w14:textId="77777777" w:rsidR="00DE1537" w:rsidRPr="00367FF1" w:rsidRDefault="00DE1537" w:rsidP="00343F3E">
                  <w:pPr>
                    <w:pStyle w:val="TableBodyText"/>
                    <w:ind w:right="0"/>
                    <w:rPr>
                      <w:b/>
                    </w:rPr>
                  </w:pPr>
                  <w:r>
                    <w:rPr>
                      <w:b/>
                    </w:rPr>
                    <w:t>43.0</w:t>
                  </w:r>
                </w:p>
              </w:tc>
            </w:tr>
            <w:tr w:rsidR="00DE1537" w14:paraId="6812CE4A" w14:textId="77777777" w:rsidTr="00343F3E">
              <w:tc>
                <w:tcPr>
                  <w:tcW w:w="1000" w:type="pct"/>
                </w:tcPr>
                <w:p w14:paraId="0323DECA" w14:textId="77777777" w:rsidR="00DE1537" w:rsidRDefault="00DE1537" w:rsidP="00343F3E">
                  <w:pPr>
                    <w:pStyle w:val="TableBodyText"/>
                    <w:jc w:val="left"/>
                  </w:pPr>
                  <w:r>
                    <w:t>2011-12</w:t>
                  </w:r>
                </w:p>
              </w:tc>
              <w:tc>
                <w:tcPr>
                  <w:tcW w:w="1002" w:type="pct"/>
                </w:tcPr>
                <w:p w14:paraId="12269E30" w14:textId="77777777" w:rsidR="00DE1537" w:rsidRPr="00432EDC" w:rsidRDefault="00DE1537" w:rsidP="00343F3E">
                  <w:pPr>
                    <w:pStyle w:val="TableBodyText"/>
                  </w:pPr>
                  <w:r w:rsidRPr="00432EDC">
                    <w:t>30.0</w:t>
                  </w:r>
                </w:p>
              </w:tc>
              <w:tc>
                <w:tcPr>
                  <w:tcW w:w="1000" w:type="pct"/>
                </w:tcPr>
                <w:p w14:paraId="6E8F50C2" w14:textId="77777777" w:rsidR="00DE1537" w:rsidRPr="00432EDC" w:rsidRDefault="00DE1537" w:rsidP="00343F3E">
                  <w:pPr>
                    <w:pStyle w:val="TableBodyText"/>
                  </w:pPr>
                  <w:r w:rsidRPr="00432EDC">
                    <w:t>3.6</w:t>
                  </w:r>
                </w:p>
              </w:tc>
              <w:tc>
                <w:tcPr>
                  <w:tcW w:w="999" w:type="pct"/>
                </w:tcPr>
                <w:p w14:paraId="0B1A1199" w14:textId="77777777" w:rsidR="00DE1537" w:rsidRPr="00432EDC" w:rsidRDefault="00DE1537" w:rsidP="00343F3E">
                  <w:pPr>
                    <w:pStyle w:val="TableBodyText"/>
                  </w:pPr>
                  <w:r w:rsidRPr="00432EDC">
                    <w:t>13.0</w:t>
                  </w:r>
                </w:p>
              </w:tc>
              <w:tc>
                <w:tcPr>
                  <w:tcW w:w="999" w:type="pct"/>
                </w:tcPr>
                <w:p w14:paraId="0221DC73" w14:textId="77777777" w:rsidR="00DE1537" w:rsidRPr="00367FF1" w:rsidRDefault="00DE1537" w:rsidP="00343F3E">
                  <w:pPr>
                    <w:pStyle w:val="TableBodyText"/>
                    <w:ind w:right="0"/>
                    <w:rPr>
                      <w:b/>
                    </w:rPr>
                  </w:pPr>
                  <w:r>
                    <w:rPr>
                      <w:b/>
                    </w:rPr>
                    <w:t>46.6</w:t>
                  </w:r>
                </w:p>
              </w:tc>
            </w:tr>
            <w:tr w:rsidR="00DE1537" w14:paraId="2270AD28" w14:textId="77777777" w:rsidTr="00343F3E">
              <w:tc>
                <w:tcPr>
                  <w:tcW w:w="1000" w:type="pct"/>
                </w:tcPr>
                <w:p w14:paraId="3480D4A9" w14:textId="77777777" w:rsidR="00DE1537" w:rsidRDefault="00DE1537" w:rsidP="00343F3E">
                  <w:pPr>
                    <w:pStyle w:val="TableBodyText"/>
                    <w:jc w:val="left"/>
                  </w:pPr>
                  <w:r>
                    <w:t>2012-13</w:t>
                  </w:r>
                </w:p>
              </w:tc>
              <w:tc>
                <w:tcPr>
                  <w:tcW w:w="1002" w:type="pct"/>
                </w:tcPr>
                <w:p w14:paraId="4D6B37D4" w14:textId="77777777" w:rsidR="00DE1537" w:rsidRPr="00432EDC" w:rsidRDefault="00DE1537" w:rsidP="00343F3E">
                  <w:pPr>
                    <w:pStyle w:val="TableBodyText"/>
                  </w:pPr>
                  <w:r w:rsidRPr="00432EDC">
                    <w:t>24.0</w:t>
                  </w:r>
                </w:p>
              </w:tc>
              <w:tc>
                <w:tcPr>
                  <w:tcW w:w="1000" w:type="pct"/>
                </w:tcPr>
                <w:p w14:paraId="25499117" w14:textId="77777777" w:rsidR="00DE1537" w:rsidRPr="00432EDC" w:rsidRDefault="00DE1537" w:rsidP="00343F3E">
                  <w:pPr>
                    <w:pStyle w:val="TableBodyText"/>
                  </w:pPr>
                  <w:r w:rsidRPr="00432EDC">
                    <w:t>3.8</w:t>
                  </w:r>
                </w:p>
              </w:tc>
              <w:tc>
                <w:tcPr>
                  <w:tcW w:w="999" w:type="pct"/>
                </w:tcPr>
                <w:p w14:paraId="124FE75D" w14:textId="77777777" w:rsidR="00DE1537" w:rsidRPr="00432EDC" w:rsidRDefault="00DE1537" w:rsidP="00343F3E">
                  <w:pPr>
                    <w:pStyle w:val="TableBodyText"/>
                  </w:pPr>
                  <w:r w:rsidRPr="00432EDC">
                    <w:t>16.0</w:t>
                  </w:r>
                </w:p>
              </w:tc>
              <w:tc>
                <w:tcPr>
                  <w:tcW w:w="999" w:type="pct"/>
                </w:tcPr>
                <w:p w14:paraId="1E6BA39E" w14:textId="77777777" w:rsidR="00DE1537" w:rsidRPr="00367FF1" w:rsidRDefault="00DE1537" w:rsidP="00343F3E">
                  <w:pPr>
                    <w:pStyle w:val="TableBodyText"/>
                    <w:ind w:right="0"/>
                    <w:rPr>
                      <w:b/>
                    </w:rPr>
                  </w:pPr>
                  <w:r>
                    <w:rPr>
                      <w:b/>
                    </w:rPr>
                    <w:t>43.8</w:t>
                  </w:r>
                </w:p>
              </w:tc>
            </w:tr>
            <w:tr w:rsidR="00DE1537" w14:paraId="769D08FC" w14:textId="77777777" w:rsidTr="00343F3E">
              <w:tc>
                <w:tcPr>
                  <w:tcW w:w="1000" w:type="pct"/>
                </w:tcPr>
                <w:p w14:paraId="57AF9951" w14:textId="77777777" w:rsidR="00DE1537" w:rsidRDefault="00DE1537" w:rsidP="00343F3E">
                  <w:pPr>
                    <w:pStyle w:val="TableBodyText"/>
                    <w:jc w:val="left"/>
                  </w:pPr>
                  <w:r>
                    <w:t>2013-14</w:t>
                  </w:r>
                </w:p>
              </w:tc>
              <w:tc>
                <w:tcPr>
                  <w:tcW w:w="1002" w:type="pct"/>
                </w:tcPr>
                <w:p w14:paraId="0699A4B3" w14:textId="77777777" w:rsidR="00DE1537" w:rsidRPr="00432EDC" w:rsidRDefault="00DE1537" w:rsidP="00343F3E">
                  <w:pPr>
                    <w:pStyle w:val="TableBodyText"/>
                  </w:pPr>
                  <w:r w:rsidRPr="00432EDC">
                    <w:t>1</w:t>
                  </w:r>
                  <w:r>
                    <w:t>7.6</w:t>
                  </w:r>
                </w:p>
              </w:tc>
              <w:tc>
                <w:tcPr>
                  <w:tcW w:w="1000" w:type="pct"/>
                </w:tcPr>
                <w:p w14:paraId="4F502C8F" w14:textId="77777777" w:rsidR="00DE1537" w:rsidRPr="00432EDC" w:rsidRDefault="00DE1537" w:rsidP="00343F3E">
                  <w:pPr>
                    <w:pStyle w:val="TableBodyText"/>
                  </w:pPr>
                  <w:r w:rsidRPr="00432EDC">
                    <w:t>3.6</w:t>
                  </w:r>
                </w:p>
              </w:tc>
              <w:tc>
                <w:tcPr>
                  <w:tcW w:w="999" w:type="pct"/>
                </w:tcPr>
                <w:p w14:paraId="51CA595E" w14:textId="77777777" w:rsidR="00DE1537" w:rsidRPr="00432EDC" w:rsidRDefault="00DE1537" w:rsidP="00343F3E">
                  <w:pPr>
                    <w:pStyle w:val="TableBodyText"/>
                  </w:pPr>
                  <w:r w:rsidRPr="00432EDC">
                    <w:t>16.0</w:t>
                  </w:r>
                </w:p>
              </w:tc>
              <w:tc>
                <w:tcPr>
                  <w:tcW w:w="999" w:type="pct"/>
                </w:tcPr>
                <w:p w14:paraId="5AD348CF" w14:textId="77777777" w:rsidR="00DE1537" w:rsidRPr="00367FF1" w:rsidRDefault="00DE1537" w:rsidP="00343F3E">
                  <w:pPr>
                    <w:pStyle w:val="TableBodyText"/>
                    <w:ind w:right="0"/>
                    <w:rPr>
                      <w:b/>
                    </w:rPr>
                  </w:pPr>
                  <w:r>
                    <w:rPr>
                      <w:b/>
                    </w:rPr>
                    <w:t>37.2</w:t>
                  </w:r>
                </w:p>
              </w:tc>
            </w:tr>
            <w:tr w:rsidR="00DE1537" w14:paraId="16656A86" w14:textId="77777777" w:rsidTr="00343F3E">
              <w:tc>
                <w:tcPr>
                  <w:tcW w:w="1000" w:type="pct"/>
                </w:tcPr>
                <w:p w14:paraId="016E98F2" w14:textId="77777777" w:rsidR="00DE1537" w:rsidRDefault="00DE1537" w:rsidP="00343F3E">
                  <w:pPr>
                    <w:pStyle w:val="TableBodyText"/>
                    <w:jc w:val="left"/>
                  </w:pPr>
                  <w:r>
                    <w:t>2014-15</w:t>
                  </w:r>
                </w:p>
              </w:tc>
              <w:tc>
                <w:tcPr>
                  <w:tcW w:w="1002" w:type="pct"/>
                </w:tcPr>
                <w:p w14:paraId="0AEE36E3" w14:textId="77777777" w:rsidR="00DE1537" w:rsidRPr="00432EDC" w:rsidRDefault="00DE1537" w:rsidP="00343F3E">
                  <w:pPr>
                    <w:pStyle w:val="TableBodyText"/>
                  </w:pPr>
                  <w:r>
                    <w:t>39.2</w:t>
                  </w:r>
                </w:p>
              </w:tc>
              <w:tc>
                <w:tcPr>
                  <w:tcW w:w="1000" w:type="pct"/>
                </w:tcPr>
                <w:p w14:paraId="6FBC5411" w14:textId="77777777" w:rsidR="00DE1537" w:rsidRPr="00432EDC" w:rsidRDefault="00DE1537" w:rsidP="00343F3E">
                  <w:pPr>
                    <w:pStyle w:val="TableBodyText"/>
                  </w:pPr>
                  <w:r w:rsidRPr="00432EDC">
                    <w:t>3.7</w:t>
                  </w:r>
                </w:p>
              </w:tc>
              <w:tc>
                <w:tcPr>
                  <w:tcW w:w="999" w:type="pct"/>
                </w:tcPr>
                <w:p w14:paraId="26F1FEF6" w14:textId="77777777" w:rsidR="00DE1537" w:rsidRPr="00432EDC" w:rsidRDefault="00DE1537" w:rsidP="00343F3E">
                  <w:pPr>
                    <w:pStyle w:val="TableBodyText"/>
                  </w:pPr>
                  <w:r w:rsidRPr="00432EDC">
                    <w:t>22.0</w:t>
                  </w:r>
                </w:p>
              </w:tc>
              <w:tc>
                <w:tcPr>
                  <w:tcW w:w="999" w:type="pct"/>
                </w:tcPr>
                <w:p w14:paraId="2CCED8F1" w14:textId="77777777" w:rsidR="00DE1537" w:rsidRPr="009D4752" w:rsidRDefault="00DE1537" w:rsidP="00343F3E">
                  <w:pPr>
                    <w:pStyle w:val="TableBodyText"/>
                    <w:ind w:right="0"/>
                    <w:rPr>
                      <w:b/>
                    </w:rPr>
                  </w:pPr>
                  <w:r>
                    <w:rPr>
                      <w:b/>
                    </w:rPr>
                    <w:t>64.9</w:t>
                  </w:r>
                </w:p>
              </w:tc>
            </w:tr>
            <w:tr w:rsidR="00DE1537" w14:paraId="14EB5EF9" w14:textId="77777777" w:rsidTr="00343F3E">
              <w:tc>
                <w:tcPr>
                  <w:tcW w:w="1000" w:type="pct"/>
                  <w:tcBorders>
                    <w:bottom w:val="single" w:sz="6" w:space="0" w:color="BFBFBF"/>
                  </w:tcBorders>
                  <w:shd w:val="clear" w:color="auto" w:fill="auto"/>
                </w:tcPr>
                <w:p w14:paraId="4BB44968" w14:textId="77777777" w:rsidR="00DE1537" w:rsidRPr="009D4752" w:rsidRDefault="00DE1537" w:rsidP="00343F3E">
                  <w:pPr>
                    <w:pStyle w:val="TableBodyText"/>
                    <w:jc w:val="left"/>
                    <w:rPr>
                      <w:b/>
                    </w:rPr>
                  </w:pPr>
                  <w:r w:rsidRPr="009D4752">
                    <w:rPr>
                      <w:b/>
                    </w:rPr>
                    <w:t>Total</w:t>
                  </w:r>
                </w:p>
              </w:tc>
              <w:tc>
                <w:tcPr>
                  <w:tcW w:w="1002" w:type="pct"/>
                  <w:tcBorders>
                    <w:bottom w:val="single" w:sz="6" w:space="0" w:color="BFBFBF"/>
                  </w:tcBorders>
                  <w:shd w:val="clear" w:color="auto" w:fill="auto"/>
                </w:tcPr>
                <w:p w14:paraId="5E70F37F" w14:textId="77777777" w:rsidR="00DE1537" w:rsidRPr="0032161B" w:rsidRDefault="00DE1537" w:rsidP="00343F3E">
                  <w:pPr>
                    <w:pStyle w:val="TableBodyText"/>
                    <w:framePr w:w="2155" w:hSpace="227" w:vSpace="181" w:wrap="around" w:vAnchor="text" w:hAnchor="page" w:xAlign="outside" w:y="1"/>
                    <w:rPr>
                      <w:b/>
                    </w:rPr>
                  </w:pPr>
                  <w:r>
                    <w:rPr>
                      <w:b/>
                    </w:rPr>
                    <w:t>337.4</w:t>
                  </w:r>
                </w:p>
              </w:tc>
              <w:tc>
                <w:tcPr>
                  <w:tcW w:w="1000" w:type="pct"/>
                  <w:tcBorders>
                    <w:bottom w:val="single" w:sz="6" w:space="0" w:color="BFBFBF"/>
                  </w:tcBorders>
                  <w:shd w:val="clear" w:color="auto" w:fill="auto"/>
                </w:tcPr>
                <w:p w14:paraId="2E3A2B60" w14:textId="77777777" w:rsidR="00DE1537" w:rsidRPr="0032161B" w:rsidRDefault="00DE1537" w:rsidP="00343F3E">
                  <w:pPr>
                    <w:pStyle w:val="TableBodyText"/>
                    <w:framePr w:w="2155" w:hSpace="227" w:vSpace="181" w:wrap="around" w:vAnchor="text" w:hAnchor="page" w:xAlign="outside" w:y="1"/>
                    <w:rPr>
                      <w:b/>
                    </w:rPr>
                  </w:pPr>
                  <w:r w:rsidRPr="0032161B">
                    <w:rPr>
                      <w:b/>
                    </w:rPr>
                    <w:t>21.9</w:t>
                  </w:r>
                </w:p>
              </w:tc>
              <w:tc>
                <w:tcPr>
                  <w:tcW w:w="999" w:type="pct"/>
                  <w:tcBorders>
                    <w:bottom w:val="single" w:sz="6" w:space="0" w:color="BFBFBF"/>
                  </w:tcBorders>
                </w:tcPr>
                <w:p w14:paraId="089ECC5C" w14:textId="77777777" w:rsidR="00DE1537" w:rsidRPr="0032161B" w:rsidRDefault="00DE1537" w:rsidP="00343F3E">
                  <w:pPr>
                    <w:pStyle w:val="TableBodyText"/>
                    <w:framePr w:w="2155" w:hSpace="227" w:vSpace="181" w:wrap="around" w:vAnchor="text" w:hAnchor="page" w:xAlign="outside" w:y="1"/>
                    <w:rPr>
                      <w:b/>
                    </w:rPr>
                  </w:pPr>
                  <w:r w:rsidRPr="0032161B">
                    <w:rPr>
                      <w:b/>
                    </w:rPr>
                    <w:t>196.</w:t>
                  </w:r>
                  <w:r>
                    <w:rPr>
                      <w:b/>
                    </w:rPr>
                    <w:t>3</w:t>
                  </w:r>
                </w:p>
              </w:tc>
              <w:tc>
                <w:tcPr>
                  <w:tcW w:w="999" w:type="pct"/>
                  <w:tcBorders>
                    <w:bottom w:val="single" w:sz="6" w:space="0" w:color="BFBFBF"/>
                  </w:tcBorders>
                </w:tcPr>
                <w:p w14:paraId="4F1287AA" w14:textId="77777777" w:rsidR="00DE1537" w:rsidRPr="00367FF1" w:rsidRDefault="00DE1537" w:rsidP="00343F3E">
                  <w:pPr>
                    <w:pStyle w:val="TableBodyText"/>
                    <w:ind w:right="0"/>
                    <w:rPr>
                      <w:b/>
                    </w:rPr>
                  </w:pPr>
                  <w:r>
                    <w:rPr>
                      <w:b/>
                    </w:rPr>
                    <w:t>555.6</w:t>
                  </w:r>
                </w:p>
              </w:tc>
            </w:tr>
          </w:tbl>
          <w:p w14:paraId="24A7449C" w14:textId="77777777" w:rsidR="00DE1537" w:rsidRDefault="00DE1537" w:rsidP="00343F3E">
            <w:pPr>
              <w:pStyle w:val="Box"/>
            </w:pPr>
          </w:p>
        </w:tc>
      </w:tr>
      <w:tr w:rsidR="00DE1537" w14:paraId="00504D75" w14:textId="77777777" w:rsidTr="00343F3E">
        <w:trPr>
          <w:cantSplit/>
        </w:trPr>
        <w:tc>
          <w:tcPr>
            <w:tcW w:w="8771" w:type="dxa"/>
            <w:tcBorders>
              <w:top w:val="nil"/>
              <w:left w:val="nil"/>
              <w:bottom w:val="nil"/>
              <w:right w:val="nil"/>
            </w:tcBorders>
            <w:shd w:val="clear" w:color="auto" w:fill="auto"/>
          </w:tcPr>
          <w:p w14:paraId="55462D9A" w14:textId="77777777" w:rsidR="00DE1537" w:rsidRDefault="00DE1537" w:rsidP="00343F3E">
            <w:pPr>
              <w:pStyle w:val="Note"/>
              <w:rPr>
                <w:i/>
              </w:rPr>
            </w:pPr>
            <w:proofErr w:type="gramStart"/>
            <w:r w:rsidRPr="008E77FE">
              <w:rPr>
                <w:rStyle w:val="NoteLabel"/>
              </w:rPr>
              <w:t>a</w:t>
            </w:r>
            <w:proofErr w:type="gramEnd"/>
            <w:r>
              <w:t xml:space="preserve"> Through the NPANDR from 2009</w:t>
            </w:r>
            <w:r>
              <w:noBreakHyphen/>
              <w:t>10, and through a number of specific purpose payments (SPPs) prior to 2009</w:t>
            </w:r>
            <w:r>
              <w:noBreakHyphen/>
              <w:t xml:space="preserve">10. </w:t>
            </w:r>
            <w:proofErr w:type="gramStart"/>
            <w:r w:rsidRPr="007B5538">
              <w:rPr>
                <w:rStyle w:val="NoteLabel"/>
              </w:rPr>
              <w:t>b</w:t>
            </w:r>
            <w:proofErr w:type="gramEnd"/>
            <w:r>
              <w:t xml:space="preserve"> Includes the National Bushfire Mitigation Program, National Flood Risk Information Portal, National Emergency Volunteer Support Fund and support for the Bushfire CRC, the Bushfire and Natural Hazards CRC and the Australian Emergency Management Institute. </w:t>
            </w:r>
            <w:r w:rsidRPr="007B5538">
              <w:rPr>
                <w:b/>
              </w:rPr>
              <w:t>–</w:t>
            </w:r>
            <w:r>
              <w:t xml:space="preserve"> Nil or rounded to zero.</w:t>
            </w:r>
          </w:p>
        </w:tc>
      </w:tr>
      <w:tr w:rsidR="00DE1537" w14:paraId="6C9055F5" w14:textId="77777777" w:rsidTr="00343F3E">
        <w:trPr>
          <w:cantSplit/>
        </w:trPr>
        <w:tc>
          <w:tcPr>
            <w:tcW w:w="8771" w:type="dxa"/>
            <w:tcBorders>
              <w:top w:val="nil"/>
              <w:left w:val="nil"/>
              <w:bottom w:val="nil"/>
              <w:right w:val="nil"/>
            </w:tcBorders>
            <w:shd w:val="clear" w:color="auto" w:fill="auto"/>
          </w:tcPr>
          <w:p w14:paraId="23B8332F" w14:textId="11C01E2A" w:rsidR="00DE1537" w:rsidRPr="000D0B0D" w:rsidRDefault="00DE1537" w:rsidP="00343F3E">
            <w:pPr>
              <w:pStyle w:val="Source"/>
            </w:pPr>
            <w:r w:rsidRPr="00ED5001">
              <w:rPr>
                <w:i/>
              </w:rPr>
              <w:t>Sources</w:t>
            </w:r>
            <w:r w:rsidRPr="007B5538">
              <w:t>: Attorney</w:t>
            </w:r>
            <w:r>
              <w:t>-</w:t>
            </w:r>
            <w:r w:rsidRPr="00B7645F">
              <w:t>General’s</w:t>
            </w:r>
            <w:r>
              <w:t xml:space="preserve"> Department </w:t>
            </w:r>
            <w:r w:rsidR="007C5656" w:rsidRPr="007C5656">
              <w:rPr>
                <w:rFonts w:cs="Arial"/>
              </w:rPr>
              <w:t xml:space="preserve">(2014c; pers. </w:t>
            </w:r>
            <w:proofErr w:type="gramStart"/>
            <w:r w:rsidR="007C5656" w:rsidRPr="007C5656">
              <w:rPr>
                <w:rFonts w:cs="Arial"/>
              </w:rPr>
              <w:t>comms.,</w:t>
            </w:r>
            <w:proofErr w:type="gramEnd"/>
            <w:r w:rsidR="007C5656" w:rsidRPr="007C5656">
              <w:rPr>
                <w:rFonts w:cs="Arial"/>
              </w:rPr>
              <w:t xml:space="preserve"> 30 July 2014, 12 November 2014)</w:t>
            </w:r>
            <w:r>
              <w:t xml:space="preserve">; Treasury </w:t>
            </w:r>
            <w:r w:rsidRPr="002C5868">
              <w:rPr>
                <w:rFonts w:cs="Arial"/>
              </w:rPr>
              <w:t>(various years)</w:t>
            </w:r>
            <w:r>
              <w:t>.</w:t>
            </w:r>
          </w:p>
        </w:tc>
      </w:tr>
      <w:tr w:rsidR="00DE1537" w14:paraId="140BBEE2" w14:textId="77777777" w:rsidTr="00343F3E">
        <w:trPr>
          <w:cantSplit/>
        </w:trPr>
        <w:tc>
          <w:tcPr>
            <w:tcW w:w="8771" w:type="dxa"/>
            <w:tcBorders>
              <w:top w:val="nil"/>
              <w:left w:val="nil"/>
              <w:bottom w:val="single" w:sz="6" w:space="0" w:color="78A22F"/>
              <w:right w:val="nil"/>
            </w:tcBorders>
            <w:shd w:val="clear" w:color="auto" w:fill="auto"/>
          </w:tcPr>
          <w:p w14:paraId="783E95F5" w14:textId="77777777" w:rsidR="00DE1537" w:rsidRDefault="00DE1537" w:rsidP="00343F3E">
            <w:pPr>
              <w:pStyle w:val="Box"/>
              <w:spacing w:before="0" w:line="120" w:lineRule="exact"/>
            </w:pPr>
          </w:p>
        </w:tc>
      </w:tr>
      <w:tr w:rsidR="00DE1537" w:rsidRPr="000863A5" w14:paraId="11568051" w14:textId="77777777" w:rsidTr="00343F3E">
        <w:tc>
          <w:tcPr>
            <w:tcW w:w="8771" w:type="dxa"/>
            <w:tcBorders>
              <w:top w:val="single" w:sz="6" w:space="0" w:color="78A22F"/>
              <w:left w:val="nil"/>
              <w:bottom w:val="nil"/>
              <w:right w:val="nil"/>
            </w:tcBorders>
          </w:tcPr>
          <w:p w14:paraId="21A6A6B7" w14:textId="77777777" w:rsidR="00DE1537" w:rsidRPr="00626D32" w:rsidRDefault="00DE1537" w:rsidP="00343F3E">
            <w:pPr>
              <w:pStyle w:val="BoxSpaceBelow"/>
            </w:pPr>
          </w:p>
        </w:tc>
      </w:tr>
    </w:tbl>
    <w:p w14:paraId="3E8561FE" w14:textId="77777777" w:rsidR="00DE1537" w:rsidRDefault="00DE1537" w:rsidP="00343F3E">
      <w:pPr>
        <w:pStyle w:val="BodyText"/>
      </w:pPr>
      <w:r>
        <w:t>Pre</w:t>
      </w:r>
      <w:r>
        <w:noBreakHyphen/>
        <w:t>disaster expenditure by the Australian Government is eclipsed by post</w:t>
      </w:r>
      <w:r>
        <w:noBreakHyphen/>
        <w:t>disaster expenditure. Over the period 2002</w:t>
      </w:r>
      <w:r>
        <w:noBreakHyphen/>
        <w:t>03 to 2014</w:t>
      </w:r>
      <w:r>
        <w:noBreakHyphen/>
        <w:t>15, 96 per cent of Australian Government expenditure was on post</w:t>
      </w:r>
      <w:r>
        <w:noBreakHyphen/>
        <w:t>disaster initiatives (figure 1.7). This discrepancy indicates on the face of it that current funding arrangements may not be achieving the right balance between pre</w:t>
      </w:r>
      <w:r>
        <w:noBreakHyphen/>
        <w:t>disaster and post</w:t>
      </w:r>
      <w:r>
        <w:noBreakHyphen/>
        <w:t>disaster initiatives.</w:t>
      </w:r>
    </w:p>
    <w:p w14:paraId="778278F0" w14:textId="5EF7D561" w:rsidR="000C6117" w:rsidRDefault="000C6117" w:rsidP="00343F3E">
      <w:pPr>
        <w:pStyle w:val="BodyText"/>
      </w:pPr>
      <w:r w:rsidRPr="00DE495F">
        <w:t>From 2002</w:t>
      </w:r>
      <w:r>
        <w:noBreakHyphen/>
      </w:r>
      <w:r w:rsidRPr="00DE495F">
        <w:t>03 to 2014</w:t>
      </w:r>
      <w:r>
        <w:noBreakHyphen/>
      </w:r>
      <w:r w:rsidRPr="00DE495F">
        <w:t>15, Australian Government funding for post</w:t>
      </w:r>
      <w:r w:rsidRPr="00DE495F">
        <w:noBreakHyphen/>
      </w:r>
      <w:r w:rsidRPr="0041450F">
        <w:t>disaster initiatives was estimated to be over $13</w:t>
      </w:r>
      <w:r w:rsidRPr="00DE495F">
        <w:t xml:space="preserve"> billion, with the NDRRA accounting for the bulk of funding</w:t>
      </w:r>
      <w:r>
        <w:t xml:space="preserve"> (table 1.5)</w:t>
      </w:r>
      <w:r w:rsidRPr="00DE495F">
        <w:t>. In recent years, the costs of the NDRRA have been at historically high levels. Projected NDRRA expenditure for the period 2011–16 (for disasters that have already taken place) is around ten times higher than expenditure for the period 1999–2010. The majority of this expenditure i</w:t>
      </w:r>
      <w:r w:rsidRPr="0041450F">
        <w:t>s</w:t>
      </w:r>
      <w:r w:rsidRPr="00900E54">
        <w:t xml:space="preserve"> for the restoration or replacement of essential public assets, especially damaged roads — roads are generally</w:t>
      </w:r>
      <w:r w:rsidRPr="00DE495F">
        <w:t xml:space="preserve"> not insured by s</w:t>
      </w:r>
      <w:r>
        <w:t>tate and territory governments.</w:t>
      </w:r>
    </w:p>
    <w:p w14:paraId="1E0D1A74"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72FC420" w14:textId="77777777" w:rsidTr="00343F3E">
        <w:tc>
          <w:tcPr>
            <w:tcW w:w="8771" w:type="dxa"/>
            <w:tcBorders>
              <w:top w:val="single" w:sz="6" w:space="0" w:color="78A22F"/>
              <w:left w:val="nil"/>
              <w:bottom w:val="nil"/>
              <w:right w:val="nil"/>
            </w:tcBorders>
            <w:shd w:val="clear" w:color="auto" w:fill="auto"/>
          </w:tcPr>
          <w:p w14:paraId="77BC8B0F" w14:textId="78ED8438" w:rsidR="00DE1537" w:rsidRPr="00176D3F" w:rsidRDefault="00DE1537" w:rsidP="00343F3E">
            <w:pPr>
              <w:pStyle w:val="FigureTitle"/>
            </w:pPr>
            <w:r w:rsidRPr="00784A05">
              <w:rPr>
                <w:b w:val="0"/>
              </w:rPr>
              <w:t xml:space="preserve">Figure </w:t>
            </w:r>
            <w:r>
              <w:rPr>
                <w:b w:val="0"/>
              </w:rPr>
              <w:t>1.</w:t>
            </w:r>
            <w:r>
              <w:rPr>
                <w:b w:val="0"/>
                <w:noProof/>
              </w:rPr>
              <w:t>7</w:t>
            </w:r>
            <w:r>
              <w:tab/>
              <w:t>Estimated Australian Government expenditure pre and post disaster, 2002-03 to 2014-15</w:t>
            </w:r>
          </w:p>
        </w:tc>
      </w:tr>
      <w:tr w:rsidR="00DE1537" w14:paraId="78418FF9"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DBFBB04" w14:textId="77777777" w:rsidTr="00343F3E">
              <w:tc>
                <w:tcPr>
                  <w:tcW w:w="5000" w:type="pct"/>
                  <w:tcBorders>
                    <w:top w:val="nil"/>
                    <w:bottom w:val="nil"/>
                  </w:tcBorders>
                </w:tcPr>
                <w:p w14:paraId="1E83B4E7" w14:textId="77777777" w:rsidR="00DE1537" w:rsidRDefault="00DE1537" w:rsidP="00343F3E">
                  <w:pPr>
                    <w:pStyle w:val="Figure"/>
                    <w:spacing w:before="60" w:after="60"/>
                  </w:pPr>
                  <w:r>
                    <w:rPr>
                      <w:noProof/>
                    </w:rPr>
                    <w:drawing>
                      <wp:inline distT="0" distB="0" distL="0" distR="0" wp14:anchorId="78236CE1" wp14:editId="0214FB70">
                        <wp:extent cx="5316279" cy="2834474"/>
                        <wp:effectExtent l="0" t="0" r="0" b="4445"/>
                        <wp:docPr id="16" name="Picture 16" descr="This pie chart shows estimated Australian Government expenditure pre and post disaster from 2002-03 to 2014-15. Post-disaster expenditure was $13.2 billion or 96 per cent of total expenditure. Pre-disaster expenditure was $0.6 billion or 4 per cent of total expenditure." title="Estimated Australian Government expenditure pre and post disaster, 2002-03 to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13750" cy="2833126"/>
                                </a:xfrm>
                                <a:prstGeom prst="rect">
                                  <a:avLst/>
                                </a:prstGeom>
                                <a:noFill/>
                                <a:ln>
                                  <a:noFill/>
                                </a:ln>
                              </pic:spPr>
                            </pic:pic>
                          </a:graphicData>
                        </a:graphic>
                      </wp:inline>
                    </w:drawing>
                  </w:r>
                </w:p>
              </w:tc>
            </w:tr>
          </w:tbl>
          <w:p w14:paraId="7F764BA9" w14:textId="77777777" w:rsidR="00DE1537" w:rsidRDefault="00DE1537" w:rsidP="00343F3E">
            <w:pPr>
              <w:pStyle w:val="Figure"/>
            </w:pPr>
          </w:p>
        </w:tc>
      </w:tr>
      <w:tr w:rsidR="00DE1537" w:rsidRPr="00176D3F" w14:paraId="741221E7" w14:textId="77777777" w:rsidTr="00343F3E">
        <w:tc>
          <w:tcPr>
            <w:tcW w:w="8771" w:type="dxa"/>
            <w:tcBorders>
              <w:top w:val="nil"/>
              <w:left w:val="nil"/>
              <w:bottom w:val="nil"/>
              <w:right w:val="nil"/>
            </w:tcBorders>
            <w:shd w:val="clear" w:color="auto" w:fill="auto"/>
          </w:tcPr>
          <w:p w14:paraId="063D2DC9" w14:textId="77777777" w:rsidR="00DE1537" w:rsidRPr="00176D3F" w:rsidRDefault="00DE1537" w:rsidP="00343F3E">
            <w:pPr>
              <w:pStyle w:val="Source"/>
            </w:pPr>
            <w:r>
              <w:rPr>
                <w:i/>
              </w:rPr>
              <w:t>Data source</w:t>
            </w:r>
            <w:r w:rsidRPr="00176D3F">
              <w:t xml:space="preserve">: </w:t>
            </w:r>
            <w:r>
              <w:t>Productivity Commission estimates.</w:t>
            </w:r>
          </w:p>
        </w:tc>
      </w:tr>
      <w:tr w:rsidR="00DE1537" w14:paraId="2DC18496" w14:textId="77777777" w:rsidTr="00343F3E">
        <w:tc>
          <w:tcPr>
            <w:tcW w:w="8771" w:type="dxa"/>
            <w:tcBorders>
              <w:top w:val="nil"/>
              <w:left w:val="nil"/>
              <w:bottom w:val="single" w:sz="6" w:space="0" w:color="78A22F"/>
              <w:right w:val="nil"/>
            </w:tcBorders>
            <w:shd w:val="clear" w:color="auto" w:fill="auto"/>
          </w:tcPr>
          <w:p w14:paraId="76AB895C" w14:textId="77777777" w:rsidR="00DE1537" w:rsidRDefault="00DE1537" w:rsidP="00343F3E">
            <w:pPr>
              <w:pStyle w:val="Figurespace"/>
            </w:pPr>
          </w:p>
        </w:tc>
      </w:tr>
      <w:tr w:rsidR="00DE1537" w:rsidRPr="000863A5" w14:paraId="79A11B04" w14:textId="77777777" w:rsidTr="00343F3E">
        <w:tc>
          <w:tcPr>
            <w:tcW w:w="8771" w:type="dxa"/>
            <w:tcBorders>
              <w:top w:val="single" w:sz="6" w:space="0" w:color="78A22F"/>
              <w:left w:val="nil"/>
              <w:bottom w:val="nil"/>
              <w:right w:val="nil"/>
            </w:tcBorders>
          </w:tcPr>
          <w:p w14:paraId="74083333" w14:textId="77777777" w:rsidR="00DE1537" w:rsidRPr="00626D32" w:rsidRDefault="00DE1537" w:rsidP="00343F3E">
            <w:pPr>
              <w:pStyle w:val="BoxSpaceBelow"/>
            </w:pPr>
          </w:p>
        </w:tc>
      </w:tr>
    </w:tbl>
    <w:p w14:paraId="0AD7B429"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A00CD30" w14:textId="77777777" w:rsidTr="00343F3E">
        <w:tc>
          <w:tcPr>
            <w:tcW w:w="8771" w:type="dxa"/>
            <w:tcBorders>
              <w:top w:val="single" w:sz="6" w:space="0" w:color="78A22F"/>
              <w:left w:val="nil"/>
              <w:bottom w:val="nil"/>
              <w:right w:val="nil"/>
            </w:tcBorders>
            <w:shd w:val="clear" w:color="auto" w:fill="auto"/>
          </w:tcPr>
          <w:p w14:paraId="102730E9" w14:textId="4A5D40D8" w:rsidR="00DE1537" w:rsidRDefault="00DE1537" w:rsidP="00343F3E">
            <w:pPr>
              <w:pStyle w:val="FigureTitle"/>
              <w:rPr>
                <w:rStyle w:val="NoteLabel"/>
                <w:b/>
              </w:rPr>
            </w:pPr>
            <w:r>
              <w:rPr>
                <w:b w:val="0"/>
              </w:rPr>
              <w:t>Table 1.</w:t>
            </w:r>
            <w:r>
              <w:rPr>
                <w:b w:val="0"/>
                <w:noProof/>
              </w:rPr>
              <w:t>5</w:t>
            </w:r>
            <w:r>
              <w:tab/>
              <w:t>Estimated Australian Government expenditure post disaster</w:t>
            </w:r>
          </w:p>
          <w:p w14:paraId="4A8C0DF8" w14:textId="77777777" w:rsidR="00DE1537" w:rsidRPr="00436B35" w:rsidRDefault="00DE1537" w:rsidP="00343F3E">
            <w:pPr>
              <w:pStyle w:val="Subtitle"/>
            </w:pPr>
            <w:r w:rsidRPr="00606C8C">
              <w:rPr>
                <w:rStyle w:val="SubtitleChar"/>
              </w:rPr>
              <w:t>2002</w:t>
            </w:r>
            <w:r>
              <w:rPr>
                <w:rStyle w:val="SubtitleChar"/>
              </w:rPr>
              <w:noBreakHyphen/>
            </w:r>
            <w:r w:rsidRPr="00606C8C">
              <w:rPr>
                <w:rStyle w:val="SubtitleChar"/>
              </w:rPr>
              <w:t>03 to 2014-15</w:t>
            </w:r>
          </w:p>
        </w:tc>
      </w:tr>
      <w:tr w:rsidR="00DE1537" w14:paraId="52E6B044"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DE1537" w14:paraId="26CA6479" w14:textId="77777777" w:rsidTr="00343F3E">
              <w:tc>
                <w:tcPr>
                  <w:tcW w:w="1000" w:type="pct"/>
                  <w:tcBorders>
                    <w:top w:val="single" w:sz="6" w:space="0" w:color="BFBFBF"/>
                    <w:bottom w:val="single" w:sz="6" w:space="0" w:color="BFBFBF"/>
                  </w:tcBorders>
                  <w:shd w:val="clear" w:color="auto" w:fill="auto"/>
                  <w:tcMar>
                    <w:top w:w="28" w:type="dxa"/>
                  </w:tcMar>
                </w:tcPr>
                <w:p w14:paraId="0BCCB270" w14:textId="77777777" w:rsidR="00DE1537" w:rsidRDefault="00DE1537" w:rsidP="00343F3E">
                  <w:pPr>
                    <w:pStyle w:val="TableColumnHeading"/>
                    <w:jc w:val="left"/>
                  </w:pPr>
                </w:p>
              </w:tc>
              <w:tc>
                <w:tcPr>
                  <w:tcW w:w="1002" w:type="pct"/>
                  <w:tcBorders>
                    <w:top w:val="single" w:sz="6" w:space="0" w:color="BFBFBF"/>
                    <w:bottom w:val="single" w:sz="6" w:space="0" w:color="BFBFBF"/>
                  </w:tcBorders>
                  <w:shd w:val="clear" w:color="auto" w:fill="auto"/>
                  <w:tcMar>
                    <w:top w:w="28" w:type="dxa"/>
                  </w:tcMar>
                </w:tcPr>
                <w:p w14:paraId="46E619E0" w14:textId="77777777" w:rsidR="00DE1537" w:rsidRDefault="00DE1537" w:rsidP="00343F3E">
                  <w:pPr>
                    <w:pStyle w:val="TableColumnHeading"/>
                  </w:pPr>
                  <w:r>
                    <w:t>NDRRA</w:t>
                  </w:r>
                </w:p>
              </w:tc>
              <w:tc>
                <w:tcPr>
                  <w:tcW w:w="1000" w:type="pct"/>
                  <w:tcBorders>
                    <w:top w:val="single" w:sz="6" w:space="0" w:color="BFBFBF"/>
                    <w:bottom w:val="single" w:sz="6" w:space="0" w:color="BFBFBF"/>
                  </w:tcBorders>
                  <w:shd w:val="clear" w:color="auto" w:fill="auto"/>
                  <w:tcMar>
                    <w:top w:w="28" w:type="dxa"/>
                  </w:tcMar>
                </w:tcPr>
                <w:p w14:paraId="047B8025" w14:textId="77777777" w:rsidR="00DE1537" w:rsidRPr="006B7F50" w:rsidRDefault="00DE1537" w:rsidP="00343F3E">
                  <w:pPr>
                    <w:pStyle w:val="TableColumnHeading"/>
                  </w:pPr>
                  <w:r w:rsidRPr="006B7F50">
                    <w:t>AGDRP</w:t>
                  </w:r>
                </w:p>
              </w:tc>
              <w:tc>
                <w:tcPr>
                  <w:tcW w:w="999" w:type="pct"/>
                  <w:tcBorders>
                    <w:top w:val="single" w:sz="6" w:space="0" w:color="BFBFBF"/>
                    <w:bottom w:val="single" w:sz="6" w:space="0" w:color="BFBFBF"/>
                  </w:tcBorders>
                </w:tcPr>
                <w:p w14:paraId="10EFAFC9" w14:textId="77777777" w:rsidR="00DE1537" w:rsidRPr="006B7F50" w:rsidRDefault="00DE1537" w:rsidP="00343F3E">
                  <w:pPr>
                    <w:pStyle w:val="TableColumnHeading"/>
                    <w:spacing w:before="20"/>
                    <w:ind w:right="28"/>
                  </w:pPr>
                  <w:r w:rsidRPr="006B7F50">
                    <w:t>Other</w:t>
                  </w:r>
                  <w:r w:rsidRPr="00396750">
                    <w:rPr>
                      <w:rStyle w:val="NoteLabel"/>
                      <w:i w:val="0"/>
                    </w:rPr>
                    <w:t>a</w:t>
                  </w:r>
                </w:p>
              </w:tc>
              <w:tc>
                <w:tcPr>
                  <w:tcW w:w="999" w:type="pct"/>
                  <w:tcBorders>
                    <w:top w:val="single" w:sz="6" w:space="0" w:color="BFBFBF"/>
                    <w:bottom w:val="single" w:sz="6" w:space="0" w:color="BFBFBF"/>
                  </w:tcBorders>
                </w:tcPr>
                <w:p w14:paraId="5637692A" w14:textId="77777777" w:rsidR="00DE1537" w:rsidRPr="00E60DDF" w:rsidRDefault="00DE1537" w:rsidP="00343F3E">
                  <w:pPr>
                    <w:pStyle w:val="TableColumnHeading"/>
                    <w:ind w:right="28"/>
                    <w:rPr>
                      <w:b/>
                    </w:rPr>
                  </w:pPr>
                  <w:r w:rsidRPr="00E60DDF">
                    <w:rPr>
                      <w:b/>
                    </w:rPr>
                    <w:t>Total</w:t>
                  </w:r>
                </w:p>
              </w:tc>
            </w:tr>
            <w:tr w:rsidR="00DE1537" w14:paraId="794DCB0D" w14:textId="77777777" w:rsidTr="00343F3E">
              <w:tc>
                <w:tcPr>
                  <w:tcW w:w="1000" w:type="pct"/>
                  <w:tcBorders>
                    <w:top w:val="single" w:sz="6" w:space="0" w:color="BFBFBF"/>
                  </w:tcBorders>
                </w:tcPr>
                <w:p w14:paraId="3D7D453B" w14:textId="77777777" w:rsidR="00DE1537" w:rsidRDefault="00DE1537" w:rsidP="00343F3E">
                  <w:pPr>
                    <w:pStyle w:val="TableUnitsRow"/>
                    <w:jc w:val="left"/>
                  </w:pPr>
                </w:p>
              </w:tc>
              <w:tc>
                <w:tcPr>
                  <w:tcW w:w="1002" w:type="pct"/>
                  <w:tcBorders>
                    <w:top w:val="single" w:sz="6" w:space="0" w:color="BFBFBF"/>
                  </w:tcBorders>
                </w:tcPr>
                <w:p w14:paraId="09D5C905" w14:textId="77777777" w:rsidR="00DE1537" w:rsidRDefault="00DE1537" w:rsidP="00343F3E">
                  <w:pPr>
                    <w:pStyle w:val="TableUnitsRow"/>
                  </w:pPr>
                  <w:r>
                    <w:t>$m</w:t>
                  </w:r>
                </w:p>
              </w:tc>
              <w:tc>
                <w:tcPr>
                  <w:tcW w:w="1000" w:type="pct"/>
                  <w:tcBorders>
                    <w:top w:val="single" w:sz="6" w:space="0" w:color="BFBFBF"/>
                  </w:tcBorders>
                </w:tcPr>
                <w:p w14:paraId="698D7D76" w14:textId="77777777" w:rsidR="00DE1537" w:rsidRDefault="00DE1537" w:rsidP="00343F3E">
                  <w:pPr>
                    <w:pStyle w:val="TableUnitsRow"/>
                  </w:pPr>
                  <w:r>
                    <w:t>$m</w:t>
                  </w:r>
                </w:p>
              </w:tc>
              <w:tc>
                <w:tcPr>
                  <w:tcW w:w="999" w:type="pct"/>
                  <w:tcBorders>
                    <w:top w:val="single" w:sz="6" w:space="0" w:color="BFBFBF"/>
                  </w:tcBorders>
                </w:tcPr>
                <w:p w14:paraId="7412FDFE" w14:textId="77777777" w:rsidR="00DE1537" w:rsidRDefault="00DE1537" w:rsidP="00343F3E">
                  <w:pPr>
                    <w:pStyle w:val="TableUnitsRow"/>
                  </w:pPr>
                  <w:r>
                    <w:t>$m</w:t>
                  </w:r>
                </w:p>
              </w:tc>
              <w:tc>
                <w:tcPr>
                  <w:tcW w:w="999" w:type="pct"/>
                  <w:tcBorders>
                    <w:top w:val="single" w:sz="6" w:space="0" w:color="BFBFBF"/>
                  </w:tcBorders>
                </w:tcPr>
                <w:p w14:paraId="17A6E938" w14:textId="77777777" w:rsidR="00DE1537" w:rsidRDefault="00DE1537" w:rsidP="00343F3E">
                  <w:pPr>
                    <w:pStyle w:val="TableUnitsRow"/>
                    <w:ind w:right="28"/>
                  </w:pPr>
                  <w:r>
                    <w:t>$m</w:t>
                  </w:r>
                </w:p>
              </w:tc>
            </w:tr>
            <w:tr w:rsidR="00DE1537" w14:paraId="7855B619" w14:textId="77777777" w:rsidTr="00343F3E">
              <w:tc>
                <w:tcPr>
                  <w:tcW w:w="1000" w:type="pct"/>
                </w:tcPr>
                <w:p w14:paraId="3873BD64" w14:textId="77777777" w:rsidR="00DE1537" w:rsidRDefault="00DE1537" w:rsidP="00343F3E">
                  <w:pPr>
                    <w:pStyle w:val="TableBodyText"/>
                    <w:jc w:val="left"/>
                  </w:pPr>
                  <w:r>
                    <w:t>2002-03</w:t>
                  </w:r>
                </w:p>
              </w:tc>
              <w:tc>
                <w:tcPr>
                  <w:tcW w:w="1002" w:type="pct"/>
                </w:tcPr>
                <w:p w14:paraId="4B356EFB" w14:textId="77777777" w:rsidR="00DE1537" w:rsidRDefault="00DE1537" w:rsidP="00343F3E">
                  <w:pPr>
                    <w:pStyle w:val="TableBodyText"/>
                  </w:pPr>
                  <w:r>
                    <w:t>80.4</w:t>
                  </w:r>
                </w:p>
              </w:tc>
              <w:tc>
                <w:tcPr>
                  <w:tcW w:w="1000" w:type="pct"/>
                </w:tcPr>
                <w:p w14:paraId="5BEF823A" w14:textId="77777777" w:rsidR="00DE1537" w:rsidRDefault="00DE1537" w:rsidP="00343F3E">
                  <w:pPr>
                    <w:pStyle w:val="TableBodyText"/>
                  </w:pPr>
                  <w:r>
                    <w:t>–</w:t>
                  </w:r>
                </w:p>
              </w:tc>
              <w:tc>
                <w:tcPr>
                  <w:tcW w:w="999" w:type="pct"/>
                </w:tcPr>
                <w:p w14:paraId="0E63CC41" w14:textId="77777777" w:rsidR="00DE1537" w:rsidRDefault="00DE1537" w:rsidP="00343F3E">
                  <w:pPr>
                    <w:pStyle w:val="TableBodyText"/>
                  </w:pPr>
                  <w:r>
                    <w:t>2.5</w:t>
                  </w:r>
                </w:p>
              </w:tc>
              <w:tc>
                <w:tcPr>
                  <w:tcW w:w="999" w:type="pct"/>
                </w:tcPr>
                <w:p w14:paraId="259FA3A5" w14:textId="77777777" w:rsidR="00DE1537" w:rsidRDefault="00DE1537" w:rsidP="00343F3E">
                  <w:pPr>
                    <w:pStyle w:val="TableBodyText"/>
                    <w:ind w:right="28"/>
                  </w:pPr>
                  <w:r w:rsidRPr="000546C1">
                    <w:rPr>
                      <w:b/>
                    </w:rPr>
                    <w:t>82.9</w:t>
                  </w:r>
                </w:p>
              </w:tc>
            </w:tr>
            <w:tr w:rsidR="00DE1537" w14:paraId="287F2B26" w14:textId="77777777" w:rsidTr="00343F3E">
              <w:tc>
                <w:tcPr>
                  <w:tcW w:w="1000" w:type="pct"/>
                  <w:shd w:val="clear" w:color="auto" w:fill="auto"/>
                </w:tcPr>
                <w:p w14:paraId="0B37D007" w14:textId="77777777" w:rsidR="00DE1537" w:rsidRDefault="00DE1537" w:rsidP="00343F3E">
                  <w:pPr>
                    <w:pStyle w:val="TableBodyText"/>
                    <w:jc w:val="left"/>
                  </w:pPr>
                  <w:r>
                    <w:t>2003-04</w:t>
                  </w:r>
                </w:p>
              </w:tc>
              <w:tc>
                <w:tcPr>
                  <w:tcW w:w="1002" w:type="pct"/>
                  <w:shd w:val="clear" w:color="auto" w:fill="auto"/>
                </w:tcPr>
                <w:p w14:paraId="77344214" w14:textId="77777777" w:rsidR="00DE1537" w:rsidRDefault="00DE1537" w:rsidP="00343F3E">
                  <w:pPr>
                    <w:pStyle w:val="TableBodyText"/>
                  </w:pPr>
                  <w:r>
                    <w:t>46.9</w:t>
                  </w:r>
                </w:p>
              </w:tc>
              <w:tc>
                <w:tcPr>
                  <w:tcW w:w="1000" w:type="pct"/>
                  <w:shd w:val="clear" w:color="auto" w:fill="auto"/>
                </w:tcPr>
                <w:p w14:paraId="2AD7F98B" w14:textId="77777777" w:rsidR="00DE1537" w:rsidRDefault="00DE1537" w:rsidP="00343F3E">
                  <w:pPr>
                    <w:pStyle w:val="TableBodyText"/>
                  </w:pPr>
                  <w:r>
                    <w:t>–</w:t>
                  </w:r>
                </w:p>
              </w:tc>
              <w:tc>
                <w:tcPr>
                  <w:tcW w:w="999" w:type="pct"/>
                </w:tcPr>
                <w:p w14:paraId="3A8D2223" w14:textId="77777777" w:rsidR="00DE1537" w:rsidRDefault="00DE1537" w:rsidP="00343F3E">
                  <w:pPr>
                    <w:pStyle w:val="TableBodyText"/>
                  </w:pPr>
                  <w:r>
                    <w:t>–</w:t>
                  </w:r>
                </w:p>
              </w:tc>
              <w:tc>
                <w:tcPr>
                  <w:tcW w:w="999" w:type="pct"/>
                </w:tcPr>
                <w:p w14:paraId="53636DFB" w14:textId="77777777" w:rsidR="00DE1537" w:rsidRDefault="00DE1537" w:rsidP="00343F3E">
                  <w:pPr>
                    <w:pStyle w:val="TableBodyText"/>
                    <w:ind w:right="28"/>
                  </w:pPr>
                  <w:r w:rsidRPr="000546C1">
                    <w:rPr>
                      <w:b/>
                    </w:rPr>
                    <w:t>46.9</w:t>
                  </w:r>
                </w:p>
              </w:tc>
            </w:tr>
            <w:tr w:rsidR="00DE1537" w14:paraId="03B630C0" w14:textId="77777777" w:rsidTr="00343F3E">
              <w:tc>
                <w:tcPr>
                  <w:tcW w:w="1000" w:type="pct"/>
                  <w:shd w:val="clear" w:color="auto" w:fill="auto"/>
                </w:tcPr>
                <w:p w14:paraId="31A71909" w14:textId="77777777" w:rsidR="00DE1537" w:rsidRDefault="00DE1537" w:rsidP="00343F3E">
                  <w:pPr>
                    <w:pStyle w:val="TableBodyText"/>
                    <w:jc w:val="left"/>
                  </w:pPr>
                  <w:r>
                    <w:t>2004-05</w:t>
                  </w:r>
                </w:p>
              </w:tc>
              <w:tc>
                <w:tcPr>
                  <w:tcW w:w="1002" w:type="pct"/>
                  <w:shd w:val="clear" w:color="auto" w:fill="auto"/>
                </w:tcPr>
                <w:p w14:paraId="72784C01" w14:textId="77777777" w:rsidR="00DE1537" w:rsidRDefault="00DE1537" w:rsidP="00343F3E">
                  <w:pPr>
                    <w:pStyle w:val="TableBodyText"/>
                  </w:pPr>
                  <w:r>
                    <w:t>67.7</w:t>
                  </w:r>
                </w:p>
              </w:tc>
              <w:tc>
                <w:tcPr>
                  <w:tcW w:w="1000" w:type="pct"/>
                  <w:shd w:val="clear" w:color="auto" w:fill="auto"/>
                </w:tcPr>
                <w:p w14:paraId="0C08A51F" w14:textId="77777777" w:rsidR="00DE1537" w:rsidRDefault="00DE1537" w:rsidP="00343F3E">
                  <w:pPr>
                    <w:pStyle w:val="TableBodyText"/>
                  </w:pPr>
                  <w:r>
                    <w:t>–</w:t>
                  </w:r>
                </w:p>
              </w:tc>
              <w:tc>
                <w:tcPr>
                  <w:tcW w:w="999" w:type="pct"/>
                </w:tcPr>
                <w:p w14:paraId="42B3592C" w14:textId="77777777" w:rsidR="00DE1537" w:rsidRDefault="00DE1537" w:rsidP="00343F3E">
                  <w:pPr>
                    <w:pStyle w:val="TableBodyText"/>
                  </w:pPr>
                  <w:r>
                    <w:t>–</w:t>
                  </w:r>
                </w:p>
              </w:tc>
              <w:tc>
                <w:tcPr>
                  <w:tcW w:w="999" w:type="pct"/>
                </w:tcPr>
                <w:p w14:paraId="7570CEB0" w14:textId="77777777" w:rsidR="00DE1537" w:rsidRDefault="00DE1537" w:rsidP="00343F3E">
                  <w:pPr>
                    <w:pStyle w:val="TableBodyText"/>
                    <w:ind w:right="28"/>
                  </w:pPr>
                  <w:r w:rsidRPr="000546C1">
                    <w:rPr>
                      <w:b/>
                    </w:rPr>
                    <w:t>67.7</w:t>
                  </w:r>
                </w:p>
              </w:tc>
            </w:tr>
            <w:tr w:rsidR="00DE1537" w14:paraId="0FDFC98D" w14:textId="77777777" w:rsidTr="00343F3E">
              <w:tc>
                <w:tcPr>
                  <w:tcW w:w="1000" w:type="pct"/>
                  <w:shd w:val="clear" w:color="auto" w:fill="auto"/>
                </w:tcPr>
                <w:p w14:paraId="7F78DE22" w14:textId="77777777" w:rsidR="00DE1537" w:rsidRDefault="00DE1537" w:rsidP="00343F3E">
                  <w:pPr>
                    <w:pStyle w:val="TableBodyText"/>
                    <w:jc w:val="left"/>
                  </w:pPr>
                  <w:r>
                    <w:t>2005-06</w:t>
                  </w:r>
                </w:p>
              </w:tc>
              <w:tc>
                <w:tcPr>
                  <w:tcW w:w="1002" w:type="pct"/>
                  <w:shd w:val="clear" w:color="auto" w:fill="auto"/>
                </w:tcPr>
                <w:p w14:paraId="5AEEBAE2" w14:textId="77777777" w:rsidR="00DE1537" w:rsidRDefault="00DE1537" w:rsidP="00343F3E">
                  <w:pPr>
                    <w:pStyle w:val="TableBodyText"/>
                  </w:pPr>
                  <w:r>
                    <w:t>69.1</w:t>
                  </w:r>
                </w:p>
              </w:tc>
              <w:tc>
                <w:tcPr>
                  <w:tcW w:w="1000" w:type="pct"/>
                  <w:shd w:val="clear" w:color="auto" w:fill="auto"/>
                </w:tcPr>
                <w:p w14:paraId="13844599" w14:textId="77777777" w:rsidR="00DE1537" w:rsidRDefault="00DE1537" w:rsidP="00343F3E">
                  <w:pPr>
                    <w:pStyle w:val="TableBodyText"/>
                  </w:pPr>
                  <w:r>
                    <w:t>–</w:t>
                  </w:r>
                </w:p>
              </w:tc>
              <w:tc>
                <w:tcPr>
                  <w:tcW w:w="999" w:type="pct"/>
                </w:tcPr>
                <w:p w14:paraId="546EBBB9" w14:textId="77777777" w:rsidR="00DE1537" w:rsidRDefault="00DE1537" w:rsidP="00343F3E">
                  <w:pPr>
                    <w:pStyle w:val="TableBodyText"/>
                  </w:pPr>
                  <w:r>
                    <w:t>–</w:t>
                  </w:r>
                </w:p>
              </w:tc>
              <w:tc>
                <w:tcPr>
                  <w:tcW w:w="999" w:type="pct"/>
                </w:tcPr>
                <w:p w14:paraId="37248A70" w14:textId="77777777" w:rsidR="00DE1537" w:rsidRDefault="00DE1537" w:rsidP="00343F3E">
                  <w:pPr>
                    <w:pStyle w:val="TableBodyText"/>
                    <w:ind w:right="28"/>
                  </w:pPr>
                  <w:r w:rsidRPr="000546C1">
                    <w:rPr>
                      <w:b/>
                    </w:rPr>
                    <w:t>69.1</w:t>
                  </w:r>
                </w:p>
              </w:tc>
            </w:tr>
            <w:tr w:rsidR="00DE1537" w14:paraId="6CEC33C6" w14:textId="77777777" w:rsidTr="00343F3E">
              <w:tc>
                <w:tcPr>
                  <w:tcW w:w="1000" w:type="pct"/>
                  <w:shd w:val="clear" w:color="auto" w:fill="auto"/>
                </w:tcPr>
                <w:p w14:paraId="1743D80E" w14:textId="77777777" w:rsidR="00DE1537" w:rsidRDefault="00DE1537" w:rsidP="00343F3E">
                  <w:pPr>
                    <w:pStyle w:val="TableBodyText"/>
                    <w:jc w:val="left"/>
                  </w:pPr>
                  <w:r>
                    <w:t>2006-07</w:t>
                  </w:r>
                </w:p>
              </w:tc>
              <w:tc>
                <w:tcPr>
                  <w:tcW w:w="1002" w:type="pct"/>
                  <w:shd w:val="clear" w:color="auto" w:fill="auto"/>
                </w:tcPr>
                <w:p w14:paraId="20C43C8C" w14:textId="77777777" w:rsidR="00DE1537" w:rsidRDefault="00DE1537" w:rsidP="00343F3E">
                  <w:pPr>
                    <w:pStyle w:val="TableBodyText"/>
                  </w:pPr>
                  <w:r>
                    <w:t>103.7</w:t>
                  </w:r>
                </w:p>
              </w:tc>
              <w:tc>
                <w:tcPr>
                  <w:tcW w:w="1000" w:type="pct"/>
                  <w:shd w:val="clear" w:color="auto" w:fill="auto"/>
                </w:tcPr>
                <w:p w14:paraId="235387D3" w14:textId="77777777" w:rsidR="00DE1537" w:rsidRDefault="00DE1537" w:rsidP="00343F3E">
                  <w:pPr>
                    <w:pStyle w:val="TableBodyText"/>
                  </w:pPr>
                  <w:r>
                    <w:t>–</w:t>
                  </w:r>
                </w:p>
              </w:tc>
              <w:tc>
                <w:tcPr>
                  <w:tcW w:w="999" w:type="pct"/>
                </w:tcPr>
                <w:p w14:paraId="568E6FA2" w14:textId="77777777" w:rsidR="00DE1537" w:rsidRDefault="00DE1537" w:rsidP="00343F3E">
                  <w:pPr>
                    <w:pStyle w:val="TableBodyText"/>
                  </w:pPr>
                  <w:r>
                    <w:t>–</w:t>
                  </w:r>
                </w:p>
              </w:tc>
              <w:tc>
                <w:tcPr>
                  <w:tcW w:w="999" w:type="pct"/>
                </w:tcPr>
                <w:p w14:paraId="315D8CB8" w14:textId="77777777" w:rsidR="00DE1537" w:rsidRDefault="00DE1537" w:rsidP="00343F3E">
                  <w:pPr>
                    <w:pStyle w:val="TableBodyText"/>
                    <w:ind w:right="28"/>
                  </w:pPr>
                  <w:r w:rsidRPr="000546C1">
                    <w:rPr>
                      <w:b/>
                    </w:rPr>
                    <w:t>10</w:t>
                  </w:r>
                  <w:r>
                    <w:rPr>
                      <w:b/>
                    </w:rPr>
                    <w:t>3</w:t>
                  </w:r>
                  <w:r w:rsidRPr="000546C1">
                    <w:rPr>
                      <w:b/>
                    </w:rPr>
                    <w:t>.7</w:t>
                  </w:r>
                </w:p>
              </w:tc>
            </w:tr>
            <w:tr w:rsidR="00DE1537" w14:paraId="63E2BD9C" w14:textId="77777777" w:rsidTr="00343F3E">
              <w:tc>
                <w:tcPr>
                  <w:tcW w:w="1000" w:type="pct"/>
                  <w:shd w:val="clear" w:color="auto" w:fill="auto"/>
                </w:tcPr>
                <w:p w14:paraId="3C8B3754" w14:textId="77777777" w:rsidR="00DE1537" w:rsidRDefault="00DE1537" w:rsidP="00343F3E">
                  <w:pPr>
                    <w:pStyle w:val="TableBodyText"/>
                    <w:jc w:val="left"/>
                  </w:pPr>
                  <w:r>
                    <w:t>2007-08</w:t>
                  </w:r>
                </w:p>
              </w:tc>
              <w:tc>
                <w:tcPr>
                  <w:tcW w:w="1002" w:type="pct"/>
                  <w:shd w:val="clear" w:color="auto" w:fill="auto"/>
                </w:tcPr>
                <w:p w14:paraId="43D669DB" w14:textId="77777777" w:rsidR="00DE1537" w:rsidRDefault="00DE1537" w:rsidP="00343F3E">
                  <w:pPr>
                    <w:pStyle w:val="TableBodyText"/>
                  </w:pPr>
                  <w:r>
                    <w:t>18.0</w:t>
                  </w:r>
                </w:p>
              </w:tc>
              <w:tc>
                <w:tcPr>
                  <w:tcW w:w="1000" w:type="pct"/>
                  <w:shd w:val="clear" w:color="auto" w:fill="auto"/>
                </w:tcPr>
                <w:p w14:paraId="13A7D652" w14:textId="77777777" w:rsidR="00DE1537" w:rsidRDefault="00DE1537" w:rsidP="00343F3E">
                  <w:pPr>
                    <w:pStyle w:val="TableBodyText"/>
                  </w:pPr>
                  <w:r>
                    <w:t>39.3</w:t>
                  </w:r>
                </w:p>
              </w:tc>
              <w:tc>
                <w:tcPr>
                  <w:tcW w:w="999" w:type="pct"/>
                </w:tcPr>
                <w:p w14:paraId="28D5C083" w14:textId="77777777" w:rsidR="00DE1537" w:rsidRDefault="00DE1537" w:rsidP="00343F3E">
                  <w:pPr>
                    <w:pStyle w:val="TableBodyText"/>
                  </w:pPr>
                  <w:r>
                    <w:t>10.0</w:t>
                  </w:r>
                </w:p>
              </w:tc>
              <w:tc>
                <w:tcPr>
                  <w:tcW w:w="999" w:type="pct"/>
                </w:tcPr>
                <w:p w14:paraId="2B472853" w14:textId="77777777" w:rsidR="00DE1537" w:rsidRDefault="00DE1537" w:rsidP="00343F3E">
                  <w:pPr>
                    <w:pStyle w:val="TableBodyText"/>
                    <w:ind w:right="28"/>
                  </w:pPr>
                  <w:r w:rsidRPr="000546C1">
                    <w:rPr>
                      <w:b/>
                    </w:rPr>
                    <w:t>67.</w:t>
                  </w:r>
                  <w:r>
                    <w:rPr>
                      <w:b/>
                    </w:rPr>
                    <w:t>3</w:t>
                  </w:r>
                </w:p>
              </w:tc>
            </w:tr>
            <w:tr w:rsidR="00DE1537" w14:paraId="72849FFB" w14:textId="77777777" w:rsidTr="00343F3E">
              <w:tc>
                <w:tcPr>
                  <w:tcW w:w="1000" w:type="pct"/>
                  <w:shd w:val="clear" w:color="auto" w:fill="auto"/>
                </w:tcPr>
                <w:p w14:paraId="0C90F220" w14:textId="77777777" w:rsidR="00DE1537" w:rsidRDefault="00DE1537" w:rsidP="00343F3E">
                  <w:pPr>
                    <w:pStyle w:val="TableBodyText"/>
                    <w:jc w:val="left"/>
                  </w:pPr>
                  <w:r>
                    <w:t>2008-09</w:t>
                  </w:r>
                </w:p>
              </w:tc>
              <w:tc>
                <w:tcPr>
                  <w:tcW w:w="1002" w:type="pct"/>
                  <w:shd w:val="clear" w:color="auto" w:fill="auto"/>
                </w:tcPr>
                <w:p w14:paraId="2FA5710B" w14:textId="77777777" w:rsidR="00DE1537" w:rsidRDefault="00DE1537" w:rsidP="00343F3E">
                  <w:pPr>
                    <w:pStyle w:val="TableBodyText"/>
                  </w:pPr>
                  <w:r>
                    <w:t>292.2</w:t>
                  </w:r>
                </w:p>
              </w:tc>
              <w:tc>
                <w:tcPr>
                  <w:tcW w:w="1000" w:type="pct"/>
                  <w:shd w:val="clear" w:color="auto" w:fill="auto"/>
                </w:tcPr>
                <w:p w14:paraId="78EE8E68" w14:textId="77777777" w:rsidR="00DE1537" w:rsidRDefault="00DE1537" w:rsidP="00343F3E">
                  <w:pPr>
                    <w:pStyle w:val="TableBodyText"/>
                  </w:pPr>
                  <w:r w:rsidRPr="00CB41DC">
                    <w:t>1</w:t>
                  </w:r>
                  <w:r>
                    <w:t>33.</w:t>
                  </w:r>
                  <w:r w:rsidRPr="00CB41DC">
                    <w:t>1</w:t>
                  </w:r>
                </w:p>
              </w:tc>
              <w:tc>
                <w:tcPr>
                  <w:tcW w:w="999" w:type="pct"/>
                </w:tcPr>
                <w:p w14:paraId="72DA1CB2" w14:textId="77777777" w:rsidR="00DE1537" w:rsidRDefault="00DE1537" w:rsidP="00343F3E">
                  <w:pPr>
                    <w:pStyle w:val="TableBodyText"/>
                  </w:pPr>
                  <w:r>
                    <w:t>28.2</w:t>
                  </w:r>
                </w:p>
              </w:tc>
              <w:tc>
                <w:tcPr>
                  <w:tcW w:w="999" w:type="pct"/>
                </w:tcPr>
                <w:p w14:paraId="348BCEAD" w14:textId="77777777" w:rsidR="00DE1537" w:rsidRDefault="00DE1537" w:rsidP="00343F3E">
                  <w:pPr>
                    <w:pStyle w:val="TableBodyText"/>
                    <w:ind w:right="28"/>
                  </w:pPr>
                  <w:r w:rsidRPr="000546C1">
                    <w:rPr>
                      <w:b/>
                    </w:rPr>
                    <w:t>453.</w:t>
                  </w:r>
                  <w:r>
                    <w:rPr>
                      <w:b/>
                    </w:rPr>
                    <w:t>5</w:t>
                  </w:r>
                </w:p>
              </w:tc>
            </w:tr>
            <w:tr w:rsidR="00DE1537" w14:paraId="69165C3A" w14:textId="77777777" w:rsidTr="00343F3E">
              <w:tc>
                <w:tcPr>
                  <w:tcW w:w="1000" w:type="pct"/>
                  <w:shd w:val="clear" w:color="auto" w:fill="auto"/>
                </w:tcPr>
                <w:p w14:paraId="64FA57EB" w14:textId="77777777" w:rsidR="00DE1537" w:rsidRDefault="00DE1537" w:rsidP="00343F3E">
                  <w:pPr>
                    <w:pStyle w:val="TableBodyText"/>
                    <w:jc w:val="left"/>
                  </w:pPr>
                  <w:r>
                    <w:t>2009-10</w:t>
                  </w:r>
                </w:p>
              </w:tc>
              <w:tc>
                <w:tcPr>
                  <w:tcW w:w="1002" w:type="pct"/>
                  <w:shd w:val="clear" w:color="auto" w:fill="auto"/>
                </w:tcPr>
                <w:p w14:paraId="730BB63F" w14:textId="77777777" w:rsidR="00DE1537" w:rsidRDefault="00DE1537" w:rsidP="00343F3E">
                  <w:pPr>
                    <w:pStyle w:val="TableBodyText"/>
                  </w:pPr>
                  <w:r>
                    <w:t>106.1</w:t>
                  </w:r>
                </w:p>
              </w:tc>
              <w:tc>
                <w:tcPr>
                  <w:tcW w:w="1000" w:type="pct"/>
                  <w:shd w:val="clear" w:color="auto" w:fill="auto"/>
                </w:tcPr>
                <w:p w14:paraId="235B93F6" w14:textId="77777777" w:rsidR="00DE1537" w:rsidRDefault="00DE1537" w:rsidP="00343F3E">
                  <w:pPr>
                    <w:pStyle w:val="TableBodyText"/>
                  </w:pPr>
                  <w:r>
                    <w:t>43.5</w:t>
                  </w:r>
                </w:p>
              </w:tc>
              <w:tc>
                <w:tcPr>
                  <w:tcW w:w="999" w:type="pct"/>
                </w:tcPr>
                <w:p w14:paraId="0B480EA0" w14:textId="77777777" w:rsidR="00DE1537" w:rsidRDefault="00DE1537" w:rsidP="00343F3E">
                  <w:pPr>
                    <w:pStyle w:val="TableBodyText"/>
                  </w:pPr>
                  <w:r>
                    <w:t>47.0</w:t>
                  </w:r>
                </w:p>
              </w:tc>
              <w:tc>
                <w:tcPr>
                  <w:tcW w:w="999" w:type="pct"/>
                </w:tcPr>
                <w:p w14:paraId="6665C3D3" w14:textId="77777777" w:rsidR="00DE1537" w:rsidRDefault="00DE1537" w:rsidP="00343F3E">
                  <w:pPr>
                    <w:pStyle w:val="TableBodyText"/>
                    <w:ind w:right="28"/>
                  </w:pPr>
                  <w:r w:rsidRPr="000546C1">
                    <w:rPr>
                      <w:b/>
                    </w:rPr>
                    <w:t>196.6</w:t>
                  </w:r>
                </w:p>
              </w:tc>
            </w:tr>
            <w:tr w:rsidR="00DE1537" w14:paraId="7FD7A5AD" w14:textId="77777777" w:rsidTr="00343F3E">
              <w:tc>
                <w:tcPr>
                  <w:tcW w:w="1000" w:type="pct"/>
                  <w:shd w:val="clear" w:color="auto" w:fill="auto"/>
                </w:tcPr>
                <w:p w14:paraId="19DD1076" w14:textId="77777777" w:rsidR="00DE1537" w:rsidRDefault="00DE1537" w:rsidP="00343F3E">
                  <w:pPr>
                    <w:pStyle w:val="TableBodyText"/>
                    <w:jc w:val="left"/>
                  </w:pPr>
                  <w:r>
                    <w:t>2010-11</w:t>
                  </w:r>
                </w:p>
              </w:tc>
              <w:tc>
                <w:tcPr>
                  <w:tcW w:w="1002" w:type="pct"/>
                  <w:shd w:val="clear" w:color="auto" w:fill="auto"/>
                </w:tcPr>
                <w:p w14:paraId="50CD4E37" w14:textId="77777777" w:rsidR="00DE1537" w:rsidRDefault="00DE1537" w:rsidP="00343F3E">
                  <w:pPr>
                    <w:pStyle w:val="TableBodyText"/>
                  </w:pPr>
                  <w:r>
                    <w:t>2 758.4</w:t>
                  </w:r>
                </w:p>
              </w:tc>
              <w:tc>
                <w:tcPr>
                  <w:tcW w:w="1000" w:type="pct"/>
                  <w:shd w:val="clear" w:color="auto" w:fill="auto"/>
                </w:tcPr>
                <w:p w14:paraId="6F3E7B87" w14:textId="77777777" w:rsidR="00DE1537" w:rsidRDefault="00DE1537" w:rsidP="00343F3E">
                  <w:pPr>
                    <w:pStyle w:val="TableBodyText"/>
                  </w:pPr>
                  <w:r w:rsidRPr="00CB41DC">
                    <w:t>8</w:t>
                  </w:r>
                  <w:r>
                    <w:t>45.4</w:t>
                  </w:r>
                </w:p>
              </w:tc>
              <w:tc>
                <w:tcPr>
                  <w:tcW w:w="999" w:type="pct"/>
                </w:tcPr>
                <w:p w14:paraId="4B15EB4B" w14:textId="77777777" w:rsidR="00DE1537" w:rsidRDefault="00DE1537" w:rsidP="00343F3E">
                  <w:pPr>
                    <w:pStyle w:val="TableBodyText"/>
                  </w:pPr>
                  <w:r>
                    <w:t>107.1</w:t>
                  </w:r>
                </w:p>
              </w:tc>
              <w:tc>
                <w:tcPr>
                  <w:tcW w:w="999" w:type="pct"/>
                </w:tcPr>
                <w:p w14:paraId="22F082D3" w14:textId="77777777" w:rsidR="00DE1537" w:rsidRDefault="00DE1537" w:rsidP="00343F3E">
                  <w:pPr>
                    <w:pStyle w:val="TableBodyText"/>
                    <w:ind w:right="28"/>
                  </w:pPr>
                  <w:r w:rsidRPr="000546C1">
                    <w:rPr>
                      <w:b/>
                    </w:rPr>
                    <w:t>3 710.9</w:t>
                  </w:r>
                </w:p>
              </w:tc>
            </w:tr>
            <w:tr w:rsidR="00DE1537" w14:paraId="5C245381" w14:textId="77777777" w:rsidTr="00343F3E">
              <w:tc>
                <w:tcPr>
                  <w:tcW w:w="1000" w:type="pct"/>
                  <w:shd w:val="clear" w:color="auto" w:fill="auto"/>
                </w:tcPr>
                <w:p w14:paraId="0EFBD390" w14:textId="77777777" w:rsidR="00DE1537" w:rsidRDefault="00DE1537" w:rsidP="00343F3E">
                  <w:pPr>
                    <w:pStyle w:val="TableBodyText"/>
                    <w:jc w:val="left"/>
                  </w:pPr>
                  <w:r>
                    <w:t>2011-12</w:t>
                  </w:r>
                </w:p>
              </w:tc>
              <w:tc>
                <w:tcPr>
                  <w:tcW w:w="1002" w:type="pct"/>
                  <w:shd w:val="clear" w:color="auto" w:fill="auto"/>
                </w:tcPr>
                <w:p w14:paraId="6DEFFC93" w14:textId="77777777" w:rsidR="00DE1537" w:rsidRDefault="00DE1537" w:rsidP="00343F3E">
                  <w:pPr>
                    <w:pStyle w:val="TableBodyText"/>
                  </w:pPr>
                  <w:r>
                    <w:t>2 960.6</w:t>
                  </w:r>
                </w:p>
              </w:tc>
              <w:tc>
                <w:tcPr>
                  <w:tcW w:w="1000" w:type="pct"/>
                  <w:shd w:val="clear" w:color="auto" w:fill="auto"/>
                </w:tcPr>
                <w:p w14:paraId="2AB97543" w14:textId="77777777" w:rsidR="00DE1537" w:rsidRDefault="00DE1537" w:rsidP="00343F3E">
                  <w:pPr>
                    <w:pStyle w:val="TableBodyText"/>
                  </w:pPr>
                  <w:r>
                    <w:t>80.0</w:t>
                  </w:r>
                </w:p>
              </w:tc>
              <w:tc>
                <w:tcPr>
                  <w:tcW w:w="999" w:type="pct"/>
                </w:tcPr>
                <w:p w14:paraId="27D4475C" w14:textId="77777777" w:rsidR="00DE1537" w:rsidRDefault="00DE1537" w:rsidP="00343F3E">
                  <w:pPr>
                    <w:pStyle w:val="TableBodyText"/>
                  </w:pPr>
                  <w:r>
                    <w:t>50.5</w:t>
                  </w:r>
                </w:p>
              </w:tc>
              <w:tc>
                <w:tcPr>
                  <w:tcW w:w="999" w:type="pct"/>
                </w:tcPr>
                <w:p w14:paraId="15C25ADB" w14:textId="77777777" w:rsidR="00DE1537" w:rsidRDefault="00DE1537" w:rsidP="00343F3E">
                  <w:pPr>
                    <w:pStyle w:val="TableBodyText"/>
                    <w:ind w:right="28"/>
                  </w:pPr>
                  <w:r w:rsidRPr="000546C1">
                    <w:rPr>
                      <w:b/>
                    </w:rPr>
                    <w:t>3 091.1</w:t>
                  </w:r>
                </w:p>
              </w:tc>
            </w:tr>
            <w:tr w:rsidR="00DE1537" w14:paraId="11DA4306" w14:textId="77777777" w:rsidTr="00343F3E">
              <w:tc>
                <w:tcPr>
                  <w:tcW w:w="1000" w:type="pct"/>
                  <w:shd w:val="clear" w:color="auto" w:fill="auto"/>
                </w:tcPr>
                <w:p w14:paraId="78A474CB" w14:textId="77777777" w:rsidR="00DE1537" w:rsidRDefault="00DE1537" w:rsidP="00343F3E">
                  <w:pPr>
                    <w:pStyle w:val="TableBodyText"/>
                    <w:jc w:val="left"/>
                  </w:pPr>
                  <w:r>
                    <w:t>2012-13</w:t>
                  </w:r>
                </w:p>
              </w:tc>
              <w:tc>
                <w:tcPr>
                  <w:tcW w:w="1002" w:type="pct"/>
                  <w:shd w:val="clear" w:color="auto" w:fill="auto"/>
                </w:tcPr>
                <w:p w14:paraId="58219664" w14:textId="77777777" w:rsidR="00DE1537" w:rsidRDefault="00DE1537" w:rsidP="00343F3E">
                  <w:pPr>
                    <w:pStyle w:val="TableBodyText"/>
                  </w:pPr>
                  <w:r>
                    <w:t>77.1</w:t>
                  </w:r>
                </w:p>
              </w:tc>
              <w:tc>
                <w:tcPr>
                  <w:tcW w:w="1000" w:type="pct"/>
                  <w:shd w:val="clear" w:color="auto" w:fill="auto"/>
                </w:tcPr>
                <w:p w14:paraId="1B9363E8" w14:textId="77777777" w:rsidR="00DE1537" w:rsidRDefault="00DE1537" w:rsidP="00343F3E">
                  <w:pPr>
                    <w:pStyle w:val="TableBodyText"/>
                  </w:pPr>
                  <w:r>
                    <w:t>171.0</w:t>
                  </w:r>
                </w:p>
              </w:tc>
              <w:tc>
                <w:tcPr>
                  <w:tcW w:w="999" w:type="pct"/>
                </w:tcPr>
                <w:p w14:paraId="006C6C24" w14:textId="77777777" w:rsidR="00DE1537" w:rsidRDefault="00DE1537" w:rsidP="00343F3E">
                  <w:pPr>
                    <w:pStyle w:val="TableBodyText"/>
                  </w:pPr>
                  <w:r>
                    <w:t>20.2</w:t>
                  </w:r>
                </w:p>
              </w:tc>
              <w:tc>
                <w:tcPr>
                  <w:tcW w:w="999" w:type="pct"/>
                </w:tcPr>
                <w:p w14:paraId="5A7D3EAC" w14:textId="77777777" w:rsidR="00DE1537" w:rsidRDefault="00DE1537" w:rsidP="00343F3E">
                  <w:pPr>
                    <w:pStyle w:val="TableBodyText"/>
                    <w:ind w:right="28"/>
                  </w:pPr>
                  <w:r w:rsidRPr="000546C1">
                    <w:rPr>
                      <w:b/>
                    </w:rPr>
                    <w:t>268.3</w:t>
                  </w:r>
                </w:p>
              </w:tc>
            </w:tr>
            <w:tr w:rsidR="00DE1537" w14:paraId="22D8FE66" w14:textId="77777777" w:rsidTr="00343F3E">
              <w:tc>
                <w:tcPr>
                  <w:tcW w:w="1000" w:type="pct"/>
                  <w:shd w:val="clear" w:color="auto" w:fill="auto"/>
                </w:tcPr>
                <w:p w14:paraId="7D4A09C1" w14:textId="77777777" w:rsidR="00DE1537" w:rsidRDefault="00DE1537" w:rsidP="00343F3E">
                  <w:pPr>
                    <w:pStyle w:val="TableBodyText"/>
                    <w:jc w:val="left"/>
                  </w:pPr>
                  <w:r>
                    <w:t>2013-14</w:t>
                  </w:r>
                </w:p>
              </w:tc>
              <w:tc>
                <w:tcPr>
                  <w:tcW w:w="1002" w:type="pct"/>
                  <w:shd w:val="clear" w:color="auto" w:fill="auto"/>
                </w:tcPr>
                <w:p w14:paraId="1C652362" w14:textId="77777777" w:rsidR="00DE1537" w:rsidRDefault="00DE1537" w:rsidP="00343F3E">
                  <w:pPr>
                    <w:pStyle w:val="TableBodyText"/>
                  </w:pPr>
                  <w:r>
                    <w:t>2 064.9</w:t>
                  </w:r>
                </w:p>
              </w:tc>
              <w:tc>
                <w:tcPr>
                  <w:tcW w:w="1000" w:type="pct"/>
                  <w:shd w:val="clear" w:color="auto" w:fill="auto"/>
                </w:tcPr>
                <w:p w14:paraId="6F0B1A3A" w14:textId="77777777" w:rsidR="00DE1537" w:rsidRDefault="00DE1537" w:rsidP="00343F3E">
                  <w:pPr>
                    <w:pStyle w:val="TableBodyText"/>
                  </w:pPr>
                  <w:r>
                    <w:t>0.3</w:t>
                  </w:r>
                </w:p>
              </w:tc>
              <w:tc>
                <w:tcPr>
                  <w:tcW w:w="999" w:type="pct"/>
                </w:tcPr>
                <w:p w14:paraId="17FA02AE" w14:textId="77777777" w:rsidR="00DE1537" w:rsidRDefault="00DE1537" w:rsidP="00343F3E">
                  <w:pPr>
                    <w:pStyle w:val="TableBodyText"/>
                  </w:pPr>
                  <w:r>
                    <w:t>2.1</w:t>
                  </w:r>
                </w:p>
              </w:tc>
              <w:tc>
                <w:tcPr>
                  <w:tcW w:w="999" w:type="pct"/>
                </w:tcPr>
                <w:p w14:paraId="6D459E5B" w14:textId="77777777" w:rsidR="00DE1537" w:rsidRDefault="00DE1537" w:rsidP="00343F3E">
                  <w:pPr>
                    <w:pStyle w:val="TableBodyText"/>
                    <w:ind w:right="28"/>
                  </w:pPr>
                  <w:r>
                    <w:rPr>
                      <w:b/>
                    </w:rPr>
                    <w:t>2 067.3</w:t>
                  </w:r>
                </w:p>
              </w:tc>
            </w:tr>
            <w:tr w:rsidR="00DE1537" w14:paraId="67998964" w14:textId="77777777" w:rsidTr="00343F3E">
              <w:tc>
                <w:tcPr>
                  <w:tcW w:w="1000" w:type="pct"/>
                  <w:shd w:val="clear" w:color="auto" w:fill="auto"/>
                </w:tcPr>
                <w:p w14:paraId="79A453C3" w14:textId="77777777" w:rsidR="00DE1537" w:rsidRDefault="00DE1537" w:rsidP="00343F3E">
                  <w:pPr>
                    <w:pStyle w:val="TableBodyText"/>
                    <w:jc w:val="left"/>
                  </w:pPr>
                  <w:r>
                    <w:t>2014-15</w:t>
                  </w:r>
                </w:p>
              </w:tc>
              <w:tc>
                <w:tcPr>
                  <w:tcW w:w="1002" w:type="pct"/>
                  <w:shd w:val="clear" w:color="auto" w:fill="auto"/>
                </w:tcPr>
                <w:p w14:paraId="302E4F56" w14:textId="77777777" w:rsidR="00DE1537" w:rsidRDefault="00DE1537" w:rsidP="00343F3E">
                  <w:pPr>
                    <w:pStyle w:val="TableBodyText"/>
                  </w:pPr>
                  <w:r>
                    <w:t>2 981.2</w:t>
                  </w:r>
                </w:p>
              </w:tc>
              <w:tc>
                <w:tcPr>
                  <w:tcW w:w="1000" w:type="pct"/>
                  <w:shd w:val="clear" w:color="auto" w:fill="auto"/>
                </w:tcPr>
                <w:p w14:paraId="7BA65481" w14:textId="77777777" w:rsidR="00DE1537" w:rsidRDefault="00DE1537" w:rsidP="00343F3E">
                  <w:pPr>
                    <w:pStyle w:val="TableBodyText"/>
                  </w:pPr>
                  <w:r>
                    <w:t>–</w:t>
                  </w:r>
                </w:p>
              </w:tc>
              <w:tc>
                <w:tcPr>
                  <w:tcW w:w="999" w:type="pct"/>
                </w:tcPr>
                <w:p w14:paraId="3704D6E5" w14:textId="77777777" w:rsidR="00DE1537" w:rsidRDefault="00DE1537" w:rsidP="00343F3E">
                  <w:pPr>
                    <w:pStyle w:val="TableBodyText"/>
                  </w:pPr>
                  <w:r>
                    <w:t>1.7</w:t>
                  </w:r>
                </w:p>
              </w:tc>
              <w:tc>
                <w:tcPr>
                  <w:tcW w:w="999" w:type="pct"/>
                </w:tcPr>
                <w:p w14:paraId="4FB4D699" w14:textId="77777777" w:rsidR="00DE1537" w:rsidRDefault="00DE1537" w:rsidP="00343F3E">
                  <w:pPr>
                    <w:pStyle w:val="TableBodyText"/>
                    <w:ind w:right="28"/>
                  </w:pPr>
                  <w:r w:rsidRPr="000546C1">
                    <w:rPr>
                      <w:b/>
                    </w:rPr>
                    <w:t>2 982.9</w:t>
                  </w:r>
                </w:p>
              </w:tc>
            </w:tr>
            <w:tr w:rsidR="00DE1537" w14:paraId="6459BD29" w14:textId="77777777" w:rsidTr="00343F3E">
              <w:tc>
                <w:tcPr>
                  <w:tcW w:w="1000" w:type="pct"/>
                  <w:tcBorders>
                    <w:bottom w:val="single" w:sz="6" w:space="0" w:color="BFBFBF"/>
                  </w:tcBorders>
                  <w:shd w:val="clear" w:color="auto" w:fill="auto"/>
                </w:tcPr>
                <w:p w14:paraId="0838AB0E" w14:textId="77777777" w:rsidR="00DE1537" w:rsidRPr="009D4752" w:rsidRDefault="00DE1537" w:rsidP="00343F3E">
                  <w:pPr>
                    <w:pStyle w:val="TableBodyText"/>
                    <w:jc w:val="left"/>
                    <w:rPr>
                      <w:b/>
                    </w:rPr>
                  </w:pPr>
                  <w:r w:rsidRPr="009D4752">
                    <w:rPr>
                      <w:b/>
                    </w:rPr>
                    <w:t>Total</w:t>
                  </w:r>
                </w:p>
              </w:tc>
              <w:tc>
                <w:tcPr>
                  <w:tcW w:w="1002" w:type="pct"/>
                  <w:tcBorders>
                    <w:bottom w:val="single" w:sz="6" w:space="0" w:color="BFBFBF"/>
                  </w:tcBorders>
                  <w:shd w:val="clear" w:color="auto" w:fill="auto"/>
                </w:tcPr>
                <w:p w14:paraId="0106F6E1" w14:textId="77777777" w:rsidR="00DE1537" w:rsidRPr="00436B35" w:rsidRDefault="00DE1537" w:rsidP="00343F3E">
                  <w:pPr>
                    <w:pStyle w:val="TableBodyText"/>
                    <w:rPr>
                      <w:b/>
                    </w:rPr>
                  </w:pPr>
                  <w:r>
                    <w:rPr>
                      <w:b/>
                    </w:rPr>
                    <w:t>11 626.3</w:t>
                  </w:r>
                </w:p>
              </w:tc>
              <w:tc>
                <w:tcPr>
                  <w:tcW w:w="1000" w:type="pct"/>
                  <w:tcBorders>
                    <w:bottom w:val="single" w:sz="6" w:space="0" w:color="BFBFBF"/>
                  </w:tcBorders>
                  <w:shd w:val="clear" w:color="auto" w:fill="auto"/>
                </w:tcPr>
                <w:p w14:paraId="0339D176" w14:textId="77777777" w:rsidR="00DE1537" w:rsidRPr="00436B35" w:rsidRDefault="00DE1537" w:rsidP="00343F3E">
                  <w:pPr>
                    <w:pStyle w:val="TableBodyText"/>
                    <w:rPr>
                      <w:b/>
                    </w:rPr>
                  </w:pPr>
                  <w:r w:rsidRPr="00436B35">
                    <w:rPr>
                      <w:b/>
                    </w:rPr>
                    <w:t>1 312.6</w:t>
                  </w:r>
                </w:p>
              </w:tc>
              <w:tc>
                <w:tcPr>
                  <w:tcW w:w="999" w:type="pct"/>
                  <w:tcBorders>
                    <w:bottom w:val="single" w:sz="6" w:space="0" w:color="BFBFBF"/>
                  </w:tcBorders>
                </w:tcPr>
                <w:p w14:paraId="5C25466D" w14:textId="77777777" w:rsidR="00DE1537" w:rsidRPr="00436B35" w:rsidRDefault="00DE1537" w:rsidP="00343F3E">
                  <w:pPr>
                    <w:pStyle w:val="TableBodyText"/>
                    <w:rPr>
                      <w:b/>
                    </w:rPr>
                  </w:pPr>
                  <w:r>
                    <w:rPr>
                      <w:b/>
                    </w:rPr>
                    <w:t>269</w:t>
                  </w:r>
                  <w:r w:rsidRPr="00436B35">
                    <w:rPr>
                      <w:b/>
                    </w:rPr>
                    <w:t>.3</w:t>
                  </w:r>
                </w:p>
              </w:tc>
              <w:tc>
                <w:tcPr>
                  <w:tcW w:w="999" w:type="pct"/>
                  <w:tcBorders>
                    <w:bottom w:val="single" w:sz="6" w:space="0" w:color="BFBFBF"/>
                  </w:tcBorders>
                </w:tcPr>
                <w:p w14:paraId="1D0BAF88" w14:textId="77777777" w:rsidR="00DE1537" w:rsidRPr="00522379" w:rsidRDefault="00DE1537" w:rsidP="00343F3E">
                  <w:pPr>
                    <w:pStyle w:val="TableBodyText"/>
                    <w:framePr w:w="2155" w:hSpace="227" w:vSpace="181" w:wrap="around" w:vAnchor="text" w:hAnchor="page" w:xAlign="outside" w:y="1"/>
                    <w:ind w:right="28"/>
                    <w:rPr>
                      <w:b/>
                    </w:rPr>
                  </w:pPr>
                  <w:r>
                    <w:rPr>
                      <w:b/>
                    </w:rPr>
                    <w:t>13 208.2</w:t>
                  </w:r>
                </w:p>
              </w:tc>
            </w:tr>
          </w:tbl>
          <w:p w14:paraId="61BAB60B" w14:textId="77777777" w:rsidR="00DE1537" w:rsidRDefault="00DE1537" w:rsidP="00343F3E">
            <w:pPr>
              <w:pStyle w:val="Box"/>
            </w:pPr>
          </w:p>
        </w:tc>
      </w:tr>
      <w:tr w:rsidR="00DE1537" w14:paraId="17C13901" w14:textId="77777777" w:rsidTr="00343F3E">
        <w:trPr>
          <w:cantSplit/>
        </w:trPr>
        <w:tc>
          <w:tcPr>
            <w:tcW w:w="8771" w:type="dxa"/>
            <w:tcBorders>
              <w:top w:val="nil"/>
              <w:left w:val="nil"/>
              <w:bottom w:val="nil"/>
              <w:right w:val="nil"/>
            </w:tcBorders>
            <w:shd w:val="clear" w:color="auto" w:fill="auto"/>
          </w:tcPr>
          <w:p w14:paraId="77050C99" w14:textId="77777777" w:rsidR="00DE1537" w:rsidRDefault="00DE1537" w:rsidP="00343F3E">
            <w:pPr>
              <w:pStyle w:val="Note"/>
              <w:rPr>
                <w:i/>
              </w:rPr>
            </w:pPr>
            <w:proofErr w:type="gramStart"/>
            <w:r w:rsidRPr="008E77FE">
              <w:rPr>
                <w:rStyle w:val="NoteLabel"/>
              </w:rPr>
              <w:t>a</w:t>
            </w:r>
            <w:proofErr w:type="gramEnd"/>
            <w:r>
              <w:t xml:space="preserve"> Other includes the Disaster Recovery Allowance, the former Disaster Income Recovery Subsidy, the National Aerial Firefighting Arrangements, Emergency Alert, ex-gratia payments to New Zealanders and contributions to appeals. </w:t>
            </w:r>
            <w:r w:rsidRPr="005D0BBA">
              <w:rPr>
                <w:b/>
              </w:rPr>
              <w:t>–</w:t>
            </w:r>
            <w:r>
              <w:t xml:space="preserve"> Nil or rounded to zero.</w:t>
            </w:r>
          </w:p>
        </w:tc>
      </w:tr>
      <w:tr w:rsidR="00DE1537" w14:paraId="2C6E190E" w14:textId="77777777" w:rsidTr="00343F3E">
        <w:trPr>
          <w:cantSplit/>
        </w:trPr>
        <w:tc>
          <w:tcPr>
            <w:tcW w:w="8771" w:type="dxa"/>
            <w:tcBorders>
              <w:top w:val="nil"/>
              <w:left w:val="nil"/>
              <w:bottom w:val="nil"/>
              <w:right w:val="nil"/>
            </w:tcBorders>
            <w:shd w:val="clear" w:color="auto" w:fill="auto"/>
          </w:tcPr>
          <w:p w14:paraId="6AB492BC" w14:textId="76CF1780" w:rsidR="00DE1537" w:rsidRDefault="00DE1537" w:rsidP="00343F3E">
            <w:pPr>
              <w:pStyle w:val="Source"/>
            </w:pPr>
            <w:r>
              <w:rPr>
                <w:i/>
              </w:rPr>
              <w:t>Sources</w:t>
            </w:r>
            <w:r>
              <w:t>: Attorney-General’s Department</w:t>
            </w:r>
            <w:r w:rsidRPr="00B7645F">
              <w:t xml:space="preserve"> </w:t>
            </w:r>
            <w:r>
              <w:t>(</w:t>
            </w:r>
            <w:r w:rsidRPr="00B7645F">
              <w:t>pers. comm.</w:t>
            </w:r>
            <w:r>
              <w:t>,</w:t>
            </w:r>
            <w:r w:rsidRPr="00B7645F">
              <w:t xml:space="preserve"> 30</w:t>
            </w:r>
            <w:r>
              <w:t> </w:t>
            </w:r>
            <w:r w:rsidRPr="00B7645F">
              <w:t>July 2014</w:t>
            </w:r>
            <w:r>
              <w:t xml:space="preserve">, sub. 90); Treasury </w:t>
            </w:r>
            <w:r w:rsidRPr="00646DB0">
              <w:rPr>
                <w:rFonts w:cs="Arial"/>
              </w:rPr>
              <w:t>(various years)</w:t>
            </w:r>
            <w:r>
              <w:t>.</w:t>
            </w:r>
          </w:p>
        </w:tc>
      </w:tr>
      <w:tr w:rsidR="00DE1537" w14:paraId="76014857" w14:textId="77777777" w:rsidTr="00343F3E">
        <w:trPr>
          <w:cantSplit/>
        </w:trPr>
        <w:tc>
          <w:tcPr>
            <w:tcW w:w="8771" w:type="dxa"/>
            <w:tcBorders>
              <w:top w:val="nil"/>
              <w:left w:val="nil"/>
              <w:bottom w:val="single" w:sz="6" w:space="0" w:color="78A22F"/>
              <w:right w:val="nil"/>
            </w:tcBorders>
            <w:shd w:val="clear" w:color="auto" w:fill="auto"/>
          </w:tcPr>
          <w:p w14:paraId="16C3F100" w14:textId="77777777" w:rsidR="00DE1537" w:rsidRDefault="00DE1537" w:rsidP="00343F3E">
            <w:pPr>
              <w:pStyle w:val="Box"/>
              <w:spacing w:before="0" w:line="120" w:lineRule="exact"/>
            </w:pPr>
          </w:p>
        </w:tc>
      </w:tr>
      <w:tr w:rsidR="00DE1537" w:rsidRPr="000863A5" w14:paraId="2151AD42" w14:textId="77777777" w:rsidTr="00343F3E">
        <w:tc>
          <w:tcPr>
            <w:tcW w:w="8771" w:type="dxa"/>
            <w:tcBorders>
              <w:top w:val="single" w:sz="6" w:space="0" w:color="78A22F"/>
              <w:left w:val="nil"/>
              <w:bottom w:val="nil"/>
              <w:right w:val="nil"/>
            </w:tcBorders>
          </w:tcPr>
          <w:p w14:paraId="2A412C6A" w14:textId="77777777" w:rsidR="00DE1537" w:rsidRPr="00626D32" w:rsidRDefault="00DE1537" w:rsidP="00343F3E">
            <w:pPr>
              <w:pStyle w:val="BoxSpaceBelow"/>
            </w:pPr>
          </w:p>
        </w:tc>
      </w:tr>
    </w:tbl>
    <w:p w14:paraId="55709325" w14:textId="77777777" w:rsidR="00DE1537" w:rsidRPr="005C1F11" w:rsidRDefault="00DE1537" w:rsidP="00343F3E">
      <w:pPr>
        <w:pStyle w:val="Heading4"/>
      </w:pPr>
      <w:r w:rsidRPr="005C1F11">
        <w:lastRenderedPageBreak/>
        <w:t>Fiscal costs for state and</w:t>
      </w:r>
      <w:r w:rsidRPr="005C1F11">
        <w:rPr>
          <w:rStyle w:val="Heading4Char"/>
          <w:i/>
        </w:rPr>
        <w:t xml:space="preserve"> </w:t>
      </w:r>
      <w:r w:rsidRPr="005C1F11">
        <w:t>territory governments</w:t>
      </w:r>
    </w:p>
    <w:p w14:paraId="5AC9C7EF" w14:textId="77777777" w:rsidR="00DE1537" w:rsidRPr="000D2004" w:rsidRDefault="00DE1537" w:rsidP="00343F3E">
      <w:pPr>
        <w:pStyle w:val="BodyText"/>
      </w:pPr>
      <w:r w:rsidRPr="000D2004">
        <w:t>State and territory governments fund a range of pre</w:t>
      </w:r>
      <w:r>
        <w:noBreakHyphen/>
      </w:r>
      <w:r w:rsidRPr="000D2004">
        <w:t xml:space="preserve">disaster initiatives, often labelled as resilience and mitigation programs. </w:t>
      </w:r>
      <w:r>
        <w:t>Several</w:t>
      </w:r>
      <w:r w:rsidRPr="000D2004">
        <w:t xml:space="preserve"> of these programs are funded through the NPANDR. Available estimates </w:t>
      </w:r>
      <w:r>
        <w:t>show at least $110 million of non</w:t>
      </w:r>
      <w:r>
        <w:noBreakHyphen/>
        <w:t xml:space="preserve">Australian Government expenditure </w:t>
      </w:r>
      <w:r w:rsidRPr="000D2004">
        <w:t>through the NPANDR from 2009</w:t>
      </w:r>
      <w:r>
        <w:noBreakHyphen/>
      </w:r>
      <w:r w:rsidRPr="000D2004">
        <w:t>10 to 2012</w:t>
      </w:r>
      <w:r>
        <w:noBreakHyphen/>
      </w:r>
      <w:r w:rsidRPr="000D2004">
        <w:t>13</w:t>
      </w:r>
      <w:r>
        <w:t xml:space="preserve">, mostly from states and territories </w:t>
      </w:r>
      <w:r w:rsidRPr="000D2004">
        <w:t xml:space="preserve">(supplementary paper </w:t>
      </w:r>
      <w:r>
        <w:t>2</w:t>
      </w:r>
      <w:r w:rsidRPr="000D2004">
        <w:t>)</w:t>
      </w:r>
      <w:r>
        <w:t>.</w:t>
      </w:r>
      <w:r w:rsidRPr="003E3C4A">
        <w:rPr>
          <w:rStyle w:val="FootnoteReference"/>
        </w:rPr>
        <w:footnoteReference w:id="6"/>
      </w:r>
    </w:p>
    <w:p w14:paraId="0A07FF55" w14:textId="77777777" w:rsidR="00DE1537" w:rsidRDefault="00DE1537" w:rsidP="00343F3E">
      <w:pPr>
        <w:pStyle w:val="BodyText"/>
      </w:pPr>
      <w:r w:rsidRPr="000D2004">
        <w:t>The lack of consistent time series data across states and territories makes it difficult to obtain an estimate of pre</w:t>
      </w:r>
      <w:r>
        <w:noBreakHyphen/>
      </w:r>
      <w:r w:rsidRPr="000D2004">
        <w:t>disaster expenditure outside of the NPANDR. In addition, it is often the case that initiatives which indirectly improve resilience and mitigation are not explicitly categorised as pre</w:t>
      </w:r>
      <w:r>
        <w:noBreakHyphen/>
      </w:r>
      <w:r w:rsidRPr="000D2004">
        <w:t>disaster initiatives and therefore cannot be identified. For example, mitigation expenditure is sometimes embedded within expenditure on public infrastructure projects.</w:t>
      </w:r>
      <w:r>
        <w:t xml:space="preserve"> </w:t>
      </w:r>
      <w:proofErr w:type="gramStart"/>
      <w:r>
        <w:t>The Queensland Government (sub.</w:t>
      </w:r>
      <w:proofErr w:type="gramEnd"/>
      <w:r>
        <w:t> DR184) submitted that it provided significant non</w:t>
      </w:r>
      <w:r>
        <w:noBreakHyphen/>
        <w:t>NPANDR mitigation funding, including over $350 million for roadworks, over $65 million for flood mitigation under the Royalties for the Regions and Local Government Floods Response Subsidy programs, and $40 million for the Queensland Betterment Fund (the latter matched in funding by the Australian Government).</w:t>
      </w:r>
    </w:p>
    <w:p w14:paraId="6FDB1BBE" w14:textId="77777777" w:rsidR="00DE1537" w:rsidRPr="000D2004" w:rsidRDefault="00DE1537" w:rsidP="00343F3E">
      <w:pPr>
        <w:pStyle w:val="BodyText"/>
      </w:pPr>
      <w:r>
        <w:t>Supplementary paper 2 provides examples of mitigation projects undertaken with non</w:t>
      </w:r>
      <w:r>
        <w:noBreakHyphen/>
        <w:t>NPANDR funds. The case of Western Australia is used here as an illustration (box 1.9). While this is only a snapshot taken at a particular point in time and is not necessarily indicative of the level of non</w:t>
      </w:r>
      <w:r>
        <w:noBreakHyphen/>
        <w:t>NPANDR expenditure every year, it nevertheless suggests that there could be significant funding channelled to non</w:t>
      </w:r>
      <w:r>
        <w:noBreakHyphen/>
        <w:t>NPANDR mitigation initiatives at the state and territory level.</w:t>
      </w:r>
    </w:p>
    <w:p w14:paraId="43C44D3F"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5F7CB16" w14:textId="77777777" w:rsidTr="00343F3E">
        <w:tc>
          <w:tcPr>
            <w:tcW w:w="8771" w:type="dxa"/>
            <w:tcBorders>
              <w:top w:val="single" w:sz="6" w:space="0" w:color="78A22F"/>
              <w:left w:val="nil"/>
              <w:bottom w:val="nil"/>
              <w:right w:val="nil"/>
            </w:tcBorders>
            <w:shd w:val="clear" w:color="auto" w:fill="F2F2F2" w:themeFill="background1" w:themeFillShade="F2"/>
          </w:tcPr>
          <w:p w14:paraId="5CD44213" w14:textId="568370F9" w:rsidR="00DE1537" w:rsidRDefault="00DE1537" w:rsidP="00343F3E">
            <w:pPr>
              <w:pStyle w:val="BoxTitle"/>
            </w:pPr>
            <w:r>
              <w:rPr>
                <w:b w:val="0"/>
              </w:rPr>
              <w:t>Box 1.</w:t>
            </w:r>
            <w:r>
              <w:rPr>
                <w:b w:val="0"/>
                <w:noProof/>
              </w:rPr>
              <w:t>9</w:t>
            </w:r>
            <w:r>
              <w:tab/>
              <w:t>A snapshot of pre</w:t>
            </w:r>
            <w:r>
              <w:noBreakHyphen/>
              <w:t xml:space="preserve">disaster expenditure </w:t>
            </w:r>
          </w:p>
        </w:tc>
      </w:tr>
      <w:tr w:rsidR="00DE1537" w14:paraId="2BE75C5C" w14:textId="77777777" w:rsidTr="00343F3E">
        <w:trPr>
          <w:cantSplit/>
        </w:trPr>
        <w:tc>
          <w:tcPr>
            <w:tcW w:w="8771" w:type="dxa"/>
            <w:tcBorders>
              <w:top w:val="nil"/>
              <w:left w:val="nil"/>
              <w:bottom w:val="nil"/>
              <w:right w:val="nil"/>
            </w:tcBorders>
            <w:shd w:val="clear" w:color="auto" w:fill="F2F2F2" w:themeFill="background1" w:themeFillShade="F2"/>
          </w:tcPr>
          <w:p w14:paraId="1E36F252" w14:textId="77777777" w:rsidR="00DE1537" w:rsidRDefault="00DE1537" w:rsidP="00343F3E">
            <w:pPr>
              <w:pStyle w:val="Box"/>
            </w:pPr>
            <w:r>
              <w:t>In 2012</w:t>
            </w:r>
            <w:r>
              <w:noBreakHyphen/>
              <w:t>13, the Western Australian Government provided considerable funding for a number of non</w:t>
            </w:r>
            <w:r>
              <w:noBreakHyphen/>
              <w:t>NPANDR initiatives aimed at improving natural disaster mitigation. These include:</w:t>
            </w:r>
          </w:p>
          <w:p w14:paraId="3CFAF9C6" w14:textId="77777777" w:rsidR="00DE1537" w:rsidRDefault="00DE1537" w:rsidP="00343F3E">
            <w:pPr>
              <w:pStyle w:val="BoxListBullet"/>
            </w:pPr>
            <w:r>
              <w:t>$65 million by the Department of Parks and Wildlife for bushfire mitigation and suppression</w:t>
            </w:r>
          </w:p>
          <w:p w14:paraId="034CED6F" w14:textId="77777777" w:rsidR="00DE1537" w:rsidRDefault="00DE1537" w:rsidP="00343F3E">
            <w:pPr>
              <w:pStyle w:val="BoxListBullet"/>
            </w:pPr>
            <w:r>
              <w:t>$3.8 million by the Department of Education for bushfire mitigation and suppression</w:t>
            </w:r>
          </w:p>
          <w:p w14:paraId="393D8042" w14:textId="77777777" w:rsidR="00DE1537" w:rsidRPr="007E5288" w:rsidRDefault="00DE1537" w:rsidP="00343F3E">
            <w:pPr>
              <w:pStyle w:val="BoxListBullet"/>
              <w:rPr>
                <w:rFonts w:eastAsiaTheme="minorHAnsi"/>
                <w:lang w:eastAsia="en-US"/>
              </w:rPr>
            </w:pPr>
            <w:r>
              <w:t>$328 million by Western Power for bushfire mitigation programs.</w:t>
            </w:r>
          </w:p>
          <w:p w14:paraId="076E4205" w14:textId="77777777" w:rsidR="00DE1537" w:rsidRDefault="00DE1537" w:rsidP="00343F3E">
            <w:pPr>
              <w:pStyle w:val="Box"/>
            </w:pPr>
            <w:r>
              <w:t>This suggests that NPANDR expenditure may represent a small proportion of total pre</w:t>
            </w:r>
            <w:r>
              <w:noBreakHyphen/>
              <w:t>disaster expenditure by the Western Australian Government, a finding that could apply to other states and territories.</w:t>
            </w:r>
          </w:p>
        </w:tc>
      </w:tr>
      <w:tr w:rsidR="00DE1537" w14:paraId="52054078" w14:textId="77777777" w:rsidTr="00343F3E">
        <w:trPr>
          <w:cantSplit/>
        </w:trPr>
        <w:tc>
          <w:tcPr>
            <w:tcW w:w="8771" w:type="dxa"/>
            <w:tcBorders>
              <w:top w:val="nil"/>
              <w:left w:val="nil"/>
              <w:bottom w:val="nil"/>
              <w:right w:val="nil"/>
            </w:tcBorders>
            <w:shd w:val="clear" w:color="auto" w:fill="F2F2F2" w:themeFill="background1" w:themeFillShade="F2"/>
          </w:tcPr>
          <w:p w14:paraId="65CF0525" w14:textId="77777777" w:rsidR="00DE1537" w:rsidRDefault="00DE1537" w:rsidP="00343F3E">
            <w:pPr>
              <w:pStyle w:val="BoxSource"/>
            </w:pPr>
            <w:r>
              <w:rPr>
                <w:i/>
              </w:rPr>
              <w:t>Sources</w:t>
            </w:r>
            <w:r w:rsidRPr="00167F06">
              <w:t xml:space="preserve">: </w:t>
            </w:r>
            <w:r>
              <w:t>Western Australian Government (pers. comm., 11 July 2014); WA SEMCS (sub. DR216).</w:t>
            </w:r>
          </w:p>
        </w:tc>
      </w:tr>
      <w:tr w:rsidR="00DE1537" w14:paraId="121F948A"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E87283E" w14:textId="77777777" w:rsidR="00DE1537" w:rsidRDefault="00DE1537">
            <w:pPr>
              <w:pStyle w:val="Box"/>
              <w:spacing w:before="0" w:line="120" w:lineRule="exact"/>
            </w:pPr>
          </w:p>
        </w:tc>
      </w:tr>
      <w:tr w:rsidR="00DE1537" w:rsidRPr="000863A5" w14:paraId="61DF01A9" w14:textId="77777777" w:rsidTr="00343F3E">
        <w:tc>
          <w:tcPr>
            <w:tcW w:w="8771" w:type="dxa"/>
            <w:tcBorders>
              <w:top w:val="single" w:sz="6" w:space="0" w:color="78A22F"/>
              <w:left w:val="nil"/>
              <w:bottom w:val="nil"/>
              <w:right w:val="nil"/>
            </w:tcBorders>
          </w:tcPr>
          <w:p w14:paraId="60922695" w14:textId="77777777" w:rsidR="00DE1537" w:rsidRPr="00626D32" w:rsidRDefault="00DE1537" w:rsidP="00343F3E">
            <w:pPr>
              <w:pStyle w:val="BoxSpaceBelow"/>
            </w:pPr>
          </w:p>
        </w:tc>
      </w:tr>
    </w:tbl>
    <w:p w14:paraId="434FA0F0" w14:textId="77777777" w:rsidR="00DE1537" w:rsidRDefault="00DE1537" w:rsidP="00343F3E">
      <w:pPr>
        <w:pStyle w:val="BodyText"/>
      </w:pPr>
      <w:r>
        <w:t>State and territory governments also fund various post</w:t>
      </w:r>
      <w:r>
        <w:noBreakHyphen/>
        <w:t xml:space="preserve">disaster initiatives. Because of the </w:t>
      </w:r>
      <w:r w:rsidRPr="00954A90">
        <w:t xml:space="preserve">unavailability of detailed expenditure data, the Commission’s analysis is constrained to </w:t>
      </w:r>
      <w:r w:rsidRPr="00954A90">
        <w:lastRenderedPageBreak/>
        <w:t>expenditure that was eligible for reimbursement under the NDRRA. From 2002</w:t>
      </w:r>
      <w:r>
        <w:noBreakHyphen/>
      </w:r>
      <w:r w:rsidRPr="00954A90">
        <w:t>03 to 2012</w:t>
      </w:r>
      <w:r>
        <w:noBreakHyphen/>
      </w:r>
      <w:r w:rsidRPr="00954A90">
        <w:t>13, expenditure was highest in Queensland ($</w:t>
      </w:r>
      <w:r>
        <w:t>3.2</w:t>
      </w:r>
      <w:r w:rsidRPr="00954A90">
        <w:t> billion) and New South Wales ($1.3</w:t>
      </w:r>
      <w:r>
        <w:t> </w:t>
      </w:r>
      <w:r w:rsidRPr="00954A90">
        <w:t>billion) (table</w:t>
      </w:r>
      <w:r>
        <w:t> 1.6</w:t>
      </w:r>
      <w:r w:rsidRPr="00954A90">
        <w:t>)</w:t>
      </w:r>
      <w:r w:rsidRPr="00522379">
        <w:t>. This</w:t>
      </w:r>
      <w:r w:rsidRPr="00954A90">
        <w:t xml:space="preserve"> is not surprising given the severe natural disasters that occurred in these jurisdictions over recent years. In contrast, expenditure was relatively low in </w:t>
      </w:r>
      <w:r>
        <w:t>the Australian Capital Territory</w:t>
      </w:r>
      <w:r w:rsidRPr="00954A90">
        <w:t xml:space="preserve"> ($</w:t>
      </w:r>
      <w:r>
        <w:t>23 </w:t>
      </w:r>
      <w:r w:rsidRPr="00954A90">
        <w:t xml:space="preserve">million). </w:t>
      </w:r>
      <w:r>
        <w:t>The proportion of post</w:t>
      </w:r>
      <w:r>
        <w:noBreakHyphen/>
        <w:t xml:space="preserve">disaster expenditure borne by each state and territory also varies considerably — from under 40 per cent to over 90 per cent. This variation is a function of several factors, notably the number and severity of natural disasters experienced over the period, and the state and territory thresholds for Australian Government assistance. </w:t>
      </w:r>
    </w:p>
    <w:p w14:paraId="60DDEA48" w14:textId="77777777" w:rsidR="00DE1537" w:rsidRPr="00FE2ED7" w:rsidRDefault="00DE1537" w:rsidP="00343F3E">
      <w:pPr>
        <w:pStyle w:val="BodyText"/>
      </w:pPr>
      <w:r>
        <w:t>State and territory governments’ NDRRA expenditure that is not reimbursed by the Australian Government is shared among jurisdictions through the process of horizontal fiscal equalisation (supplementary paper 2). For example, the above-average expenditure by Queensland in recent years is partially balanced out by receiving the highest amounts of GST redistribution every year since 2011 (table 1.7).</w:t>
      </w:r>
    </w:p>
    <w:p w14:paraId="3C71B6DB"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E1537" w14:paraId="72C1367C" w14:textId="77777777" w:rsidTr="00343F3E">
        <w:tc>
          <w:tcPr>
            <w:tcW w:w="8771" w:type="dxa"/>
            <w:tcBorders>
              <w:top w:val="single" w:sz="6" w:space="0" w:color="78A22F"/>
              <w:left w:val="nil"/>
              <w:bottom w:val="nil"/>
              <w:right w:val="nil"/>
            </w:tcBorders>
            <w:shd w:val="clear" w:color="auto" w:fill="auto"/>
          </w:tcPr>
          <w:p w14:paraId="7180BC35" w14:textId="13CB3295" w:rsidR="00DE1537" w:rsidRPr="00784A05" w:rsidRDefault="00DE1537" w:rsidP="00343F3E">
            <w:pPr>
              <w:pStyle w:val="TableTitle"/>
            </w:pPr>
            <w:r>
              <w:rPr>
                <w:b w:val="0"/>
              </w:rPr>
              <w:t>Table 1.</w:t>
            </w:r>
            <w:r>
              <w:rPr>
                <w:b w:val="0"/>
                <w:noProof/>
              </w:rPr>
              <w:t>6</w:t>
            </w:r>
            <w:r>
              <w:tab/>
              <w:t>Net state and territory government expenditure post disaster (NDRRA eligible expenditure only)</w:t>
            </w:r>
            <w:r w:rsidRPr="00522379">
              <w:rPr>
                <w:rStyle w:val="NoteLabel"/>
                <w:b/>
              </w:rPr>
              <w:t>a</w:t>
            </w:r>
          </w:p>
        </w:tc>
      </w:tr>
      <w:tr w:rsidR="00DE1537" w14:paraId="0AC07E9D" w14:textId="77777777" w:rsidTr="00343F3E">
        <w:trPr>
          <w:cantSplit/>
        </w:trPr>
        <w:tc>
          <w:tcPr>
            <w:tcW w:w="8771" w:type="dxa"/>
            <w:tcBorders>
              <w:top w:val="nil"/>
              <w:left w:val="nil"/>
              <w:bottom w:val="nil"/>
              <w:right w:val="nil"/>
            </w:tcBorders>
            <w:shd w:val="clear" w:color="auto" w:fill="auto"/>
          </w:tcPr>
          <w:tbl>
            <w:tblPr>
              <w:tblW w:w="4914" w:type="pct"/>
              <w:tblLayout w:type="fixed"/>
              <w:tblCellMar>
                <w:top w:w="28" w:type="dxa"/>
                <w:left w:w="0" w:type="dxa"/>
                <w:right w:w="0" w:type="dxa"/>
              </w:tblCellMar>
              <w:tblLook w:val="0000" w:firstRow="0" w:lastRow="0" w:firstColumn="0" w:lastColumn="0" w:noHBand="0" w:noVBand="0"/>
            </w:tblPr>
            <w:tblGrid>
              <w:gridCol w:w="681"/>
              <w:gridCol w:w="419"/>
              <w:gridCol w:w="906"/>
              <w:gridCol w:w="906"/>
              <w:gridCol w:w="906"/>
              <w:gridCol w:w="906"/>
              <w:gridCol w:w="906"/>
              <w:gridCol w:w="906"/>
              <w:gridCol w:w="906"/>
              <w:gridCol w:w="899"/>
            </w:tblGrid>
            <w:tr w:rsidR="00DE1537" w14:paraId="2819A358" w14:textId="77777777" w:rsidTr="00343F3E">
              <w:tc>
                <w:tcPr>
                  <w:tcW w:w="660" w:type="pct"/>
                  <w:gridSpan w:val="2"/>
                  <w:tcBorders>
                    <w:top w:val="single" w:sz="6" w:space="0" w:color="BFBFBF"/>
                    <w:bottom w:val="single" w:sz="6" w:space="0" w:color="BFBFBF"/>
                  </w:tcBorders>
                  <w:shd w:val="clear" w:color="auto" w:fill="auto"/>
                  <w:tcMar>
                    <w:top w:w="28" w:type="dxa"/>
                  </w:tcMar>
                </w:tcPr>
                <w:p w14:paraId="79542F33" w14:textId="77777777" w:rsidR="00DE1537" w:rsidRDefault="00DE1537" w:rsidP="00343F3E">
                  <w:pPr>
                    <w:pStyle w:val="TableColumnHeading"/>
                    <w:jc w:val="left"/>
                  </w:pPr>
                  <w:r>
                    <w:t>Year</w:t>
                  </w:r>
                </w:p>
              </w:tc>
              <w:tc>
                <w:tcPr>
                  <w:tcW w:w="543" w:type="pct"/>
                  <w:tcBorders>
                    <w:top w:val="single" w:sz="6" w:space="0" w:color="BFBFBF"/>
                    <w:bottom w:val="single" w:sz="6" w:space="0" w:color="BFBFBF"/>
                  </w:tcBorders>
                  <w:shd w:val="clear" w:color="auto" w:fill="auto"/>
                  <w:tcMar>
                    <w:top w:w="28" w:type="dxa"/>
                  </w:tcMar>
                </w:tcPr>
                <w:p w14:paraId="2DA3B6FB" w14:textId="77777777" w:rsidR="00DE1537" w:rsidRDefault="00DE1537" w:rsidP="00343F3E">
                  <w:pPr>
                    <w:pStyle w:val="TableColumnHeading"/>
                  </w:pPr>
                  <w:r>
                    <w:t>NSW</w:t>
                  </w:r>
                </w:p>
              </w:tc>
              <w:tc>
                <w:tcPr>
                  <w:tcW w:w="543" w:type="pct"/>
                  <w:tcBorders>
                    <w:top w:val="single" w:sz="6" w:space="0" w:color="BFBFBF"/>
                    <w:bottom w:val="single" w:sz="6" w:space="0" w:color="BFBFBF"/>
                  </w:tcBorders>
                  <w:shd w:val="clear" w:color="auto" w:fill="auto"/>
                  <w:tcMar>
                    <w:top w:w="28" w:type="dxa"/>
                  </w:tcMar>
                </w:tcPr>
                <w:p w14:paraId="7CAF93F8" w14:textId="77777777" w:rsidR="00DE1537" w:rsidRDefault="00DE1537" w:rsidP="00343F3E">
                  <w:pPr>
                    <w:pStyle w:val="TableColumnHeading"/>
                  </w:pPr>
                  <w:r>
                    <w:t>Vic</w:t>
                  </w:r>
                </w:p>
              </w:tc>
              <w:tc>
                <w:tcPr>
                  <w:tcW w:w="543" w:type="pct"/>
                  <w:tcBorders>
                    <w:top w:val="single" w:sz="6" w:space="0" w:color="BFBFBF"/>
                    <w:bottom w:val="single" w:sz="6" w:space="0" w:color="BFBFBF"/>
                  </w:tcBorders>
                </w:tcPr>
                <w:p w14:paraId="76CC9AA9" w14:textId="77777777" w:rsidR="00DE1537" w:rsidRDefault="00DE1537" w:rsidP="00343F3E">
                  <w:pPr>
                    <w:pStyle w:val="TableColumnHeading"/>
                    <w:spacing w:before="20"/>
                    <w:ind w:right="28"/>
                  </w:pPr>
                  <w:r>
                    <w:t>Qld</w:t>
                  </w:r>
                  <w:r w:rsidRPr="00B21542">
                    <w:rPr>
                      <w:rStyle w:val="NoteLabel"/>
                      <w:i w:val="0"/>
                    </w:rPr>
                    <w:t>b</w:t>
                  </w:r>
                </w:p>
              </w:tc>
              <w:tc>
                <w:tcPr>
                  <w:tcW w:w="543" w:type="pct"/>
                  <w:tcBorders>
                    <w:top w:val="single" w:sz="6" w:space="0" w:color="BFBFBF"/>
                    <w:bottom w:val="single" w:sz="6" w:space="0" w:color="BFBFBF"/>
                  </w:tcBorders>
                </w:tcPr>
                <w:p w14:paraId="2256321E" w14:textId="77777777" w:rsidR="00DE1537" w:rsidRDefault="00DE1537" w:rsidP="00343F3E">
                  <w:pPr>
                    <w:pStyle w:val="TableColumnHeading"/>
                  </w:pPr>
                  <w:r>
                    <w:t>SA</w:t>
                  </w:r>
                </w:p>
              </w:tc>
              <w:tc>
                <w:tcPr>
                  <w:tcW w:w="543" w:type="pct"/>
                  <w:tcBorders>
                    <w:top w:val="single" w:sz="6" w:space="0" w:color="BFBFBF"/>
                    <w:bottom w:val="single" w:sz="6" w:space="0" w:color="BFBFBF"/>
                  </w:tcBorders>
                  <w:vAlign w:val="center"/>
                </w:tcPr>
                <w:p w14:paraId="5FCD71F4" w14:textId="77777777" w:rsidR="00DE1537" w:rsidRDefault="00DE1537" w:rsidP="00343F3E">
                  <w:pPr>
                    <w:pStyle w:val="TableColumnHeading"/>
                  </w:pPr>
                  <w:r>
                    <w:rPr>
                      <w:rFonts w:cs="Arial"/>
                      <w:i w:val="0"/>
                      <w:iCs/>
                      <w:color w:val="000000"/>
                      <w:szCs w:val="18"/>
                    </w:rPr>
                    <w:t>WA</w:t>
                  </w:r>
                </w:p>
              </w:tc>
              <w:tc>
                <w:tcPr>
                  <w:tcW w:w="543" w:type="pct"/>
                  <w:tcBorders>
                    <w:top w:val="single" w:sz="6" w:space="0" w:color="BFBFBF"/>
                    <w:bottom w:val="single" w:sz="6" w:space="0" w:color="BFBFBF"/>
                  </w:tcBorders>
                </w:tcPr>
                <w:p w14:paraId="67997B4D" w14:textId="77777777" w:rsidR="00DE1537" w:rsidRDefault="00DE1537" w:rsidP="00343F3E">
                  <w:pPr>
                    <w:pStyle w:val="TableColumnHeading"/>
                  </w:pPr>
                  <w:r>
                    <w:t>Tas</w:t>
                  </w:r>
                </w:p>
              </w:tc>
              <w:tc>
                <w:tcPr>
                  <w:tcW w:w="543" w:type="pct"/>
                  <w:tcBorders>
                    <w:top w:val="single" w:sz="6" w:space="0" w:color="BFBFBF"/>
                    <w:bottom w:val="single" w:sz="6" w:space="0" w:color="BFBFBF"/>
                  </w:tcBorders>
                </w:tcPr>
                <w:p w14:paraId="061C14C4" w14:textId="77777777" w:rsidR="00DE1537" w:rsidRDefault="00DE1537" w:rsidP="00343F3E">
                  <w:pPr>
                    <w:pStyle w:val="TableColumnHeading"/>
                  </w:pPr>
                  <w:r>
                    <w:t>NT</w:t>
                  </w:r>
                </w:p>
              </w:tc>
              <w:tc>
                <w:tcPr>
                  <w:tcW w:w="539" w:type="pct"/>
                  <w:tcBorders>
                    <w:top w:val="single" w:sz="6" w:space="0" w:color="BFBFBF"/>
                    <w:bottom w:val="single" w:sz="6" w:space="0" w:color="BFBFBF"/>
                  </w:tcBorders>
                </w:tcPr>
                <w:p w14:paraId="7E5543DE" w14:textId="77777777" w:rsidR="00DE1537" w:rsidRDefault="00DE1537" w:rsidP="00343F3E">
                  <w:pPr>
                    <w:pStyle w:val="TableColumnHeading"/>
                    <w:ind w:right="28"/>
                  </w:pPr>
                  <w:r>
                    <w:t>ACT</w:t>
                  </w:r>
                </w:p>
              </w:tc>
            </w:tr>
            <w:tr w:rsidR="00DE1537" w14:paraId="5FB5203B" w14:textId="77777777" w:rsidTr="00343F3E">
              <w:tc>
                <w:tcPr>
                  <w:tcW w:w="660" w:type="pct"/>
                  <w:gridSpan w:val="2"/>
                  <w:tcBorders>
                    <w:top w:val="single" w:sz="6" w:space="0" w:color="BFBFBF"/>
                  </w:tcBorders>
                </w:tcPr>
                <w:p w14:paraId="7A9C3F02" w14:textId="77777777" w:rsidR="00DE1537" w:rsidRDefault="00DE1537" w:rsidP="00343F3E">
                  <w:pPr>
                    <w:pStyle w:val="TableUnitsRow"/>
                    <w:jc w:val="left"/>
                  </w:pPr>
                </w:p>
              </w:tc>
              <w:tc>
                <w:tcPr>
                  <w:tcW w:w="543" w:type="pct"/>
                  <w:tcBorders>
                    <w:top w:val="single" w:sz="6" w:space="0" w:color="BFBFBF"/>
                  </w:tcBorders>
                </w:tcPr>
                <w:p w14:paraId="572A19F9" w14:textId="77777777" w:rsidR="00DE1537" w:rsidRPr="00F03821" w:rsidRDefault="00DE1537" w:rsidP="00343F3E">
                  <w:pPr>
                    <w:pStyle w:val="TableUnitsRow"/>
                  </w:pPr>
                  <w:r w:rsidRPr="00F03821">
                    <w:t>$m</w:t>
                  </w:r>
                </w:p>
              </w:tc>
              <w:tc>
                <w:tcPr>
                  <w:tcW w:w="543" w:type="pct"/>
                  <w:tcBorders>
                    <w:top w:val="single" w:sz="6" w:space="0" w:color="BFBFBF"/>
                  </w:tcBorders>
                </w:tcPr>
                <w:p w14:paraId="05335507" w14:textId="77777777" w:rsidR="00DE1537" w:rsidRPr="00F03821" w:rsidRDefault="00DE1537" w:rsidP="00343F3E">
                  <w:pPr>
                    <w:pStyle w:val="TableUnitsRow"/>
                  </w:pPr>
                  <w:r w:rsidRPr="00F03821">
                    <w:t>$m</w:t>
                  </w:r>
                </w:p>
              </w:tc>
              <w:tc>
                <w:tcPr>
                  <w:tcW w:w="543" w:type="pct"/>
                  <w:tcBorders>
                    <w:top w:val="single" w:sz="6" w:space="0" w:color="BFBFBF"/>
                  </w:tcBorders>
                </w:tcPr>
                <w:p w14:paraId="1D51B2C7" w14:textId="77777777" w:rsidR="00DE1537" w:rsidRPr="00F03821" w:rsidRDefault="00DE1537" w:rsidP="00343F3E">
                  <w:pPr>
                    <w:pStyle w:val="TableUnitsRow"/>
                  </w:pPr>
                  <w:r w:rsidRPr="00F03821">
                    <w:t>$m</w:t>
                  </w:r>
                </w:p>
              </w:tc>
              <w:tc>
                <w:tcPr>
                  <w:tcW w:w="543" w:type="pct"/>
                  <w:tcBorders>
                    <w:top w:val="single" w:sz="6" w:space="0" w:color="BFBFBF"/>
                  </w:tcBorders>
                </w:tcPr>
                <w:p w14:paraId="62444FD6" w14:textId="77777777" w:rsidR="00DE1537" w:rsidRPr="00F03821" w:rsidRDefault="00DE1537" w:rsidP="00343F3E">
                  <w:pPr>
                    <w:pStyle w:val="TableUnitsRow"/>
                  </w:pPr>
                  <w:r w:rsidRPr="00F03821">
                    <w:t>$m</w:t>
                  </w:r>
                </w:p>
              </w:tc>
              <w:tc>
                <w:tcPr>
                  <w:tcW w:w="543" w:type="pct"/>
                  <w:tcBorders>
                    <w:top w:val="single" w:sz="6" w:space="0" w:color="BFBFBF"/>
                  </w:tcBorders>
                  <w:vAlign w:val="center"/>
                </w:tcPr>
                <w:p w14:paraId="71B7B2E2" w14:textId="77777777" w:rsidR="00DE1537" w:rsidRPr="00F03821" w:rsidRDefault="00DE1537" w:rsidP="00343F3E">
                  <w:pPr>
                    <w:pStyle w:val="TableUnitsRow"/>
                  </w:pPr>
                  <w:r w:rsidRPr="00F03821">
                    <w:t>$m</w:t>
                  </w:r>
                </w:p>
              </w:tc>
              <w:tc>
                <w:tcPr>
                  <w:tcW w:w="543" w:type="pct"/>
                  <w:tcBorders>
                    <w:top w:val="single" w:sz="6" w:space="0" w:color="BFBFBF"/>
                  </w:tcBorders>
                </w:tcPr>
                <w:p w14:paraId="2F5688C1" w14:textId="77777777" w:rsidR="00DE1537" w:rsidRPr="00F03821" w:rsidRDefault="00DE1537" w:rsidP="00343F3E">
                  <w:pPr>
                    <w:pStyle w:val="TableUnitsRow"/>
                  </w:pPr>
                  <w:r w:rsidRPr="00F03821">
                    <w:t>$m</w:t>
                  </w:r>
                </w:p>
              </w:tc>
              <w:tc>
                <w:tcPr>
                  <w:tcW w:w="543" w:type="pct"/>
                  <w:tcBorders>
                    <w:top w:val="single" w:sz="6" w:space="0" w:color="BFBFBF"/>
                  </w:tcBorders>
                </w:tcPr>
                <w:p w14:paraId="25C9294F" w14:textId="77777777" w:rsidR="00DE1537" w:rsidRPr="00F03821" w:rsidRDefault="00DE1537" w:rsidP="00343F3E">
                  <w:pPr>
                    <w:pStyle w:val="TableUnitsRow"/>
                  </w:pPr>
                  <w:r w:rsidRPr="00F03821">
                    <w:t>$m</w:t>
                  </w:r>
                </w:p>
              </w:tc>
              <w:tc>
                <w:tcPr>
                  <w:tcW w:w="539" w:type="pct"/>
                  <w:tcBorders>
                    <w:top w:val="single" w:sz="6" w:space="0" w:color="BFBFBF"/>
                  </w:tcBorders>
                </w:tcPr>
                <w:p w14:paraId="31428355" w14:textId="77777777" w:rsidR="00DE1537" w:rsidRDefault="00DE1537" w:rsidP="00343F3E">
                  <w:pPr>
                    <w:pStyle w:val="TableUnitsRow"/>
                    <w:ind w:right="28"/>
                  </w:pPr>
                  <w:r>
                    <w:t>$m</w:t>
                  </w:r>
                </w:p>
              </w:tc>
            </w:tr>
            <w:tr w:rsidR="00DE1537" w14:paraId="357E1E33" w14:textId="77777777" w:rsidTr="00343F3E">
              <w:tc>
                <w:tcPr>
                  <w:tcW w:w="660" w:type="pct"/>
                  <w:gridSpan w:val="2"/>
                </w:tcPr>
                <w:p w14:paraId="42A254CB" w14:textId="77777777" w:rsidR="00DE1537" w:rsidRDefault="00DE1537" w:rsidP="00343F3E">
                  <w:pPr>
                    <w:pStyle w:val="TableBodyText"/>
                    <w:jc w:val="left"/>
                  </w:pPr>
                  <w:r>
                    <w:t>2002-03</w:t>
                  </w:r>
                </w:p>
              </w:tc>
              <w:tc>
                <w:tcPr>
                  <w:tcW w:w="543" w:type="pct"/>
                </w:tcPr>
                <w:p w14:paraId="689BD605" w14:textId="77777777" w:rsidR="00DE1537" w:rsidRDefault="00DE1537" w:rsidP="00343F3E">
                  <w:pPr>
                    <w:pStyle w:val="TableBodyText"/>
                  </w:pPr>
                  <w:r w:rsidRPr="001D0999">
                    <w:t>112.4</w:t>
                  </w:r>
                </w:p>
              </w:tc>
              <w:tc>
                <w:tcPr>
                  <w:tcW w:w="543" w:type="pct"/>
                </w:tcPr>
                <w:p w14:paraId="3D6E7BB2" w14:textId="77777777" w:rsidR="00DE1537" w:rsidRDefault="00DE1537" w:rsidP="00343F3E">
                  <w:pPr>
                    <w:pStyle w:val="TableBodyText"/>
                    <w:rPr>
                      <w:i/>
                    </w:rPr>
                  </w:pPr>
                  <w:r w:rsidRPr="00522379">
                    <w:t>76.7</w:t>
                  </w:r>
                </w:p>
              </w:tc>
              <w:tc>
                <w:tcPr>
                  <w:tcW w:w="543" w:type="pct"/>
                </w:tcPr>
                <w:p w14:paraId="528C3B7F" w14:textId="77777777" w:rsidR="00DE1537" w:rsidRDefault="00DE1537" w:rsidP="00343F3E">
                  <w:pPr>
                    <w:pStyle w:val="TableBodyText"/>
                    <w:rPr>
                      <w:i/>
                    </w:rPr>
                  </w:pPr>
                  <w:r w:rsidRPr="00A1634E">
                    <w:t>44.0</w:t>
                  </w:r>
                </w:p>
              </w:tc>
              <w:tc>
                <w:tcPr>
                  <w:tcW w:w="543" w:type="pct"/>
                </w:tcPr>
                <w:p w14:paraId="68D35D30" w14:textId="77777777" w:rsidR="00DE1537" w:rsidRPr="00DC3CF4" w:rsidRDefault="00DE1537" w:rsidP="00343F3E">
                  <w:pPr>
                    <w:pStyle w:val="TableBodyText"/>
                    <w:rPr>
                      <w:b/>
                    </w:rPr>
                  </w:pPr>
                  <w:r w:rsidRPr="00DC3CF4">
                    <w:rPr>
                      <w:b/>
                    </w:rPr>
                    <w:t>n</w:t>
                  </w:r>
                  <w:r>
                    <w:rPr>
                      <w:b/>
                    </w:rPr>
                    <w:t>a</w:t>
                  </w:r>
                </w:p>
              </w:tc>
              <w:tc>
                <w:tcPr>
                  <w:tcW w:w="543" w:type="pct"/>
                  <w:vAlign w:val="center"/>
                </w:tcPr>
                <w:p w14:paraId="0FAAE36A" w14:textId="77777777" w:rsidR="00DE1537" w:rsidRDefault="00DE1537" w:rsidP="00343F3E">
                  <w:pPr>
                    <w:pStyle w:val="TableBodyText"/>
                    <w:rPr>
                      <w:i/>
                    </w:rPr>
                  </w:pPr>
                  <w:r>
                    <w:rPr>
                      <w:rFonts w:cs="Arial"/>
                      <w:b/>
                      <w:bCs/>
                      <w:color w:val="000000"/>
                      <w:szCs w:val="18"/>
                    </w:rPr>
                    <w:t>na</w:t>
                  </w:r>
                </w:p>
              </w:tc>
              <w:tc>
                <w:tcPr>
                  <w:tcW w:w="543" w:type="pct"/>
                </w:tcPr>
                <w:p w14:paraId="29E31F58" w14:textId="77777777" w:rsidR="00DE1537" w:rsidRDefault="00DE1537" w:rsidP="00343F3E">
                  <w:pPr>
                    <w:pStyle w:val="TableBodyText"/>
                    <w:rPr>
                      <w:i/>
                    </w:rPr>
                  </w:pPr>
                  <w:r w:rsidRPr="00C25AC7">
                    <w:t>0.0</w:t>
                  </w:r>
                </w:p>
              </w:tc>
              <w:tc>
                <w:tcPr>
                  <w:tcW w:w="543" w:type="pct"/>
                </w:tcPr>
                <w:p w14:paraId="0936318A" w14:textId="77777777" w:rsidR="00DE1537" w:rsidRDefault="00DE1537" w:rsidP="00343F3E">
                  <w:pPr>
                    <w:pStyle w:val="TableBodyText"/>
                    <w:rPr>
                      <w:i/>
                    </w:rPr>
                  </w:pPr>
                  <w:r w:rsidRPr="001F2C33">
                    <w:t>2.1</w:t>
                  </w:r>
                </w:p>
              </w:tc>
              <w:tc>
                <w:tcPr>
                  <w:tcW w:w="539" w:type="pct"/>
                </w:tcPr>
                <w:p w14:paraId="7F1721F1" w14:textId="77777777" w:rsidR="00DE1537" w:rsidRPr="00BB446E" w:rsidRDefault="00DE1537" w:rsidP="00343F3E">
                  <w:pPr>
                    <w:pStyle w:val="TableBodyText"/>
                    <w:ind w:right="28"/>
                  </w:pPr>
                  <w:r>
                    <w:t>10.0</w:t>
                  </w:r>
                </w:p>
              </w:tc>
            </w:tr>
            <w:tr w:rsidR="00DE1537" w14:paraId="0486E1C9" w14:textId="77777777" w:rsidTr="00343F3E">
              <w:tc>
                <w:tcPr>
                  <w:tcW w:w="660" w:type="pct"/>
                  <w:gridSpan w:val="2"/>
                  <w:shd w:val="clear" w:color="auto" w:fill="auto"/>
                </w:tcPr>
                <w:p w14:paraId="425969E9" w14:textId="77777777" w:rsidR="00DE1537" w:rsidRDefault="00DE1537" w:rsidP="00343F3E">
                  <w:pPr>
                    <w:pStyle w:val="TableBodyText"/>
                    <w:jc w:val="left"/>
                  </w:pPr>
                  <w:r>
                    <w:t>2003-04</w:t>
                  </w:r>
                </w:p>
              </w:tc>
              <w:tc>
                <w:tcPr>
                  <w:tcW w:w="543" w:type="pct"/>
                  <w:shd w:val="clear" w:color="auto" w:fill="auto"/>
                </w:tcPr>
                <w:p w14:paraId="7B40F23F" w14:textId="77777777" w:rsidR="00DE1537" w:rsidRDefault="00DE1537" w:rsidP="00343F3E">
                  <w:pPr>
                    <w:pStyle w:val="TableBodyText"/>
                  </w:pPr>
                  <w:r w:rsidRPr="001D0999">
                    <w:t>38.0</w:t>
                  </w:r>
                </w:p>
              </w:tc>
              <w:tc>
                <w:tcPr>
                  <w:tcW w:w="543" w:type="pct"/>
                  <w:shd w:val="clear" w:color="auto" w:fill="auto"/>
                </w:tcPr>
                <w:p w14:paraId="059A5C97" w14:textId="77777777" w:rsidR="00DE1537" w:rsidRDefault="00DE1537" w:rsidP="00343F3E">
                  <w:pPr>
                    <w:pStyle w:val="TableBodyText"/>
                    <w:rPr>
                      <w:i/>
                    </w:rPr>
                  </w:pPr>
                  <w:r w:rsidRPr="00522379">
                    <w:t>3.8</w:t>
                  </w:r>
                </w:p>
              </w:tc>
              <w:tc>
                <w:tcPr>
                  <w:tcW w:w="543" w:type="pct"/>
                </w:tcPr>
                <w:p w14:paraId="0DDED085" w14:textId="77777777" w:rsidR="00DE1537" w:rsidRDefault="00DE1537" w:rsidP="00343F3E">
                  <w:pPr>
                    <w:pStyle w:val="TableBodyText"/>
                    <w:rPr>
                      <w:i/>
                    </w:rPr>
                  </w:pPr>
                  <w:r w:rsidRPr="00A1634E">
                    <w:t>47.0</w:t>
                  </w:r>
                </w:p>
              </w:tc>
              <w:tc>
                <w:tcPr>
                  <w:tcW w:w="543" w:type="pct"/>
                </w:tcPr>
                <w:p w14:paraId="37F2329E" w14:textId="77777777" w:rsidR="00DE1537" w:rsidRDefault="00DE1537" w:rsidP="00343F3E">
                  <w:pPr>
                    <w:pStyle w:val="TableBodyText"/>
                  </w:pPr>
                  <w:r w:rsidRPr="00DC3CF4">
                    <w:rPr>
                      <w:b/>
                    </w:rPr>
                    <w:t>n</w:t>
                  </w:r>
                  <w:r>
                    <w:rPr>
                      <w:b/>
                    </w:rPr>
                    <w:t>a</w:t>
                  </w:r>
                </w:p>
              </w:tc>
              <w:tc>
                <w:tcPr>
                  <w:tcW w:w="543" w:type="pct"/>
                  <w:vAlign w:val="center"/>
                </w:tcPr>
                <w:p w14:paraId="618CA8FE" w14:textId="77777777" w:rsidR="00DE1537" w:rsidRDefault="00DE1537" w:rsidP="00343F3E">
                  <w:pPr>
                    <w:pStyle w:val="TableBodyText"/>
                    <w:rPr>
                      <w:i/>
                    </w:rPr>
                  </w:pPr>
                  <w:r>
                    <w:rPr>
                      <w:rFonts w:cs="Arial"/>
                      <w:color w:val="000000"/>
                      <w:szCs w:val="18"/>
                    </w:rPr>
                    <w:t>15.2</w:t>
                  </w:r>
                </w:p>
              </w:tc>
              <w:tc>
                <w:tcPr>
                  <w:tcW w:w="543" w:type="pct"/>
                </w:tcPr>
                <w:p w14:paraId="6C3C110E" w14:textId="77777777" w:rsidR="00DE1537" w:rsidRDefault="00DE1537" w:rsidP="00343F3E">
                  <w:pPr>
                    <w:pStyle w:val="TableBodyText"/>
                    <w:rPr>
                      <w:i/>
                    </w:rPr>
                  </w:pPr>
                  <w:r w:rsidRPr="00C25AC7">
                    <w:t>0.0</w:t>
                  </w:r>
                </w:p>
              </w:tc>
              <w:tc>
                <w:tcPr>
                  <w:tcW w:w="543" w:type="pct"/>
                </w:tcPr>
                <w:p w14:paraId="57673ECB" w14:textId="77777777" w:rsidR="00DE1537" w:rsidRDefault="00DE1537" w:rsidP="00343F3E">
                  <w:pPr>
                    <w:pStyle w:val="TableBodyText"/>
                    <w:rPr>
                      <w:i/>
                    </w:rPr>
                  </w:pPr>
                  <w:r w:rsidRPr="001F2C33">
                    <w:t>5.4</w:t>
                  </w:r>
                </w:p>
              </w:tc>
              <w:tc>
                <w:tcPr>
                  <w:tcW w:w="539" w:type="pct"/>
                </w:tcPr>
                <w:p w14:paraId="2EE0E390" w14:textId="77777777" w:rsidR="00DE1537" w:rsidRPr="00BB446E" w:rsidRDefault="00DE1537" w:rsidP="00343F3E">
                  <w:pPr>
                    <w:pStyle w:val="TableBodyText"/>
                    <w:ind w:right="28"/>
                  </w:pPr>
                  <w:r w:rsidRPr="00522379">
                    <w:t>8.1</w:t>
                  </w:r>
                </w:p>
              </w:tc>
            </w:tr>
            <w:tr w:rsidR="00DE1537" w14:paraId="4F9CA78E" w14:textId="77777777" w:rsidTr="00343F3E">
              <w:tc>
                <w:tcPr>
                  <w:tcW w:w="660" w:type="pct"/>
                  <w:gridSpan w:val="2"/>
                  <w:shd w:val="clear" w:color="auto" w:fill="auto"/>
                </w:tcPr>
                <w:p w14:paraId="459080A9" w14:textId="77777777" w:rsidR="00DE1537" w:rsidRDefault="00DE1537" w:rsidP="00343F3E">
                  <w:pPr>
                    <w:pStyle w:val="TableBodyText"/>
                    <w:jc w:val="left"/>
                  </w:pPr>
                  <w:r>
                    <w:t>2004-05</w:t>
                  </w:r>
                </w:p>
              </w:tc>
              <w:tc>
                <w:tcPr>
                  <w:tcW w:w="543" w:type="pct"/>
                  <w:shd w:val="clear" w:color="auto" w:fill="auto"/>
                </w:tcPr>
                <w:p w14:paraId="53A4A66A" w14:textId="77777777" w:rsidR="00DE1537" w:rsidRDefault="00DE1537" w:rsidP="00343F3E">
                  <w:pPr>
                    <w:pStyle w:val="TableBodyText"/>
                  </w:pPr>
                  <w:r w:rsidRPr="001D0999">
                    <w:t>23.6</w:t>
                  </w:r>
                </w:p>
              </w:tc>
              <w:tc>
                <w:tcPr>
                  <w:tcW w:w="543" w:type="pct"/>
                  <w:shd w:val="clear" w:color="auto" w:fill="auto"/>
                </w:tcPr>
                <w:p w14:paraId="6E91143C" w14:textId="77777777" w:rsidR="00DE1537" w:rsidRDefault="00DE1537" w:rsidP="00343F3E">
                  <w:pPr>
                    <w:pStyle w:val="TableBodyText"/>
                    <w:rPr>
                      <w:i/>
                    </w:rPr>
                  </w:pPr>
                  <w:r w:rsidRPr="00522379">
                    <w:t>0.5</w:t>
                  </w:r>
                </w:p>
              </w:tc>
              <w:tc>
                <w:tcPr>
                  <w:tcW w:w="543" w:type="pct"/>
                </w:tcPr>
                <w:p w14:paraId="4EC238EF" w14:textId="77777777" w:rsidR="00DE1537" w:rsidRDefault="00DE1537" w:rsidP="00343F3E">
                  <w:pPr>
                    <w:pStyle w:val="TableBodyText"/>
                    <w:rPr>
                      <w:i/>
                    </w:rPr>
                  </w:pPr>
                  <w:r w:rsidRPr="00A1634E">
                    <w:t>64.0</w:t>
                  </w:r>
                </w:p>
              </w:tc>
              <w:tc>
                <w:tcPr>
                  <w:tcW w:w="543" w:type="pct"/>
                </w:tcPr>
                <w:p w14:paraId="0C0EFB53" w14:textId="77777777" w:rsidR="00DE1537" w:rsidRDefault="00DE1537" w:rsidP="00343F3E">
                  <w:pPr>
                    <w:pStyle w:val="TableBodyText"/>
                  </w:pPr>
                  <w:r w:rsidRPr="005E144B">
                    <w:t>3.3</w:t>
                  </w:r>
                </w:p>
              </w:tc>
              <w:tc>
                <w:tcPr>
                  <w:tcW w:w="543" w:type="pct"/>
                  <w:vAlign w:val="center"/>
                </w:tcPr>
                <w:p w14:paraId="35CC521B" w14:textId="77777777" w:rsidR="00DE1537" w:rsidRDefault="00DE1537" w:rsidP="00343F3E">
                  <w:pPr>
                    <w:pStyle w:val="TableBodyText"/>
                    <w:rPr>
                      <w:i/>
                    </w:rPr>
                  </w:pPr>
                  <w:r>
                    <w:rPr>
                      <w:rFonts w:cs="Arial"/>
                      <w:color w:val="000000"/>
                      <w:szCs w:val="18"/>
                    </w:rPr>
                    <w:t>27.3</w:t>
                  </w:r>
                </w:p>
              </w:tc>
              <w:tc>
                <w:tcPr>
                  <w:tcW w:w="543" w:type="pct"/>
                </w:tcPr>
                <w:p w14:paraId="7A769D10" w14:textId="77777777" w:rsidR="00DE1537" w:rsidRDefault="00DE1537" w:rsidP="00343F3E">
                  <w:pPr>
                    <w:pStyle w:val="TableBodyText"/>
                    <w:rPr>
                      <w:i/>
                    </w:rPr>
                  </w:pPr>
                  <w:r w:rsidRPr="00C25AC7">
                    <w:t>0.0</w:t>
                  </w:r>
                </w:p>
              </w:tc>
              <w:tc>
                <w:tcPr>
                  <w:tcW w:w="543" w:type="pct"/>
                </w:tcPr>
                <w:p w14:paraId="3374650D" w14:textId="77777777" w:rsidR="00DE1537" w:rsidRDefault="00DE1537" w:rsidP="00343F3E">
                  <w:pPr>
                    <w:pStyle w:val="TableBodyText"/>
                    <w:rPr>
                      <w:i/>
                    </w:rPr>
                  </w:pPr>
                  <w:r w:rsidRPr="001F2C33">
                    <w:t>5.4</w:t>
                  </w:r>
                </w:p>
              </w:tc>
              <w:tc>
                <w:tcPr>
                  <w:tcW w:w="539" w:type="pct"/>
                </w:tcPr>
                <w:p w14:paraId="13556F54" w14:textId="77777777" w:rsidR="00DE1537" w:rsidRPr="00BB446E" w:rsidRDefault="00DE1537" w:rsidP="00343F3E">
                  <w:pPr>
                    <w:pStyle w:val="TableBodyText"/>
                    <w:ind w:right="28"/>
                  </w:pPr>
                  <w:r w:rsidRPr="00522379">
                    <w:t>4.6</w:t>
                  </w:r>
                </w:p>
              </w:tc>
            </w:tr>
            <w:tr w:rsidR="00DE1537" w14:paraId="7B4338C5" w14:textId="77777777" w:rsidTr="00343F3E">
              <w:tc>
                <w:tcPr>
                  <w:tcW w:w="660" w:type="pct"/>
                  <w:gridSpan w:val="2"/>
                  <w:shd w:val="clear" w:color="auto" w:fill="auto"/>
                </w:tcPr>
                <w:p w14:paraId="47D4DBB6" w14:textId="77777777" w:rsidR="00DE1537" w:rsidRDefault="00DE1537" w:rsidP="00343F3E">
                  <w:pPr>
                    <w:pStyle w:val="TableBodyText"/>
                    <w:jc w:val="left"/>
                  </w:pPr>
                  <w:r>
                    <w:t>2005-06</w:t>
                  </w:r>
                </w:p>
              </w:tc>
              <w:tc>
                <w:tcPr>
                  <w:tcW w:w="543" w:type="pct"/>
                  <w:shd w:val="clear" w:color="auto" w:fill="auto"/>
                </w:tcPr>
                <w:p w14:paraId="4BFDA8E3" w14:textId="77777777" w:rsidR="00DE1537" w:rsidRDefault="00DE1537" w:rsidP="00343F3E">
                  <w:pPr>
                    <w:pStyle w:val="TableBodyText"/>
                  </w:pPr>
                  <w:r w:rsidRPr="001D0999">
                    <w:t>59.7</w:t>
                  </w:r>
                </w:p>
              </w:tc>
              <w:tc>
                <w:tcPr>
                  <w:tcW w:w="543" w:type="pct"/>
                  <w:shd w:val="clear" w:color="auto" w:fill="auto"/>
                </w:tcPr>
                <w:p w14:paraId="5D44E926" w14:textId="77777777" w:rsidR="00DE1537" w:rsidRDefault="00DE1537" w:rsidP="00343F3E">
                  <w:pPr>
                    <w:pStyle w:val="TableBodyText"/>
                    <w:rPr>
                      <w:i/>
                    </w:rPr>
                  </w:pPr>
                  <w:r w:rsidRPr="00522379">
                    <w:t>0.8</w:t>
                  </w:r>
                </w:p>
              </w:tc>
              <w:tc>
                <w:tcPr>
                  <w:tcW w:w="543" w:type="pct"/>
                </w:tcPr>
                <w:p w14:paraId="37B14B18" w14:textId="77777777" w:rsidR="00DE1537" w:rsidRDefault="00DE1537" w:rsidP="00343F3E">
                  <w:pPr>
                    <w:pStyle w:val="TableBodyText"/>
                    <w:rPr>
                      <w:i/>
                    </w:rPr>
                  </w:pPr>
                  <w:r w:rsidRPr="00A1634E">
                    <w:t>87.0</w:t>
                  </w:r>
                </w:p>
              </w:tc>
              <w:tc>
                <w:tcPr>
                  <w:tcW w:w="543" w:type="pct"/>
                </w:tcPr>
                <w:p w14:paraId="279AADF7" w14:textId="77777777" w:rsidR="00DE1537" w:rsidRDefault="00DE1537" w:rsidP="00343F3E">
                  <w:pPr>
                    <w:pStyle w:val="TableBodyText"/>
                  </w:pPr>
                  <w:r w:rsidRPr="005E144B">
                    <w:t>2.2</w:t>
                  </w:r>
                </w:p>
              </w:tc>
              <w:tc>
                <w:tcPr>
                  <w:tcW w:w="543" w:type="pct"/>
                  <w:vAlign w:val="center"/>
                </w:tcPr>
                <w:p w14:paraId="741092D3" w14:textId="77777777" w:rsidR="00DE1537" w:rsidRDefault="00DE1537" w:rsidP="00343F3E">
                  <w:pPr>
                    <w:pStyle w:val="TableBodyText"/>
                    <w:rPr>
                      <w:i/>
                    </w:rPr>
                  </w:pPr>
                  <w:r>
                    <w:rPr>
                      <w:rFonts w:cs="Arial"/>
                      <w:color w:val="000000"/>
                      <w:szCs w:val="18"/>
                    </w:rPr>
                    <w:t>5.9</w:t>
                  </w:r>
                </w:p>
              </w:tc>
              <w:tc>
                <w:tcPr>
                  <w:tcW w:w="543" w:type="pct"/>
                </w:tcPr>
                <w:p w14:paraId="3ADDAE66" w14:textId="77777777" w:rsidR="00DE1537" w:rsidRDefault="00DE1537" w:rsidP="00343F3E">
                  <w:pPr>
                    <w:pStyle w:val="TableBodyText"/>
                    <w:rPr>
                      <w:i/>
                    </w:rPr>
                  </w:pPr>
                  <w:r w:rsidRPr="00C25AC7">
                    <w:t>0.0</w:t>
                  </w:r>
                </w:p>
              </w:tc>
              <w:tc>
                <w:tcPr>
                  <w:tcW w:w="543" w:type="pct"/>
                </w:tcPr>
                <w:p w14:paraId="657861BC" w14:textId="77777777" w:rsidR="00DE1537" w:rsidRDefault="00DE1537" w:rsidP="00343F3E">
                  <w:pPr>
                    <w:pStyle w:val="TableBodyText"/>
                    <w:rPr>
                      <w:i/>
                    </w:rPr>
                  </w:pPr>
                  <w:r w:rsidRPr="001F2C33">
                    <w:t>8.4</w:t>
                  </w:r>
                </w:p>
              </w:tc>
              <w:tc>
                <w:tcPr>
                  <w:tcW w:w="539" w:type="pct"/>
                </w:tcPr>
                <w:p w14:paraId="564A4B9A" w14:textId="77777777" w:rsidR="00DE1537" w:rsidRPr="00BB446E" w:rsidRDefault="00DE1537" w:rsidP="00343F3E">
                  <w:pPr>
                    <w:pStyle w:val="TableBodyText"/>
                    <w:ind w:right="28"/>
                  </w:pPr>
                  <w:r w:rsidRPr="00522379">
                    <w:t>0.0</w:t>
                  </w:r>
                </w:p>
              </w:tc>
            </w:tr>
            <w:tr w:rsidR="00DE1537" w14:paraId="75231542" w14:textId="77777777" w:rsidTr="00343F3E">
              <w:tc>
                <w:tcPr>
                  <w:tcW w:w="660" w:type="pct"/>
                  <w:gridSpan w:val="2"/>
                  <w:shd w:val="clear" w:color="auto" w:fill="auto"/>
                </w:tcPr>
                <w:p w14:paraId="5CE5D7FF" w14:textId="77777777" w:rsidR="00DE1537" w:rsidRDefault="00DE1537" w:rsidP="00343F3E">
                  <w:pPr>
                    <w:pStyle w:val="TableBodyText"/>
                    <w:jc w:val="left"/>
                  </w:pPr>
                  <w:r>
                    <w:t>2006-07</w:t>
                  </w:r>
                </w:p>
              </w:tc>
              <w:tc>
                <w:tcPr>
                  <w:tcW w:w="543" w:type="pct"/>
                  <w:shd w:val="clear" w:color="auto" w:fill="auto"/>
                </w:tcPr>
                <w:p w14:paraId="789C4A31" w14:textId="77777777" w:rsidR="00DE1537" w:rsidRDefault="00DE1537" w:rsidP="00343F3E">
                  <w:pPr>
                    <w:pStyle w:val="TableBodyText"/>
                  </w:pPr>
                  <w:r w:rsidRPr="001D0999">
                    <w:t>92.7</w:t>
                  </w:r>
                </w:p>
              </w:tc>
              <w:tc>
                <w:tcPr>
                  <w:tcW w:w="543" w:type="pct"/>
                  <w:shd w:val="clear" w:color="auto" w:fill="auto"/>
                </w:tcPr>
                <w:p w14:paraId="1ED743F9" w14:textId="77777777" w:rsidR="00DE1537" w:rsidRDefault="00DE1537" w:rsidP="00343F3E">
                  <w:pPr>
                    <w:pStyle w:val="TableBodyText"/>
                    <w:rPr>
                      <w:i/>
                    </w:rPr>
                  </w:pPr>
                  <w:r w:rsidRPr="00522379">
                    <w:t>101.1</w:t>
                  </w:r>
                </w:p>
              </w:tc>
              <w:tc>
                <w:tcPr>
                  <w:tcW w:w="543" w:type="pct"/>
                </w:tcPr>
                <w:p w14:paraId="435758D6" w14:textId="77777777" w:rsidR="00DE1537" w:rsidRDefault="00DE1537" w:rsidP="00343F3E">
                  <w:pPr>
                    <w:pStyle w:val="TableBodyText"/>
                    <w:rPr>
                      <w:i/>
                    </w:rPr>
                  </w:pPr>
                  <w:r w:rsidRPr="00A1634E">
                    <w:t>130.0</w:t>
                  </w:r>
                </w:p>
              </w:tc>
              <w:tc>
                <w:tcPr>
                  <w:tcW w:w="543" w:type="pct"/>
                </w:tcPr>
                <w:p w14:paraId="08F7D81F" w14:textId="77777777" w:rsidR="00DE1537" w:rsidRDefault="00DE1537" w:rsidP="00343F3E">
                  <w:pPr>
                    <w:pStyle w:val="TableBodyText"/>
                  </w:pPr>
                  <w:r w:rsidRPr="005E144B">
                    <w:t>1.2</w:t>
                  </w:r>
                </w:p>
              </w:tc>
              <w:tc>
                <w:tcPr>
                  <w:tcW w:w="543" w:type="pct"/>
                  <w:vAlign w:val="center"/>
                </w:tcPr>
                <w:p w14:paraId="272AD097" w14:textId="77777777" w:rsidR="00DE1537" w:rsidRDefault="00DE1537" w:rsidP="00343F3E">
                  <w:pPr>
                    <w:pStyle w:val="TableBodyText"/>
                    <w:rPr>
                      <w:i/>
                    </w:rPr>
                  </w:pPr>
                  <w:r>
                    <w:rPr>
                      <w:rFonts w:cs="Arial"/>
                      <w:color w:val="000000"/>
                      <w:szCs w:val="18"/>
                    </w:rPr>
                    <w:t>22.0</w:t>
                  </w:r>
                </w:p>
              </w:tc>
              <w:tc>
                <w:tcPr>
                  <w:tcW w:w="543" w:type="pct"/>
                </w:tcPr>
                <w:p w14:paraId="3090F498" w14:textId="77777777" w:rsidR="00DE1537" w:rsidRDefault="00DE1537" w:rsidP="00343F3E">
                  <w:pPr>
                    <w:pStyle w:val="TableBodyText"/>
                    <w:rPr>
                      <w:i/>
                    </w:rPr>
                  </w:pPr>
                  <w:r w:rsidRPr="00C25AC7">
                    <w:t>5.9</w:t>
                  </w:r>
                </w:p>
              </w:tc>
              <w:tc>
                <w:tcPr>
                  <w:tcW w:w="543" w:type="pct"/>
                </w:tcPr>
                <w:p w14:paraId="4404267D" w14:textId="77777777" w:rsidR="00DE1537" w:rsidRDefault="00DE1537" w:rsidP="00343F3E">
                  <w:pPr>
                    <w:pStyle w:val="TableBodyText"/>
                    <w:rPr>
                      <w:i/>
                    </w:rPr>
                  </w:pPr>
                  <w:r w:rsidRPr="001F2C33">
                    <w:t>10.1</w:t>
                  </w:r>
                </w:p>
              </w:tc>
              <w:tc>
                <w:tcPr>
                  <w:tcW w:w="539" w:type="pct"/>
                </w:tcPr>
                <w:p w14:paraId="6E4556E2" w14:textId="77777777" w:rsidR="00DE1537" w:rsidRPr="00BB446E" w:rsidRDefault="00DE1537" w:rsidP="00343F3E">
                  <w:pPr>
                    <w:pStyle w:val="TableBodyText"/>
                    <w:ind w:right="28"/>
                  </w:pPr>
                  <w:r w:rsidRPr="00522379">
                    <w:t>0.0</w:t>
                  </w:r>
                </w:p>
              </w:tc>
            </w:tr>
            <w:tr w:rsidR="00DE1537" w14:paraId="2395F487" w14:textId="77777777" w:rsidTr="00343F3E">
              <w:tc>
                <w:tcPr>
                  <w:tcW w:w="660" w:type="pct"/>
                  <w:gridSpan w:val="2"/>
                  <w:shd w:val="clear" w:color="auto" w:fill="auto"/>
                </w:tcPr>
                <w:p w14:paraId="5DF37A3D" w14:textId="77777777" w:rsidR="00DE1537" w:rsidRDefault="00DE1537" w:rsidP="00343F3E">
                  <w:pPr>
                    <w:pStyle w:val="TableBodyText"/>
                    <w:jc w:val="left"/>
                  </w:pPr>
                  <w:r>
                    <w:t>2007-08</w:t>
                  </w:r>
                </w:p>
              </w:tc>
              <w:tc>
                <w:tcPr>
                  <w:tcW w:w="543" w:type="pct"/>
                  <w:shd w:val="clear" w:color="auto" w:fill="auto"/>
                </w:tcPr>
                <w:p w14:paraId="60A55A56" w14:textId="77777777" w:rsidR="00DE1537" w:rsidRDefault="00DE1537" w:rsidP="00343F3E">
                  <w:pPr>
                    <w:pStyle w:val="TableBodyText"/>
                  </w:pPr>
                  <w:r w:rsidRPr="001D0999">
                    <w:t>95.0</w:t>
                  </w:r>
                </w:p>
              </w:tc>
              <w:tc>
                <w:tcPr>
                  <w:tcW w:w="543" w:type="pct"/>
                  <w:shd w:val="clear" w:color="auto" w:fill="auto"/>
                </w:tcPr>
                <w:p w14:paraId="42878FD3" w14:textId="77777777" w:rsidR="00DE1537" w:rsidRDefault="00DE1537" w:rsidP="00343F3E">
                  <w:pPr>
                    <w:pStyle w:val="TableBodyText"/>
                    <w:rPr>
                      <w:i/>
                    </w:rPr>
                  </w:pPr>
                  <w:r w:rsidRPr="00522379">
                    <w:t>41.2</w:t>
                  </w:r>
                </w:p>
              </w:tc>
              <w:tc>
                <w:tcPr>
                  <w:tcW w:w="543" w:type="pct"/>
                </w:tcPr>
                <w:p w14:paraId="65A571C9" w14:textId="77777777" w:rsidR="00DE1537" w:rsidRDefault="00DE1537" w:rsidP="00343F3E">
                  <w:pPr>
                    <w:pStyle w:val="TableBodyText"/>
                    <w:rPr>
                      <w:i/>
                    </w:rPr>
                  </w:pPr>
                  <w:r w:rsidRPr="00A1634E">
                    <w:t>11</w:t>
                  </w:r>
                  <w:r>
                    <w:t>7</w:t>
                  </w:r>
                  <w:r w:rsidRPr="00A1634E">
                    <w:t>.</w:t>
                  </w:r>
                  <w:r>
                    <w:t>7</w:t>
                  </w:r>
                </w:p>
              </w:tc>
              <w:tc>
                <w:tcPr>
                  <w:tcW w:w="543" w:type="pct"/>
                </w:tcPr>
                <w:p w14:paraId="170B0796" w14:textId="77777777" w:rsidR="00DE1537" w:rsidRPr="00D46D7D" w:rsidRDefault="00DE1537" w:rsidP="00343F3E">
                  <w:pPr>
                    <w:pStyle w:val="TableBodyText"/>
                  </w:pPr>
                  <w:r w:rsidRPr="005E144B">
                    <w:t>27.0</w:t>
                  </w:r>
                </w:p>
              </w:tc>
              <w:tc>
                <w:tcPr>
                  <w:tcW w:w="543" w:type="pct"/>
                  <w:vAlign w:val="center"/>
                </w:tcPr>
                <w:p w14:paraId="1D2EB79F" w14:textId="77777777" w:rsidR="00DE1537" w:rsidRDefault="00DE1537" w:rsidP="00343F3E">
                  <w:pPr>
                    <w:pStyle w:val="TableBodyText"/>
                    <w:rPr>
                      <w:i/>
                    </w:rPr>
                  </w:pPr>
                  <w:r>
                    <w:rPr>
                      <w:rFonts w:cs="Arial"/>
                      <w:color w:val="000000"/>
                      <w:szCs w:val="18"/>
                    </w:rPr>
                    <w:t>25.5</w:t>
                  </w:r>
                </w:p>
              </w:tc>
              <w:tc>
                <w:tcPr>
                  <w:tcW w:w="543" w:type="pct"/>
                </w:tcPr>
                <w:p w14:paraId="24471618" w14:textId="77777777" w:rsidR="00DE1537" w:rsidRDefault="00DE1537" w:rsidP="00343F3E">
                  <w:pPr>
                    <w:pStyle w:val="TableBodyText"/>
                    <w:rPr>
                      <w:i/>
                    </w:rPr>
                  </w:pPr>
                  <w:r w:rsidRPr="00C25AC7">
                    <w:t>1.0</w:t>
                  </w:r>
                </w:p>
              </w:tc>
              <w:tc>
                <w:tcPr>
                  <w:tcW w:w="543" w:type="pct"/>
                </w:tcPr>
                <w:p w14:paraId="56276D8F" w14:textId="77777777" w:rsidR="00DE1537" w:rsidRDefault="00DE1537" w:rsidP="00343F3E">
                  <w:pPr>
                    <w:pStyle w:val="TableBodyText"/>
                    <w:rPr>
                      <w:i/>
                    </w:rPr>
                  </w:pPr>
                  <w:r w:rsidRPr="001F2C33">
                    <w:t>11.1</w:t>
                  </w:r>
                </w:p>
              </w:tc>
              <w:tc>
                <w:tcPr>
                  <w:tcW w:w="539" w:type="pct"/>
                </w:tcPr>
                <w:p w14:paraId="41A2F4CB" w14:textId="77777777" w:rsidR="00DE1537" w:rsidRPr="00BB446E" w:rsidRDefault="00DE1537" w:rsidP="00343F3E">
                  <w:pPr>
                    <w:pStyle w:val="TableBodyText"/>
                    <w:ind w:right="28"/>
                  </w:pPr>
                  <w:r w:rsidRPr="00522379">
                    <w:t>0.0</w:t>
                  </w:r>
                </w:p>
              </w:tc>
            </w:tr>
            <w:tr w:rsidR="00DE1537" w14:paraId="08323E43" w14:textId="77777777" w:rsidTr="00343F3E">
              <w:tc>
                <w:tcPr>
                  <w:tcW w:w="660" w:type="pct"/>
                  <w:gridSpan w:val="2"/>
                  <w:shd w:val="clear" w:color="auto" w:fill="auto"/>
                </w:tcPr>
                <w:p w14:paraId="4AD29E48" w14:textId="77777777" w:rsidR="00DE1537" w:rsidRDefault="00DE1537" w:rsidP="00343F3E">
                  <w:pPr>
                    <w:pStyle w:val="TableBodyText"/>
                    <w:jc w:val="left"/>
                  </w:pPr>
                  <w:r>
                    <w:t>2008-09</w:t>
                  </w:r>
                </w:p>
              </w:tc>
              <w:tc>
                <w:tcPr>
                  <w:tcW w:w="543" w:type="pct"/>
                  <w:shd w:val="clear" w:color="auto" w:fill="auto"/>
                </w:tcPr>
                <w:p w14:paraId="0D0F15B0" w14:textId="77777777" w:rsidR="00DE1537" w:rsidRDefault="00DE1537" w:rsidP="00343F3E">
                  <w:pPr>
                    <w:pStyle w:val="TableBodyText"/>
                  </w:pPr>
                  <w:r w:rsidRPr="001D0999">
                    <w:t>102.5</w:t>
                  </w:r>
                </w:p>
              </w:tc>
              <w:tc>
                <w:tcPr>
                  <w:tcW w:w="543" w:type="pct"/>
                  <w:shd w:val="clear" w:color="auto" w:fill="auto"/>
                </w:tcPr>
                <w:p w14:paraId="16BFB923" w14:textId="77777777" w:rsidR="00DE1537" w:rsidRDefault="00DE1537" w:rsidP="00343F3E">
                  <w:pPr>
                    <w:pStyle w:val="TableBodyText"/>
                    <w:rPr>
                      <w:i/>
                    </w:rPr>
                  </w:pPr>
                  <w:r w:rsidRPr="00F74D2B">
                    <w:t>230.8</w:t>
                  </w:r>
                </w:p>
              </w:tc>
              <w:tc>
                <w:tcPr>
                  <w:tcW w:w="543" w:type="pct"/>
                </w:tcPr>
                <w:p w14:paraId="542E3008" w14:textId="77777777" w:rsidR="00DE1537" w:rsidRDefault="00DE1537" w:rsidP="00343F3E">
                  <w:pPr>
                    <w:pStyle w:val="TableBodyText"/>
                    <w:rPr>
                      <w:i/>
                    </w:rPr>
                  </w:pPr>
                  <w:r w:rsidRPr="00A1634E">
                    <w:t>1</w:t>
                  </w:r>
                  <w:r>
                    <w:t>96</w:t>
                  </w:r>
                  <w:r w:rsidRPr="00A1634E">
                    <w:t>.</w:t>
                  </w:r>
                  <w:r>
                    <w:t>7</w:t>
                  </w:r>
                </w:p>
              </w:tc>
              <w:tc>
                <w:tcPr>
                  <w:tcW w:w="543" w:type="pct"/>
                </w:tcPr>
                <w:p w14:paraId="0AF58537" w14:textId="77777777" w:rsidR="00DE1537" w:rsidRPr="00D46D7D" w:rsidRDefault="00DE1537" w:rsidP="00343F3E">
                  <w:pPr>
                    <w:pStyle w:val="TableBodyText"/>
                  </w:pPr>
                  <w:r w:rsidRPr="005E144B">
                    <w:t>0.3</w:t>
                  </w:r>
                </w:p>
              </w:tc>
              <w:tc>
                <w:tcPr>
                  <w:tcW w:w="543" w:type="pct"/>
                  <w:vAlign w:val="center"/>
                </w:tcPr>
                <w:p w14:paraId="08044E73" w14:textId="77777777" w:rsidR="00DE1537" w:rsidRDefault="00DE1537" w:rsidP="00343F3E">
                  <w:pPr>
                    <w:pStyle w:val="TableBodyText"/>
                    <w:rPr>
                      <w:i/>
                    </w:rPr>
                  </w:pPr>
                  <w:r>
                    <w:rPr>
                      <w:rFonts w:cs="Arial"/>
                      <w:color w:val="000000"/>
                      <w:szCs w:val="18"/>
                    </w:rPr>
                    <w:t>9.7</w:t>
                  </w:r>
                </w:p>
              </w:tc>
              <w:tc>
                <w:tcPr>
                  <w:tcW w:w="543" w:type="pct"/>
                </w:tcPr>
                <w:p w14:paraId="28423F7C" w14:textId="77777777" w:rsidR="00DE1537" w:rsidRDefault="00DE1537" w:rsidP="00343F3E">
                  <w:pPr>
                    <w:pStyle w:val="TableBodyText"/>
                    <w:rPr>
                      <w:i/>
                    </w:rPr>
                  </w:pPr>
                  <w:r w:rsidRPr="00C25AC7">
                    <w:t>0.0</w:t>
                  </w:r>
                </w:p>
              </w:tc>
              <w:tc>
                <w:tcPr>
                  <w:tcW w:w="543" w:type="pct"/>
                </w:tcPr>
                <w:p w14:paraId="108A4A3F" w14:textId="77777777" w:rsidR="00DE1537" w:rsidRDefault="00DE1537" w:rsidP="00343F3E">
                  <w:pPr>
                    <w:pStyle w:val="TableBodyText"/>
                    <w:rPr>
                      <w:i/>
                    </w:rPr>
                  </w:pPr>
                  <w:r w:rsidRPr="001F2C33">
                    <w:t>10.7</w:t>
                  </w:r>
                </w:p>
              </w:tc>
              <w:tc>
                <w:tcPr>
                  <w:tcW w:w="539" w:type="pct"/>
                </w:tcPr>
                <w:p w14:paraId="244F1054" w14:textId="77777777" w:rsidR="00DE1537" w:rsidRPr="00BB446E" w:rsidRDefault="00DE1537" w:rsidP="00343F3E">
                  <w:pPr>
                    <w:pStyle w:val="TableBodyText"/>
                    <w:ind w:right="28"/>
                  </w:pPr>
                  <w:r w:rsidRPr="00522379">
                    <w:t>0.0</w:t>
                  </w:r>
                </w:p>
              </w:tc>
            </w:tr>
            <w:tr w:rsidR="00DE1537" w14:paraId="65C054FD" w14:textId="77777777" w:rsidTr="00343F3E">
              <w:tc>
                <w:tcPr>
                  <w:tcW w:w="660" w:type="pct"/>
                  <w:gridSpan w:val="2"/>
                  <w:shd w:val="clear" w:color="auto" w:fill="auto"/>
                </w:tcPr>
                <w:p w14:paraId="0A8B385B" w14:textId="77777777" w:rsidR="00DE1537" w:rsidRDefault="00DE1537" w:rsidP="00343F3E">
                  <w:pPr>
                    <w:pStyle w:val="TableBodyText"/>
                    <w:jc w:val="left"/>
                  </w:pPr>
                  <w:r>
                    <w:t>2009-10</w:t>
                  </w:r>
                </w:p>
              </w:tc>
              <w:tc>
                <w:tcPr>
                  <w:tcW w:w="543" w:type="pct"/>
                  <w:shd w:val="clear" w:color="auto" w:fill="auto"/>
                </w:tcPr>
                <w:p w14:paraId="19FDAE63" w14:textId="77777777" w:rsidR="00DE1537" w:rsidRDefault="00DE1537" w:rsidP="00343F3E">
                  <w:pPr>
                    <w:pStyle w:val="TableBodyText"/>
                  </w:pPr>
                  <w:r w:rsidRPr="001D0999">
                    <w:t>158.0</w:t>
                  </w:r>
                </w:p>
              </w:tc>
              <w:tc>
                <w:tcPr>
                  <w:tcW w:w="543" w:type="pct"/>
                  <w:shd w:val="clear" w:color="auto" w:fill="auto"/>
                </w:tcPr>
                <w:p w14:paraId="3417CFB3" w14:textId="77777777" w:rsidR="00DE1537" w:rsidRDefault="00DE1537" w:rsidP="00343F3E">
                  <w:pPr>
                    <w:pStyle w:val="TableBodyText"/>
                    <w:rPr>
                      <w:i/>
                    </w:rPr>
                  </w:pPr>
                  <w:r w:rsidRPr="00F74D2B">
                    <w:t>100.7</w:t>
                  </w:r>
                </w:p>
              </w:tc>
              <w:tc>
                <w:tcPr>
                  <w:tcW w:w="543" w:type="pct"/>
                </w:tcPr>
                <w:p w14:paraId="1087E7AA" w14:textId="77777777" w:rsidR="00DE1537" w:rsidRDefault="00DE1537" w:rsidP="00343F3E">
                  <w:pPr>
                    <w:pStyle w:val="TableBodyText"/>
                    <w:rPr>
                      <w:i/>
                    </w:rPr>
                  </w:pPr>
                  <w:r w:rsidRPr="00A1634E">
                    <w:t>2</w:t>
                  </w:r>
                  <w:r>
                    <w:t>5</w:t>
                  </w:r>
                  <w:r w:rsidRPr="00A1634E">
                    <w:t>5.</w:t>
                  </w:r>
                  <w:r>
                    <w:t>1</w:t>
                  </w:r>
                </w:p>
              </w:tc>
              <w:tc>
                <w:tcPr>
                  <w:tcW w:w="543" w:type="pct"/>
                </w:tcPr>
                <w:p w14:paraId="48CF0BDF" w14:textId="77777777" w:rsidR="00DE1537" w:rsidRPr="00D46D7D" w:rsidRDefault="00DE1537" w:rsidP="00343F3E">
                  <w:pPr>
                    <w:pStyle w:val="TableBodyText"/>
                  </w:pPr>
                  <w:r w:rsidRPr="005E144B">
                    <w:t>2.3</w:t>
                  </w:r>
                </w:p>
              </w:tc>
              <w:tc>
                <w:tcPr>
                  <w:tcW w:w="543" w:type="pct"/>
                  <w:vAlign w:val="center"/>
                </w:tcPr>
                <w:p w14:paraId="4A073CCF" w14:textId="77777777" w:rsidR="00DE1537" w:rsidRDefault="00DE1537" w:rsidP="00343F3E">
                  <w:pPr>
                    <w:pStyle w:val="TableBodyText"/>
                    <w:rPr>
                      <w:i/>
                    </w:rPr>
                  </w:pPr>
                  <w:r>
                    <w:rPr>
                      <w:rFonts w:cs="Arial"/>
                      <w:color w:val="000000"/>
                      <w:szCs w:val="18"/>
                    </w:rPr>
                    <w:t>10.9</w:t>
                  </w:r>
                </w:p>
              </w:tc>
              <w:tc>
                <w:tcPr>
                  <w:tcW w:w="543" w:type="pct"/>
                </w:tcPr>
                <w:p w14:paraId="12B4A007" w14:textId="77777777" w:rsidR="00DE1537" w:rsidRDefault="00DE1537" w:rsidP="00343F3E">
                  <w:pPr>
                    <w:pStyle w:val="TableBodyText"/>
                    <w:rPr>
                      <w:i/>
                    </w:rPr>
                  </w:pPr>
                  <w:r w:rsidRPr="00C25AC7">
                    <w:t>1.5</w:t>
                  </w:r>
                </w:p>
              </w:tc>
              <w:tc>
                <w:tcPr>
                  <w:tcW w:w="543" w:type="pct"/>
                </w:tcPr>
                <w:p w14:paraId="366BE351" w14:textId="77777777" w:rsidR="00DE1537" w:rsidRDefault="00DE1537" w:rsidP="00343F3E">
                  <w:pPr>
                    <w:pStyle w:val="TableBodyText"/>
                    <w:rPr>
                      <w:i/>
                    </w:rPr>
                  </w:pPr>
                  <w:r w:rsidRPr="001F2C33">
                    <w:t>11.1</w:t>
                  </w:r>
                </w:p>
              </w:tc>
              <w:tc>
                <w:tcPr>
                  <w:tcW w:w="539" w:type="pct"/>
                </w:tcPr>
                <w:p w14:paraId="63FC6BCC" w14:textId="77777777" w:rsidR="00DE1537" w:rsidRPr="00BB446E" w:rsidRDefault="00DE1537" w:rsidP="00343F3E">
                  <w:pPr>
                    <w:pStyle w:val="TableBodyText"/>
                    <w:ind w:right="28"/>
                  </w:pPr>
                  <w:r w:rsidRPr="00522379">
                    <w:t>0.0</w:t>
                  </w:r>
                </w:p>
              </w:tc>
            </w:tr>
            <w:tr w:rsidR="00DE1537" w14:paraId="22358B3C" w14:textId="77777777" w:rsidTr="00343F3E">
              <w:tc>
                <w:tcPr>
                  <w:tcW w:w="660" w:type="pct"/>
                  <w:gridSpan w:val="2"/>
                  <w:shd w:val="clear" w:color="auto" w:fill="auto"/>
                </w:tcPr>
                <w:p w14:paraId="1E894C9F" w14:textId="77777777" w:rsidR="00DE1537" w:rsidRDefault="00DE1537" w:rsidP="00343F3E">
                  <w:pPr>
                    <w:pStyle w:val="TableBodyText"/>
                    <w:jc w:val="left"/>
                  </w:pPr>
                  <w:r>
                    <w:t>2010-11</w:t>
                  </w:r>
                </w:p>
              </w:tc>
              <w:tc>
                <w:tcPr>
                  <w:tcW w:w="543" w:type="pct"/>
                  <w:shd w:val="clear" w:color="auto" w:fill="auto"/>
                </w:tcPr>
                <w:p w14:paraId="144D3A05" w14:textId="77777777" w:rsidR="00DE1537" w:rsidRDefault="00DE1537" w:rsidP="00343F3E">
                  <w:pPr>
                    <w:pStyle w:val="TableBodyText"/>
                  </w:pPr>
                  <w:r w:rsidRPr="001D0999">
                    <w:t>172.2</w:t>
                  </w:r>
                </w:p>
              </w:tc>
              <w:tc>
                <w:tcPr>
                  <w:tcW w:w="543" w:type="pct"/>
                  <w:shd w:val="clear" w:color="auto" w:fill="auto"/>
                </w:tcPr>
                <w:p w14:paraId="71B78584" w14:textId="77777777" w:rsidR="00DE1537" w:rsidRDefault="00DE1537" w:rsidP="00343F3E">
                  <w:pPr>
                    <w:pStyle w:val="TableBodyText"/>
                    <w:rPr>
                      <w:i/>
                    </w:rPr>
                  </w:pPr>
                  <w:r w:rsidRPr="00F74D2B">
                    <w:t>128.8</w:t>
                  </w:r>
                </w:p>
              </w:tc>
              <w:tc>
                <w:tcPr>
                  <w:tcW w:w="543" w:type="pct"/>
                </w:tcPr>
                <w:p w14:paraId="2889FF88" w14:textId="77777777" w:rsidR="00DE1537" w:rsidRDefault="00DE1537" w:rsidP="00343F3E">
                  <w:pPr>
                    <w:pStyle w:val="TableBodyText"/>
                    <w:rPr>
                      <w:i/>
                    </w:rPr>
                  </w:pPr>
                  <w:r>
                    <w:t>435</w:t>
                  </w:r>
                  <w:r w:rsidRPr="00A1634E">
                    <w:t>.</w:t>
                  </w:r>
                  <w:r>
                    <w:t>3</w:t>
                  </w:r>
                </w:p>
              </w:tc>
              <w:tc>
                <w:tcPr>
                  <w:tcW w:w="543" w:type="pct"/>
                </w:tcPr>
                <w:p w14:paraId="511CD182" w14:textId="77777777" w:rsidR="00DE1537" w:rsidRPr="00D46D7D" w:rsidRDefault="00DE1537" w:rsidP="00343F3E">
                  <w:pPr>
                    <w:pStyle w:val="TableBodyText"/>
                  </w:pPr>
                  <w:r w:rsidRPr="005E144B">
                    <w:t>4.6</w:t>
                  </w:r>
                </w:p>
              </w:tc>
              <w:tc>
                <w:tcPr>
                  <w:tcW w:w="543" w:type="pct"/>
                  <w:vAlign w:val="center"/>
                </w:tcPr>
                <w:p w14:paraId="599E3E8B" w14:textId="77777777" w:rsidR="00DE1537" w:rsidRDefault="00DE1537" w:rsidP="00343F3E">
                  <w:pPr>
                    <w:pStyle w:val="TableBodyText"/>
                    <w:rPr>
                      <w:i/>
                    </w:rPr>
                  </w:pPr>
                  <w:r>
                    <w:rPr>
                      <w:rFonts w:cs="Arial"/>
                      <w:color w:val="000000"/>
                      <w:szCs w:val="18"/>
                    </w:rPr>
                    <w:t>21.1</w:t>
                  </w:r>
                </w:p>
              </w:tc>
              <w:tc>
                <w:tcPr>
                  <w:tcW w:w="543" w:type="pct"/>
                </w:tcPr>
                <w:p w14:paraId="26D23DEE" w14:textId="77777777" w:rsidR="00DE1537" w:rsidRDefault="00DE1537" w:rsidP="00343F3E">
                  <w:pPr>
                    <w:pStyle w:val="TableBodyText"/>
                    <w:rPr>
                      <w:i/>
                    </w:rPr>
                  </w:pPr>
                  <w:r w:rsidRPr="00C25AC7">
                    <w:t>1</w:t>
                  </w:r>
                  <w:r>
                    <w:t>4</w:t>
                  </w:r>
                  <w:r w:rsidRPr="00C25AC7">
                    <w:t>.</w:t>
                  </w:r>
                  <w:r>
                    <w:t>9</w:t>
                  </w:r>
                </w:p>
              </w:tc>
              <w:tc>
                <w:tcPr>
                  <w:tcW w:w="543" w:type="pct"/>
                </w:tcPr>
                <w:p w14:paraId="6A9E885C" w14:textId="77777777" w:rsidR="00DE1537" w:rsidRDefault="00DE1537" w:rsidP="00343F3E">
                  <w:pPr>
                    <w:pStyle w:val="TableBodyText"/>
                    <w:rPr>
                      <w:i/>
                    </w:rPr>
                  </w:pPr>
                  <w:r w:rsidRPr="001F2C33">
                    <w:t>14.4</w:t>
                  </w:r>
                </w:p>
              </w:tc>
              <w:tc>
                <w:tcPr>
                  <w:tcW w:w="539" w:type="pct"/>
                </w:tcPr>
                <w:p w14:paraId="5EE21467" w14:textId="77777777" w:rsidR="00DE1537" w:rsidRPr="00BB446E" w:rsidRDefault="00DE1537" w:rsidP="00343F3E">
                  <w:pPr>
                    <w:pStyle w:val="TableBodyText"/>
                    <w:ind w:right="28"/>
                  </w:pPr>
                  <w:r w:rsidRPr="00522379">
                    <w:t>0.0</w:t>
                  </w:r>
                </w:p>
              </w:tc>
            </w:tr>
            <w:tr w:rsidR="00DE1537" w14:paraId="24757DBE" w14:textId="77777777" w:rsidTr="00343F3E">
              <w:tc>
                <w:tcPr>
                  <w:tcW w:w="660" w:type="pct"/>
                  <w:gridSpan w:val="2"/>
                  <w:shd w:val="clear" w:color="auto" w:fill="auto"/>
                </w:tcPr>
                <w:p w14:paraId="7B2B5223" w14:textId="77777777" w:rsidR="00DE1537" w:rsidRDefault="00DE1537" w:rsidP="00343F3E">
                  <w:pPr>
                    <w:pStyle w:val="TableBodyText"/>
                    <w:jc w:val="left"/>
                  </w:pPr>
                  <w:r>
                    <w:t>2011-12</w:t>
                  </w:r>
                </w:p>
              </w:tc>
              <w:tc>
                <w:tcPr>
                  <w:tcW w:w="543" w:type="pct"/>
                  <w:shd w:val="clear" w:color="auto" w:fill="auto"/>
                </w:tcPr>
                <w:p w14:paraId="47FB04A5" w14:textId="77777777" w:rsidR="00DE1537" w:rsidRDefault="00DE1537" w:rsidP="00343F3E">
                  <w:pPr>
                    <w:pStyle w:val="TableBodyText"/>
                  </w:pPr>
                  <w:r w:rsidRPr="001D0999">
                    <w:t>228.8</w:t>
                  </w:r>
                </w:p>
              </w:tc>
              <w:tc>
                <w:tcPr>
                  <w:tcW w:w="543" w:type="pct"/>
                  <w:shd w:val="clear" w:color="auto" w:fill="auto"/>
                </w:tcPr>
                <w:p w14:paraId="03EE186B" w14:textId="77777777" w:rsidR="00DE1537" w:rsidRDefault="00DE1537" w:rsidP="00343F3E">
                  <w:pPr>
                    <w:pStyle w:val="TableBodyText"/>
                    <w:rPr>
                      <w:i/>
                    </w:rPr>
                  </w:pPr>
                  <w:r w:rsidRPr="00F74D2B">
                    <w:t>123.8</w:t>
                  </w:r>
                </w:p>
              </w:tc>
              <w:tc>
                <w:tcPr>
                  <w:tcW w:w="543" w:type="pct"/>
                </w:tcPr>
                <w:p w14:paraId="602B789E" w14:textId="77777777" w:rsidR="00DE1537" w:rsidRDefault="00DE1537" w:rsidP="00343F3E">
                  <w:pPr>
                    <w:pStyle w:val="TableBodyText"/>
                    <w:rPr>
                      <w:i/>
                    </w:rPr>
                  </w:pPr>
                  <w:r>
                    <w:t>810</w:t>
                  </w:r>
                  <w:r w:rsidRPr="00A1634E">
                    <w:t>.</w:t>
                  </w:r>
                  <w:r>
                    <w:t>8</w:t>
                  </w:r>
                </w:p>
              </w:tc>
              <w:tc>
                <w:tcPr>
                  <w:tcW w:w="543" w:type="pct"/>
                </w:tcPr>
                <w:p w14:paraId="7EBF24A1" w14:textId="77777777" w:rsidR="00DE1537" w:rsidRPr="00D46D7D" w:rsidRDefault="00DE1537" w:rsidP="00343F3E">
                  <w:pPr>
                    <w:pStyle w:val="TableBodyText"/>
                  </w:pPr>
                  <w:r w:rsidRPr="005E144B">
                    <w:t>16.8</w:t>
                  </w:r>
                </w:p>
              </w:tc>
              <w:tc>
                <w:tcPr>
                  <w:tcW w:w="543" w:type="pct"/>
                  <w:vAlign w:val="center"/>
                </w:tcPr>
                <w:p w14:paraId="05ED2F86" w14:textId="77777777" w:rsidR="00DE1537" w:rsidRDefault="00DE1537" w:rsidP="00343F3E">
                  <w:pPr>
                    <w:pStyle w:val="TableBodyText"/>
                    <w:rPr>
                      <w:i/>
                    </w:rPr>
                  </w:pPr>
                  <w:r>
                    <w:rPr>
                      <w:rFonts w:cs="Arial"/>
                      <w:color w:val="000000"/>
                      <w:szCs w:val="18"/>
                    </w:rPr>
                    <w:t>79.2</w:t>
                  </w:r>
                </w:p>
              </w:tc>
              <w:tc>
                <w:tcPr>
                  <w:tcW w:w="543" w:type="pct"/>
                </w:tcPr>
                <w:p w14:paraId="7744E4E5" w14:textId="77777777" w:rsidR="00DE1537" w:rsidRDefault="00DE1537" w:rsidP="00343F3E">
                  <w:pPr>
                    <w:pStyle w:val="TableBodyText"/>
                    <w:rPr>
                      <w:i/>
                    </w:rPr>
                  </w:pPr>
                  <w:r>
                    <w:t>4</w:t>
                  </w:r>
                  <w:r w:rsidRPr="00C25AC7">
                    <w:t>.</w:t>
                  </w:r>
                  <w:r>
                    <w:t>8</w:t>
                  </w:r>
                </w:p>
              </w:tc>
              <w:tc>
                <w:tcPr>
                  <w:tcW w:w="543" w:type="pct"/>
                </w:tcPr>
                <w:p w14:paraId="290E0E64" w14:textId="77777777" w:rsidR="00DE1537" w:rsidRPr="00522379" w:rsidRDefault="00DE1537" w:rsidP="00343F3E">
                  <w:pPr>
                    <w:pStyle w:val="TableBodyText"/>
                    <w:rPr>
                      <w:b/>
                    </w:rPr>
                  </w:pPr>
                  <w:r w:rsidRPr="00522379">
                    <w:rPr>
                      <w:b/>
                    </w:rPr>
                    <w:t>n</w:t>
                  </w:r>
                  <w:r>
                    <w:rPr>
                      <w:b/>
                    </w:rPr>
                    <w:t>a</w:t>
                  </w:r>
                </w:p>
              </w:tc>
              <w:tc>
                <w:tcPr>
                  <w:tcW w:w="539" w:type="pct"/>
                </w:tcPr>
                <w:p w14:paraId="1B4AED12" w14:textId="77777777" w:rsidR="00DE1537" w:rsidRPr="00BB446E" w:rsidRDefault="00DE1537" w:rsidP="00343F3E">
                  <w:pPr>
                    <w:pStyle w:val="TableBodyText"/>
                    <w:ind w:right="28"/>
                  </w:pPr>
                  <w:r w:rsidRPr="00522379">
                    <w:t>0.0</w:t>
                  </w:r>
                </w:p>
              </w:tc>
            </w:tr>
            <w:tr w:rsidR="00DE1537" w14:paraId="0E496E06" w14:textId="77777777" w:rsidTr="00343F3E">
              <w:tc>
                <w:tcPr>
                  <w:tcW w:w="660" w:type="pct"/>
                  <w:gridSpan w:val="2"/>
                  <w:shd w:val="clear" w:color="auto" w:fill="auto"/>
                </w:tcPr>
                <w:p w14:paraId="4A65B053" w14:textId="77777777" w:rsidR="00DE1537" w:rsidRDefault="00DE1537" w:rsidP="00343F3E">
                  <w:pPr>
                    <w:pStyle w:val="TableBodyText"/>
                    <w:jc w:val="left"/>
                  </w:pPr>
                  <w:r>
                    <w:t>2012-13</w:t>
                  </w:r>
                </w:p>
              </w:tc>
              <w:tc>
                <w:tcPr>
                  <w:tcW w:w="543" w:type="pct"/>
                  <w:shd w:val="clear" w:color="auto" w:fill="auto"/>
                </w:tcPr>
                <w:p w14:paraId="3A2A32E0" w14:textId="77777777" w:rsidR="00DE1537" w:rsidRDefault="00DE1537" w:rsidP="00343F3E">
                  <w:pPr>
                    <w:pStyle w:val="TableBodyText"/>
                  </w:pPr>
                  <w:r w:rsidRPr="001D0999">
                    <w:t>235.6</w:t>
                  </w:r>
                </w:p>
              </w:tc>
              <w:tc>
                <w:tcPr>
                  <w:tcW w:w="543" w:type="pct"/>
                  <w:shd w:val="clear" w:color="auto" w:fill="auto"/>
                </w:tcPr>
                <w:p w14:paraId="7FEE833A" w14:textId="77777777" w:rsidR="00DE1537" w:rsidRDefault="00DE1537" w:rsidP="00343F3E">
                  <w:pPr>
                    <w:pStyle w:val="TableBodyText"/>
                    <w:rPr>
                      <w:i/>
                    </w:rPr>
                  </w:pPr>
                  <w:r w:rsidRPr="00037D99">
                    <w:rPr>
                      <w:b/>
                    </w:rPr>
                    <w:t>n</w:t>
                  </w:r>
                  <w:r>
                    <w:rPr>
                      <w:b/>
                    </w:rPr>
                    <w:t>a</w:t>
                  </w:r>
                </w:p>
              </w:tc>
              <w:tc>
                <w:tcPr>
                  <w:tcW w:w="543" w:type="pct"/>
                </w:tcPr>
                <w:p w14:paraId="7C2D4FB0" w14:textId="77777777" w:rsidR="00DE1537" w:rsidRDefault="00DE1537" w:rsidP="00343F3E">
                  <w:pPr>
                    <w:pStyle w:val="TableBodyText"/>
                    <w:rPr>
                      <w:i/>
                    </w:rPr>
                  </w:pPr>
                  <w:r w:rsidRPr="00522379">
                    <w:t>1 050.0</w:t>
                  </w:r>
                </w:p>
              </w:tc>
              <w:tc>
                <w:tcPr>
                  <w:tcW w:w="543" w:type="pct"/>
                </w:tcPr>
                <w:p w14:paraId="71570A4C" w14:textId="77777777" w:rsidR="00DE1537" w:rsidRPr="00D46D7D" w:rsidRDefault="00DE1537" w:rsidP="00343F3E">
                  <w:pPr>
                    <w:pStyle w:val="TableBodyText"/>
                  </w:pPr>
                  <w:r w:rsidRPr="005E144B">
                    <w:t>8.9</w:t>
                  </w:r>
                </w:p>
              </w:tc>
              <w:tc>
                <w:tcPr>
                  <w:tcW w:w="543" w:type="pct"/>
                  <w:vAlign w:val="center"/>
                </w:tcPr>
                <w:p w14:paraId="3332ED16" w14:textId="77777777" w:rsidR="00DE1537" w:rsidRDefault="00DE1537" w:rsidP="00343F3E">
                  <w:pPr>
                    <w:pStyle w:val="TableBodyText"/>
                    <w:rPr>
                      <w:i/>
                    </w:rPr>
                  </w:pPr>
                  <w:r>
                    <w:rPr>
                      <w:rFonts w:cs="Arial"/>
                      <w:color w:val="000000"/>
                      <w:szCs w:val="18"/>
                    </w:rPr>
                    <w:t>84.3</w:t>
                  </w:r>
                </w:p>
              </w:tc>
              <w:tc>
                <w:tcPr>
                  <w:tcW w:w="543" w:type="pct"/>
                </w:tcPr>
                <w:p w14:paraId="43BE38FD" w14:textId="77777777" w:rsidR="00DE1537" w:rsidRDefault="00DE1537" w:rsidP="00343F3E">
                  <w:pPr>
                    <w:pStyle w:val="TableBodyText"/>
                    <w:rPr>
                      <w:i/>
                    </w:rPr>
                  </w:pPr>
                  <w:r>
                    <w:t>18.0</w:t>
                  </w:r>
                </w:p>
              </w:tc>
              <w:tc>
                <w:tcPr>
                  <w:tcW w:w="543" w:type="pct"/>
                </w:tcPr>
                <w:p w14:paraId="739D0D23" w14:textId="77777777" w:rsidR="00DE1537" w:rsidRPr="00522379" w:rsidRDefault="00DE1537" w:rsidP="00343F3E">
                  <w:pPr>
                    <w:pStyle w:val="TableBodyText"/>
                    <w:rPr>
                      <w:b/>
                    </w:rPr>
                  </w:pPr>
                  <w:r w:rsidRPr="00522379">
                    <w:rPr>
                      <w:b/>
                    </w:rPr>
                    <w:t>n</w:t>
                  </w:r>
                  <w:r>
                    <w:rPr>
                      <w:b/>
                    </w:rPr>
                    <w:t>a</w:t>
                  </w:r>
                </w:p>
              </w:tc>
              <w:tc>
                <w:tcPr>
                  <w:tcW w:w="539" w:type="pct"/>
                </w:tcPr>
                <w:p w14:paraId="6B0DDFA3" w14:textId="77777777" w:rsidR="00DE1537" w:rsidRPr="00BB446E" w:rsidRDefault="00DE1537" w:rsidP="00343F3E">
                  <w:pPr>
                    <w:pStyle w:val="TableBodyText"/>
                    <w:ind w:right="28"/>
                  </w:pPr>
                  <w:r w:rsidRPr="00522379">
                    <w:t>0.0</w:t>
                  </w:r>
                </w:p>
              </w:tc>
            </w:tr>
            <w:tr w:rsidR="00DE1537" w14:paraId="63856428" w14:textId="77777777" w:rsidTr="00343F3E">
              <w:tc>
                <w:tcPr>
                  <w:tcW w:w="660" w:type="pct"/>
                  <w:gridSpan w:val="2"/>
                  <w:shd w:val="clear" w:color="auto" w:fill="auto"/>
                </w:tcPr>
                <w:p w14:paraId="320E8EC2" w14:textId="77777777" w:rsidR="00DE1537" w:rsidRDefault="00DE1537" w:rsidP="00343F3E">
                  <w:pPr>
                    <w:pStyle w:val="TableBodyText"/>
                    <w:jc w:val="left"/>
                  </w:pPr>
                  <w:r w:rsidRPr="00164185">
                    <w:rPr>
                      <w:b/>
                    </w:rPr>
                    <w:t xml:space="preserve">Total </w:t>
                  </w:r>
                </w:p>
              </w:tc>
              <w:tc>
                <w:tcPr>
                  <w:tcW w:w="543" w:type="pct"/>
                  <w:shd w:val="clear" w:color="auto" w:fill="auto"/>
                </w:tcPr>
                <w:p w14:paraId="73877341" w14:textId="77777777" w:rsidR="00DE1537" w:rsidRDefault="00DE1537" w:rsidP="00343F3E">
                  <w:pPr>
                    <w:pStyle w:val="TableBodyText"/>
                  </w:pPr>
                  <w:r w:rsidRPr="00164185">
                    <w:rPr>
                      <w:b/>
                    </w:rPr>
                    <w:t>1 318.</w:t>
                  </w:r>
                  <w:r>
                    <w:rPr>
                      <w:b/>
                    </w:rPr>
                    <w:t>5</w:t>
                  </w:r>
                </w:p>
              </w:tc>
              <w:tc>
                <w:tcPr>
                  <w:tcW w:w="543" w:type="pct"/>
                  <w:shd w:val="clear" w:color="auto" w:fill="auto"/>
                </w:tcPr>
                <w:p w14:paraId="2E5D6918" w14:textId="77777777" w:rsidR="00DE1537" w:rsidRDefault="00DE1537" w:rsidP="00343F3E">
                  <w:pPr>
                    <w:pStyle w:val="TableBodyText"/>
                    <w:rPr>
                      <w:i/>
                    </w:rPr>
                  </w:pPr>
                  <w:r>
                    <w:rPr>
                      <w:b/>
                    </w:rPr>
                    <w:t>808.2</w:t>
                  </w:r>
                </w:p>
              </w:tc>
              <w:tc>
                <w:tcPr>
                  <w:tcW w:w="543" w:type="pct"/>
                </w:tcPr>
                <w:p w14:paraId="50958786" w14:textId="77777777" w:rsidR="00DE1537" w:rsidRDefault="00DE1537" w:rsidP="00343F3E">
                  <w:pPr>
                    <w:pStyle w:val="TableBodyText"/>
                    <w:rPr>
                      <w:i/>
                    </w:rPr>
                  </w:pPr>
                  <w:r>
                    <w:rPr>
                      <w:b/>
                    </w:rPr>
                    <w:t>3 237.6</w:t>
                  </w:r>
                </w:p>
              </w:tc>
              <w:tc>
                <w:tcPr>
                  <w:tcW w:w="543" w:type="pct"/>
                </w:tcPr>
                <w:p w14:paraId="137CF64D" w14:textId="77777777" w:rsidR="00DE1537" w:rsidRDefault="00DE1537" w:rsidP="00343F3E">
                  <w:pPr>
                    <w:pStyle w:val="TableBodyText"/>
                    <w:rPr>
                      <w:b/>
                    </w:rPr>
                  </w:pPr>
                  <w:r w:rsidRPr="00BB446E">
                    <w:rPr>
                      <w:b/>
                    </w:rPr>
                    <w:t>66.6</w:t>
                  </w:r>
                </w:p>
              </w:tc>
              <w:tc>
                <w:tcPr>
                  <w:tcW w:w="543" w:type="pct"/>
                  <w:vAlign w:val="center"/>
                </w:tcPr>
                <w:p w14:paraId="3C019A8D" w14:textId="77777777" w:rsidR="00DE1537" w:rsidRPr="00522379" w:rsidRDefault="00DE1537" w:rsidP="00343F3E">
                  <w:pPr>
                    <w:pStyle w:val="TableBodyText"/>
                    <w:rPr>
                      <w:b/>
                    </w:rPr>
                  </w:pPr>
                  <w:r>
                    <w:rPr>
                      <w:rFonts w:cs="Arial"/>
                      <w:b/>
                      <w:bCs/>
                      <w:color w:val="000000"/>
                      <w:szCs w:val="18"/>
                    </w:rPr>
                    <w:t>301.1</w:t>
                  </w:r>
                </w:p>
              </w:tc>
              <w:tc>
                <w:tcPr>
                  <w:tcW w:w="543" w:type="pct"/>
                </w:tcPr>
                <w:p w14:paraId="2492DE01" w14:textId="77777777" w:rsidR="00DE1537" w:rsidRPr="00522379" w:rsidRDefault="00DE1537" w:rsidP="00343F3E">
                  <w:pPr>
                    <w:pStyle w:val="TableBodyText"/>
                    <w:rPr>
                      <w:b/>
                    </w:rPr>
                  </w:pPr>
                  <w:r>
                    <w:rPr>
                      <w:b/>
                    </w:rPr>
                    <w:t>46.1</w:t>
                  </w:r>
                </w:p>
              </w:tc>
              <w:tc>
                <w:tcPr>
                  <w:tcW w:w="543" w:type="pct"/>
                </w:tcPr>
                <w:p w14:paraId="315B8A7B" w14:textId="77777777" w:rsidR="00DE1537" w:rsidRPr="00522379" w:rsidRDefault="00DE1537" w:rsidP="00343F3E">
                  <w:pPr>
                    <w:pStyle w:val="TableBodyText"/>
                    <w:rPr>
                      <w:b/>
                    </w:rPr>
                  </w:pPr>
                  <w:r w:rsidRPr="00F433D2">
                    <w:rPr>
                      <w:b/>
                    </w:rPr>
                    <w:t>78.8</w:t>
                  </w:r>
                </w:p>
              </w:tc>
              <w:tc>
                <w:tcPr>
                  <w:tcW w:w="539" w:type="pct"/>
                </w:tcPr>
                <w:p w14:paraId="1FDC5A6A" w14:textId="77777777" w:rsidR="00DE1537" w:rsidRDefault="00DE1537" w:rsidP="00343F3E">
                  <w:pPr>
                    <w:pStyle w:val="TableBodyText"/>
                    <w:ind w:right="28"/>
                  </w:pPr>
                  <w:r>
                    <w:rPr>
                      <w:b/>
                    </w:rPr>
                    <w:t>22.7</w:t>
                  </w:r>
                </w:p>
              </w:tc>
            </w:tr>
            <w:tr w:rsidR="00DE1537" w14:paraId="64CE4FC3" w14:textId="77777777" w:rsidTr="00343F3E">
              <w:trPr>
                <w:trHeight w:val="369"/>
              </w:trPr>
              <w:tc>
                <w:tcPr>
                  <w:tcW w:w="409" w:type="pct"/>
                  <w:tcBorders>
                    <w:top w:val="single" w:sz="6" w:space="0" w:color="BFBFBF"/>
                  </w:tcBorders>
                  <w:shd w:val="clear" w:color="auto" w:fill="auto"/>
                </w:tcPr>
                <w:p w14:paraId="0F602F98" w14:textId="77777777" w:rsidR="00DE1537" w:rsidRPr="00164185" w:rsidRDefault="00DE1537" w:rsidP="00343F3E">
                  <w:pPr>
                    <w:pStyle w:val="TableBodyText"/>
                    <w:jc w:val="left"/>
                    <w:rPr>
                      <w:b/>
                    </w:rPr>
                  </w:pPr>
                </w:p>
              </w:tc>
              <w:tc>
                <w:tcPr>
                  <w:tcW w:w="4591" w:type="pct"/>
                  <w:gridSpan w:val="9"/>
                  <w:tcBorders>
                    <w:top w:val="single" w:sz="6" w:space="0" w:color="BFBFBF"/>
                  </w:tcBorders>
                  <w:shd w:val="clear" w:color="auto" w:fill="auto"/>
                  <w:vAlign w:val="bottom"/>
                </w:tcPr>
                <w:p w14:paraId="780EA49F" w14:textId="77777777" w:rsidR="00DE1537" w:rsidRPr="00BA3174" w:rsidRDefault="00DE1537" w:rsidP="00343F3E">
                  <w:pPr>
                    <w:pStyle w:val="TableBodyText"/>
                    <w:ind w:right="28"/>
                    <w:rPr>
                      <w:b/>
                    </w:rPr>
                  </w:pPr>
                  <w:r>
                    <w:rPr>
                      <w:b/>
                    </w:rPr>
                    <w:t>Average proportion of expenditure borne by state and territory governments (%)</w:t>
                  </w:r>
                </w:p>
              </w:tc>
            </w:tr>
            <w:tr w:rsidR="00DE1537" w14:paraId="77DA1729" w14:textId="77777777" w:rsidTr="00343F3E">
              <w:tc>
                <w:tcPr>
                  <w:tcW w:w="660" w:type="pct"/>
                  <w:gridSpan w:val="2"/>
                  <w:tcBorders>
                    <w:bottom w:val="single" w:sz="6" w:space="0" w:color="C8C8C8"/>
                  </w:tcBorders>
                  <w:shd w:val="clear" w:color="auto" w:fill="auto"/>
                </w:tcPr>
                <w:p w14:paraId="59D6CA2C" w14:textId="77777777" w:rsidR="00DE1537" w:rsidRDefault="00DE1537" w:rsidP="00343F3E">
                  <w:pPr>
                    <w:pStyle w:val="TableBodyText"/>
                    <w:jc w:val="left"/>
                    <w:rPr>
                      <w:b/>
                    </w:rPr>
                  </w:pPr>
                  <w:r>
                    <w:t>2002</w:t>
                  </w:r>
                  <w:r>
                    <w:noBreakHyphen/>
                    <w:t>03 to 2012-13</w:t>
                  </w:r>
                </w:p>
              </w:tc>
              <w:tc>
                <w:tcPr>
                  <w:tcW w:w="543" w:type="pct"/>
                  <w:tcBorders>
                    <w:bottom w:val="single" w:sz="6" w:space="0" w:color="C8C8C8"/>
                  </w:tcBorders>
                  <w:shd w:val="clear" w:color="auto" w:fill="auto"/>
                  <w:vAlign w:val="bottom"/>
                </w:tcPr>
                <w:p w14:paraId="2016EE20" w14:textId="77777777" w:rsidR="00DE1537" w:rsidRPr="00164185" w:rsidRDefault="00DE1537" w:rsidP="00343F3E">
                  <w:pPr>
                    <w:pStyle w:val="TableBodyText"/>
                    <w:rPr>
                      <w:b/>
                    </w:rPr>
                  </w:pPr>
                  <w:r>
                    <w:t>69.7</w:t>
                  </w:r>
                </w:p>
              </w:tc>
              <w:tc>
                <w:tcPr>
                  <w:tcW w:w="543" w:type="pct"/>
                  <w:tcBorders>
                    <w:bottom w:val="single" w:sz="6" w:space="0" w:color="C8C8C8"/>
                  </w:tcBorders>
                  <w:shd w:val="clear" w:color="auto" w:fill="auto"/>
                  <w:vAlign w:val="bottom"/>
                </w:tcPr>
                <w:p w14:paraId="2ABA09EF" w14:textId="77777777" w:rsidR="00DE1537" w:rsidRPr="00522379" w:rsidRDefault="00DE1537" w:rsidP="00343F3E">
                  <w:pPr>
                    <w:pStyle w:val="TableBodyText"/>
                  </w:pPr>
                  <w:r>
                    <w:t>58.2</w:t>
                  </w:r>
                </w:p>
              </w:tc>
              <w:tc>
                <w:tcPr>
                  <w:tcW w:w="543" w:type="pct"/>
                  <w:tcBorders>
                    <w:bottom w:val="single" w:sz="6" w:space="0" w:color="C8C8C8"/>
                  </w:tcBorders>
                  <w:vAlign w:val="bottom"/>
                </w:tcPr>
                <w:p w14:paraId="3E1BD42A" w14:textId="77777777" w:rsidR="00DE1537" w:rsidRPr="00522379" w:rsidRDefault="00DE1537" w:rsidP="00343F3E">
                  <w:pPr>
                    <w:pStyle w:val="TableBodyText"/>
                  </w:pPr>
                  <w:r>
                    <w:t>32.2</w:t>
                  </w:r>
                </w:p>
              </w:tc>
              <w:tc>
                <w:tcPr>
                  <w:tcW w:w="543" w:type="pct"/>
                  <w:tcBorders>
                    <w:bottom w:val="single" w:sz="6" w:space="0" w:color="C8C8C8"/>
                  </w:tcBorders>
                  <w:vAlign w:val="bottom"/>
                </w:tcPr>
                <w:p w14:paraId="4CA72DE4" w14:textId="77777777" w:rsidR="00DE1537" w:rsidRDefault="00DE1537" w:rsidP="00343F3E">
                  <w:pPr>
                    <w:pStyle w:val="TableBodyText"/>
                  </w:pPr>
                  <w:r>
                    <w:t>92.9</w:t>
                  </w:r>
                </w:p>
              </w:tc>
              <w:tc>
                <w:tcPr>
                  <w:tcW w:w="543" w:type="pct"/>
                  <w:tcBorders>
                    <w:bottom w:val="single" w:sz="6" w:space="0" w:color="C8C8C8"/>
                  </w:tcBorders>
                  <w:vAlign w:val="bottom"/>
                </w:tcPr>
                <w:p w14:paraId="44986D7A" w14:textId="77777777" w:rsidR="00DE1537" w:rsidRPr="00522379" w:rsidRDefault="00DE1537" w:rsidP="00343F3E">
                  <w:pPr>
                    <w:pStyle w:val="TableBodyText"/>
                  </w:pPr>
                  <w:r>
                    <w:t>73.5</w:t>
                  </w:r>
                </w:p>
              </w:tc>
              <w:tc>
                <w:tcPr>
                  <w:tcW w:w="543" w:type="pct"/>
                  <w:tcBorders>
                    <w:bottom w:val="single" w:sz="6" w:space="0" w:color="C8C8C8"/>
                  </w:tcBorders>
                  <w:vAlign w:val="bottom"/>
                </w:tcPr>
                <w:p w14:paraId="26ACBF82" w14:textId="77777777" w:rsidR="00DE1537" w:rsidRPr="00522379" w:rsidRDefault="00DE1537" w:rsidP="00343F3E">
                  <w:pPr>
                    <w:pStyle w:val="TableBodyText"/>
                  </w:pPr>
                  <w:r>
                    <w:t>66.8</w:t>
                  </w:r>
                </w:p>
              </w:tc>
              <w:tc>
                <w:tcPr>
                  <w:tcW w:w="543" w:type="pct"/>
                  <w:tcBorders>
                    <w:bottom w:val="single" w:sz="6" w:space="0" w:color="C8C8C8"/>
                  </w:tcBorders>
                  <w:vAlign w:val="bottom"/>
                </w:tcPr>
                <w:p w14:paraId="4C3B9E11" w14:textId="77777777" w:rsidR="00DE1537" w:rsidRPr="00522379" w:rsidRDefault="00DE1537" w:rsidP="00343F3E">
                  <w:pPr>
                    <w:pStyle w:val="TableBodyText"/>
                  </w:pPr>
                  <w:r>
                    <w:t>70.2</w:t>
                  </w:r>
                </w:p>
              </w:tc>
              <w:tc>
                <w:tcPr>
                  <w:tcW w:w="539" w:type="pct"/>
                  <w:tcBorders>
                    <w:bottom w:val="single" w:sz="6" w:space="0" w:color="C8C8C8"/>
                  </w:tcBorders>
                  <w:vAlign w:val="bottom"/>
                </w:tcPr>
                <w:p w14:paraId="262BC2BA" w14:textId="77777777" w:rsidR="00DE1537" w:rsidRPr="00522379" w:rsidRDefault="00DE1537" w:rsidP="00343F3E">
                  <w:pPr>
                    <w:pStyle w:val="TableBodyText"/>
                    <w:framePr w:w="2155" w:hSpace="227" w:vSpace="181" w:wrap="around" w:vAnchor="text" w:hAnchor="page" w:xAlign="outside" w:y="1"/>
                    <w:ind w:right="28"/>
                  </w:pPr>
                  <w:r w:rsidRPr="00522379">
                    <w:t>58.7</w:t>
                  </w:r>
                </w:p>
              </w:tc>
            </w:tr>
          </w:tbl>
          <w:p w14:paraId="04B76594" w14:textId="77777777" w:rsidR="00DE1537" w:rsidRDefault="00DE1537" w:rsidP="00343F3E">
            <w:pPr>
              <w:pStyle w:val="Box"/>
            </w:pPr>
          </w:p>
        </w:tc>
      </w:tr>
      <w:tr w:rsidR="00DE1537" w14:paraId="6930C633" w14:textId="77777777" w:rsidTr="00343F3E">
        <w:trPr>
          <w:cantSplit/>
        </w:trPr>
        <w:tc>
          <w:tcPr>
            <w:tcW w:w="8771" w:type="dxa"/>
            <w:tcBorders>
              <w:top w:val="nil"/>
              <w:left w:val="nil"/>
              <w:bottom w:val="nil"/>
              <w:right w:val="nil"/>
            </w:tcBorders>
            <w:shd w:val="clear" w:color="auto" w:fill="auto"/>
          </w:tcPr>
          <w:p w14:paraId="15C60815" w14:textId="77777777" w:rsidR="00DE1537" w:rsidRDefault="00DE1537" w:rsidP="00343F3E">
            <w:pPr>
              <w:pStyle w:val="Note"/>
              <w:rPr>
                <w:i/>
              </w:rPr>
            </w:pPr>
            <w:proofErr w:type="gramStart"/>
            <w:r w:rsidRPr="008E77FE">
              <w:rPr>
                <w:rStyle w:val="NoteLabel"/>
              </w:rPr>
              <w:t>a</w:t>
            </w:r>
            <w:proofErr w:type="gramEnd"/>
            <w:r>
              <w:t xml:space="preserve"> Information on NDRRA expenditure was not provided for some years by some jurisdictions, so net state and territory government expenditure could not be estimated in these cases. Further, data for some states and territories have not been finalised or audited. </w:t>
            </w:r>
            <w:proofErr w:type="gramStart"/>
            <w:r>
              <w:rPr>
                <w:rStyle w:val="NoteLabel"/>
              </w:rPr>
              <w:t>b</w:t>
            </w:r>
            <w:proofErr w:type="gramEnd"/>
            <w:r>
              <w:t xml:space="preserve"> From 2007</w:t>
            </w:r>
            <w:r>
              <w:noBreakHyphen/>
              <w:t xml:space="preserve">08 onwards, the Commission has estimated Australian Government reimbursements to Queensland using expenditure data provided by the Queensland Government. </w:t>
            </w:r>
            <w:proofErr w:type="gramStart"/>
            <w:r w:rsidRPr="00E64C77">
              <w:rPr>
                <w:b/>
              </w:rPr>
              <w:t>n</w:t>
            </w:r>
            <w:r>
              <w:rPr>
                <w:b/>
              </w:rPr>
              <w:t>a</w:t>
            </w:r>
            <w:proofErr w:type="gramEnd"/>
            <w:r>
              <w:t xml:space="preserve"> Not available.</w:t>
            </w:r>
          </w:p>
        </w:tc>
      </w:tr>
      <w:tr w:rsidR="00DE1537" w14:paraId="50863AA3" w14:textId="77777777" w:rsidTr="00343F3E">
        <w:trPr>
          <w:cantSplit/>
        </w:trPr>
        <w:tc>
          <w:tcPr>
            <w:tcW w:w="8771" w:type="dxa"/>
            <w:tcBorders>
              <w:top w:val="nil"/>
              <w:left w:val="nil"/>
              <w:bottom w:val="nil"/>
              <w:right w:val="nil"/>
            </w:tcBorders>
            <w:shd w:val="clear" w:color="auto" w:fill="auto"/>
          </w:tcPr>
          <w:p w14:paraId="0F3071B1" w14:textId="77777777" w:rsidR="00DE1537" w:rsidRDefault="00DE1537" w:rsidP="00343F3E">
            <w:pPr>
              <w:pStyle w:val="TableBodyText"/>
              <w:keepNext w:val="0"/>
              <w:spacing w:before="80" w:after="0" w:line="220" w:lineRule="exact"/>
              <w:ind w:left="0" w:right="0"/>
              <w:jc w:val="both"/>
              <w:rPr>
                <w:i/>
              </w:rPr>
            </w:pPr>
            <w:r>
              <w:rPr>
                <w:i/>
              </w:rPr>
              <w:t>Sources</w:t>
            </w:r>
            <w:r w:rsidRPr="00167F06">
              <w:t xml:space="preserve">: </w:t>
            </w:r>
            <w:r>
              <w:t>Data provided by state and territory governments.</w:t>
            </w:r>
          </w:p>
        </w:tc>
      </w:tr>
      <w:tr w:rsidR="00DE1537" w14:paraId="1A6D07D6" w14:textId="77777777" w:rsidTr="00343F3E">
        <w:trPr>
          <w:cantSplit/>
        </w:trPr>
        <w:tc>
          <w:tcPr>
            <w:tcW w:w="8771" w:type="dxa"/>
            <w:tcBorders>
              <w:top w:val="nil"/>
              <w:left w:val="nil"/>
              <w:bottom w:val="single" w:sz="6" w:space="0" w:color="78A22F"/>
              <w:right w:val="nil"/>
            </w:tcBorders>
            <w:shd w:val="clear" w:color="auto" w:fill="auto"/>
          </w:tcPr>
          <w:p w14:paraId="488466EA" w14:textId="77777777" w:rsidR="00DE1537" w:rsidRDefault="00DE1537" w:rsidP="00343F3E">
            <w:pPr>
              <w:pStyle w:val="Box"/>
              <w:spacing w:before="0" w:line="120" w:lineRule="exact"/>
            </w:pPr>
          </w:p>
        </w:tc>
      </w:tr>
      <w:tr w:rsidR="00DE1537" w:rsidRPr="000863A5" w14:paraId="1705DE63" w14:textId="77777777" w:rsidTr="00343F3E">
        <w:tc>
          <w:tcPr>
            <w:tcW w:w="8771" w:type="dxa"/>
            <w:tcBorders>
              <w:top w:val="single" w:sz="6" w:space="0" w:color="78A22F"/>
              <w:left w:val="nil"/>
              <w:bottom w:val="nil"/>
              <w:right w:val="nil"/>
            </w:tcBorders>
          </w:tcPr>
          <w:p w14:paraId="63D254A3" w14:textId="77777777" w:rsidR="00DE1537" w:rsidRPr="00626D32" w:rsidRDefault="00DE1537" w:rsidP="00343F3E">
            <w:pPr>
              <w:pStyle w:val="BoxSpaceBelow"/>
            </w:pPr>
          </w:p>
        </w:tc>
      </w:tr>
    </w:tbl>
    <w:p w14:paraId="57314864"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5"/>
      </w:tblGrid>
      <w:tr w:rsidR="00DE1537" w14:paraId="279AC455" w14:textId="77777777" w:rsidTr="00343F3E">
        <w:tc>
          <w:tcPr>
            <w:tcW w:w="8771" w:type="dxa"/>
            <w:tcBorders>
              <w:top w:val="single" w:sz="6" w:space="0" w:color="78A22F"/>
              <w:left w:val="nil"/>
              <w:bottom w:val="nil"/>
              <w:right w:val="nil"/>
            </w:tcBorders>
            <w:shd w:val="clear" w:color="auto" w:fill="auto"/>
          </w:tcPr>
          <w:p w14:paraId="18B308A9" w14:textId="3489377A" w:rsidR="00DE1537" w:rsidRDefault="00DE1537" w:rsidP="00343F3E">
            <w:pPr>
              <w:pStyle w:val="TableTitle"/>
            </w:pPr>
            <w:r>
              <w:rPr>
                <w:b w:val="0"/>
              </w:rPr>
              <w:t>Table 1.</w:t>
            </w:r>
            <w:r>
              <w:rPr>
                <w:b w:val="0"/>
                <w:noProof/>
              </w:rPr>
              <w:t>7</w:t>
            </w:r>
            <w:r>
              <w:tab/>
              <w:t xml:space="preserve">GST redistribution due to natural disaster relief expenditure </w:t>
            </w:r>
          </w:p>
          <w:p w14:paraId="275FF730" w14:textId="77777777" w:rsidR="00DE1537" w:rsidRPr="00784A05" w:rsidRDefault="00DE1537" w:rsidP="00343F3E">
            <w:pPr>
              <w:pStyle w:val="Subtitle"/>
            </w:pPr>
            <w:r>
              <w:t>2011–14, $ million</w:t>
            </w:r>
          </w:p>
        </w:tc>
      </w:tr>
      <w:tr w:rsidR="00DE1537" w14:paraId="7073161E" w14:textId="77777777" w:rsidTr="00343F3E">
        <w:trPr>
          <w:cantSplit/>
        </w:trPr>
        <w:tc>
          <w:tcPr>
            <w:tcW w:w="8771" w:type="dxa"/>
            <w:tcBorders>
              <w:top w:val="nil"/>
              <w:left w:val="nil"/>
              <w:bottom w:val="nil"/>
              <w:right w:val="nil"/>
            </w:tcBorders>
            <w:shd w:val="clear" w:color="auto" w:fill="auto"/>
          </w:tcPr>
          <w:tbl>
            <w:tblPr>
              <w:tblW w:w="8491" w:type="dxa"/>
              <w:tblCellMar>
                <w:top w:w="28" w:type="dxa"/>
                <w:left w:w="0" w:type="dxa"/>
                <w:right w:w="0" w:type="dxa"/>
              </w:tblCellMar>
              <w:tblLook w:val="0000" w:firstRow="0" w:lastRow="0" w:firstColumn="0" w:lastColumn="0" w:noHBand="0" w:noVBand="0"/>
            </w:tblPr>
            <w:tblGrid>
              <w:gridCol w:w="806"/>
              <w:gridCol w:w="806"/>
              <w:gridCol w:w="806"/>
              <w:gridCol w:w="807"/>
              <w:gridCol w:w="807"/>
              <w:gridCol w:w="807"/>
              <w:gridCol w:w="807"/>
              <w:gridCol w:w="807"/>
              <w:gridCol w:w="807"/>
              <w:gridCol w:w="1231"/>
            </w:tblGrid>
            <w:tr w:rsidR="00DE1537" w14:paraId="5A667429" w14:textId="77777777" w:rsidTr="00343F3E">
              <w:trPr>
                <w:trHeight w:val="20"/>
              </w:trPr>
              <w:tc>
                <w:tcPr>
                  <w:tcW w:w="475" w:type="pct"/>
                  <w:tcBorders>
                    <w:top w:val="single" w:sz="6" w:space="0" w:color="BFBFBF"/>
                    <w:bottom w:val="single" w:sz="6" w:space="0" w:color="BFBFBF"/>
                  </w:tcBorders>
                  <w:shd w:val="clear" w:color="auto" w:fill="auto"/>
                  <w:tcMar>
                    <w:top w:w="28" w:type="dxa"/>
                  </w:tcMar>
                  <w:vAlign w:val="bottom"/>
                </w:tcPr>
                <w:p w14:paraId="776AA6D3" w14:textId="77777777" w:rsidR="00DE1537" w:rsidRDefault="00DE1537" w:rsidP="00343F3E">
                  <w:pPr>
                    <w:pStyle w:val="TableColumnHeading"/>
                    <w:spacing w:before="0"/>
                  </w:pPr>
                </w:p>
              </w:tc>
              <w:tc>
                <w:tcPr>
                  <w:tcW w:w="475" w:type="pct"/>
                  <w:tcBorders>
                    <w:top w:val="single" w:sz="6" w:space="0" w:color="BFBFBF"/>
                    <w:bottom w:val="single" w:sz="6" w:space="0" w:color="BFBFBF"/>
                  </w:tcBorders>
                  <w:shd w:val="clear" w:color="auto" w:fill="auto"/>
                  <w:tcMar>
                    <w:top w:w="28" w:type="dxa"/>
                  </w:tcMar>
                  <w:vAlign w:val="bottom"/>
                </w:tcPr>
                <w:p w14:paraId="518EE476" w14:textId="77777777" w:rsidR="00DE1537" w:rsidRPr="006B7F50" w:rsidRDefault="00DE1537" w:rsidP="00343F3E">
                  <w:pPr>
                    <w:pStyle w:val="TableColumnHeading"/>
                    <w:spacing w:before="0"/>
                  </w:pPr>
                  <w:r w:rsidRPr="006B7F50">
                    <w:t>NSW</w:t>
                  </w:r>
                </w:p>
              </w:tc>
              <w:tc>
                <w:tcPr>
                  <w:tcW w:w="475" w:type="pct"/>
                  <w:tcBorders>
                    <w:top w:val="single" w:sz="6" w:space="0" w:color="BFBFBF"/>
                    <w:bottom w:val="single" w:sz="6" w:space="0" w:color="BFBFBF"/>
                  </w:tcBorders>
                  <w:vAlign w:val="bottom"/>
                </w:tcPr>
                <w:p w14:paraId="71DF6DCA" w14:textId="77777777" w:rsidR="00DE1537" w:rsidRPr="006B7F50" w:rsidRDefault="00DE1537" w:rsidP="00343F3E">
                  <w:pPr>
                    <w:pStyle w:val="TableColumnHeading"/>
                    <w:spacing w:before="0"/>
                  </w:pPr>
                  <w:r w:rsidRPr="006B7F50">
                    <w:t>Vic</w:t>
                  </w:r>
                </w:p>
              </w:tc>
              <w:tc>
                <w:tcPr>
                  <w:tcW w:w="475" w:type="pct"/>
                  <w:tcBorders>
                    <w:top w:val="single" w:sz="6" w:space="0" w:color="BFBFBF"/>
                    <w:bottom w:val="single" w:sz="6" w:space="0" w:color="BFBFBF"/>
                  </w:tcBorders>
                  <w:vAlign w:val="bottom"/>
                </w:tcPr>
                <w:p w14:paraId="2383BFF1" w14:textId="77777777" w:rsidR="00DE1537" w:rsidRPr="006B7F50" w:rsidRDefault="00DE1537" w:rsidP="00343F3E">
                  <w:pPr>
                    <w:pStyle w:val="TableColumnHeading"/>
                    <w:spacing w:before="0"/>
                  </w:pPr>
                  <w:r w:rsidRPr="006B7F50">
                    <w:t>Qld</w:t>
                  </w:r>
                </w:p>
              </w:tc>
              <w:tc>
                <w:tcPr>
                  <w:tcW w:w="475" w:type="pct"/>
                  <w:tcBorders>
                    <w:top w:val="single" w:sz="6" w:space="0" w:color="BFBFBF"/>
                    <w:bottom w:val="single" w:sz="6" w:space="0" w:color="BFBFBF"/>
                  </w:tcBorders>
                  <w:vAlign w:val="bottom"/>
                </w:tcPr>
                <w:p w14:paraId="10674710" w14:textId="77777777" w:rsidR="00DE1537" w:rsidRPr="006B7F50" w:rsidRDefault="00DE1537" w:rsidP="00343F3E">
                  <w:pPr>
                    <w:pStyle w:val="TableColumnHeading"/>
                    <w:spacing w:before="0"/>
                  </w:pPr>
                  <w:r w:rsidRPr="006B7F50">
                    <w:t>SA</w:t>
                  </w:r>
                </w:p>
              </w:tc>
              <w:tc>
                <w:tcPr>
                  <w:tcW w:w="475" w:type="pct"/>
                  <w:tcBorders>
                    <w:top w:val="single" w:sz="6" w:space="0" w:color="BFBFBF"/>
                    <w:bottom w:val="single" w:sz="6" w:space="0" w:color="BFBFBF"/>
                  </w:tcBorders>
                  <w:vAlign w:val="bottom"/>
                </w:tcPr>
                <w:p w14:paraId="651DE15D" w14:textId="77777777" w:rsidR="00DE1537" w:rsidRPr="006B7F50" w:rsidRDefault="00DE1537" w:rsidP="00343F3E">
                  <w:pPr>
                    <w:pStyle w:val="TableColumnHeading"/>
                    <w:spacing w:before="0"/>
                  </w:pPr>
                  <w:r w:rsidRPr="006B7F50">
                    <w:t>WA</w:t>
                  </w:r>
                </w:p>
              </w:tc>
              <w:tc>
                <w:tcPr>
                  <w:tcW w:w="475" w:type="pct"/>
                  <w:tcBorders>
                    <w:top w:val="single" w:sz="6" w:space="0" w:color="BFBFBF"/>
                    <w:bottom w:val="single" w:sz="6" w:space="0" w:color="BFBFBF"/>
                  </w:tcBorders>
                  <w:vAlign w:val="bottom"/>
                </w:tcPr>
                <w:p w14:paraId="465BA199" w14:textId="77777777" w:rsidR="00DE1537" w:rsidRPr="006B7F50" w:rsidRDefault="00DE1537" w:rsidP="00343F3E">
                  <w:pPr>
                    <w:pStyle w:val="TableColumnHeading"/>
                    <w:spacing w:before="0"/>
                  </w:pPr>
                  <w:r w:rsidRPr="006B7F50">
                    <w:t>Tas</w:t>
                  </w:r>
                </w:p>
              </w:tc>
              <w:tc>
                <w:tcPr>
                  <w:tcW w:w="475" w:type="pct"/>
                  <w:tcBorders>
                    <w:top w:val="single" w:sz="6" w:space="0" w:color="BFBFBF"/>
                    <w:bottom w:val="single" w:sz="6" w:space="0" w:color="BFBFBF"/>
                  </w:tcBorders>
                  <w:vAlign w:val="bottom"/>
                </w:tcPr>
                <w:p w14:paraId="44534B3D" w14:textId="77777777" w:rsidR="00DE1537" w:rsidRDefault="00DE1537" w:rsidP="00343F3E">
                  <w:pPr>
                    <w:pStyle w:val="TableColumnHeading"/>
                    <w:spacing w:before="0"/>
                  </w:pPr>
                  <w:r w:rsidRPr="006B7F50">
                    <w:t>NT</w:t>
                  </w:r>
                </w:p>
              </w:tc>
              <w:tc>
                <w:tcPr>
                  <w:tcW w:w="475" w:type="pct"/>
                  <w:tcBorders>
                    <w:top w:val="single" w:sz="6" w:space="0" w:color="BFBFBF"/>
                    <w:bottom w:val="single" w:sz="6" w:space="0" w:color="BFBFBF"/>
                  </w:tcBorders>
                  <w:vAlign w:val="bottom"/>
                </w:tcPr>
                <w:p w14:paraId="4A7A4923" w14:textId="77777777" w:rsidR="00DE1537" w:rsidRPr="0014540B" w:rsidRDefault="00DE1537" w:rsidP="00343F3E">
                  <w:pPr>
                    <w:pStyle w:val="TableColumnHeading"/>
                    <w:spacing w:before="0"/>
                  </w:pPr>
                  <w:r w:rsidRPr="0032161B">
                    <w:rPr>
                      <w:rFonts w:cs="Arial"/>
                      <w:iCs/>
                      <w:color w:val="000000"/>
                      <w:szCs w:val="18"/>
                    </w:rPr>
                    <w:t>ACT</w:t>
                  </w:r>
                </w:p>
              </w:tc>
              <w:tc>
                <w:tcPr>
                  <w:tcW w:w="727" w:type="pct"/>
                  <w:tcBorders>
                    <w:top w:val="single" w:sz="6" w:space="0" w:color="BFBFBF"/>
                    <w:bottom w:val="single" w:sz="6" w:space="0" w:color="BFBFBF"/>
                  </w:tcBorders>
                  <w:vAlign w:val="bottom"/>
                </w:tcPr>
                <w:p w14:paraId="5054A5B8" w14:textId="77777777" w:rsidR="00DE1537" w:rsidRDefault="00DE1537" w:rsidP="00343F3E">
                  <w:pPr>
                    <w:pStyle w:val="TableColumnHeading"/>
                    <w:spacing w:before="0"/>
                    <w:ind w:right="0"/>
                  </w:pPr>
                  <w:r w:rsidRPr="002B6646">
                    <w:t>Redistribution</w:t>
                  </w:r>
                  <w:r w:rsidRPr="00EF2A2D">
                    <w:rPr>
                      <w:rStyle w:val="NoteLabel"/>
                      <w:i w:val="0"/>
                    </w:rPr>
                    <w:t>a</w:t>
                  </w:r>
                </w:p>
              </w:tc>
            </w:tr>
            <w:tr w:rsidR="00DE1537" w14:paraId="74B3B5D2" w14:textId="77777777" w:rsidTr="00343F3E">
              <w:tc>
                <w:tcPr>
                  <w:tcW w:w="475" w:type="pct"/>
                  <w:tcBorders>
                    <w:top w:val="single" w:sz="6" w:space="0" w:color="BFBFBF"/>
                  </w:tcBorders>
                  <w:vAlign w:val="bottom"/>
                </w:tcPr>
                <w:p w14:paraId="27832D73" w14:textId="77777777" w:rsidR="00DE1537" w:rsidRDefault="00DE1537" w:rsidP="00343F3E">
                  <w:pPr>
                    <w:pStyle w:val="TableBodyText"/>
                    <w:jc w:val="left"/>
                  </w:pPr>
                  <w:r>
                    <w:t>2011</w:t>
                  </w:r>
                </w:p>
              </w:tc>
              <w:tc>
                <w:tcPr>
                  <w:tcW w:w="475" w:type="pct"/>
                  <w:tcBorders>
                    <w:top w:val="single" w:sz="6" w:space="0" w:color="BFBFBF"/>
                  </w:tcBorders>
                  <w:vAlign w:val="bottom"/>
                </w:tcPr>
                <w:p w14:paraId="6E736579" w14:textId="77777777" w:rsidR="00DE1537" w:rsidRPr="006B7F50" w:rsidRDefault="00DE1537" w:rsidP="00343F3E">
                  <w:pPr>
                    <w:pStyle w:val="TableBodyText"/>
                  </w:pPr>
                  <w:r w:rsidRPr="006B7F50">
                    <w:t>2.5</w:t>
                  </w:r>
                </w:p>
              </w:tc>
              <w:tc>
                <w:tcPr>
                  <w:tcW w:w="475" w:type="pct"/>
                  <w:tcBorders>
                    <w:top w:val="single" w:sz="6" w:space="0" w:color="BFBFBF"/>
                  </w:tcBorders>
                  <w:vAlign w:val="bottom"/>
                </w:tcPr>
                <w:p w14:paraId="5C08C4D9" w14:textId="77777777" w:rsidR="00DE1537" w:rsidRPr="006B7F50" w:rsidRDefault="00DE1537" w:rsidP="00343F3E">
                  <w:pPr>
                    <w:pStyle w:val="TableBodyText"/>
                  </w:pPr>
                  <w:r w:rsidRPr="006B7F50">
                    <w:t>-17.3</w:t>
                  </w:r>
                </w:p>
              </w:tc>
              <w:tc>
                <w:tcPr>
                  <w:tcW w:w="475" w:type="pct"/>
                  <w:tcBorders>
                    <w:top w:val="single" w:sz="6" w:space="0" w:color="BFBFBF"/>
                  </w:tcBorders>
                  <w:vAlign w:val="bottom"/>
                </w:tcPr>
                <w:p w14:paraId="57749644" w14:textId="77777777" w:rsidR="00DE1537" w:rsidRPr="006B7F50" w:rsidRDefault="00DE1537" w:rsidP="00343F3E">
                  <w:pPr>
                    <w:pStyle w:val="TableBodyText"/>
                  </w:pPr>
                  <w:r w:rsidRPr="006B7F50">
                    <w:t>94.9</w:t>
                  </w:r>
                </w:p>
              </w:tc>
              <w:tc>
                <w:tcPr>
                  <w:tcW w:w="475" w:type="pct"/>
                  <w:tcBorders>
                    <w:top w:val="single" w:sz="6" w:space="0" w:color="BFBFBF"/>
                  </w:tcBorders>
                  <w:vAlign w:val="bottom"/>
                </w:tcPr>
                <w:p w14:paraId="2EB59BF3" w14:textId="77777777" w:rsidR="00DE1537" w:rsidRPr="006B7F50" w:rsidRDefault="00DE1537" w:rsidP="00343F3E">
                  <w:pPr>
                    <w:pStyle w:val="TableBodyText"/>
                  </w:pPr>
                  <w:r w:rsidRPr="006B7F50">
                    <w:t>-34.5</w:t>
                  </w:r>
                </w:p>
              </w:tc>
              <w:tc>
                <w:tcPr>
                  <w:tcW w:w="475" w:type="pct"/>
                  <w:tcBorders>
                    <w:top w:val="single" w:sz="6" w:space="0" w:color="BFBFBF"/>
                  </w:tcBorders>
                  <w:vAlign w:val="bottom"/>
                </w:tcPr>
                <w:p w14:paraId="082C8CAD" w14:textId="77777777" w:rsidR="00DE1537" w:rsidRPr="006B7F50" w:rsidRDefault="00DE1537" w:rsidP="00343F3E">
                  <w:pPr>
                    <w:pStyle w:val="TableBodyText"/>
                  </w:pPr>
                  <w:r w:rsidRPr="006B7F50">
                    <w:t>-35.6</w:t>
                  </w:r>
                </w:p>
              </w:tc>
              <w:tc>
                <w:tcPr>
                  <w:tcW w:w="475" w:type="pct"/>
                  <w:tcBorders>
                    <w:top w:val="single" w:sz="6" w:space="0" w:color="BFBFBF"/>
                  </w:tcBorders>
                  <w:vAlign w:val="bottom"/>
                </w:tcPr>
                <w:p w14:paraId="301D82B2" w14:textId="77777777" w:rsidR="00DE1537" w:rsidRPr="006B7F50" w:rsidRDefault="00DE1537" w:rsidP="00343F3E">
                  <w:pPr>
                    <w:pStyle w:val="TableBodyText"/>
                  </w:pPr>
                  <w:r w:rsidRPr="006B7F50">
                    <w:t>-9.7</w:t>
                  </w:r>
                </w:p>
              </w:tc>
              <w:tc>
                <w:tcPr>
                  <w:tcW w:w="475" w:type="pct"/>
                  <w:tcBorders>
                    <w:top w:val="single" w:sz="6" w:space="0" w:color="BFBFBF"/>
                  </w:tcBorders>
                  <w:vAlign w:val="bottom"/>
                </w:tcPr>
                <w:p w14:paraId="772BA2D4" w14:textId="77777777" w:rsidR="00DE1537" w:rsidRDefault="00DE1537" w:rsidP="00343F3E">
                  <w:pPr>
                    <w:pStyle w:val="TableBodyText"/>
                  </w:pPr>
                  <w:r w:rsidRPr="006B7F50">
                    <w:t>7.7</w:t>
                  </w:r>
                </w:p>
              </w:tc>
              <w:tc>
                <w:tcPr>
                  <w:tcW w:w="475" w:type="pct"/>
                  <w:tcBorders>
                    <w:top w:val="single" w:sz="6" w:space="0" w:color="BFBFBF"/>
                  </w:tcBorders>
                  <w:vAlign w:val="center"/>
                </w:tcPr>
                <w:p w14:paraId="601299BF" w14:textId="77777777" w:rsidR="00DE1537" w:rsidRPr="006B7F50" w:rsidRDefault="00DE1537" w:rsidP="00343F3E">
                  <w:pPr>
                    <w:pStyle w:val="TableBodyText"/>
                  </w:pPr>
                  <w:r>
                    <w:rPr>
                      <w:rFonts w:cs="Arial"/>
                      <w:color w:val="000000"/>
                      <w:szCs w:val="18"/>
                    </w:rPr>
                    <w:t>-8.1</w:t>
                  </w:r>
                </w:p>
              </w:tc>
              <w:tc>
                <w:tcPr>
                  <w:tcW w:w="727" w:type="pct"/>
                  <w:tcBorders>
                    <w:top w:val="single" w:sz="6" w:space="0" w:color="BFBFBF"/>
                  </w:tcBorders>
                  <w:vAlign w:val="bottom"/>
                </w:tcPr>
                <w:p w14:paraId="44A12275" w14:textId="77777777" w:rsidR="00DE1537" w:rsidRPr="00522379" w:rsidRDefault="00DE1537" w:rsidP="00343F3E">
                  <w:pPr>
                    <w:pStyle w:val="TableBodyText"/>
                    <w:framePr w:w="2155" w:hSpace="227" w:vSpace="181" w:wrap="around" w:vAnchor="text" w:hAnchor="page" w:xAlign="outside" w:y="1"/>
                    <w:rPr>
                      <w:b/>
                    </w:rPr>
                  </w:pPr>
                  <w:r w:rsidRPr="00522379">
                    <w:rPr>
                      <w:b/>
                    </w:rPr>
                    <w:t>105.2</w:t>
                  </w:r>
                </w:p>
              </w:tc>
            </w:tr>
            <w:tr w:rsidR="00DE1537" w14:paraId="00AFE7D6" w14:textId="77777777" w:rsidTr="00343F3E">
              <w:tc>
                <w:tcPr>
                  <w:tcW w:w="475" w:type="pct"/>
                  <w:vAlign w:val="bottom"/>
                </w:tcPr>
                <w:p w14:paraId="2D5338E5" w14:textId="77777777" w:rsidR="00DE1537" w:rsidRDefault="00DE1537" w:rsidP="00343F3E">
                  <w:pPr>
                    <w:pStyle w:val="TableBodyText"/>
                    <w:jc w:val="left"/>
                  </w:pPr>
                  <w:r>
                    <w:t>2012</w:t>
                  </w:r>
                </w:p>
              </w:tc>
              <w:tc>
                <w:tcPr>
                  <w:tcW w:w="475" w:type="pct"/>
                  <w:vAlign w:val="bottom"/>
                </w:tcPr>
                <w:p w14:paraId="6CBA698D" w14:textId="77777777" w:rsidR="00DE1537" w:rsidRPr="006B7F50" w:rsidRDefault="00DE1537" w:rsidP="00343F3E">
                  <w:pPr>
                    <w:pStyle w:val="TableBodyText"/>
                  </w:pPr>
                  <w:r w:rsidRPr="006B7F50">
                    <w:t>-65.7</w:t>
                  </w:r>
                </w:p>
              </w:tc>
              <w:tc>
                <w:tcPr>
                  <w:tcW w:w="475" w:type="pct"/>
                  <w:vAlign w:val="bottom"/>
                </w:tcPr>
                <w:p w14:paraId="4670478C" w14:textId="77777777" w:rsidR="00DE1537" w:rsidRPr="006B7F50" w:rsidRDefault="00DE1537" w:rsidP="00343F3E">
                  <w:pPr>
                    <w:pStyle w:val="TableBodyText"/>
                  </w:pPr>
                  <w:r w:rsidRPr="006B7F50">
                    <w:t>50.2</w:t>
                  </w:r>
                </w:p>
              </w:tc>
              <w:tc>
                <w:tcPr>
                  <w:tcW w:w="475" w:type="pct"/>
                  <w:vAlign w:val="bottom"/>
                </w:tcPr>
                <w:p w14:paraId="5C75B354" w14:textId="77777777" w:rsidR="00DE1537" w:rsidRPr="006B7F50" w:rsidRDefault="00DE1537" w:rsidP="00343F3E">
                  <w:pPr>
                    <w:pStyle w:val="TableBodyText"/>
                  </w:pPr>
                  <w:r w:rsidRPr="006B7F50">
                    <w:t>172.0</w:t>
                  </w:r>
                </w:p>
              </w:tc>
              <w:tc>
                <w:tcPr>
                  <w:tcW w:w="475" w:type="pct"/>
                  <w:vAlign w:val="bottom"/>
                </w:tcPr>
                <w:p w14:paraId="2A6D85D1" w14:textId="77777777" w:rsidR="00DE1537" w:rsidRPr="006B7F50" w:rsidRDefault="00DE1537" w:rsidP="00343F3E">
                  <w:pPr>
                    <w:pStyle w:val="TableBodyText"/>
                  </w:pPr>
                  <w:r w:rsidRPr="006B7F50">
                    <w:t>-60.7</w:t>
                  </w:r>
                </w:p>
              </w:tc>
              <w:tc>
                <w:tcPr>
                  <w:tcW w:w="475" w:type="pct"/>
                  <w:vAlign w:val="bottom"/>
                </w:tcPr>
                <w:p w14:paraId="46B376C5" w14:textId="77777777" w:rsidR="00DE1537" w:rsidRPr="006B7F50" w:rsidRDefault="00DE1537" w:rsidP="00343F3E">
                  <w:pPr>
                    <w:pStyle w:val="TableBodyText"/>
                  </w:pPr>
                  <w:r w:rsidRPr="006B7F50">
                    <w:t>-75.3</w:t>
                  </w:r>
                </w:p>
              </w:tc>
              <w:tc>
                <w:tcPr>
                  <w:tcW w:w="475" w:type="pct"/>
                  <w:vAlign w:val="bottom"/>
                </w:tcPr>
                <w:p w14:paraId="6DE04738" w14:textId="77777777" w:rsidR="00DE1537" w:rsidRPr="006B7F50" w:rsidRDefault="00DE1537" w:rsidP="00343F3E">
                  <w:pPr>
                    <w:pStyle w:val="TableBodyText"/>
                  </w:pPr>
                  <w:r w:rsidRPr="006B7F50">
                    <w:t>-16.6</w:t>
                  </w:r>
                </w:p>
              </w:tc>
              <w:tc>
                <w:tcPr>
                  <w:tcW w:w="475" w:type="pct"/>
                  <w:vAlign w:val="bottom"/>
                </w:tcPr>
                <w:p w14:paraId="50191F83" w14:textId="77777777" w:rsidR="00DE1537" w:rsidRDefault="00DE1537" w:rsidP="00343F3E">
                  <w:pPr>
                    <w:pStyle w:val="TableBodyText"/>
                  </w:pPr>
                  <w:r w:rsidRPr="006B7F50">
                    <w:t>4.7</w:t>
                  </w:r>
                </w:p>
              </w:tc>
              <w:tc>
                <w:tcPr>
                  <w:tcW w:w="475" w:type="pct"/>
                  <w:vAlign w:val="center"/>
                </w:tcPr>
                <w:p w14:paraId="6EDABB48" w14:textId="77777777" w:rsidR="00DE1537" w:rsidRPr="006B7F50" w:rsidRDefault="00DE1537" w:rsidP="00343F3E">
                  <w:pPr>
                    <w:pStyle w:val="TableBodyText"/>
                  </w:pPr>
                  <w:r>
                    <w:rPr>
                      <w:rFonts w:cs="Arial"/>
                      <w:color w:val="000000"/>
                      <w:szCs w:val="18"/>
                    </w:rPr>
                    <w:t>-8.6</w:t>
                  </w:r>
                </w:p>
              </w:tc>
              <w:tc>
                <w:tcPr>
                  <w:tcW w:w="727" w:type="pct"/>
                  <w:vAlign w:val="bottom"/>
                </w:tcPr>
                <w:p w14:paraId="584F9910" w14:textId="77777777" w:rsidR="00DE1537" w:rsidRPr="00522379" w:rsidRDefault="00DE1537" w:rsidP="00343F3E">
                  <w:pPr>
                    <w:pStyle w:val="TableBodyText"/>
                    <w:framePr w:w="2155" w:hSpace="227" w:vSpace="181" w:wrap="around" w:vAnchor="text" w:hAnchor="page" w:xAlign="outside" w:y="1"/>
                    <w:rPr>
                      <w:b/>
                    </w:rPr>
                  </w:pPr>
                  <w:r w:rsidRPr="00522379">
                    <w:rPr>
                      <w:b/>
                    </w:rPr>
                    <w:t>226.8</w:t>
                  </w:r>
                </w:p>
              </w:tc>
            </w:tr>
            <w:tr w:rsidR="00DE1537" w14:paraId="7B973846" w14:textId="77777777" w:rsidTr="00343F3E">
              <w:tc>
                <w:tcPr>
                  <w:tcW w:w="475" w:type="pct"/>
                  <w:vAlign w:val="bottom"/>
                </w:tcPr>
                <w:p w14:paraId="775DBB3B" w14:textId="77777777" w:rsidR="00DE1537" w:rsidRDefault="00DE1537" w:rsidP="00343F3E">
                  <w:pPr>
                    <w:pStyle w:val="TableBodyText"/>
                    <w:jc w:val="left"/>
                  </w:pPr>
                  <w:r>
                    <w:t>2013</w:t>
                  </w:r>
                </w:p>
              </w:tc>
              <w:tc>
                <w:tcPr>
                  <w:tcW w:w="475" w:type="pct"/>
                  <w:vAlign w:val="bottom"/>
                </w:tcPr>
                <w:p w14:paraId="61E4B301" w14:textId="77777777" w:rsidR="00DE1537" w:rsidRPr="006B7F50" w:rsidRDefault="00DE1537" w:rsidP="00343F3E">
                  <w:pPr>
                    <w:pStyle w:val="TableBodyText"/>
                  </w:pPr>
                  <w:r w:rsidRPr="006B7F50">
                    <w:t>16.7</w:t>
                  </w:r>
                </w:p>
              </w:tc>
              <w:tc>
                <w:tcPr>
                  <w:tcW w:w="475" w:type="pct"/>
                  <w:vAlign w:val="bottom"/>
                </w:tcPr>
                <w:p w14:paraId="1DB41A3D" w14:textId="77777777" w:rsidR="00DE1537" w:rsidRPr="006B7F50" w:rsidRDefault="00DE1537" w:rsidP="00343F3E">
                  <w:pPr>
                    <w:pStyle w:val="TableBodyText"/>
                  </w:pPr>
                  <w:r w:rsidRPr="006B7F50">
                    <w:t>-24.2</w:t>
                  </w:r>
                </w:p>
              </w:tc>
              <w:tc>
                <w:tcPr>
                  <w:tcW w:w="475" w:type="pct"/>
                  <w:vAlign w:val="bottom"/>
                </w:tcPr>
                <w:p w14:paraId="215F46B7" w14:textId="77777777" w:rsidR="00DE1537" w:rsidRPr="006B7F50" w:rsidRDefault="00DE1537" w:rsidP="00343F3E">
                  <w:pPr>
                    <w:pStyle w:val="TableBodyText"/>
                  </w:pPr>
                  <w:r w:rsidRPr="006B7F50">
                    <w:t>148.1</w:t>
                  </w:r>
                </w:p>
              </w:tc>
              <w:tc>
                <w:tcPr>
                  <w:tcW w:w="475" w:type="pct"/>
                  <w:vAlign w:val="bottom"/>
                </w:tcPr>
                <w:p w14:paraId="5F28A8EE" w14:textId="77777777" w:rsidR="00DE1537" w:rsidRPr="006B7F50" w:rsidRDefault="00DE1537" w:rsidP="00343F3E">
                  <w:pPr>
                    <w:pStyle w:val="TableBodyText"/>
                  </w:pPr>
                  <w:r w:rsidRPr="006B7F50">
                    <w:t>-59.9</w:t>
                  </w:r>
                </w:p>
              </w:tc>
              <w:tc>
                <w:tcPr>
                  <w:tcW w:w="475" w:type="pct"/>
                  <w:vAlign w:val="bottom"/>
                </w:tcPr>
                <w:p w14:paraId="35E5931F" w14:textId="77777777" w:rsidR="00DE1537" w:rsidRPr="006B7F50" w:rsidRDefault="00DE1537" w:rsidP="00343F3E">
                  <w:pPr>
                    <w:pStyle w:val="TableBodyText"/>
                  </w:pPr>
                  <w:r w:rsidRPr="006B7F50">
                    <w:t>-61.9</w:t>
                  </w:r>
                </w:p>
              </w:tc>
              <w:tc>
                <w:tcPr>
                  <w:tcW w:w="475" w:type="pct"/>
                  <w:vAlign w:val="bottom"/>
                </w:tcPr>
                <w:p w14:paraId="4349CBE0" w14:textId="77777777" w:rsidR="00DE1537" w:rsidRPr="006B7F50" w:rsidRDefault="00DE1537" w:rsidP="00343F3E">
                  <w:pPr>
                    <w:pStyle w:val="TableBodyText"/>
                  </w:pPr>
                  <w:r w:rsidRPr="006B7F50">
                    <w:t>-14.8</w:t>
                  </w:r>
                </w:p>
              </w:tc>
              <w:tc>
                <w:tcPr>
                  <w:tcW w:w="475" w:type="pct"/>
                  <w:vAlign w:val="bottom"/>
                </w:tcPr>
                <w:p w14:paraId="011F3263" w14:textId="77777777" w:rsidR="00DE1537" w:rsidRDefault="00DE1537" w:rsidP="00343F3E">
                  <w:pPr>
                    <w:pStyle w:val="TableBodyText"/>
                  </w:pPr>
                  <w:r w:rsidRPr="006B7F50">
                    <w:t>5.7</w:t>
                  </w:r>
                </w:p>
              </w:tc>
              <w:tc>
                <w:tcPr>
                  <w:tcW w:w="475" w:type="pct"/>
                  <w:vAlign w:val="center"/>
                </w:tcPr>
                <w:p w14:paraId="24DCA38F" w14:textId="77777777" w:rsidR="00DE1537" w:rsidRPr="006B7F50" w:rsidRDefault="00DE1537" w:rsidP="00343F3E">
                  <w:pPr>
                    <w:pStyle w:val="TableBodyText"/>
                  </w:pPr>
                  <w:r>
                    <w:rPr>
                      <w:rFonts w:cs="Arial"/>
                      <w:color w:val="000000"/>
                      <w:szCs w:val="18"/>
                    </w:rPr>
                    <w:t>-9.6</w:t>
                  </w:r>
                </w:p>
              </w:tc>
              <w:tc>
                <w:tcPr>
                  <w:tcW w:w="727" w:type="pct"/>
                  <w:vAlign w:val="bottom"/>
                </w:tcPr>
                <w:p w14:paraId="3F7B6324" w14:textId="77777777" w:rsidR="00DE1537" w:rsidRPr="00522379" w:rsidRDefault="00DE1537" w:rsidP="00343F3E">
                  <w:pPr>
                    <w:pStyle w:val="TableBodyText"/>
                    <w:framePr w:w="2155" w:hSpace="227" w:vSpace="181" w:wrap="around" w:vAnchor="text" w:hAnchor="page" w:xAlign="outside" w:y="1"/>
                    <w:rPr>
                      <w:b/>
                    </w:rPr>
                  </w:pPr>
                  <w:r w:rsidRPr="00522379">
                    <w:rPr>
                      <w:b/>
                    </w:rPr>
                    <w:t>170.5</w:t>
                  </w:r>
                </w:p>
              </w:tc>
            </w:tr>
            <w:tr w:rsidR="00DE1537" w14:paraId="1CA27B93" w14:textId="77777777" w:rsidTr="00343F3E">
              <w:tc>
                <w:tcPr>
                  <w:tcW w:w="475" w:type="pct"/>
                  <w:vAlign w:val="bottom"/>
                </w:tcPr>
                <w:p w14:paraId="7356D601" w14:textId="77777777" w:rsidR="00DE1537" w:rsidRDefault="00DE1537" w:rsidP="00343F3E">
                  <w:pPr>
                    <w:pStyle w:val="TableBodyText"/>
                    <w:jc w:val="left"/>
                  </w:pPr>
                  <w:r>
                    <w:t>2014</w:t>
                  </w:r>
                </w:p>
              </w:tc>
              <w:tc>
                <w:tcPr>
                  <w:tcW w:w="475" w:type="pct"/>
                  <w:vAlign w:val="bottom"/>
                </w:tcPr>
                <w:p w14:paraId="655CD8E0" w14:textId="77777777" w:rsidR="00DE1537" w:rsidRPr="006B7F50" w:rsidRDefault="00DE1537" w:rsidP="00343F3E">
                  <w:pPr>
                    <w:pStyle w:val="TableBodyText"/>
                  </w:pPr>
                  <w:r w:rsidRPr="006B7F50">
                    <w:t>-37.3</w:t>
                  </w:r>
                </w:p>
              </w:tc>
              <w:tc>
                <w:tcPr>
                  <w:tcW w:w="475" w:type="pct"/>
                  <w:vAlign w:val="bottom"/>
                </w:tcPr>
                <w:p w14:paraId="35F8F499" w14:textId="77777777" w:rsidR="00DE1537" w:rsidRPr="006B7F50" w:rsidRDefault="00DE1537" w:rsidP="00343F3E">
                  <w:pPr>
                    <w:pStyle w:val="TableBodyText"/>
                  </w:pPr>
                  <w:r w:rsidRPr="006B7F50">
                    <w:t>4.6</w:t>
                  </w:r>
                </w:p>
              </w:tc>
              <w:tc>
                <w:tcPr>
                  <w:tcW w:w="475" w:type="pct"/>
                  <w:vAlign w:val="bottom"/>
                </w:tcPr>
                <w:p w14:paraId="2ACC68A6" w14:textId="77777777" w:rsidR="00DE1537" w:rsidRPr="006B7F50" w:rsidRDefault="00DE1537" w:rsidP="00343F3E">
                  <w:pPr>
                    <w:pStyle w:val="TableBodyText"/>
                  </w:pPr>
                  <w:r w:rsidRPr="006B7F50">
                    <w:t>232.0</w:t>
                  </w:r>
                </w:p>
              </w:tc>
              <w:tc>
                <w:tcPr>
                  <w:tcW w:w="475" w:type="pct"/>
                  <w:vAlign w:val="bottom"/>
                </w:tcPr>
                <w:p w14:paraId="7ED784B0" w14:textId="77777777" w:rsidR="00DE1537" w:rsidRPr="006B7F50" w:rsidRDefault="00DE1537" w:rsidP="00343F3E">
                  <w:pPr>
                    <w:pStyle w:val="TableBodyText"/>
                  </w:pPr>
                  <w:r w:rsidRPr="006B7F50">
                    <w:t>-87.2</w:t>
                  </w:r>
                </w:p>
              </w:tc>
              <w:tc>
                <w:tcPr>
                  <w:tcW w:w="475" w:type="pct"/>
                  <w:vAlign w:val="bottom"/>
                </w:tcPr>
                <w:p w14:paraId="2D0A52B8" w14:textId="77777777" w:rsidR="00DE1537" w:rsidRPr="006B7F50" w:rsidRDefault="00DE1537" w:rsidP="00343F3E">
                  <w:pPr>
                    <w:pStyle w:val="TableBodyText"/>
                  </w:pPr>
                  <w:r w:rsidRPr="006B7F50">
                    <w:t>-81.4</w:t>
                  </w:r>
                </w:p>
              </w:tc>
              <w:tc>
                <w:tcPr>
                  <w:tcW w:w="475" w:type="pct"/>
                  <w:vAlign w:val="bottom"/>
                </w:tcPr>
                <w:p w14:paraId="00141D36" w14:textId="77777777" w:rsidR="00DE1537" w:rsidRPr="006B7F50" w:rsidRDefault="00DE1537" w:rsidP="00343F3E">
                  <w:pPr>
                    <w:pStyle w:val="TableBodyText"/>
                  </w:pPr>
                  <w:r w:rsidRPr="006B7F50">
                    <w:t>-15.0</w:t>
                  </w:r>
                </w:p>
              </w:tc>
              <w:tc>
                <w:tcPr>
                  <w:tcW w:w="475" w:type="pct"/>
                  <w:vAlign w:val="bottom"/>
                </w:tcPr>
                <w:p w14:paraId="1EB15538" w14:textId="77777777" w:rsidR="00DE1537" w:rsidRDefault="00DE1537" w:rsidP="00343F3E">
                  <w:pPr>
                    <w:pStyle w:val="TableBodyText"/>
                  </w:pPr>
                  <w:r w:rsidRPr="006B7F50">
                    <w:t>0.1</w:t>
                  </w:r>
                </w:p>
              </w:tc>
              <w:tc>
                <w:tcPr>
                  <w:tcW w:w="475" w:type="pct"/>
                  <w:vAlign w:val="center"/>
                </w:tcPr>
                <w:p w14:paraId="141F0C75" w14:textId="77777777" w:rsidR="00DE1537" w:rsidRPr="006B7F50" w:rsidRDefault="00DE1537" w:rsidP="00343F3E">
                  <w:pPr>
                    <w:pStyle w:val="TableBodyText"/>
                  </w:pPr>
                  <w:r>
                    <w:rPr>
                      <w:rFonts w:cs="Arial"/>
                      <w:color w:val="000000"/>
                      <w:szCs w:val="18"/>
                    </w:rPr>
                    <w:t>-15.7</w:t>
                  </w:r>
                </w:p>
              </w:tc>
              <w:tc>
                <w:tcPr>
                  <w:tcW w:w="727" w:type="pct"/>
                  <w:vAlign w:val="bottom"/>
                </w:tcPr>
                <w:p w14:paraId="062D8DB8" w14:textId="77777777" w:rsidR="00DE1537" w:rsidRPr="00522379" w:rsidRDefault="00DE1537" w:rsidP="00343F3E">
                  <w:pPr>
                    <w:pStyle w:val="TableBodyText"/>
                    <w:framePr w:w="2155" w:hSpace="227" w:vSpace="181" w:wrap="around" w:vAnchor="text" w:hAnchor="page" w:xAlign="outside" w:y="1"/>
                    <w:rPr>
                      <w:b/>
                    </w:rPr>
                  </w:pPr>
                  <w:r w:rsidRPr="00522379">
                    <w:rPr>
                      <w:b/>
                    </w:rPr>
                    <w:t>236.7</w:t>
                  </w:r>
                </w:p>
              </w:tc>
            </w:tr>
            <w:tr w:rsidR="00DE1537" w14:paraId="1893DEB3" w14:textId="77777777" w:rsidTr="00343F3E">
              <w:tc>
                <w:tcPr>
                  <w:tcW w:w="475" w:type="pct"/>
                  <w:tcBorders>
                    <w:bottom w:val="single" w:sz="6" w:space="0" w:color="BFBFBF"/>
                  </w:tcBorders>
                  <w:vAlign w:val="bottom"/>
                </w:tcPr>
                <w:p w14:paraId="206B84EE" w14:textId="77777777" w:rsidR="00DE1537" w:rsidRPr="009B6DD2" w:rsidRDefault="00DE1537" w:rsidP="00343F3E">
                  <w:pPr>
                    <w:pStyle w:val="TableBodyText"/>
                    <w:jc w:val="left"/>
                    <w:rPr>
                      <w:b/>
                    </w:rPr>
                  </w:pPr>
                  <w:r w:rsidRPr="009B6DD2">
                    <w:rPr>
                      <w:b/>
                    </w:rPr>
                    <w:t>Total</w:t>
                  </w:r>
                </w:p>
              </w:tc>
              <w:tc>
                <w:tcPr>
                  <w:tcW w:w="475" w:type="pct"/>
                  <w:tcBorders>
                    <w:bottom w:val="single" w:sz="6" w:space="0" w:color="BFBFBF"/>
                  </w:tcBorders>
                  <w:vAlign w:val="bottom"/>
                </w:tcPr>
                <w:p w14:paraId="57D75FB9" w14:textId="77777777" w:rsidR="00DE1537" w:rsidRPr="006B7F50" w:rsidRDefault="00DE1537" w:rsidP="00343F3E">
                  <w:pPr>
                    <w:pStyle w:val="TableBodyText"/>
                  </w:pPr>
                  <w:r w:rsidRPr="0083364B">
                    <w:rPr>
                      <w:b/>
                    </w:rPr>
                    <w:t>-83.8</w:t>
                  </w:r>
                </w:p>
              </w:tc>
              <w:tc>
                <w:tcPr>
                  <w:tcW w:w="475" w:type="pct"/>
                  <w:tcBorders>
                    <w:bottom w:val="single" w:sz="6" w:space="0" w:color="BFBFBF"/>
                  </w:tcBorders>
                  <w:vAlign w:val="bottom"/>
                </w:tcPr>
                <w:p w14:paraId="7C801E0F" w14:textId="77777777" w:rsidR="00DE1537" w:rsidRPr="006B7F50" w:rsidRDefault="00DE1537" w:rsidP="00343F3E">
                  <w:pPr>
                    <w:pStyle w:val="TableBodyText"/>
                  </w:pPr>
                  <w:r w:rsidRPr="0076053F">
                    <w:rPr>
                      <w:b/>
                    </w:rPr>
                    <w:t>13.3</w:t>
                  </w:r>
                </w:p>
              </w:tc>
              <w:tc>
                <w:tcPr>
                  <w:tcW w:w="475" w:type="pct"/>
                  <w:tcBorders>
                    <w:bottom w:val="single" w:sz="6" w:space="0" w:color="BFBFBF"/>
                  </w:tcBorders>
                  <w:vAlign w:val="bottom"/>
                </w:tcPr>
                <w:p w14:paraId="5A0E2E31" w14:textId="77777777" w:rsidR="00DE1537" w:rsidRPr="006B7F50" w:rsidRDefault="00DE1537" w:rsidP="00343F3E">
                  <w:pPr>
                    <w:pStyle w:val="TableBodyText"/>
                  </w:pPr>
                  <w:r w:rsidRPr="0076053F">
                    <w:rPr>
                      <w:b/>
                    </w:rPr>
                    <w:t>647</w:t>
                  </w:r>
                  <w:r>
                    <w:rPr>
                      <w:b/>
                    </w:rPr>
                    <w:t>.0</w:t>
                  </w:r>
                </w:p>
              </w:tc>
              <w:tc>
                <w:tcPr>
                  <w:tcW w:w="475" w:type="pct"/>
                  <w:tcBorders>
                    <w:bottom w:val="single" w:sz="6" w:space="0" w:color="BFBFBF"/>
                  </w:tcBorders>
                  <w:vAlign w:val="bottom"/>
                </w:tcPr>
                <w:p w14:paraId="6D0EFAAB" w14:textId="77777777" w:rsidR="00DE1537" w:rsidRPr="006B7F50" w:rsidRDefault="00DE1537" w:rsidP="00343F3E">
                  <w:pPr>
                    <w:pStyle w:val="TableBodyText"/>
                  </w:pPr>
                  <w:r w:rsidRPr="0076053F">
                    <w:rPr>
                      <w:b/>
                    </w:rPr>
                    <w:t>-242.3</w:t>
                  </w:r>
                </w:p>
              </w:tc>
              <w:tc>
                <w:tcPr>
                  <w:tcW w:w="475" w:type="pct"/>
                  <w:tcBorders>
                    <w:bottom w:val="single" w:sz="6" w:space="0" w:color="BFBFBF"/>
                  </w:tcBorders>
                  <w:vAlign w:val="bottom"/>
                </w:tcPr>
                <w:p w14:paraId="72B36F66" w14:textId="77777777" w:rsidR="00DE1537" w:rsidRPr="006B7F50" w:rsidRDefault="00DE1537" w:rsidP="00343F3E">
                  <w:pPr>
                    <w:pStyle w:val="TableBodyText"/>
                  </w:pPr>
                  <w:r w:rsidRPr="0076053F">
                    <w:rPr>
                      <w:b/>
                    </w:rPr>
                    <w:t>-254.2</w:t>
                  </w:r>
                </w:p>
              </w:tc>
              <w:tc>
                <w:tcPr>
                  <w:tcW w:w="475" w:type="pct"/>
                  <w:tcBorders>
                    <w:bottom w:val="single" w:sz="6" w:space="0" w:color="BFBFBF"/>
                  </w:tcBorders>
                  <w:vAlign w:val="bottom"/>
                </w:tcPr>
                <w:p w14:paraId="68C590DE" w14:textId="77777777" w:rsidR="00DE1537" w:rsidRPr="006B7F50" w:rsidRDefault="00DE1537" w:rsidP="00343F3E">
                  <w:pPr>
                    <w:pStyle w:val="TableBodyText"/>
                  </w:pPr>
                  <w:r w:rsidRPr="0076053F">
                    <w:rPr>
                      <w:b/>
                    </w:rPr>
                    <w:t>-56.1</w:t>
                  </w:r>
                </w:p>
              </w:tc>
              <w:tc>
                <w:tcPr>
                  <w:tcW w:w="475" w:type="pct"/>
                  <w:tcBorders>
                    <w:bottom w:val="single" w:sz="6" w:space="0" w:color="BFBFBF"/>
                  </w:tcBorders>
                  <w:vAlign w:val="bottom"/>
                </w:tcPr>
                <w:p w14:paraId="7E537561" w14:textId="77777777" w:rsidR="00DE1537" w:rsidRPr="006B7F50" w:rsidRDefault="00DE1537" w:rsidP="00343F3E">
                  <w:pPr>
                    <w:pStyle w:val="TableBodyText"/>
                  </w:pPr>
                  <w:r w:rsidRPr="0076053F">
                    <w:rPr>
                      <w:b/>
                    </w:rPr>
                    <w:t>18.2</w:t>
                  </w:r>
                </w:p>
              </w:tc>
              <w:tc>
                <w:tcPr>
                  <w:tcW w:w="475" w:type="pct"/>
                  <w:tcBorders>
                    <w:bottom w:val="single" w:sz="6" w:space="0" w:color="BFBFBF"/>
                  </w:tcBorders>
                  <w:vAlign w:val="bottom"/>
                </w:tcPr>
                <w:p w14:paraId="62CAF72F" w14:textId="77777777" w:rsidR="00DE1537" w:rsidRDefault="00DE1537" w:rsidP="00343F3E">
                  <w:pPr>
                    <w:pStyle w:val="TableBodyText"/>
                    <w:rPr>
                      <w:rFonts w:cs="Arial"/>
                      <w:color w:val="000000"/>
                      <w:szCs w:val="18"/>
                    </w:rPr>
                  </w:pPr>
                  <w:r w:rsidRPr="0076053F">
                    <w:rPr>
                      <w:b/>
                    </w:rPr>
                    <w:t>-42</w:t>
                  </w:r>
                  <w:r>
                    <w:rPr>
                      <w:b/>
                    </w:rPr>
                    <w:t>.0</w:t>
                  </w:r>
                </w:p>
              </w:tc>
              <w:tc>
                <w:tcPr>
                  <w:tcW w:w="727" w:type="pct"/>
                  <w:tcBorders>
                    <w:bottom w:val="single" w:sz="6" w:space="0" w:color="BFBFBF"/>
                  </w:tcBorders>
                  <w:vAlign w:val="bottom"/>
                </w:tcPr>
                <w:p w14:paraId="1F79A3F6" w14:textId="77777777" w:rsidR="00DE1537" w:rsidRPr="00522379" w:rsidRDefault="00DE1537" w:rsidP="00343F3E">
                  <w:pPr>
                    <w:pStyle w:val="TableBodyText"/>
                    <w:rPr>
                      <w:b/>
                    </w:rPr>
                  </w:pPr>
                </w:p>
              </w:tc>
            </w:tr>
          </w:tbl>
          <w:p w14:paraId="7BD333B1" w14:textId="77777777" w:rsidR="00DE1537" w:rsidRDefault="00DE1537" w:rsidP="00343F3E">
            <w:pPr>
              <w:pStyle w:val="Box"/>
            </w:pPr>
          </w:p>
        </w:tc>
      </w:tr>
      <w:tr w:rsidR="00DE1537" w14:paraId="3302F5A9" w14:textId="77777777" w:rsidTr="00343F3E">
        <w:trPr>
          <w:cantSplit/>
        </w:trPr>
        <w:tc>
          <w:tcPr>
            <w:tcW w:w="8771" w:type="dxa"/>
            <w:tcBorders>
              <w:top w:val="nil"/>
              <w:left w:val="nil"/>
              <w:bottom w:val="nil"/>
              <w:right w:val="nil"/>
            </w:tcBorders>
            <w:shd w:val="clear" w:color="auto" w:fill="auto"/>
          </w:tcPr>
          <w:p w14:paraId="0A2470AB" w14:textId="77777777" w:rsidR="00DE1537" w:rsidRDefault="00DE1537" w:rsidP="00343F3E">
            <w:pPr>
              <w:pStyle w:val="TableBodyText"/>
              <w:keepNext w:val="0"/>
              <w:spacing w:before="80" w:after="0" w:line="220" w:lineRule="exact"/>
              <w:ind w:left="0" w:right="0"/>
              <w:jc w:val="both"/>
              <w:rPr>
                <w:i/>
              </w:rPr>
            </w:pPr>
            <w:proofErr w:type="gramStart"/>
            <w:r>
              <w:rPr>
                <w:rStyle w:val="NoteLabel"/>
              </w:rPr>
              <w:t>a</w:t>
            </w:r>
            <w:proofErr w:type="gramEnd"/>
            <w:r>
              <w:t xml:space="preserve"> The total redistribution for each year is the sum of all the positive numbers across all jurisdictions. </w:t>
            </w:r>
          </w:p>
        </w:tc>
      </w:tr>
      <w:tr w:rsidR="00DE1537" w14:paraId="29D86557" w14:textId="77777777" w:rsidTr="00343F3E">
        <w:trPr>
          <w:cantSplit/>
        </w:trPr>
        <w:tc>
          <w:tcPr>
            <w:tcW w:w="8771" w:type="dxa"/>
            <w:tcBorders>
              <w:top w:val="nil"/>
              <w:left w:val="nil"/>
              <w:bottom w:val="nil"/>
              <w:right w:val="nil"/>
            </w:tcBorders>
            <w:shd w:val="clear" w:color="auto" w:fill="auto"/>
          </w:tcPr>
          <w:p w14:paraId="13972E50" w14:textId="77777777" w:rsidR="00DE1537" w:rsidRDefault="00DE1537" w:rsidP="00343F3E">
            <w:pPr>
              <w:pStyle w:val="TableBodyText"/>
              <w:keepNext w:val="0"/>
              <w:spacing w:before="80" w:after="0" w:line="220" w:lineRule="exact"/>
              <w:ind w:left="0" w:right="0"/>
              <w:jc w:val="both"/>
              <w:rPr>
                <w:i/>
              </w:rPr>
            </w:pPr>
            <w:r>
              <w:rPr>
                <w:i/>
              </w:rPr>
              <w:t>Source</w:t>
            </w:r>
            <w:r w:rsidRPr="00167F06">
              <w:t xml:space="preserve">: </w:t>
            </w:r>
            <w:r>
              <w:t>CGC (pers. comm., 22 July 2014).</w:t>
            </w:r>
          </w:p>
        </w:tc>
      </w:tr>
      <w:tr w:rsidR="00DE1537" w14:paraId="430052FA" w14:textId="77777777" w:rsidTr="00343F3E">
        <w:trPr>
          <w:cantSplit/>
        </w:trPr>
        <w:tc>
          <w:tcPr>
            <w:tcW w:w="8771" w:type="dxa"/>
            <w:tcBorders>
              <w:top w:val="nil"/>
              <w:left w:val="nil"/>
              <w:bottom w:val="single" w:sz="6" w:space="0" w:color="78A22F"/>
              <w:right w:val="nil"/>
            </w:tcBorders>
            <w:shd w:val="clear" w:color="auto" w:fill="auto"/>
          </w:tcPr>
          <w:p w14:paraId="6DB48FDF" w14:textId="77777777" w:rsidR="00DE1537" w:rsidRDefault="00DE1537" w:rsidP="00343F3E">
            <w:pPr>
              <w:pStyle w:val="Box"/>
              <w:spacing w:before="0" w:line="120" w:lineRule="exact"/>
            </w:pPr>
          </w:p>
        </w:tc>
      </w:tr>
      <w:tr w:rsidR="00DE1537" w:rsidRPr="000863A5" w14:paraId="7776F553" w14:textId="77777777" w:rsidTr="00343F3E">
        <w:tc>
          <w:tcPr>
            <w:tcW w:w="8771" w:type="dxa"/>
            <w:tcBorders>
              <w:top w:val="single" w:sz="6" w:space="0" w:color="78A22F"/>
              <w:left w:val="nil"/>
              <w:bottom w:val="nil"/>
              <w:right w:val="nil"/>
            </w:tcBorders>
          </w:tcPr>
          <w:p w14:paraId="7E7C091F" w14:textId="77777777" w:rsidR="00DE1537" w:rsidRPr="00626D32" w:rsidRDefault="00DE1537" w:rsidP="00343F3E">
            <w:pPr>
              <w:pStyle w:val="BoxSpaceBelow"/>
            </w:pPr>
          </w:p>
        </w:tc>
      </w:tr>
    </w:tbl>
    <w:p w14:paraId="29AE7627" w14:textId="77777777" w:rsidR="00DE1537" w:rsidRDefault="00DE1537" w:rsidP="00343F3E">
      <w:pPr>
        <w:pStyle w:val="Heading4"/>
      </w:pPr>
      <w:r>
        <w:t>Explaining the rising fiscal costs of natural disasters</w:t>
      </w:r>
    </w:p>
    <w:p w14:paraId="24F77988" w14:textId="77777777" w:rsidR="00DE1537" w:rsidRDefault="00DE1537" w:rsidP="00343F3E">
      <w:pPr>
        <w:pStyle w:val="BodyText"/>
      </w:pPr>
      <w:r>
        <w:t>The fiscal costs of natural disasters are increasing for all levels of government. This can be explained by a range of factors, including the number of severe disasters experienced in recent times. These severe natural disasters, especially floods, badly damaged a number of uninsured public assets such as roads. Roads account for billions of dollars of NDRRA expenditure by the Australian, state and territory governments. For example:</w:t>
      </w:r>
    </w:p>
    <w:p w14:paraId="44FE1532" w14:textId="77777777" w:rsidR="00DE1537" w:rsidRDefault="00DE1537" w:rsidP="00343F3E">
      <w:pPr>
        <w:pStyle w:val="ListBullet"/>
      </w:pPr>
      <w:r>
        <w:t xml:space="preserve">approximately $10 </w:t>
      </w:r>
      <w:r w:rsidRPr="00FE3755">
        <w:t>billion of NDRRA assistance from the Australian Government will have been spent</w:t>
      </w:r>
      <w:r w:rsidRPr="00323986">
        <w:t xml:space="preserve"> </w:t>
      </w:r>
      <w:r>
        <w:t>on essential public assets by 2015</w:t>
      </w:r>
      <w:r>
        <w:noBreakHyphen/>
        <w:t>16 (for disasters that have occurred since 2009), mostly roads (Attorney</w:t>
      </w:r>
      <w:r>
        <w:noBreakHyphen/>
        <w:t>General’s Department, sub. 90)</w:t>
      </w:r>
    </w:p>
    <w:p w14:paraId="6280013E" w14:textId="77777777" w:rsidR="00DE1537" w:rsidRDefault="00DE1537" w:rsidP="00343F3E">
      <w:pPr>
        <w:pStyle w:val="ListBullet"/>
      </w:pPr>
      <w:proofErr w:type="gramStart"/>
      <w:r>
        <w:t>over</w:t>
      </w:r>
      <w:proofErr w:type="gramEnd"/>
      <w:r>
        <w:t xml:space="preserve"> 80 per cent of NDRRA expenditure in Queensland is on roads (Queensland Government, sub. 31).</w:t>
      </w:r>
    </w:p>
    <w:p w14:paraId="63BC9ECF" w14:textId="77777777" w:rsidR="00DE1537" w:rsidRPr="00866A17" w:rsidRDefault="00DE1537" w:rsidP="00343F3E">
      <w:pPr>
        <w:pStyle w:val="BodyText"/>
      </w:pPr>
      <w:r>
        <w:t>In addition, there are rising public expectations of government assistance following a natural disaster. This is reflected in the gradual expansion of eligible expenditure under the NDRRA since 2006</w:t>
      </w:r>
      <w:r>
        <w:noBreakHyphen/>
        <w:t>07.</w:t>
      </w:r>
    </w:p>
    <w:p w14:paraId="56254BA2" w14:textId="77777777" w:rsidR="00DE1537" w:rsidRDefault="00DE1537" w:rsidP="00343F3E">
      <w:pPr>
        <w:pStyle w:val="Heading2nosectionno"/>
        <w:sectPr w:rsidR="00DE1537" w:rsidSect="00343F3E">
          <w:headerReference w:type="even" r:id="rId22"/>
          <w:headerReference w:type="default" r:id="rId23"/>
          <w:footerReference w:type="even" r:id="rId24"/>
          <w:footerReference w:type="default" r:id="rId25"/>
          <w:pgSz w:w="11907" w:h="16840" w:code="9"/>
          <w:pgMar w:top="1985" w:right="1304" w:bottom="1247" w:left="1814" w:header="1701" w:footer="397" w:gutter="0"/>
          <w:pgNumType w:start="267" w:chapSep="period"/>
          <w:cols w:space="720"/>
          <w:docGrid w:linePitch="326"/>
        </w:sectPr>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DE1537" w14:paraId="19BA8A1B" w14:textId="77777777" w:rsidTr="00343F3E">
        <w:tc>
          <w:tcPr>
            <w:tcW w:w="5000" w:type="pct"/>
            <w:tcBorders>
              <w:top w:val="single" w:sz="6" w:space="0" w:color="78A22F"/>
              <w:left w:val="nil"/>
              <w:bottom w:val="nil"/>
              <w:right w:val="nil"/>
            </w:tcBorders>
            <w:shd w:val="clear" w:color="auto" w:fill="auto"/>
          </w:tcPr>
          <w:p w14:paraId="6FD356EC" w14:textId="77777777" w:rsidR="00DE1537" w:rsidRPr="00784A05" w:rsidRDefault="00DE1537" w:rsidP="00343F3E">
            <w:pPr>
              <w:pStyle w:val="TableTitle"/>
            </w:pPr>
            <w:r w:rsidRPr="00F40FBE">
              <w:lastRenderedPageBreak/>
              <w:t xml:space="preserve">Annex </w:t>
            </w:r>
            <w:r>
              <w:t>1</w:t>
            </w:r>
            <w:r>
              <w:tab/>
              <w:t>Recent improvements in natural hazard information — examples</w:t>
            </w:r>
          </w:p>
        </w:tc>
      </w:tr>
      <w:tr w:rsidR="00DE1537" w14:paraId="24052955" w14:textId="77777777" w:rsidTr="00343F3E">
        <w:trPr>
          <w:cantSplit/>
        </w:trPr>
        <w:tc>
          <w:tcPr>
            <w:tcW w:w="5000" w:type="pct"/>
            <w:tcBorders>
              <w:top w:val="nil"/>
              <w:left w:val="nil"/>
              <w:bottom w:val="nil"/>
              <w:right w:val="nil"/>
            </w:tcBorders>
            <w:shd w:val="clear" w:color="auto" w:fill="auto"/>
          </w:tcPr>
          <w:tbl>
            <w:tblPr>
              <w:tblW w:w="13438" w:type="dxa"/>
              <w:tblCellMar>
                <w:top w:w="28" w:type="dxa"/>
                <w:left w:w="0" w:type="dxa"/>
                <w:right w:w="0" w:type="dxa"/>
              </w:tblCellMar>
              <w:tblLook w:val="0000" w:firstRow="0" w:lastRow="0" w:firstColumn="0" w:lastColumn="0" w:noHBand="0" w:noVBand="0"/>
            </w:tblPr>
            <w:tblGrid>
              <w:gridCol w:w="1417"/>
              <w:gridCol w:w="1983"/>
              <w:gridCol w:w="1989"/>
              <w:gridCol w:w="8049"/>
            </w:tblGrid>
            <w:tr w:rsidR="00DE1537" w14:paraId="5E5135D4" w14:textId="77777777" w:rsidTr="00343F3E">
              <w:trPr>
                <w:trHeight w:val="363"/>
              </w:trPr>
              <w:tc>
                <w:tcPr>
                  <w:tcW w:w="527" w:type="pct"/>
                  <w:tcBorders>
                    <w:top w:val="single" w:sz="6" w:space="0" w:color="BFBFBF"/>
                    <w:bottom w:val="single" w:sz="6" w:space="0" w:color="BFBFBF"/>
                  </w:tcBorders>
                  <w:shd w:val="clear" w:color="auto" w:fill="auto"/>
                  <w:tcMar>
                    <w:top w:w="28" w:type="dxa"/>
                  </w:tcMar>
                </w:tcPr>
                <w:p w14:paraId="2450F6B7" w14:textId="77777777" w:rsidR="00DE1537" w:rsidRDefault="00DE1537" w:rsidP="00343F3E">
                  <w:pPr>
                    <w:pStyle w:val="TableColumnHeading"/>
                    <w:jc w:val="left"/>
                  </w:pPr>
                  <w:r>
                    <w:t>Natural hazard</w:t>
                  </w:r>
                </w:p>
              </w:tc>
              <w:tc>
                <w:tcPr>
                  <w:tcW w:w="738" w:type="pct"/>
                  <w:tcBorders>
                    <w:top w:val="single" w:sz="6" w:space="0" w:color="BFBFBF"/>
                    <w:bottom w:val="single" w:sz="6" w:space="0" w:color="BFBFBF"/>
                  </w:tcBorders>
                  <w:shd w:val="clear" w:color="auto" w:fill="auto"/>
                  <w:tcMar>
                    <w:top w:w="28" w:type="dxa"/>
                  </w:tcMar>
                </w:tcPr>
                <w:p w14:paraId="51159A34" w14:textId="77777777" w:rsidR="00DE1537" w:rsidRDefault="00DE1537" w:rsidP="00343F3E">
                  <w:pPr>
                    <w:pStyle w:val="TableColumnHeading"/>
                    <w:jc w:val="left"/>
                  </w:pPr>
                  <w:r>
                    <w:t>Organisation(s)</w:t>
                  </w:r>
                </w:p>
              </w:tc>
              <w:tc>
                <w:tcPr>
                  <w:tcW w:w="740" w:type="pct"/>
                  <w:tcBorders>
                    <w:top w:val="single" w:sz="6" w:space="0" w:color="BFBFBF"/>
                    <w:bottom w:val="single" w:sz="6" w:space="0" w:color="BFBFBF"/>
                  </w:tcBorders>
                </w:tcPr>
                <w:p w14:paraId="44C9A0EC" w14:textId="77777777" w:rsidR="00DE1537" w:rsidRDefault="00DE1537" w:rsidP="00343F3E">
                  <w:pPr>
                    <w:pStyle w:val="TableColumnHeading"/>
                    <w:ind w:right="28"/>
                    <w:jc w:val="left"/>
                  </w:pPr>
                  <w:r>
                    <w:t>Product</w:t>
                  </w:r>
                </w:p>
              </w:tc>
              <w:tc>
                <w:tcPr>
                  <w:tcW w:w="2995" w:type="pct"/>
                  <w:tcBorders>
                    <w:top w:val="single" w:sz="6" w:space="0" w:color="BFBFBF"/>
                    <w:bottom w:val="single" w:sz="6" w:space="0" w:color="BFBFBF"/>
                  </w:tcBorders>
                  <w:shd w:val="clear" w:color="auto" w:fill="auto"/>
                  <w:tcMar>
                    <w:top w:w="28" w:type="dxa"/>
                  </w:tcMar>
                </w:tcPr>
                <w:p w14:paraId="062F4405" w14:textId="77777777" w:rsidR="00DE1537" w:rsidRDefault="00DE1537" w:rsidP="00343F3E">
                  <w:pPr>
                    <w:pStyle w:val="TableColumnHeading"/>
                    <w:ind w:right="28"/>
                    <w:jc w:val="left"/>
                  </w:pPr>
                  <w:r>
                    <w:t>Description</w:t>
                  </w:r>
                </w:p>
              </w:tc>
            </w:tr>
            <w:tr w:rsidR="00DE1537" w14:paraId="5317872D" w14:textId="77777777" w:rsidTr="00343F3E">
              <w:tc>
                <w:tcPr>
                  <w:tcW w:w="527" w:type="pct"/>
                  <w:tcBorders>
                    <w:top w:val="single" w:sz="6" w:space="0" w:color="BFBFBF"/>
                  </w:tcBorders>
                  <w:shd w:val="clear" w:color="auto" w:fill="auto"/>
                  <w:tcMar>
                    <w:top w:w="28" w:type="dxa"/>
                  </w:tcMar>
                </w:tcPr>
                <w:p w14:paraId="6C8AE0D4" w14:textId="77777777" w:rsidR="00DE1537" w:rsidRDefault="00DE1537" w:rsidP="00343F3E">
                  <w:pPr>
                    <w:pStyle w:val="TableColumnHeading"/>
                    <w:jc w:val="left"/>
                  </w:pPr>
                </w:p>
              </w:tc>
              <w:tc>
                <w:tcPr>
                  <w:tcW w:w="738" w:type="pct"/>
                  <w:tcBorders>
                    <w:top w:val="single" w:sz="6" w:space="0" w:color="BFBFBF"/>
                  </w:tcBorders>
                  <w:shd w:val="clear" w:color="auto" w:fill="auto"/>
                  <w:tcMar>
                    <w:top w:w="28" w:type="dxa"/>
                  </w:tcMar>
                </w:tcPr>
                <w:p w14:paraId="26E0048D" w14:textId="77777777" w:rsidR="00DE1537" w:rsidRDefault="00DE1537" w:rsidP="00343F3E">
                  <w:pPr>
                    <w:pStyle w:val="TableColumnHeading"/>
                    <w:jc w:val="left"/>
                  </w:pPr>
                </w:p>
              </w:tc>
              <w:tc>
                <w:tcPr>
                  <w:tcW w:w="740" w:type="pct"/>
                  <w:tcBorders>
                    <w:top w:val="single" w:sz="6" w:space="0" w:color="BFBFBF"/>
                  </w:tcBorders>
                </w:tcPr>
                <w:p w14:paraId="7B1B5F79" w14:textId="77777777" w:rsidR="00DE1537" w:rsidRDefault="00DE1537" w:rsidP="00343F3E">
                  <w:pPr>
                    <w:pStyle w:val="TableColumnHeading"/>
                    <w:ind w:right="28"/>
                    <w:jc w:val="left"/>
                  </w:pPr>
                </w:p>
              </w:tc>
              <w:tc>
                <w:tcPr>
                  <w:tcW w:w="2995" w:type="pct"/>
                  <w:tcBorders>
                    <w:top w:val="single" w:sz="6" w:space="0" w:color="BFBFBF"/>
                  </w:tcBorders>
                  <w:shd w:val="clear" w:color="auto" w:fill="auto"/>
                  <w:tcMar>
                    <w:top w:w="28" w:type="dxa"/>
                  </w:tcMar>
                </w:tcPr>
                <w:p w14:paraId="642AA562" w14:textId="77777777" w:rsidR="00DE1537" w:rsidRDefault="00DE1537" w:rsidP="00343F3E">
                  <w:pPr>
                    <w:pStyle w:val="TableColumnHeading"/>
                    <w:ind w:right="28"/>
                    <w:jc w:val="left"/>
                  </w:pPr>
                </w:p>
              </w:tc>
            </w:tr>
            <w:tr w:rsidR="00DE1537" w14:paraId="05B9B9B7" w14:textId="77777777" w:rsidTr="00343F3E">
              <w:tc>
                <w:tcPr>
                  <w:tcW w:w="527" w:type="pct"/>
                  <w:shd w:val="clear" w:color="auto" w:fill="F2F2F2" w:themeFill="background1" w:themeFillShade="F2"/>
                </w:tcPr>
                <w:p w14:paraId="48A9BCBD" w14:textId="77777777" w:rsidR="00DE1537" w:rsidRDefault="00DE1537" w:rsidP="00343F3E">
                  <w:pPr>
                    <w:pStyle w:val="TableBodyText"/>
                    <w:spacing w:before="40"/>
                    <w:jc w:val="left"/>
                  </w:pPr>
                  <w:r>
                    <w:t>Multiple hazards</w:t>
                  </w:r>
                </w:p>
              </w:tc>
              <w:tc>
                <w:tcPr>
                  <w:tcW w:w="738" w:type="pct"/>
                  <w:shd w:val="clear" w:color="auto" w:fill="F2F2F2" w:themeFill="background1" w:themeFillShade="F2"/>
                </w:tcPr>
                <w:p w14:paraId="32BA6E03" w14:textId="77777777" w:rsidR="00DE1537" w:rsidRDefault="00DE1537" w:rsidP="00343F3E">
                  <w:pPr>
                    <w:pStyle w:val="TableBodyText"/>
                    <w:spacing w:before="40"/>
                    <w:jc w:val="left"/>
                  </w:pPr>
                  <w:r w:rsidRPr="00641F43">
                    <w:t>Bushfire and Natural Hazards Cooperative Research Centre</w:t>
                  </w:r>
                </w:p>
              </w:tc>
              <w:tc>
                <w:tcPr>
                  <w:tcW w:w="740" w:type="pct"/>
                  <w:shd w:val="clear" w:color="auto" w:fill="F2F2F2" w:themeFill="background1" w:themeFillShade="F2"/>
                </w:tcPr>
                <w:p w14:paraId="351B2A47" w14:textId="77777777" w:rsidR="00DE1537" w:rsidRDefault="00DE1537" w:rsidP="00343F3E">
                  <w:pPr>
                    <w:pStyle w:val="TableBodyText"/>
                    <w:spacing w:before="40"/>
                    <w:ind w:right="28"/>
                    <w:jc w:val="left"/>
                  </w:pPr>
                  <w:r>
                    <w:t>Research centre</w:t>
                  </w:r>
                </w:p>
              </w:tc>
              <w:tc>
                <w:tcPr>
                  <w:tcW w:w="2995" w:type="pct"/>
                  <w:shd w:val="clear" w:color="auto" w:fill="F2F2F2" w:themeFill="background1" w:themeFillShade="F2"/>
                </w:tcPr>
                <w:p w14:paraId="6E31C0AE" w14:textId="77777777" w:rsidR="00DE1537" w:rsidRDefault="00DE1537" w:rsidP="00343F3E">
                  <w:pPr>
                    <w:pStyle w:val="TableBodyText"/>
                    <w:spacing w:before="40"/>
                    <w:ind w:right="28"/>
                    <w:jc w:val="left"/>
                  </w:pPr>
                  <w:r>
                    <w:t>The Centre</w:t>
                  </w:r>
                  <w:r w:rsidRPr="00641F43">
                    <w:t xml:space="preserve"> coordinates research on natural hazards and provides research grants, with funding proposals assessed by committees of end users (including state and territory governments, insurers and no</w:t>
                  </w:r>
                  <w:r>
                    <w:t>n</w:t>
                  </w:r>
                  <w:r w:rsidRPr="00641F43">
                    <w:t xml:space="preserve">profit organisations). </w:t>
                  </w:r>
                  <w:r>
                    <w:t>It was established in</w:t>
                  </w:r>
                  <w:r w:rsidRPr="00641F43">
                    <w:t xml:space="preserve"> 2013 </w:t>
                  </w:r>
                  <w:r>
                    <w:t xml:space="preserve">to replace </w:t>
                  </w:r>
                  <w:r w:rsidRPr="00641F43">
                    <w:t>the Bushf</w:t>
                  </w:r>
                  <w:r>
                    <w:t xml:space="preserve">ire Cooperative Research Centre, with Australian Government funding of </w:t>
                  </w:r>
                  <w:r w:rsidRPr="00641F43">
                    <w:t>$47</w:t>
                  </w:r>
                  <w:r>
                    <w:t> </w:t>
                  </w:r>
                  <w:r w:rsidRPr="00641F43">
                    <w:t>million over eight years</w:t>
                  </w:r>
                  <w:r>
                    <w:t xml:space="preserve"> and </w:t>
                  </w:r>
                  <w:r w:rsidRPr="00641F43">
                    <w:t>a further $80</w:t>
                  </w:r>
                  <w:r>
                    <w:t> </w:t>
                  </w:r>
                  <w:r w:rsidRPr="00641F43">
                    <w:t>million in support expected from partner agencies.</w:t>
                  </w:r>
                </w:p>
              </w:tc>
            </w:tr>
            <w:tr w:rsidR="00DE1537" w14:paraId="3CAEE13B" w14:textId="77777777" w:rsidTr="00343F3E">
              <w:tc>
                <w:tcPr>
                  <w:tcW w:w="527" w:type="pct"/>
                </w:tcPr>
                <w:p w14:paraId="4116678A" w14:textId="77777777" w:rsidR="00DE1537" w:rsidRDefault="00DE1537" w:rsidP="00343F3E">
                  <w:pPr>
                    <w:pStyle w:val="TableBodyText"/>
                    <w:jc w:val="left"/>
                  </w:pPr>
                </w:p>
              </w:tc>
              <w:tc>
                <w:tcPr>
                  <w:tcW w:w="738" w:type="pct"/>
                </w:tcPr>
                <w:p w14:paraId="138EEC9B" w14:textId="77777777" w:rsidR="00DE1537" w:rsidRDefault="00DE1537" w:rsidP="00343F3E">
                  <w:pPr>
                    <w:pStyle w:val="TableBodyText"/>
                    <w:jc w:val="left"/>
                  </w:pPr>
                  <w:r>
                    <w:t>Geoscience Australia</w:t>
                  </w:r>
                </w:p>
              </w:tc>
              <w:tc>
                <w:tcPr>
                  <w:tcW w:w="740" w:type="pct"/>
                </w:tcPr>
                <w:p w14:paraId="6D17B71F" w14:textId="77777777" w:rsidR="00DE1537" w:rsidRDefault="00DE1537" w:rsidP="00343F3E">
                  <w:pPr>
                    <w:pStyle w:val="TableBodyText"/>
                    <w:ind w:right="28"/>
                    <w:jc w:val="left"/>
                  </w:pPr>
                  <w:r>
                    <w:t>National Exposure Information System</w:t>
                  </w:r>
                </w:p>
              </w:tc>
              <w:tc>
                <w:tcPr>
                  <w:tcW w:w="2995" w:type="pct"/>
                </w:tcPr>
                <w:p w14:paraId="41D8FEAC" w14:textId="77777777" w:rsidR="00DE1537" w:rsidRDefault="00DE1537" w:rsidP="00343F3E">
                  <w:pPr>
                    <w:pStyle w:val="TableBodyText"/>
                    <w:ind w:right="28"/>
                    <w:jc w:val="left"/>
                  </w:pPr>
                  <w:r>
                    <w:t>Nationally consistent information about residential, commercial and industrial buildings and their exposure to natural hazards, including construction types and replacement values. The system is updated annually and is being expanded to cover basic transport and utility infrastructure.</w:t>
                  </w:r>
                </w:p>
              </w:tc>
            </w:tr>
            <w:tr w:rsidR="00DE1537" w14:paraId="60AC5E34" w14:textId="77777777" w:rsidTr="00343F3E">
              <w:tc>
                <w:tcPr>
                  <w:tcW w:w="527" w:type="pct"/>
                  <w:shd w:val="clear" w:color="auto" w:fill="F2F2F2" w:themeFill="background1" w:themeFillShade="F2"/>
                </w:tcPr>
                <w:p w14:paraId="1C03589F" w14:textId="77777777" w:rsidR="00DE1537" w:rsidRDefault="00DE1537" w:rsidP="00343F3E">
                  <w:pPr>
                    <w:pStyle w:val="TableBodyText"/>
                    <w:jc w:val="left"/>
                  </w:pPr>
                </w:p>
              </w:tc>
              <w:tc>
                <w:tcPr>
                  <w:tcW w:w="738" w:type="pct"/>
                  <w:shd w:val="clear" w:color="auto" w:fill="F2F2F2" w:themeFill="background1" w:themeFillShade="F2"/>
                </w:tcPr>
                <w:p w14:paraId="476B8A7A" w14:textId="77777777" w:rsidR="00DE1537" w:rsidRDefault="00DE1537" w:rsidP="00343F3E">
                  <w:pPr>
                    <w:pStyle w:val="TableBodyText"/>
                    <w:jc w:val="left"/>
                  </w:pPr>
                  <w:r>
                    <w:t>Insurance companies</w:t>
                  </w:r>
                </w:p>
              </w:tc>
              <w:tc>
                <w:tcPr>
                  <w:tcW w:w="740" w:type="pct"/>
                  <w:shd w:val="clear" w:color="auto" w:fill="F2F2F2" w:themeFill="background1" w:themeFillShade="F2"/>
                </w:tcPr>
                <w:p w14:paraId="03AC4570" w14:textId="77777777" w:rsidR="00DE1537" w:rsidRDefault="00DE1537" w:rsidP="00343F3E">
                  <w:pPr>
                    <w:pStyle w:val="TableBodyText"/>
                    <w:ind w:right="28"/>
                    <w:jc w:val="left"/>
                  </w:pPr>
                  <w:r>
                    <w:t>Modelling of natural hazards</w:t>
                  </w:r>
                </w:p>
              </w:tc>
              <w:tc>
                <w:tcPr>
                  <w:tcW w:w="2995" w:type="pct"/>
                  <w:shd w:val="clear" w:color="auto" w:fill="F2F2F2" w:themeFill="background1" w:themeFillShade="F2"/>
                </w:tcPr>
                <w:p w14:paraId="02F0885F" w14:textId="77777777" w:rsidR="00DE1537" w:rsidRDefault="00DE1537" w:rsidP="00343F3E">
                  <w:pPr>
                    <w:pStyle w:val="TableBodyText"/>
                    <w:ind w:right="28"/>
                    <w:jc w:val="left"/>
                  </w:pPr>
                  <w:r>
                    <w:t xml:space="preserve">Insurers have been adopting </w:t>
                  </w:r>
                  <w:r w:rsidRPr="00A05F4C">
                    <w:t>more sophisticated data and modelling on natural hazards. For example, Insurance Australia Group has b</w:t>
                  </w:r>
                  <w:r>
                    <w:t>een investing in obtaining high</w:t>
                  </w:r>
                  <w:r>
                    <w:noBreakHyphen/>
                  </w:r>
                  <w:r w:rsidRPr="00A05F4C">
                    <w:t xml:space="preserve">quality flood data (including by commissioning </w:t>
                  </w:r>
                  <w:r>
                    <w:t xml:space="preserve">its own </w:t>
                  </w:r>
                  <w:r w:rsidRPr="00A05F4C">
                    <w:t>studies) and modelling flood risks. QBE observed that insurers are developing sophisticated methodologies to understand risks at a more granular level than in the past.</w:t>
                  </w:r>
                </w:p>
              </w:tc>
            </w:tr>
            <w:tr w:rsidR="00DE1537" w14:paraId="662915B6" w14:textId="77777777" w:rsidTr="00343F3E">
              <w:tc>
                <w:tcPr>
                  <w:tcW w:w="527" w:type="pct"/>
                </w:tcPr>
                <w:p w14:paraId="4FA6EBDA" w14:textId="77777777" w:rsidR="00DE1537" w:rsidRDefault="00DE1537" w:rsidP="00343F3E">
                  <w:pPr>
                    <w:pStyle w:val="TableBodyText"/>
                    <w:jc w:val="left"/>
                  </w:pPr>
                </w:p>
              </w:tc>
              <w:tc>
                <w:tcPr>
                  <w:tcW w:w="738" w:type="pct"/>
                </w:tcPr>
                <w:p w14:paraId="51B2D772" w14:textId="77777777" w:rsidR="00DE1537" w:rsidRDefault="00DE1537" w:rsidP="00343F3E">
                  <w:pPr>
                    <w:pStyle w:val="TableBodyText"/>
                    <w:jc w:val="left"/>
                  </w:pPr>
                  <w:r>
                    <w:t>Insurance Council of Australia</w:t>
                  </w:r>
                </w:p>
              </w:tc>
              <w:tc>
                <w:tcPr>
                  <w:tcW w:w="740" w:type="pct"/>
                </w:tcPr>
                <w:p w14:paraId="550014AB" w14:textId="77777777" w:rsidR="00DE1537" w:rsidRDefault="00DE1537" w:rsidP="00343F3E">
                  <w:pPr>
                    <w:pStyle w:val="TableBodyText"/>
                    <w:ind w:right="28"/>
                    <w:jc w:val="left"/>
                  </w:pPr>
                  <w:r>
                    <w:t>Data Globe</w:t>
                  </w:r>
                </w:p>
              </w:tc>
              <w:tc>
                <w:tcPr>
                  <w:tcW w:w="2995" w:type="pct"/>
                </w:tcPr>
                <w:p w14:paraId="7F25BF4E" w14:textId="77777777" w:rsidR="00DE1537" w:rsidRDefault="00DE1537" w:rsidP="00343F3E">
                  <w:pPr>
                    <w:pStyle w:val="TableBodyText"/>
                    <w:ind w:right="28"/>
                    <w:jc w:val="left"/>
                  </w:pPr>
                  <w:r>
                    <w:t>N</w:t>
                  </w:r>
                  <w:r w:rsidRPr="00C56C92">
                    <w:t>ational</w:t>
                  </w:r>
                  <w:r>
                    <w:noBreakHyphen/>
                  </w:r>
                  <w:r w:rsidRPr="00C56C92">
                    <w:t>level repository</w:t>
                  </w:r>
                  <w:r>
                    <w:t xml:space="preserve"> through which insurers can access property</w:t>
                  </w:r>
                  <w:r>
                    <w:noBreakHyphen/>
                    <w:t>level information on exposure to natural hazards, including flood, earthquake, bushfire, storm surge and cyclone.</w:t>
                  </w:r>
                </w:p>
              </w:tc>
            </w:tr>
            <w:tr w:rsidR="00DE1537" w14:paraId="211DF80D" w14:textId="77777777" w:rsidTr="00343F3E">
              <w:tc>
                <w:tcPr>
                  <w:tcW w:w="527" w:type="pct"/>
                  <w:shd w:val="clear" w:color="auto" w:fill="F2F2F2" w:themeFill="background1" w:themeFillShade="F2"/>
                </w:tcPr>
                <w:p w14:paraId="5132C30E" w14:textId="77777777" w:rsidR="00DE1537" w:rsidRDefault="00DE1537" w:rsidP="00343F3E">
                  <w:pPr>
                    <w:pStyle w:val="TableBodyText"/>
                    <w:jc w:val="left"/>
                  </w:pPr>
                </w:p>
              </w:tc>
              <w:tc>
                <w:tcPr>
                  <w:tcW w:w="738" w:type="pct"/>
                  <w:shd w:val="clear" w:color="auto" w:fill="F2F2F2" w:themeFill="background1" w:themeFillShade="F2"/>
                </w:tcPr>
                <w:p w14:paraId="2371C50F" w14:textId="77777777" w:rsidR="00DE1537" w:rsidRDefault="00DE1537" w:rsidP="00343F3E">
                  <w:pPr>
                    <w:pStyle w:val="TableBodyText"/>
                    <w:jc w:val="left"/>
                  </w:pPr>
                  <w:r>
                    <w:t>Insurance Council of Australia</w:t>
                  </w:r>
                </w:p>
              </w:tc>
              <w:tc>
                <w:tcPr>
                  <w:tcW w:w="740" w:type="pct"/>
                  <w:shd w:val="clear" w:color="auto" w:fill="F2F2F2" w:themeFill="background1" w:themeFillShade="F2"/>
                </w:tcPr>
                <w:p w14:paraId="5EA1832D" w14:textId="77777777" w:rsidR="00DE1537" w:rsidRDefault="00DE1537" w:rsidP="00343F3E">
                  <w:pPr>
                    <w:pStyle w:val="TableBodyText"/>
                    <w:ind w:right="28"/>
                    <w:jc w:val="left"/>
                  </w:pPr>
                  <w:r w:rsidRPr="00C56C92">
                    <w:t>Property Resilience and Exposure Program</w:t>
                  </w:r>
                </w:p>
              </w:tc>
              <w:tc>
                <w:tcPr>
                  <w:tcW w:w="2995" w:type="pct"/>
                  <w:shd w:val="clear" w:color="auto" w:fill="F2F2F2" w:themeFill="background1" w:themeFillShade="F2"/>
                </w:tcPr>
                <w:p w14:paraId="75322E0F" w14:textId="77777777" w:rsidR="00DE1537" w:rsidRDefault="00DE1537" w:rsidP="00343F3E">
                  <w:pPr>
                    <w:pStyle w:val="TableBodyText"/>
                    <w:ind w:right="28"/>
                    <w:jc w:val="left"/>
                  </w:pPr>
                  <w:r>
                    <w:t xml:space="preserve">Program being developed to </w:t>
                  </w:r>
                  <w:r w:rsidRPr="00C56C92">
                    <w:t>share data with local governments, including hazard maps and information on built structures</w:t>
                  </w:r>
                  <w:r>
                    <w:t>.</w:t>
                  </w:r>
                </w:p>
              </w:tc>
            </w:tr>
            <w:tr w:rsidR="00DE1537" w14:paraId="786A38FB" w14:textId="77777777" w:rsidTr="00343F3E">
              <w:tc>
                <w:tcPr>
                  <w:tcW w:w="527" w:type="pct"/>
                </w:tcPr>
                <w:p w14:paraId="15C1D547" w14:textId="77777777" w:rsidR="00DE1537" w:rsidRDefault="00DE1537" w:rsidP="00343F3E">
                  <w:pPr>
                    <w:pStyle w:val="TableBodyText"/>
                    <w:jc w:val="left"/>
                  </w:pPr>
                  <w:r>
                    <w:t>Flood</w:t>
                  </w:r>
                </w:p>
              </w:tc>
              <w:tc>
                <w:tcPr>
                  <w:tcW w:w="738" w:type="pct"/>
                </w:tcPr>
                <w:p w14:paraId="481FD45E" w14:textId="77777777" w:rsidR="00DE1537" w:rsidRDefault="00DE1537" w:rsidP="00343F3E">
                  <w:pPr>
                    <w:pStyle w:val="TableBodyText"/>
                    <w:jc w:val="left"/>
                  </w:pPr>
                  <w:r>
                    <w:t>Geoscience Australia</w:t>
                  </w:r>
                </w:p>
              </w:tc>
              <w:tc>
                <w:tcPr>
                  <w:tcW w:w="740" w:type="pct"/>
                </w:tcPr>
                <w:p w14:paraId="0822F03F" w14:textId="77777777" w:rsidR="00DE1537" w:rsidRDefault="00DE1537" w:rsidP="00343F3E">
                  <w:pPr>
                    <w:pStyle w:val="TableBodyText"/>
                    <w:ind w:right="28"/>
                    <w:jc w:val="left"/>
                  </w:pPr>
                  <w:r w:rsidRPr="0097502D">
                    <w:t>National Flood Risk Information Project</w:t>
                  </w:r>
                </w:p>
              </w:tc>
              <w:tc>
                <w:tcPr>
                  <w:tcW w:w="2995" w:type="pct"/>
                </w:tcPr>
                <w:p w14:paraId="3F67490C" w14:textId="77777777" w:rsidR="00DE1537" w:rsidRDefault="00DE1537" w:rsidP="00343F3E">
                  <w:pPr>
                    <w:pStyle w:val="TableBodyText"/>
                    <w:ind w:right="28"/>
                    <w:jc w:val="left"/>
                  </w:pPr>
                  <w:r>
                    <w:t>Production of a</w:t>
                  </w:r>
                  <w:r w:rsidRPr="0097502D">
                    <w:t xml:space="preserve"> database of flood studies and maps held by governments across Australia (</w:t>
                  </w:r>
                  <w:r>
                    <w:t xml:space="preserve">commenced in 2012 and due for completion </w:t>
                  </w:r>
                  <w:r w:rsidRPr="0097502D">
                    <w:t>in 2016). Information on flood studies is provided online where it can be made public.</w:t>
                  </w:r>
                  <w:r>
                    <w:t xml:space="preserve"> Around 1790 flood studies have so far been included, and the report can be made public for around 1095 of these. However, Geoscience Australia has spatial data for only around 200 of the studies.</w:t>
                  </w:r>
                </w:p>
              </w:tc>
            </w:tr>
            <w:tr w:rsidR="00DE1537" w14:paraId="28897E15" w14:textId="77777777" w:rsidTr="00343F3E">
              <w:tc>
                <w:tcPr>
                  <w:tcW w:w="527" w:type="pct"/>
                  <w:tcBorders>
                    <w:bottom w:val="single" w:sz="6" w:space="0" w:color="BFBFBF"/>
                  </w:tcBorders>
                  <w:shd w:val="clear" w:color="auto" w:fill="F2F2F2" w:themeFill="background1" w:themeFillShade="F2"/>
                </w:tcPr>
                <w:p w14:paraId="1E18FD68" w14:textId="77777777" w:rsidR="00DE1537" w:rsidRDefault="00DE1537" w:rsidP="00343F3E">
                  <w:pPr>
                    <w:pStyle w:val="TableBodyText"/>
                    <w:jc w:val="left"/>
                  </w:pPr>
                </w:p>
              </w:tc>
              <w:tc>
                <w:tcPr>
                  <w:tcW w:w="738" w:type="pct"/>
                  <w:tcBorders>
                    <w:bottom w:val="single" w:sz="6" w:space="0" w:color="BFBFBF"/>
                  </w:tcBorders>
                  <w:shd w:val="clear" w:color="auto" w:fill="F2F2F2" w:themeFill="background1" w:themeFillShade="F2"/>
                </w:tcPr>
                <w:p w14:paraId="3FBE3ACD" w14:textId="77777777" w:rsidR="00DE1537" w:rsidRDefault="00DE1537" w:rsidP="00343F3E">
                  <w:pPr>
                    <w:pStyle w:val="TableBodyText"/>
                    <w:jc w:val="left"/>
                    <w:rPr>
                      <w:i/>
                    </w:rPr>
                  </w:pPr>
                  <w:r>
                    <w:t>Geoscience Australia, state, territory and local governments</w:t>
                  </w:r>
                </w:p>
              </w:tc>
              <w:tc>
                <w:tcPr>
                  <w:tcW w:w="740" w:type="pct"/>
                  <w:tcBorders>
                    <w:bottom w:val="single" w:sz="6" w:space="0" w:color="BFBFBF"/>
                  </w:tcBorders>
                  <w:shd w:val="clear" w:color="auto" w:fill="F2F2F2" w:themeFill="background1" w:themeFillShade="F2"/>
                </w:tcPr>
                <w:p w14:paraId="7FE290E7" w14:textId="77777777" w:rsidR="00DE1537" w:rsidRDefault="00DE1537" w:rsidP="00343F3E">
                  <w:pPr>
                    <w:pStyle w:val="TableBodyText"/>
                    <w:ind w:right="28"/>
                    <w:jc w:val="left"/>
                  </w:pPr>
                  <w:r>
                    <w:t>LiDAR elevation data</w:t>
                  </w:r>
                </w:p>
              </w:tc>
              <w:tc>
                <w:tcPr>
                  <w:tcW w:w="2995" w:type="pct"/>
                  <w:tcBorders>
                    <w:bottom w:val="single" w:sz="6" w:space="0" w:color="BFBFBF"/>
                  </w:tcBorders>
                  <w:shd w:val="clear" w:color="auto" w:fill="F2F2F2" w:themeFill="background1" w:themeFillShade="F2"/>
                </w:tcPr>
                <w:p w14:paraId="31DDE43B" w14:textId="77777777" w:rsidR="00DE1537" w:rsidRDefault="00DE1537" w:rsidP="00343F3E">
                  <w:pPr>
                    <w:pStyle w:val="TableBodyText"/>
                    <w:ind w:right="28"/>
                    <w:jc w:val="left"/>
                  </w:pPr>
                  <w:r w:rsidRPr="00447FAC">
                    <w:t>Governments at all levels are obtaining intellectual property rights for new elevation data they collect</w:t>
                  </w:r>
                  <w:r>
                    <w:t xml:space="preserve">, </w:t>
                  </w:r>
                  <w:r w:rsidRPr="00447FAC">
                    <w:t>including Light Detection and Ranging (LiDAR) data, a key input for flood studies. Geoscience Australia is collating existing elevation data and providin</w:t>
                  </w:r>
                  <w:r>
                    <w:t>g these online where possible. The proportion of the Australian continent for which high</w:t>
                  </w:r>
                  <w:r>
                    <w:noBreakHyphen/>
                    <w:t>resolution LiDAR data are available has increased from around 0.7 per cent in 2007 to 4.5 per cent at present, covering around 70 per cent of the population. The area of land covered has increased around 16</w:t>
                  </w:r>
                  <w:r>
                    <w:noBreakHyphen/>
                    <w:t>fold in New South Wales, and around 4</w:t>
                  </w:r>
                  <w:r>
                    <w:noBreakHyphen/>
                    <w:t>fold in each of Queensland and Victoria.</w:t>
                  </w:r>
                </w:p>
              </w:tc>
            </w:tr>
          </w:tbl>
          <w:p w14:paraId="3DB6AC84" w14:textId="77777777" w:rsidR="00DE1537" w:rsidRDefault="00DE1537" w:rsidP="00343F3E">
            <w:pPr>
              <w:pStyle w:val="Box"/>
            </w:pPr>
          </w:p>
        </w:tc>
      </w:tr>
      <w:tr w:rsidR="00DE1537" w14:paraId="6CA8836C" w14:textId="77777777" w:rsidTr="00343F3E">
        <w:trPr>
          <w:cantSplit/>
        </w:trPr>
        <w:tc>
          <w:tcPr>
            <w:tcW w:w="5000" w:type="pct"/>
            <w:tcBorders>
              <w:top w:val="nil"/>
              <w:left w:val="nil"/>
              <w:bottom w:val="nil"/>
              <w:right w:val="nil"/>
            </w:tcBorders>
            <w:shd w:val="clear" w:color="auto" w:fill="auto"/>
          </w:tcPr>
          <w:p w14:paraId="750F7280" w14:textId="77777777" w:rsidR="00DE1537" w:rsidRDefault="00DE1537" w:rsidP="00343F3E">
            <w:pPr>
              <w:pStyle w:val="Continued"/>
            </w:pPr>
            <w:r>
              <w:t>(continued next page)</w:t>
            </w:r>
          </w:p>
        </w:tc>
      </w:tr>
      <w:tr w:rsidR="00DE1537" w14:paraId="3B22BD33" w14:textId="77777777" w:rsidTr="00343F3E">
        <w:trPr>
          <w:cantSplit/>
        </w:trPr>
        <w:tc>
          <w:tcPr>
            <w:tcW w:w="5000" w:type="pct"/>
            <w:tcBorders>
              <w:top w:val="nil"/>
              <w:left w:val="nil"/>
              <w:bottom w:val="single" w:sz="6" w:space="0" w:color="78A22F"/>
              <w:right w:val="nil"/>
            </w:tcBorders>
            <w:shd w:val="clear" w:color="auto" w:fill="auto"/>
          </w:tcPr>
          <w:p w14:paraId="17C6A7DE" w14:textId="77777777" w:rsidR="00DE1537" w:rsidRDefault="00DE1537" w:rsidP="00343F3E">
            <w:pPr>
              <w:pStyle w:val="Box"/>
              <w:spacing w:before="0" w:line="120" w:lineRule="exact"/>
            </w:pPr>
          </w:p>
        </w:tc>
      </w:tr>
      <w:tr w:rsidR="00DE1537" w:rsidRPr="000863A5" w14:paraId="130D32F4" w14:textId="77777777" w:rsidTr="00343F3E">
        <w:tc>
          <w:tcPr>
            <w:tcW w:w="5000" w:type="pct"/>
            <w:tcBorders>
              <w:top w:val="single" w:sz="6" w:space="0" w:color="78A22F"/>
              <w:left w:val="nil"/>
              <w:bottom w:val="nil"/>
              <w:right w:val="nil"/>
            </w:tcBorders>
          </w:tcPr>
          <w:p w14:paraId="3EC1274B" w14:textId="77777777" w:rsidR="00DE1537" w:rsidRPr="00626D32" w:rsidRDefault="00DE1537" w:rsidP="00343F3E">
            <w:pPr>
              <w:pStyle w:val="BoxSpaceBelow"/>
            </w:pPr>
          </w:p>
        </w:tc>
      </w:tr>
    </w:tbl>
    <w:p w14:paraId="7C6871C9" w14:textId="77777777" w:rsidR="00DE1537" w:rsidRDefault="00DE1537" w:rsidP="00343F3E">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DE1537" w14:paraId="76FB6D25" w14:textId="77777777" w:rsidTr="00343F3E">
        <w:tc>
          <w:tcPr>
            <w:tcW w:w="5000" w:type="pct"/>
            <w:tcBorders>
              <w:top w:val="single" w:sz="6" w:space="0" w:color="78A22F"/>
              <w:left w:val="nil"/>
              <w:bottom w:val="nil"/>
              <w:right w:val="nil"/>
            </w:tcBorders>
            <w:shd w:val="clear" w:color="auto" w:fill="auto"/>
          </w:tcPr>
          <w:p w14:paraId="4DE2203C" w14:textId="77777777" w:rsidR="00DE1537" w:rsidRPr="00784A05" w:rsidRDefault="00DE1537" w:rsidP="00343F3E">
            <w:pPr>
              <w:pStyle w:val="TableTitle"/>
            </w:pPr>
            <w:r w:rsidRPr="00F40FBE">
              <w:t xml:space="preserve">Annex </w:t>
            </w:r>
            <w:r>
              <w:t>1</w:t>
            </w:r>
            <w:r>
              <w:tab/>
            </w:r>
            <w:r w:rsidRPr="008C0A65">
              <w:rPr>
                <w:b w:val="0"/>
                <w:sz w:val="18"/>
                <w:szCs w:val="18"/>
              </w:rPr>
              <w:t>(</w:t>
            </w:r>
            <w:r>
              <w:rPr>
                <w:b w:val="0"/>
                <w:sz w:val="18"/>
                <w:szCs w:val="18"/>
              </w:rPr>
              <w:t>c</w:t>
            </w:r>
            <w:r w:rsidRPr="008C0A65">
              <w:rPr>
                <w:b w:val="0"/>
                <w:sz w:val="18"/>
                <w:szCs w:val="18"/>
              </w:rPr>
              <w:t>ontinued)</w:t>
            </w:r>
          </w:p>
        </w:tc>
      </w:tr>
      <w:tr w:rsidR="00DE1537" w14:paraId="77C3E418" w14:textId="77777777" w:rsidTr="00343F3E">
        <w:trPr>
          <w:cantSplit/>
        </w:trPr>
        <w:tc>
          <w:tcPr>
            <w:tcW w:w="5000" w:type="pct"/>
            <w:tcBorders>
              <w:top w:val="nil"/>
              <w:left w:val="nil"/>
              <w:bottom w:val="nil"/>
              <w:right w:val="nil"/>
            </w:tcBorders>
            <w:shd w:val="clear" w:color="auto" w:fill="auto"/>
          </w:tcPr>
          <w:tbl>
            <w:tblPr>
              <w:tblW w:w="13438" w:type="dxa"/>
              <w:tblCellMar>
                <w:top w:w="28" w:type="dxa"/>
                <w:left w:w="0" w:type="dxa"/>
                <w:right w:w="0" w:type="dxa"/>
              </w:tblCellMar>
              <w:tblLook w:val="0000" w:firstRow="0" w:lastRow="0" w:firstColumn="0" w:lastColumn="0" w:noHBand="0" w:noVBand="0"/>
            </w:tblPr>
            <w:tblGrid>
              <w:gridCol w:w="1417"/>
              <w:gridCol w:w="1983"/>
              <w:gridCol w:w="1989"/>
              <w:gridCol w:w="8049"/>
            </w:tblGrid>
            <w:tr w:rsidR="00DE1537" w14:paraId="4BE2D401" w14:textId="77777777" w:rsidTr="00343F3E">
              <w:tc>
                <w:tcPr>
                  <w:tcW w:w="527" w:type="pct"/>
                  <w:tcBorders>
                    <w:top w:val="single" w:sz="6" w:space="0" w:color="BFBFBF"/>
                    <w:bottom w:val="single" w:sz="6" w:space="0" w:color="BFBFBF"/>
                  </w:tcBorders>
                  <w:shd w:val="clear" w:color="auto" w:fill="auto"/>
                  <w:tcMar>
                    <w:top w:w="28" w:type="dxa"/>
                  </w:tcMar>
                </w:tcPr>
                <w:p w14:paraId="26970BFF" w14:textId="77777777" w:rsidR="00DE1537" w:rsidRDefault="00DE1537" w:rsidP="00343F3E">
                  <w:pPr>
                    <w:pStyle w:val="TableColumnHeading"/>
                    <w:jc w:val="left"/>
                  </w:pPr>
                  <w:r>
                    <w:t>Natural hazard</w:t>
                  </w:r>
                </w:p>
              </w:tc>
              <w:tc>
                <w:tcPr>
                  <w:tcW w:w="738" w:type="pct"/>
                  <w:tcBorders>
                    <w:top w:val="single" w:sz="6" w:space="0" w:color="BFBFBF"/>
                    <w:bottom w:val="single" w:sz="6" w:space="0" w:color="BFBFBF"/>
                  </w:tcBorders>
                  <w:shd w:val="clear" w:color="auto" w:fill="auto"/>
                  <w:tcMar>
                    <w:top w:w="28" w:type="dxa"/>
                  </w:tcMar>
                </w:tcPr>
                <w:p w14:paraId="0BB3EA2A" w14:textId="77777777" w:rsidR="00DE1537" w:rsidRDefault="00DE1537" w:rsidP="00343F3E">
                  <w:pPr>
                    <w:pStyle w:val="TableColumnHeading"/>
                    <w:jc w:val="left"/>
                  </w:pPr>
                  <w:r>
                    <w:t>Organisation(s)</w:t>
                  </w:r>
                </w:p>
              </w:tc>
              <w:tc>
                <w:tcPr>
                  <w:tcW w:w="740" w:type="pct"/>
                  <w:tcBorders>
                    <w:top w:val="single" w:sz="6" w:space="0" w:color="BFBFBF"/>
                    <w:bottom w:val="single" w:sz="6" w:space="0" w:color="BFBFBF"/>
                  </w:tcBorders>
                </w:tcPr>
                <w:p w14:paraId="102B0D66" w14:textId="77777777" w:rsidR="00DE1537" w:rsidRDefault="00DE1537" w:rsidP="00343F3E">
                  <w:pPr>
                    <w:pStyle w:val="TableColumnHeading"/>
                    <w:ind w:right="28"/>
                    <w:jc w:val="left"/>
                  </w:pPr>
                  <w:r>
                    <w:t>Product</w:t>
                  </w:r>
                </w:p>
              </w:tc>
              <w:tc>
                <w:tcPr>
                  <w:tcW w:w="2995" w:type="pct"/>
                  <w:tcBorders>
                    <w:top w:val="single" w:sz="6" w:space="0" w:color="BFBFBF"/>
                    <w:bottom w:val="single" w:sz="6" w:space="0" w:color="BFBFBF"/>
                  </w:tcBorders>
                  <w:shd w:val="clear" w:color="auto" w:fill="auto"/>
                  <w:tcMar>
                    <w:top w:w="28" w:type="dxa"/>
                  </w:tcMar>
                </w:tcPr>
                <w:p w14:paraId="5EADC81C" w14:textId="77777777" w:rsidR="00DE1537" w:rsidRDefault="00DE1537" w:rsidP="00343F3E">
                  <w:pPr>
                    <w:pStyle w:val="TableColumnHeading"/>
                    <w:ind w:right="28"/>
                    <w:jc w:val="left"/>
                  </w:pPr>
                  <w:r>
                    <w:t>Description</w:t>
                  </w:r>
                </w:p>
              </w:tc>
            </w:tr>
            <w:tr w:rsidR="00DE1537" w14:paraId="7A0A68D4" w14:textId="77777777" w:rsidTr="00343F3E">
              <w:tc>
                <w:tcPr>
                  <w:tcW w:w="527" w:type="pct"/>
                  <w:tcBorders>
                    <w:top w:val="single" w:sz="6" w:space="0" w:color="BFBFBF"/>
                  </w:tcBorders>
                  <w:shd w:val="clear" w:color="auto" w:fill="F2F2F2" w:themeFill="background1" w:themeFillShade="F2"/>
                </w:tcPr>
                <w:p w14:paraId="57EC118A" w14:textId="77777777" w:rsidR="00DE1537" w:rsidRDefault="00DE1537" w:rsidP="00343F3E">
                  <w:pPr>
                    <w:pStyle w:val="TableBodyText"/>
                    <w:spacing w:before="40"/>
                    <w:jc w:val="left"/>
                  </w:pPr>
                  <w:r>
                    <w:t>Flood</w:t>
                  </w:r>
                </w:p>
              </w:tc>
              <w:tc>
                <w:tcPr>
                  <w:tcW w:w="738" w:type="pct"/>
                  <w:tcBorders>
                    <w:top w:val="single" w:sz="6" w:space="0" w:color="BFBFBF"/>
                  </w:tcBorders>
                  <w:shd w:val="clear" w:color="auto" w:fill="F2F2F2" w:themeFill="background1" w:themeFillShade="F2"/>
                </w:tcPr>
                <w:p w14:paraId="1669B98C" w14:textId="77777777" w:rsidR="00DE1537" w:rsidRDefault="00DE1537" w:rsidP="00343F3E">
                  <w:pPr>
                    <w:pStyle w:val="TableBodyText"/>
                    <w:spacing w:before="40"/>
                    <w:jc w:val="left"/>
                  </w:pPr>
                  <w:r>
                    <w:t>Queensland Government</w:t>
                  </w:r>
                </w:p>
              </w:tc>
              <w:tc>
                <w:tcPr>
                  <w:tcW w:w="740" w:type="pct"/>
                  <w:tcBorders>
                    <w:top w:val="single" w:sz="6" w:space="0" w:color="BFBFBF"/>
                  </w:tcBorders>
                  <w:shd w:val="clear" w:color="auto" w:fill="F2F2F2" w:themeFill="background1" w:themeFillShade="F2"/>
                </w:tcPr>
                <w:p w14:paraId="70FFDE3D" w14:textId="77777777" w:rsidR="00DE1537" w:rsidRDefault="00DE1537" w:rsidP="00343F3E">
                  <w:pPr>
                    <w:pStyle w:val="TableBodyText"/>
                    <w:spacing w:before="40"/>
                    <w:ind w:right="28"/>
                    <w:jc w:val="left"/>
                  </w:pPr>
                  <w:r w:rsidRPr="0097502D">
                    <w:t>Queensland Flood Mapping Project</w:t>
                  </w:r>
                </w:p>
              </w:tc>
              <w:tc>
                <w:tcPr>
                  <w:tcW w:w="2995" w:type="pct"/>
                  <w:tcBorders>
                    <w:top w:val="single" w:sz="6" w:space="0" w:color="BFBFBF"/>
                  </w:tcBorders>
                  <w:shd w:val="clear" w:color="auto" w:fill="F2F2F2" w:themeFill="background1" w:themeFillShade="F2"/>
                </w:tcPr>
                <w:p w14:paraId="22FDB4B6" w14:textId="77777777" w:rsidR="00DE1537" w:rsidRDefault="00DE1537" w:rsidP="00343F3E">
                  <w:pPr>
                    <w:pStyle w:val="TableBodyText"/>
                    <w:spacing w:before="40"/>
                    <w:ind w:right="28"/>
                    <w:jc w:val="left"/>
                  </w:pPr>
                  <w:r>
                    <w:t>Consistent mapping</w:t>
                  </w:r>
                  <w:r w:rsidRPr="0097502D">
                    <w:t xml:space="preserve"> </w:t>
                  </w:r>
                  <w:r>
                    <w:t xml:space="preserve">of floodplains across the state since 2012, in response to </w:t>
                  </w:r>
                  <w:r w:rsidRPr="0097502D">
                    <w:t>the Queensland Floods Commission of Inquiry which found that the majority o</w:t>
                  </w:r>
                  <w:r>
                    <w:t>f local governments lacked high</w:t>
                  </w:r>
                  <w:r>
                    <w:noBreakHyphen/>
                  </w:r>
                  <w:r w:rsidRPr="0097502D">
                    <w:t>quality flood maps.</w:t>
                  </w:r>
                  <w:r>
                    <w:t xml:space="preserve"> </w:t>
                  </w:r>
                  <w:r w:rsidRPr="0097502D">
                    <w:t>Mapping ha</w:t>
                  </w:r>
                  <w:r>
                    <w:t>d</w:t>
                  </w:r>
                  <w:r w:rsidRPr="0097502D">
                    <w:t xml:space="preserve"> been completed for over 100 high risk towns by 2013, and around 99</w:t>
                  </w:r>
                  <w:r>
                    <w:t> </w:t>
                  </w:r>
                  <w:r w:rsidRPr="0097502D">
                    <w:t>per</w:t>
                  </w:r>
                  <w:r>
                    <w:t> </w:t>
                  </w:r>
                  <w:r w:rsidRPr="0097502D">
                    <w:t>cent of the state has been assessed for floodplains.</w:t>
                  </w:r>
                  <w:r>
                    <w:t xml:space="preserve"> </w:t>
                  </w:r>
                  <w:r w:rsidRPr="0097502D">
                    <w:t>New and existing flood maps (held by local governments) are</w:t>
                  </w:r>
                  <w:r>
                    <w:t xml:space="preserve"> also made publicly available online. </w:t>
                  </w:r>
                </w:p>
              </w:tc>
            </w:tr>
            <w:tr w:rsidR="00DE1537" w14:paraId="0531D896" w14:textId="77777777" w:rsidTr="00343F3E">
              <w:tc>
                <w:tcPr>
                  <w:tcW w:w="527" w:type="pct"/>
                </w:tcPr>
                <w:p w14:paraId="7C648E7D" w14:textId="77777777" w:rsidR="00DE1537" w:rsidRDefault="00DE1537" w:rsidP="00343F3E">
                  <w:pPr>
                    <w:pStyle w:val="TableBodyText"/>
                    <w:jc w:val="left"/>
                  </w:pPr>
                </w:p>
              </w:tc>
              <w:tc>
                <w:tcPr>
                  <w:tcW w:w="738" w:type="pct"/>
                </w:tcPr>
                <w:p w14:paraId="38BB4CD1" w14:textId="77777777" w:rsidR="00DE1537" w:rsidRDefault="00DE1537" w:rsidP="00343F3E">
                  <w:pPr>
                    <w:pStyle w:val="TableBodyText"/>
                    <w:jc w:val="left"/>
                  </w:pPr>
                  <w:r>
                    <w:t>NSW Government</w:t>
                  </w:r>
                </w:p>
              </w:tc>
              <w:tc>
                <w:tcPr>
                  <w:tcW w:w="740" w:type="pct"/>
                </w:tcPr>
                <w:p w14:paraId="047ECE10" w14:textId="77777777" w:rsidR="00DE1537" w:rsidRDefault="00DE1537" w:rsidP="00343F3E">
                  <w:pPr>
                    <w:pStyle w:val="TableBodyText"/>
                    <w:ind w:right="28"/>
                    <w:jc w:val="left"/>
                  </w:pPr>
                  <w:r>
                    <w:t>Flood Database</w:t>
                  </w:r>
                </w:p>
              </w:tc>
              <w:tc>
                <w:tcPr>
                  <w:tcW w:w="2995" w:type="pct"/>
                </w:tcPr>
                <w:p w14:paraId="0FB3F104" w14:textId="77777777" w:rsidR="00DE1537" w:rsidRDefault="00DE1537" w:rsidP="00343F3E">
                  <w:pPr>
                    <w:pStyle w:val="TableBodyText"/>
                    <w:ind w:right="28"/>
                    <w:jc w:val="left"/>
                  </w:pPr>
                  <w:r>
                    <w:t>Development of a database of all NSW local government and stage agency flood studies, including spatial and textual information.</w:t>
                  </w:r>
                </w:p>
              </w:tc>
            </w:tr>
            <w:tr w:rsidR="00DE1537" w14:paraId="3F20CA1A" w14:textId="77777777" w:rsidTr="00343F3E">
              <w:tc>
                <w:tcPr>
                  <w:tcW w:w="527" w:type="pct"/>
                  <w:shd w:val="clear" w:color="auto" w:fill="F2F2F2" w:themeFill="background1" w:themeFillShade="F2"/>
                </w:tcPr>
                <w:p w14:paraId="644E9375" w14:textId="77777777" w:rsidR="00DE1537" w:rsidRDefault="00DE1537" w:rsidP="00343F3E">
                  <w:pPr>
                    <w:pStyle w:val="TableBodyText"/>
                    <w:jc w:val="left"/>
                  </w:pPr>
                </w:p>
              </w:tc>
              <w:tc>
                <w:tcPr>
                  <w:tcW w:w="738" w:type="pct"/>
                  <w:shd w:val="clear" w:color="auto" w:fill="F2F2F2" w:themeFill="background1" w:themeFillShade="F2"/>
                </w:tcPr>
                <w:p w14:paraId="357BECB6" w14:textId="77777777" w:rsidR="00DE1537" w:rsidRDefault="00DE1537" w:rsidP="00343F3E">
                  <w:pPr>
                    <w:pStyle w:val="TableBodyText"/>
                    <w:jc w:val="left"/>
                  </w:pPr>
                  <w:r>
                    <w:t>Northern Territory Government</w:t>
                  </w:r>
                </w:p>
              </w:tc>
              <w:tc>
                <w:tcPr>
                  <w:tcW w:w="740" w:type="pct"/>
                  <w:shd w:val="clear" w:color="auto" w:fill="F2F2F2" w:themeFill="background1" w:themeFillShade="F2"/>
                </w:tcPr>
                <w:p w14:paraId="6E34C999" w14:textId="77777777" w:rsidR="00DE1537" w:rsidRDefault="00DE1537" w:rsidP="00343F3E">
                  <w:pPr>
                    <w:pStyle w:val="TableBodyText"/>
                    <w:ind w:right="28"/>
                    <w:jc w:val="left"/>
                  </w:pPr>
                  <w:r>
                    <w:t>Flood and storm surge mapping</w:t>
                  </w:r>
                </w:p>
              </w:tc>
              <w:tc>
                <w:tcPr>
                  <w:tcW w:w="2995" w:type="pct"/>
                  <w:shd w:val="clear" w:color="auto" w:fill="F2F2F2" w:themeFill="background1" w:themeFillShade="F2"/>
                </w:tcPr>
                <w:p w14:paraId="7A26D75B" w14:textId="77777777" w:rsidR="00DE1537" w:rsidRDefault="00DE1537" w:rsidP="00343F3E">
                  <w:pPr>
                    <w:pStyle w:val="TableBodyText"/>
                    <w:ind w:right="28"/>
                    <w:jc w:val="left"/>
                  </w:pPr>
                  <w:r>
                    <w:t>Project to map flood risks across the Territory, as well as to map and model storm surge risks for population centres along the coastline.</w:t>
                  </w:r>
                </w:p>
              </w:tc>
            </w:tr>
            <w:tr w:rsidR="00DE1537" w14:paraId="64AD6F9E" w14:textId="77777777" w:rsidTr="00343F3E">
              <w:tc>
                <w:tcPr>
                  <w:tcW w:w="527" w:type="pct"/>
                </w:tcPr>
                <w:p w14:paraId="67F60DA7" w14:textId="77777777" w:rsidR="00DE1537" w:rsidRDefault="00DE1537" w:rsidP="00343F3E">
                  <w:pPr>
                    <w:pStyle w:val="TableBodyText"/>
                    <w:jc w:val="left"/>
                  </w:pPr>
                </w:p>
              </w:tc>
              <w:tc>
                <w:tcPr>
                  <w:tcW w:w="738" w:type="pct"/>
                </w:tcPr>
                <w:p w14:paraId="6576A113" w14:textId="77777777" w:rsidR="00DE1537" w:rsidRDefault="00DE1537" w:rsidP="00343F3E">
                  <w:pPr>
                    <w:pStyle w:val="TableBodyText"/>
                    <w:jc w:val="left"/>
                  </w:pPr>
                  <w:r>
                    <w:t>Insurance Council of Australia, Risk Frontiers and Willis Re</w:t>
                  </w:r>
                </w:p>
              </w:tc>
              <w:tc>
                <w:tcPr>
                  <w:tcW w:w="740" w:type="pct"/>
                </w:tcPr>
                <w:p w14:paraId="130E34D7" w14:textId="77777777" w:rsidR="00DE1537" w:rsidRDefault="00DE1537" w:rsidP="00343F3E">
                  <w:pPr>
                    <w:pStyle w:val="TableBodyText"/>
                    <w:ind w:right="28"/>
                    <w:jc w:val="left"/>
                  </w:pPr>
                  <w:r>
                    <w:t>National Flood Insurance Database</w:t>
                  </w:r>
                </w:p>
              </w:tc>
              <w:tc>
                <w:tcPr>
                  <w:tcW w:w="2995" w:type="pct"/>
                </w:tcPr>
                <w:p w14:paraId="230DD4E7" w14:textId="77777777" w:rsidR="00DE1537" w:rsidRDefault="00DE1537" w:rsidP="00343F3E">
                  <w:pPr>
                    <w:pStyle w:val="TableBodyText"/>
                    <w:ind w:right="28"/>
                    <w:jc w:val="left"/>
                  </w:pPr>
                  <w:r>
                    <w:t>Database on flood risks at an individual property level, represented in a consistent format, based on state, territory and local government data. It</w:t>
                  </w:r>
                  <w:r w:rsidRPr="00916432">
                    <w:t xml:space="preserve"> has expanded from around 670 000 addresses at its inception</w:t>
                  </w:r>
                  <w:r>
                    <w:t xml:space="preserve"> in 2008</w:t>
                  </w:r>
                  <w:r w:rsidRPr="00916432">
                    <w:t xml:space="preserve"> to over 6 million in 2014</w:t>
                  </w:r>
                  <w:r>
                    <w:t xml:space="preserve"> (around 47 per cent of all addresses in Australia). The database initially covered parts of New South Wales, Victoria, Western Australia, South Australia and Tasmania, and in 2011 was expanded to cover parts of Queensland and the Northern Territory.</w:t>
                  </w:r>
                </w:p>
              </w:tc>
            </w:tr>
            <w:tr w:rsidR="00DE1537" w14:paraId="764612A7" w14:textId="77777777" w:rsidTr="00343F3E">
              <w:tc>
                <w:tcPr>
                  <w:tcW w:w="527" w:type="pct"/>
                  <w:shd w:val="clear" w:color="auto" w:fill="F2F2F2" w:themeFill="background1" w:themeFillShade="F2"/>
                </w:tcPr>
                <w:p w14:paraId="6C9FE819" w14:textId="77777777" w:rsidR="00DE1537" w:rsidRDefault="00DE1537" w:rsidP="00343F3E">
                  <w:pPr>
                    <w:pStyle w:val="TableBodyText"/>
                    <w:jc w:val="left"/>
                  </w:pPr>
                  <w:r>
                    <w:t>Bushfire</w:t>
                  </w:r>
                </w:p>
              </w:tc>
              <w:tc>
                <w:tcPr>
                  <w:tcW w:w="738" w:type="pct"/>
                  <w:shd w:val="clear" w:color="auto" w:fill="F2F2F2" w:themeFill="background1" w:themeFillShade="F2"/>
                </w:tcPr>
                <w:p w14:paraId="4D97EFE8" w14:textId="77777777" w:rsidR="00DE1537" w:rsidRDefault="00DE1537" w:rsidP="00343F3E">
                  <w:pPr>
                    <w:pStyle w:val="TableBodyText"/>
                    <w:jc w:val="left"/>
                  </w:pPr>
                  <w:r>
                    <w:t>Victorian Government</w:t>
                  </w:r>
                </w:p>
              </w:tc>
              <w:tc>
                <w:tcPr>
                  <w:tcW w:w="740" w:type="pct"/>
                  <w:shd w:val="clear" w:color="auto" w:fill="F2F2F2" w:themeFill="background1" w:themeFillShade="F2"/>
                </w:tcPr>
                <w:p w14:paraId="58DB759D" w14:textId="77777777" w:rsidR="00DE1537" w:rsidRDefault="00DE1537" w:rsidP="00343F3E">
                  <w:pPr>
                    <w:pStyle w:val="TableBodyText"/>
                    <w:ind w:right="28"/>
                    <w:jc w:val="left"/>
                  </w:pPr>
                  <w:r>
                    <w:t>Bushfire mapping</w:t>
                  </w:r>
                </w:p>
              </w:tc>
              <w:tc>
                <w:tcPr>
                  <w:tcW w:w="2995" w:type="pct"/>
                  <w:shd w:val="clear" w:color="auto" w:fill="F2F2F2" w:themeFill="background1" w:themeFillShade="F2"/>
                </w:tcPr>
                <w:p w14:paraId="763BFC2C" w14:textId="77777777" w:rsidR="00DE1537" w:rsidRDefault="00DE1537" w:rsidP="00343F3E">
                  <w:pPr>
                    <w:pStyle w:val="TableBodyText"/>
                    <w:ind w:right="28"/>
                    <w:jc w:val="left"/>
                  </w:pPr>
                  <w:r>
                    <w:t xml:space="preserve">Development of </w:t>
                  </w:r>
                  <w:r w:rsidRPr="0097502D">
                    <w:t>a statewide bushfire hazard map, as well as detailed mapping of vegetation and bushfire ris</w:t>
                  </w:r>
                  <w:r>
                    <w:t>k (in targeted high</w:t>
                  </w:r>
                  <w:r>
                    <w:noBreakHyphen/>
                    <w:t xml:space="preserve">risk areas), following the </w:t>
                  </w:r>
                  <w:r w:rsidRPr="0097502D">
                    <w:t xml:space="preserve">2009 </w:t>
                  </w:r>
                  <w:r>
                    <w:t>Black Saturday</w:t>
                  </w:r>
                  <w:r w:rsidRPr="0097502D">
                    <w:t xml:space="preserve"> bushfires and subsequent Royal Commission</w:t>
                  </w:r>
                  <w:r>
                    <w:t>.</w:t>
                  </w:r>
                </w:p>
              </w:tc>
            </w:tr>
            <w:tr w:rsidR="00DE1537" w14:paraId="72391ECB" w14:textId="77777777" w:rsidTr="00343F3E">
              <w:tc>
                <w:tcPr>
                  <w:tcW w:w="527" w:type="pct"/>
                  <w:shd w:val="clear" w:color="auto" w:fill="auto"/>
                </w:tcPr>
                <w:p w14:paraId="79467571" w14:textId="77777777" w:rsidR="00DE1537" w:rsidRDefault="00DE1537" w:rsidP="00343F3E">
                  <w:pPr>
                    <w:pStyle w:val="TableBodyText"/>
                    <w:jc w:val="left"/>
                  </w:pPr>
                </w:p>
              </w:tc>
              <w:tc>
                <w:tcPr>
                  <w:tcW w:w="738" w:type="pct"/>
                  <w:shd w:val="clear" w:color="auto" w:fill="auto"/>
                </w:tcPr>
                <w:p w14:paraId="1F147C18" w14:textId="77777777" w:rsidR="00DE1537" w:rsidRPr="00A05F4C" w:rsidRDefault="00DE1537" w:rsidP="00343F3E">
                  <w:pPr>
                    <w:pStyle w:val="TableBodyText"/>
                    <w:jc w:val="left"/>
                  </w:pPr>
                  <w:r>
                    <w:t>Risk Frontiers</w:t>
                  </w:r>
                </w:p>
              </w:tc>
              <w:tc>
                <w:tcPr>
                  <w:tcW w:w="740" w:type="pct"/>
                  <w:shd w:val="clear" w:color="auto" w:fill="auto"/>
                </w:tcPr>
                <w:p w14:paraId="6FE96AED" w14:textId="77777777" w:rsidR="00DE1537" w:rsidRDefault="00DE1537" w:rsidP="00343F3E">
                  <w:pPr>
                    <w:pStyle w:val="TableBodyText"/>
                    <w:ind w:right="28"/>
                    <w:jc w:val="left"/>
                  </w:pPr>
                  <w:r>
                    <w:t>Bushfire modelling</w:t>
                  </w:r>
                </w:p>
              </w:tc>
              <w:tc>
                <w:tcPr>
                  <w:tcW w:w="2995" w:type="pct"/>
                  <w:shd w:val="clear" w:color="auto" w:fill="auto"/>
                </w:tcPr>
                <w:p w14:paraId="68B7E781" w14:textId="77777777" w:rsidR="00DE1537" w:rsidRDefault="00DE1537" w:rsidP="00343F3E">
                  <w:pPr>
                    <w:pStyle w:val="TableBodyText"/>
                    <w:ind w:right="28"/>
                    <w:jc w:val="left"/>
                  </w:pPr>
                  <w:r>
                    <w:t>Development of models to estimate bushfire risks at the individual property level, based on damage data from past extreme fires and information on the location of properties and bushland.</w:t>
                  </w:r>
                </w:p>
              </w:tc>
            </w:tr>
            <w:tr w:rsidR="00DE1537" w14:paraId="729AB648" w14:textId="77777777" w:rsidTr="00343F3E">
              <w:tc>
                <w:tcPr>
                  <w:tcW w:w="527" w:type="pct"/>
                  <w:shd w:val="clear" w:color="auto" w:fill="F2F2F2" w:themeFill="background1" w:themeFillShade="F2"/>
                </w:tcPr>
                <w:p w14:paraId="145F5745" w14:textId="77777777" w:rsidR="00DE1537" w:rsidRDefault="00DE1537" w:rsidP="00343F3E">
                  <w:pPr>
                    <w:pStyle w:val="TableBodyText"/>
                    <w:jc w:val="left"/>
                  </w:pPr>
                  <w:r>
                    <w:t>Cyclone</w:t>
                  </w:r>
                </w:p>
              </w:tc>
              <w:tc>
                <w:tcPr>
                  <w:tcW w:w="738" w:type="pct"/>
                  <w:shd w:val="clear" w:color="auto" w:fill="F2F2F2" w:themeFill="background1" w:themeFillShade="F2"/>
                </w:tcPr>
                <w:p w14:paraId="28A3BFC5" w14:textId="77777777" w:rsidR="00DE1537" w:rsidRDefault="00DE1537" w:rsidP="00343F3E">
                  <w:pPr>
                    <w:pStyle w:val="TableBodyText"/>
                    <w:jc w:val="left"/>
                  </w:pPr>
                  <w:r w:rsidRPr="00A05F4C">
                    <w:t xml:space="preserve">Cyclone Testing Station </w:t>
                  </w:r>
                  <w:r>
                    <w:t>(</w:t>
                  </w:r>
                  <w:r w:rsidRPr="00A05F4C">
                    <w:t>James Cook University</w:t>
                  </w:r>
                  <w:r>
                    <w:t>)</w:t>
                  </w:r>
                </w:p>
              </w:tc>
              <w:tc>
                <w:tcPr>
                  <w:tcW w:w="740" w:type="pct"/>
                  <w:shd w:val="clear" w:color="auto" w:fill="F2F2F2" w:themeFill="background1" w:themeFillShade="F2"/>
                </w:tcPr>
                <w:p w14:paraId="2D00A9E8" w14:textId="77777777" w:rsidR="00DE1537" w:rsidRDefault="00DE1537" w:rsidP="00343F3E">
                  <w:pPr>
                    <w:pStyle w:val="TableBodyText"/>
                    <w:ind w:right="28"/>
                    <w:jc w:val="left"/>
                  </w:pPr>
                  <w:r>
                    <w:t>Mobile wind sensors</w:t>
                  </w:r>
                </w:p>
              </w:tc>
              <w:tc>
                <w:tcPr>
                  <w:tcW w:w="2995" w:type="pct"/>
                  <w:shd w:val="clear" w:color="auto" w:fill="F2F2F2" w:themeFill="background1" w:themeFillShade="F2"/>
                </w:tcPr>
                <w:p w14:paraId="0D82EBBF" w14:textId="77777777" w:rsidR="00DE1537" w:rsidRDefault="00DE1537" w:rsidP="00343F3E">
                  <w:pPr>
                    <w:pStyle w:val="TableBodyText"/>
                    <w:ind w:right="28"/>
                    <w:jc w:val="left"/>
                  </w:pPr>
                  <w:r>
                    <w:t xml:space="preserve">Recent deployment of </w:t>
                  </w:r>
                  <w:r w:rsidRPr="00A05F4C">
                    <w:t>mobile sensors to better understand peak wind gusts</w:t>
                  </w:r>
                  <w:r>
                    <w:t xml:space="preserve"> generated by tropical </w:t>
                  </w:r>
                  <w:proofErr w:type="gramStart"/>
                  <w:r>
                    <w:t>cyclones,</w:t>
                  </w:r>
                  <w:proofErr w:type="gramEnd"/>
                  <w:r>
                    <w:t xml:space="preserve"> and to link these recordings with observed damage.</w:t>
                  </w:r>
                </w:p>
              </w:tc>
            </w:tr>
            <w:tr w:rsidR="00DE1537" w14:paraId="4544A649" w14:textId="77777777" w:rsidTr="00343F3E">
              <w:tc>
                <w:tcPr>
                  <w:tcW w:w="527" w:type="pct"/>
                  <w:shd w:val="clear" w:color="auto" w:fill="auto"/>
                </w:tcPr>
                <w:p w14:paraId="344FD554" w14:textId="77777777" w:rsidR="00DE1537" w:rsidRDefault="00DE1537" w:rsidP="00343F3E">
                  <w:pPr>
                    <w:pStyle w:val="TableBodyText"/>
                    <w:jc w:val="left"/>
                  </w:pPr>
                </w:p>
              </w:tc>
              <w:tc>
                <w:tcPr>
                  <w:tcW w:w="738" w:type="pct"/>
                  <w:shd w:val="clear" w:color="auto" w:fill="auto"/>
                </w:tcPr>
                <w:p w14:paraId="75B7C404" w14:textId="77777777" w:rsidR="00DE1537" w:rsidRPr="00A05F4C" w:rsidRDefault="00DE1537" w:rsidP="00343F3E">
                  <w:pPr>
                    <w:pStyle w:val="TableBodyText"/>
                    <w:jc w:val="left"/>
                  </w:pPr>
                  <w:r>
                    <w:t>Geoscience Australia</w:t>
                  </w:r>
                </w:p>
              </w:tc>
              <w:tc>
                <w:tcPr>
                  <w:tcW w:w="740" w:type="pct"/>
                  <w:shd w:val="clear" w:color="auto" w:fill="auto"/>
                </w:tcPr>
                <w:p w14:paraId="25E7B8C1" w14:textId="77777777" w:rsidR="00DE1537" w:rsidRDefault="00DE1537" w:rsidP="00343F3E">
                  <w:pPr>
                    <w:pStyle w:val="TableBodyText"/>
                    <w:ind w:right="28"/>
                    <w:jc w:val="left"/>
                  </w:pPr>
                  <w:r>
                    <w:t>Tropical Cyclone Risk Model</w:t>
                  </w:r>
                </w:p>
              </w:tc>
              <w:tc>
                <w:tcPr>
                  <w:tcW w:w="2995" w:type="pct"/>
                  <w:shd w:val="clear" w:color="auto" w:fill="auto"/>
                </w:tcPr>
                <w:p w14:paraId="45A77BC9" w14:textId="77777777" w:rsidR="00DE1537" w:rsidRDefault="00DE1537" w:rsidP="00343F3E">
                  <w:pPr>
                    <w:pStyle w:val="TableBodyText"/>
                    <w:ind w:right="28"/>
                    <w:jc w:val="left"/>
                  </w:pPr>
                  <w:r>
                    <w:t>Development of a tropical cyclone model, including a national map for the tropical cyclone area and a national data set of local ‘wind multipliers’.</w:t>
                  </w:r>
                </w:p>
              </w:tc>
            </w:tr>
            <w:tr w:rsidR="00DE1537" w14:paraId="6C556EA4" w14:textId="77777777" w:rsidTr="00343F3E">
              <w:tc>
                <w:tcPr>
                  <w:tcW w:w="527" w:type="pct"/>
                  <w:shd w:val="clear" w:color="auto" w:fill="F2F2F2" w:themeFill="background1" w:themeFillShade="F2"/>
                </w:tcPr>
                <w:p w14:paraId="75AC174E" w14:textId="77777777" w:rsidR="00DE1537" w:rsidRDefault="00DE1537" w:rsidP="00343F3E">
                  <w:pPr>
                    <w:pStyle w:val="TableBodyText"/>
                    <w:jc w:val="left"/>
                  </w:pPr>
                  <w:r>
                    <w:t>Earthquake</w:t>
                  </w:r>
                </w:p>
              </w:tc>
              <w:tc>
                <w:tcPr>
                  <w:tcW w:w="738" w:type="pct"/>
                  <w:shd w:val="clear" w:color="auto" w:fill="F2F2F2" w:themeFill="background1" w:themeFillShade="F2"/>
                </w:tcPr>
                <w:p w14:paraId="660714E7" w14:textId="77777777" w:rsidR="00DE1537" w:rsidRDefault="00DE1537" w:rsidP="00343F3E">
                  <w:pPr>
                    <w:pStyle w:val="TableBodyText"/>
                    <w:jc w:val="left"/>
                  </w:pPr>
                  <w:r>
                    <w:t>Geoscience Australia</w:t>
                  </w:r>
                </w:p>
              </w:tc>
              <w:tc>
                <w:tcPr>
                  <w:tcW w:w="740" w:type="pct"/>
                  <w:shd w:val="clear" w:color="auto" w:fill="F2F2F2" w:themeFill="background1" w:themeFillShade="F2"/>
                </w:tcPr>
                <w:p w14:paraId="38B9CEA4" w14:textId="77777777" w:rsidR="00DE1537" w:rsidRDefault="00DE1537" w:rsidP="00343F3E">
                  <w:pPr>
                    <w:pStyle w:val="TableBodyText"/>
                    <w:ind w:right="28"/>
                    <w:jc w:val="left"/>
                  </w:pPr>
                  <w:r>
                    <w:t>National Earthquake Hazard Map</w:t>
                  </w:r>
                </w:p>
              </w:tc>
              <w:tc>
                <w:tcPr>
                  <w:tcW w:w="2995" w:type="pct"/>
                  <w:shd w:val="clear" w:color="auto" w:fill="F2F2F2" w:themeFill="background1" w:themeFillShade="F2"/>
                </w:tcPr>
                <w:p w14:paraId="4B39328F" w14:textId="77777777" w:rsidR="00DE1537" w:rsidRDefault="00DE1537" w:rsidP="00343F3E">
                  <w:pPr>
                    <w:pStyle w:val="TableBodyText"/>
                    <w:ind w:right="28"/>
                    <w:jc w:val="left"/>
                  </w:pPr>
                  <w:r>
                    <w:t>Development of a national hazard map for earthquakes, including a national seismic event database, neotectonic database and site classification.</w:t>
                  </w:r>
                </w:p>
              </w:tc>
            </w:tr>
            <w:tr w:rsidR="00DE1537" w14:paraId="288BAB05" w14:textId="77777777" w:rsidTr="00343F3E">
              <w:tc>
                <w:tcPr>
                  <w:tcW w:w="527" w:type="pct"/>
                  <w:tcBorders>
                    <w:bottom w:val="single" w:sz="6" w:space="0" w:color="BFBFBF"/>
                  </w:tcBorders>
                </w:tcPr>
                <w:p w14:paraId="2482697D" w14:textId="77777777" w:rsidR="00DE1537" w:rsidRDefault="00DE1537" w:rsidP="00343F3E">
                  <w:pPr>
                    <w:pStyle w:val="TableBodyText"/>
                    <w:jc w:val="left"/>
                  </w:pPr>
                </w:p>
              </w:tc>
              <w:tc>
                <w:tcPr>
                  <w:tcW w:w="738" w:type="pct"/>
                  <w:tcBorders>
                    <w:bottom w:val="single" w:sz="6" w:space="0" w:color="BFBFBF"/>
                  </w:tcBorders>
                </w:tcPr>
                <w:p w14:paraId="3A15A711" w14:textId="77777777" w:rsidR="00DE1537" w:rsidRDefault="00DE1537" w:rsidP="00343F3E">
                  <w:pPr>
                    <w:pStyle w:val="TableBodyText"/>
                    <w:jc w:val="left"/>
                  </w:pPr>
                  <w:r>
                    <w:t>Risk Frontiers</w:t>
                  </w:r>
                </w:p>
              </w:tc>
              <w:tc>
                <w:tcPr>
                  <w:tcW w:w="740" w:type="pct"/>
                  <w:tcBorders>
                    <w:bottom w:val="single" w:sz="6" w:space="0" w:color="BFBFBF"/>
                  </w:tcBorders>
                </w:tcPr>
                <w:p w14:paraId="6BB71C07" w14:textId="77777777" w:rsidR="00DE1537" w:rsidRPr="008649CD" w:rsidRDefault="00DE1537" w:rsidP="00343F3E">
                  <w:pPr>
                    <w:pStyle w:val="TableBodyText"/>
                    <w:ind w:right="28"/>
                    <w:jc w:val="left"/>
                  </w:pPr>
                  <w:r>
                    <w:t>Earthquake modelling</w:t>
                  </w:r>
                </w:p>
              </w:tc>
              <w:tc>
                <w:tcPr>
                  <w:tcW w:w="2995" w:type="pct"/>
                  <w:tcBorders>
                    <w:bottom w:val="single" w:sz="6" w:space="0" w:color="BFBFBF"/>
                  </w:tcBorders>
                </w:tcPr>
                <w:p w14:paraId="6ABB251D" w14:textId="77777777" w:rsidR="00DE1537" w:rsidRDefault="00DE1537" w:rsidP="00343F3E">
                  <w:pPr>
                    <w:pStyle w:val="TableBodyText"/>
                    <w:ind w:right="28"/>
                    <w:jc w:val="left"/>
                  </w:pPr>
                  <w:r>
                    <w:t>Development of models for simulating earthquake ground motions and estimating potential damage.</w:t>
                  </w:r>
                </w:p>
              </w:tc>
            </w:tr>
          </w:tbl>
          <w:p w14:paraId="112C9E5C" w14:textId="77777777" w:rsidR="00DE1537" w:rsidRDefault="00DE1537" w:rsidP="00343F3E">
            <w:pPr>
              <w:pStyle w:val="Box"/>
            </w:pPr>
          </w:p>
        </w:tc>
      </w:tr>
      <w:tr w:rsidR="00DE1537" w14:paraId="29261FB6" w14:textId="77777777" w:rsidTr="00343F3E">
        <w:trPr>
          <w:cantSplit/>
        </w:trPr>
        <w:tc>
          <w:tcPr>
            <w:tcW w:w="5000" w:type="pct"/>
            <w:tcBorders>
              <w:top w:val="nil"/>
              <w:left w:val="nil"/>
              <w:bottom w:val="nil"/>
              <w:right w:val="nil"/>
            </w:tcBorders>
            <w:shd w:val="clear" w:color="auto" w:fill="F2F2F2"/>
          </w:tcPr>
          <w:p w14:paraId="31126129" w14:textId="6F7132CC" w:rsidR="00DE1537" w:rsidRDefault="00DE1537" w:rsidP="00343F3E">
            <w:pPr>
              <w:pStyle w:val="Source"/>
            </w:pPr>
            <w:r>
              <w:rPr>
                <w:i/>
              </w:rPr>
              <w:t>Sources</w:t>
            </w:r>
            <w:r w:rsidRPr="00167F06">
              <w:t xml:space="preserve">: </w:t>
            </w:r>
            <w:r>
              <w:t>Attorney</w:t>
            </w:r>
            <w:r>
              <w:noBreakHyphen/>
              <w:t xml:space="preserve">General’s Department (sub. 90); BNHCRC (sub. 41); BRCIM </w:t>
            </w:r>
            <w:r w:rsidRPr="00D413E8">
              <w:rPr>
                <w:rFonts w:cs="Arial"/>
              </w:rPr>
              <w:t>(2013)</w:t>
            </w:r>
            <w:r>
              <w:t xml:space="preserve">; Cyclone Testing Station </w:t>
            </w:r>
            <w:r w:rsidRPr="00161CC6">
              <w:rPr>
                <w:rFonts w:cs="Arial"/>
              </w:rPr>
              <w:t>(2014)</w:t>
            </w:r>
            <w:r>
              <w:t xml:space="preserve">; Deloitte Access Economics </w:t>
            </w:r>
            <w:r w:rsidR="007C5656" w:rsidRPr="007C5656">
              <w:rPr>
                <w:rFonts w:cs="Arial"/>
              </w:rPr>
              <w:t>(2014a)</w:t>
            </w:r>
            <w:r>
              <w:t>;</w:t>
            </w:r>
            <w:r w:rsidRPr="00167F06">
              <w:t xml:space="preserve"> </w:t>
            </w:r>
            <w:r>
              <w:t xml:space="preserve">Geoscience Australia </w:t>
            </w:r>
            <w:r w:rsidRPr="003C0B36">
              <w:rPr>
                <w:rFonts w:cs="Arial"/>
              </w:rPr>
              <w:t>(2014a, 2014b, pers. comm., 28 August 2014, sub. 111)</w:t>
            </w:r>
            <w:r>
              <w:t xml:space="preserve">; ICA </w:t>
            </w:r>
            <w:r w:rsidRPr="007C414B">
              <w:rPr>
                <w:rFonts w:cs="Arial"/>
              </w:rPr>
              <w:t>(2012, 2014a, sub. 57)</w:t>
            </w:r>
            <w:r>
              <w:t xml:space="preserve">; IAG (sub. 24); Northern Territory Government (sub. 117); NSW Government (sub. 103); QBE Australia (sub. 63); Queensland Government (sub. 95); Risk Frontiers </w:t>
            </w:r>
            <w:r w:rsidR="007C5656" w:rsidRPr="007C5656">
              <w:rPr>
                <w:rFonts w:cs="Arial"/>
              </w:rPr>
              <w:t>(2014b, pers. comm., 15 August 2014, sub. 19)</w:t>
            </w:r>
            <w:r>
              <w:t>; Suncorp Group (sub. 71).</w:t>
            </w:r>
          </w:p>
        </w:tc>
      </w:tr>
      <w:tr w:rsidR="00DE1537" w14:paraId="01588C61" w14:textId="77777777" w:rsidTr="00343F3E">
        <w:trPr>
          <w:cantSplit/>
        </w:trPr>
        <w:tc>
          <w:tcPr>
            <w:tcW w:w="5000" w:type="pct"/>
            <w:tcBorders>
              <w:top w:val="nil"/>
              <w:left w:val="nil"/>
              <w:bottom w:val="single" w:sz="6" w:space="0" w:color="78A22F"/>
              <w:right w:val="nil"/>
            </w:tcBorders>
            <w:shd w:val="clear" w:color="auto" w:fill="auto"/>
          </w:tcPr>
          <w:p w14:paraId="369B5D56" w14:textId="77777777" w:rsidR="00DE1537" w:rsidRDefault="00DE1537" w:rsidP="00343F3E">
            <w:pPr>
              <w:pStyle w:val="Box"/>
              <w:spacing w:before="0" w:line="120" w:lineRule="exact"/>
            </w:pPr>
          </w:p>
        </w:tc>
      </w:tr>
      <w:tr w:rsidR="00DE1537" w:rsidRPr="000863A5" w14:paraId="6119132D" w14:textId="77777777" w:rsidTr="00343F3E">
        <w:tc>
          <w:tcPr>
            <w:tcW w:w="5000" w:type="pct"/>
            <w:tcBorders>
              <w:top w:val="single" w:sz="6" w:space="0" w:color="78A22F"/>
              <w:left w:val="nil"/>
              <w:bottom w:val="nil"/>
              <w:right w:val="nil"/>
            </w:tcBorders>
          </w:tcPr>
          <w:p w14:paraId="3D0E1A70" w14:textId="77777777" w:rsidR="00DE1537" w:rsidRPr="00626D32" w:rsidRDefault="00DE1537" w:rsidP="00343F3E">
            <w:pPr>
              <w:pStyle w:val="BoxSpaceBelow"/>
            </w:pPr>
          </w:p>
        </w:tc>
      </w:tr>
    </w:tbl>
    <w:p w14:paraId="1A019E82" w14:textId="77777777" w:rsidR="00DE1537" w:rsidRPr="00522379" w:rsidRDefault="00DE1537" w:rsidP="00343F3E">
      <w:pPr>
        <w:pStyle w:val="BodyText"/>
        <w:spacing w:before="0"/>
        <w:rPr>
          <w:b/>
          <w:color w:val="FF0000"/>
          <w:u w:val="dotted"/>
        </w:rPr>
        <w:sectPr w:rsidR="00DE1537" w:rsidRPr="00522379" w:rsidSect="00DE1537">
          <w:headerReference w:type="even" r:id="rId26"/>
          <w:headerReference w:type="default" r:id="rId27"/>
          <w:footerReference w:type="even" r:id="rId28"/>
          <w:footerReference w:type="default" r:id="rId29"/>
          <w:pgSz w:w="16840" w:h="11907" w:orient="landscape" w:code="9"/>
          <w:pgMar w:top="1814" w:right="1985" w:bottom="1304" w:left="1418" w:header="1701" w:footer="567" w:gutter="0"/>
          <w:pgNumType w:chapSep="period"/>
          <w:cols w:space="720"/>
          <w:docGrid w:linePitch="326"/>
        </w:sectPr>
      </w:pPr>
    </w:p>
    <w:p w14:paraId="4B2AB00D"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ABD2C4A" w14:textId="77777777" w:rsidTr="00343F3E">
        <w:tc>
          <w:tcPr>
            <w:tcW w:w="8771" w:type="dxa"/>
            <w:tcBorders>
              <w:top w:val="single" w:sz="6" w:space="0" w:color="78A22F"/>
              <w:left w:val="nil"/>
              <w:bottom w:val="nil"/>
              <w:right w:val="nil"/>
            </w:tcBorders>
            <w:shd w:val="clear" w:color="auto" w:fill="auto"/>
          </w:tcPr>
          <w:p w14:paraId="3FB0BFDC" w14:textId="77777777" w:rsidR="00DE1537" w:rsidRPr="00784A05" w:rsidRDefault="00DE1537" w:rsidP="00343F3E">
            <w:pPr>
              <w:pStyle w:val="TableTitle"/>
            </w:pPr>
            <w:r>
              <w:t>Annex 2</w:t>
            </w:r>
            <w:r>
              <w:tab/>
            </w:r>
            <w:r w:rsidRPr="001F6B0E">
              <w:t>Economic costs of natural disasters</w:t>
            </w:r>
          </w:p>
        </w:tc>
      </w:tr>
      <w:tr w:rsidR="00DE1537" w14:paraId="6BAA50AC" w14:textId="77777777" w:rsidTr="00343F3E">
        <w:trPr>
          <w:cantSplit/>
          <w:trHeight w:val="10619"/>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87"/>
              <w:gridCol w:w="1888"/>
              <w:gridCol w:w="2785"/>
              <w:gridCol w:w="2527"/>
            </w:tblGrid>
            <w:tr w:rsidR="00DE1537" w14:paraId="5EF7C94E" w14:textId="77777777" w:rsidTr="00343F3E">
              <w:tc>
                <w:tcPr>
                  <w:tcW w:w="758" w:type="pct"/>
                  <w:tcBorders>
                    <w:top w:val="single" w:sz="6" w:space="0" w:color="BFBFBF"/>
                    <w:bottom w:val="single" w:sz="6" w:space="0" w:color="BFBFBF"/>
                  </w:tcBorders>
                  <w:shd w:val="clear" w:color="auto" w:fill="auto"/>
                  <w:tcMar>
                    <w:top w:w="28" w:type="dxa"/>
                  </w:tcMar>
                </w:tcPr>
                <w:p w14:paraId="46591D20" w14:textId="77777777" w:rsidR="00DE1537" w:rsidRPr="001F6B0E" w:rsidRDefault="00DE1537" w:rsidP="00343F3E">
                  <w:pPr>
                    <w:pStyle w:val="TableColumnHeading"/>
                    <w:jc w:val="left"/>
                  </w:pPr>
                  <w:r w:rsidRPr="001F6B0E">
                    <w:t>Category</w:t>
                  </w:r>
                </w:p>
              </w:tc>
              <w:tc>
                <w:tcPr>
                  <w:tcW w:w="1112" w:type="pct"/>
                  <w:tcBorders>
                    <w:top w:val="single" w:sz="6" w:space="0" w:color="BFBFBF"/>
                    <w:bottom w:val="single" w:sz="6" w:space="0" w:color="BFBFBF"/>
                  </w:tcBorders>
                  <w:shd w:val="clear" w:color="auto" w:fill="auto"/>
                  <w:tcMar>
                    <w:top w:w="28" w:type="dxa"/>
                  </w:tcMar>
                </w:tcPr>
                <w:p w14:paraId="63BF3368" w14:textId="77777777" w:rsidR="00DE1537" w:rsidRPr="001F6B0E" w:rsidRDefault="00DE1537" w:rsidP="00343F3E">
                  <w:pPr>
                    <w:pStyle w:val="TableColumnHeading"/>
                    <w:jc w:val="left"/>
                  </w:pPr>
                  <w:r w:rsidRPr="001F6B0E">
                    <w:t>Type of cost</w:t>
                  </w:r>
                </w:p>
              </w:tc>
              <w:tc>
                <w:tcPr>
                  <w:tcW w:w="1641" w:type="pct"/>
                  <w:tcBorders>
                    <w:top w:val="single" w:sz="6" w:space="0" w:color="BFBFBF"/>
                    <w:bottom w:val="single" w:sz="6" w:space="0" w:color="BFBFBF"/>
                  </w:tcBorders>
                  <w:shd w:val="clear" w:color="auto" w:fill="auto"/>
                  <w:tcMar>
                    <w:top w:w="28" w:type="dxa"/>
                  </w:tcMar>
                </w:tcPr>
                <w:p w14:paraId="3924145E" w14:textId="77777777" w:rsidR="00DE1537" w:rsidRPr="001F6B0E" w:rsidRDefault="00DE1537" w:rsidP="00343F3E">
                  <w:pPr>
                    <w:pStyle w:val="TableColumnHeading"/>
                    <w:jc w:val="left"/>
                  </w:pPr>
                  <w:r w:rsidRPr="001F6B0E">
                    <w:t>Conceptual basis</w:t>
                  </w:r>
                </w:p>
              </w:tc>
              <w:tc>
                <w:tcPr>
                  <w:tcW w:w="1489" w:type="pct"/>
                  <w:tcBorders>
                    <w:top w:val="single" w:sz="6" w:space="0" w:color="BFBFBF"/>
                    <w:bottom w:val="single" w:sz="6" w:space="0" w:color="BFBFBF"/>
                  </w:tcBorders>
                </w:tcPr>
                <w:p w14:paraId="382E3018" w14:textId="77777777" w:rsidR="00DE1537" w:rsidRPr="001F6B0E" w:rsidRDefault="00DE1537" w:rsidP="00343F3E">
                  <w:pPr>
                    <w:pStyle w:val="TableColumnHeading"/>
                    <w:jc w:val="left"/>
                  </w:pPr>
                  <w:r w:rsidRPr="001F6B0E">
                    <w:t>Potential data sources</w:t>
                  </w:r>
                </w:p>
              </w:tc>
            </w:tr>
            <w:tr w:rsidR="00DE1537" w14:paraId="50CDA3EC" w14:textId="77777777" w:rsidTr="00343F3E">
              <w:tc>
                <w:tcPr>
                  <w:tcW w:w="758" w:type="pct"/>
                  <w:tcBorders>
                    <w:top w:val="single" w:sz="6" w:space="0" w:color="BFBFBF"/>
                  </w:tcBorders>
                  <w:shd w:val="clear" w:color="auto" w:fill="F2F2F2"/>
                </w:tcPr>
                <w:p w14:paraId="62F2A534" w14:textId="77777777" w:rsidR="00DE1537" w:rsidRPr="00522379" w:rsidRDefault="00DE1537" w:rsidP="00343F3E">
                  <w:pPr>
                    <w:pStyle w:val="TableBodyText"/>
                    <w:jc w:val="left"/>
                    <w:rPr>
                      <w:b/>
                      <w:sz w:val="20"/>
                    </w:rPr>
                  </w:pPr>
                  <w:r w:rsidRPr="00522379">
                    <w:rPr>
                      <w:b/>
                      <w:sz w:val="20"/>
                    </w:rPr>
                    <w:t>Direct market costs</w:t>
                  </w:r>
                </w:p>
              </w:tc>
              <w:tc>
                <w:tcPr>
                  <w:tcW w:w="1112" w:type="pct"/>
                  <w:tcBorders>
                    <w:top w:val="single" w:sz="6" w:space="0" w:color="BFBFBF"/>
                  </w:tcBorders>
                  <w:shd w:val="clear" w:color="auto" w:fill="F2F2F2"/>
                </w:tcPr>
                <w:p w14:paraId="11B89D00" w14:textId="77777777" w:rsidR="00DE1537" w:rsidRPr="00522379" w:rsidRDefault="00DE1537" w:rsidP="00343F3E">
                  <w:pPr>
                    <w:pStyle w:val="TableBodyText"/>
                    <w:jc w:val="left"/>
                    <w:rPr>
                      <w:sz w:val="20"/>
                    </w:rPr>
                  </w:pPr>
                  <w:r w:rsidRPr="00522379">
                    <w:rPr>
                      <w:sz w:val="20"/>
                    </w:rPr>
                    <w:t>Damage to residential and commercial property</w:t>
                  </w:r>
                </w:p>
              </w:tc>
              <w:tc>
                <w:tcPr>
                  <w:tcW w:w="1641" w:type="pct"/>
                  <w:tcBorders>
                    <w:top w:val="single" w:sz="6" w:space="0" w:color="BFBFBF"/>
                  </w:tcBorders>
                  <w:shd w:val="clear" w:color="auto" w:fill="F2F2F2"/>
                </w:tcPr>
                <w:p w14:paraId="726BCC0F" w14:textId="77777777" w:rsidR="00DE1537" w:rsidRPr="00522379" w:rsidRDefault="00DE1537" w:rsidP="00343F3E">
                  <w:pPr>
                    <w:pStyle w:val="TableBodyText"/>
                    <w:jc w:val="left"/>
                    <w:rPr>
                      <w:sz w:val="20"/>
                    </w:rPr>
                  </w:pPr>
                  <w:r w:rsidRPr="00522379">
                    <w:rPr>
                      <w:sz w:val="20"/>
                    </w:rPr>
                    <w:t>Reduction in the discounted stream of future benefits/income provided by the asset</w:t>
                  </w:r>
                </w:p>
              </w:tc>
              <w:tc>
                <w:tcPr>
                  <w:tcW w:w="1489" w:type="pct"/>
                  <w:tcBorders>
                    <w:top w:val="single" w:sz="6" w:space="0" w:color="BFBFBF"/>
                  </w:tcBorders>
                  <w:shd w:val="clear" w:color="auto" w:fill="F2F2F2"/>
                </w:tcPr>
                <w:p w14:paraId="2C804B18" w14:textId="77777777" w:rsidR="00DE1537" w:rsidRPr="00522379" w:rsidRDefault="00DE1537" w:rsidP="00343F3E">
                  <w:pPr>
                    <w:pStyle w:val="TableBodyText"/>
                    <w:jc w:val="left"/>
                    <w:rPr>
                      <w:sz w:val="20"/>
                    </w:rPr>
                  </w:pPr>
                  <w:r w:rsidRPr="00522379">
                    <w:rPr>
                      <w:sz w:val="20"/>
                    </w:rPr>
                    <w:t>AEMI, ICA</w:t>
                  </w:r>
                </w:p>
              </w:tc>
            </w:tr>
            <w:tr w:rsidR="00DE1537" w:rsidRPr="004C3A0C" w14:paraId="2DF34A50" w14:textId="77777777" w:rsidTr="00343F3E">
              <w:tc>
                <w:tcPr>
                  <w:tcW w:w="758" w:type="pct"/>
                </w:tcPr>
                <w:p w14:paraId="7C166428" w14:textId="77777777" w:rsidR="00DE1537" w:rsidRDefault="00DE1537" w:rsidP="00343F3E">
                  <w:pPr>
                    <w:pStyle w:val="TableBodyText"/>
                    <w:jc w:val="left"/>
                  </w:pPr>
                </w:p>
              </w:tc>
              <w:tc>
                <w:tcPr>
                  <w:tcW w:w="1112" w:type="pct"/>
                </w:tcPr>
                <w:p w14:paraId="020D410E" w14:textId="77777777" w:rsidR="00DE1537" w:rsidRDefault="00DE1537" w:rsidP="00343F3E">
                  <w:pPr>
                    <w:pStyle w:val="TableBodyText"/>
                    <w:jc w:val="left"/>
                  </w:pPr>
                  <w:r w:rsidRPr="0096279E">
                    <w:rPr>
                      <w:sz w:val="20"/>
                    </w:rPr>
                    <w:t>Damage to crops and livestock</w:t>
                  </w:r>
                </w:p>
              </w:tc>
              <w:tc>
                <w:tcPr>
                  <w:tcW w:w="1641" w:type="pct"/>
                </w:tcPr>
                <w:p w14:paraId="51856690" w14:textId="77777777" w:rsidR="00DE1537" w:rsidRDefault="00DE1537" w:rsidP="00343F3E">
                  <w:pPr>
                    <w:pStyle w:val="TableBodyText"/>
                    <w:jc w:val="left"/>
                  </w:pPr>
                  <w:r w:rsidRPr="0096279E">
                    <w:rPr>
                      <w:sz w:val="20"/>
                    </w:rPr>
                    <w:t>Reduction in value added at a national level</w:t>
                  </w:r>
                </w:p>
              </w:tc>
              <w:tc>
                <w:tcPr>
                  <w:tcW w:w="1489" w:type="pct"/>
                </w:tcPr>
                <w:p w14:paraId="05BC902A" w14:textId="77777777" w:rsidR="00DE1537" w:rsidRPr="00522379" w:rsidRDefault="00DE1537" w:rsidP="00343F3E">
                  <w:pPr>
                    <w:pStyle w:val="TableBodyText"/>
                    <w:jc w:val="left"/>
                    <w:rPr>
                      <w:sz w:val="20"/>
                    </w:rPr>
                  </w:pPr>
                  <w:r w:rsidRPr="00522379">
                    <w:rPr>
                      <w:sz w:val="20"/>
                    </w:rPr>
                    <w:t>AEMI, ICA</w:t>
                  </w:r>
                </w:p>
              </w:tc>
            </w:tr>
            <w:tr w:rsidR="00DE1537" w14:paraId="25A47D93" w14:textId="77777777" w:rsidTr="00343F3E">
              <w:tc>
                <w:tcPr>
                  <w:tcW w:w="758" w:type="pct"/>
                  <w:shd w:val="clear" w:color="auto" w:fill="F2F2F2"/>
                </w:tcPr>
                <w:p w14:paraId="6976BB99" w14:textId="77777777" w:rsidR="00DE1537" w:rsidRDefault="00DE1537" w:rsidP="00343F3E">
                  <w:pPr>
                    <w:pStyle w:val="TableBodyText"/>
                    <w:jc w:val="left"/>
                  </w:pPr>
                </w:p>
              </w:tc>
              <w:tc>
                <w:tcPr>
                  <w:tcW w:w="1112" w:type="pct"/>
                  <w:shd w:val="clear" w:color="auto" w:fill="F2F2F2"/>
                </w:tcPr>
                <w:p w14:paraId="0B07C2F0" w14:textId="77777777" w:rsidR="00DE1537" w:rsidRDefault="00DE1537" w:rsidP="00343F3E">
                  <w:pPr>
                    <w:pStyle w:val="TableBodyText"/>
                    <w:jc w:val="left"/>
                  </w:pPr>
                  <w:r w:rsidRPr="0096279E">
                    <w:rPr>
                      <w:sz w:val="20"/>
                    </w:rPr>
                    <w:t>Damage to public infrastructure</w:t>
                  </w:r>
                </w:p>
              </w:tc>
              <w:tc>
                <w:tcPr>
                  <w:tcW w:w="1641" w:type="pct"/>
                  <w:shd w:val="clear" w:color="auto" w:fill="F2F2F2"/>
                </w:tcPr>
                <w:p w14:paraId="43CE294F" w14:textId="77777777" w:rsidR="00DE1537" w:rsidRDefault="00DE1537" w:rsidP="00343F3E">
                  <w:pPr>
                    <w:pStyle w:val="TableBodyText"/>
                    <w:jc w:val="left"/>
                  </w:pPr>
                  <w:r w:rsidRPr="0096279E">
                    <w:rPr>
                      <w:sz w:val="20"/>
                    </w:rPr>
                    <w:t>Reduction in value added at a national level</w:t>
                  </w:r>
                </w:p>
              </w:tc>
              <w:tc>
                <w:tcPr>
                  <w:tcW w:w="1489" w:type="pct"/>
                  <w:shd w:val="clear" w:color="auto" w:fill="F2F2F2"/>
                </w:tcPr>
                <w:p w14:paraId="57139769" w14:textId="77777777" w:rsidR="00DE1537" w:rsidRDefault="00DE1537" w:rsidP="00343F3E">
                  <w:pPr>
                    <w:pStyle w:val="TableBodyText"/>
                    <w:jc w:val="left"/>
                  </w:pPr>
                  <w:r w:rsidRPr="0096279E">
                    <w:rPr>
                      <w:sz w:val="20"/>
                    </w:rPr>
                    <w:t xml:space="preserve">NDRRA payouts, </w:t>
                  </w:r>
                  <w:r>
                    <w:rPr>
                      <w:sz w:val="20"/>
                    </w:rPr>
                    <w:t>government reports</w:t>
                  </w:r>
                </w:p>
              </w:tc>
            </w:tr>
            <w:tr w:rsidR="00DE1537" w14:paraId="43F58695" w14:textId="77777777" w:rsidTr="00343F3E">
              <w:tc>
                <w:tcPr>
                  <w:tcW w:w="758" w:type="pct"/>
                </w:tcPr>
                <w:p w14:paraId="32722F7E" w14:textId="77777777" w:rsidR="00DE1537" w:rsidRDefault="00DE1537" w:rsidP="00343F3E">
                  <w:pPr>
                    <w:pStyle w:val="TableBodyText"/>
                    <w:jc w:val="left"/>
                  </w:pPr>
                  <w:r w:rsidRPr="00E8198B">
                    <w:rPr>
                      <w:b/>
                      <w:sz w:val="20"/>
                    </w:rPr>
                    <w:t>Indirect market costs</w:t>
                  </w:r>
                </w:p>
              </w:tc>
              <w:tc>
                <w:tcPr>
                  <w:tcW w:w="1112" w:type="pct"/>
                </w:tcPr>
                <w:p w14:paraId="6194CC5D" w14:textId="77777777" w:rsidR="00DE1537" w:rsidRPr="00522379" w:rsidRDefault="00DE1537" w:rsidP="00343F3E">
                  <w:pPr>
                    <w:pStyle w:val="TableBodyText"/>
                    <w:framePr w:w="2155" w:hSpace="227" w:vSpace="181" w:wrap="around" w:vAnchor="text" w:hAnchor="page" w:xAlign="outside" w:y="1"/>
                    <w:jc w:val="left"/>
                    <w:rPr>
                      <w:sz w:val="20"/>
                    </w:rPr>
                  </w:pPr>
                  <w:r w:rsidRPr="00A91C6F">
                    <w:rPr>
                      <w:sz w:val="20"/>
                    </w:rPr>
                    <w:t>Loss of production</w:t>
                  </w:r>
                </w:p>
              </w:tc>
              <w:tc>
                <w:tcPr>
                  <w:tcW w:w="1641" w:type="pct"/>
                </w:tcPr>
                <w:p w14:paraId="2470F297" w14:textId="77777777" w:rsidR="00DE1537" w:rsidRPr="00522379" w:rsidRDefault="00DE1537" w:rsidP="00343F3E">
                  <w:pPr>
                    <w:pStyle w:val="TableBodyText"/>
                    <w:framePr w:w="2155" w:hSpace="227" w:vSpace="181" w:wrap="around" w:vAnchor="text" w:hAnchor="page" w:xAlign="outside" w:y="1"/>
                    <w:jc w:val="left"/>
                    <w:rPr>
                      <w:sz w:val="20"/>
                    </w:rPr>
                  </w:pPr>
                  <w:r w:rsidRPr="00A91C6F">
                    <w:rPr>
                      <w:sz w:val="20"/>
                    </w:rPr>
                    <w:t xml:space="preserve">Reduction in value added at a national level </w:t>
                  </w:r>
                </w:p>
              </w:tc>
              <w:tc>
                <w:tcPr>
                  <w:tcW w:w="1489" w:type="pct"/>
                </w:tcPr>
                <w:p w14:paraId="1C17466D" w14:textId="77777777" w:rsidR="00DE1537" w:rsidRPr="00522379" w:rsidRDefault="00DE1537" w:rsidP="00343F3E">
                  <w:pPr>
                    <w:pStyle w:val="TableBodyText"/>
                    <w:framePr w:w="2155" w:hSpace="227" w:vSpace="181" w:wrap="around" w:vAnchor="text" w:hAnchor="page" w:xAlign="outside" w:y="1"/>
                    <w:jc w:val="left"/>
                    <w:rPr>
                      <w:sz w:val="20"/>
                    </w:rPr>
                  </w:pPr>
                  <w:r w:rsidRPr="00522379">
                    <w:rPr>
                      <w:rStyle w:val="BodyTextChar"/>
                      <w:b/>
                      <w:sz w:val="20"/>
                    </w:rPr>
                    <w:t>na</w:t>
                  </w:r>
                  <w:r w:rsidRPr="00A91C6F">
                    <w:rPr>
                      <w:sz w:val="20"/>
                    </w:rPr>
                    <w:t>, surveys or literature may have some estimates</w:t>
                  </w:r>
                </w:p>
              </w:tc>
            </w:tr>
            <w:tr w:rsidR="00DE1537" w14:paraId="57A73F3A" w14:textId="77777777" w:rsidTr="00343F3E">
              <w:tc>
                <w:tcPr>
                  <w:tcW w:w="758" w:type="pct"/>
                  <w:shd w:val="clear" w:color="auto" w:fill="F2F2F2"/>
                </w:tcPr>
                <w:p w14:paraId="3D38EACE" w14:textId="77777777" w:rsidR="00DE1537" w:rsidRDefault="00DE1537" w:rsidP="00343F3E">
                  <w:pPr>
                    <w:pStyle w:val="TableBodyText"/>
                    <w:jc w:val="left"/>
                  </w:pPr>
                </w:p>
              </w:tc>
              <w:tc>
                <w:tcPr>
                  <w:tcW w:w="1112" w:type="pct"/>
                  <w:shd w:val="clear" w:color="auto" w:fill="F2F2F2"/>
                </w:tcPr>
                <w:p w14:paraId="4B94B129" w14:textId="77777777" w:rsidR="00DE1537" w:rsidRDefault="00DE1537" w:rsidP="00343F3E">
                  <w:pPr>
                    <w:pStyle w:val="TableBodyText"/>
                    <w:jc w:val="left"/>
                  </w:pPr>
                  <w:r w:rsidRPr="0096279E">
                    <w:rPr>
                      <w:sz w:val="20"/>
                    </w:rPr>
                    <w:t>Disruption of water, sewerage, electricity or telecommunications</w:t>
                  </w:r>
                </w:p>
              </w:tc>
              <w:tc>
                <w:tcPr>
                  <w:tcW w:w="1641" w:type="pct"/>
                  <w:shd w:val="clear" w:color="auto" w:fill="F2F2F2"/>
                </w:tcPr>
                <w:p w14:paraId="225D40F2" w14:textId="77777777" w:rsidR="00DE1537" w:rsidRDefault="00DE1537" w:rsidP="00343F3E">
                  <w:pPr>
                    <w:pStyle w:val="TableBodyText"/>
                    <w:jc w:val="left"/>
                  </w:pPr>
                  <w:r w:rsidRPr="0096279E">
                    <w:rPr>
                      <w:sz w:val="20"/>
                    </w:rPr>
                    <w:t>Reduction in value added; lost utility to households</w:t>
                  </w:r>
                </w:p>
              </w:tc>
              <w:tc>
                <w:tcPr>
                  <w:tcW w:w="1489" w:type="pct"/>
                  <w:shd w:val="clear" w:color="auto" w:fill="F2F2F2"/>
                </w:tcPr>
                <w:p w14:paraId="6E914F97"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r w:rsidR="00DE1537" w14:paraId="3DC8DA24" w14:textId="77777777" w:rsidTr="00343F3E">
              <w:tc>
                <w:tcPr>
                  <w:tcW w:w="758" w:type="pct"/>
                </w:tcPr>
                <w:p w14:paraId="46317926" w14:textId="77777777" w:rsidR="00DE1537" w:rsidRDefault="00DE1537" w:rsidP="00343F3E">
                  <w:pPr>
                    <w:pStyle w:val="TableBodyText"/>
                    <w:jc w:val="left"/>
                  </w:pPr>
                </w:p>
              </w:tc>
              <w:tc>
                <w:tcPr>
                  <w:tcW w:w="1112" w:type="pct"/>
                </w:tcPr>
                <w:p w14:paraId="730181EA" w14:textId="77777777" w:rsidR="00DE1537" w:rsidRDefault="00DE1537" w:rsidP="00343F3E">
                  <w:pPr>
                    <w:pStyle w:val="TableBodyText"/>
                    <w:jc w:val="left"/>
                  </w:pPr>
                  <w:r w:rsidRPr="0096279E">
                    <w:rPr>
                      <w:sz w:val="20"/>
                    </w:rPr>
                    <w:t xml:space="preserve">Disruption to transport networks </w:t>
                  </w:r>
                </w:p>
              </w:tc>
              <w:tc>
                <w:tcPr>
                  <w:tcW w:w="1641" w:type="pct"/>
                </w:tcPr>
                <w:p w14:paraId="1BE1E96B" w14:textId="77777777" w:rsidR="00DE1537" w:rsidRDefault="00DE1537" w:rsidP="00343F3E">
                  <w:pPr>
                    <w:pStyle w:val="TableBodyText"/>
                    <w:jc w:val="left"/>
                  </w:pPr>
                  <w:r w:rsidRPr="0096279E">
                    <w:rPr>
                      <w:sz w:val="20"/>
                    </w:rPr>
                    <w:t>Increased vehicle operating costs; value of time for delayed people and freight</w:t>
                  </w:r>
                </w:p>
              </w:tc>
              <w:tc>
                <w:tcPr>
                  <w:tcW w:w="1489" w:type="pct"/>
                </w:tcPr>
                <w:p w14:paraId="44C467A4"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r w:rsidR="00DE1537" w14:paraId="5424E6E9" w14:textId="77777777" w:rsidTr="00343F3E">
              <w:tc>
                <w:tcPr>
                  <w:tcW w:w="758" w:type="pct"/>
                  <w:shd w:val="clear" w:color="auto" w:fill="F2F2F2"/>
                </w:tcPr>
                <w:p w14:paraId="5D656F91" w14:textId="77777777" w:rsidR="00DE1537" w:rsidRDefault="00DE1537" w:rsidP="00343F3E">
                  <w:pPr>
                    <w:pStyle w:val="TableBodyText"/>
                    <w:jc w:val="left"/>
                  </w:pPr>
                </w:p>
              </w:tc>
              <w:tc>
                <w:tcPr>
                  <w:tcW w:w="1112" w:type="pct"/>
                  <w:shd w:val="clear" w:color="auto" w:fill="F2F2F2"/>
                </w:tcPr>
                <w:p w14:paraId="1775FB60" w14:textId="77777777" w:rsidR="00DE1537" w:rsidRDefault="00DE1537" w:rsidP="00343F3E">
                  <w:pPr>
                    <w:pStyle w:val="TableBodyText"/>
                    <w:jc w:val="left"/>
                  </w:pPr>
                  <w:r w:rsidRPr="0096279E">
                    <w:rPr>
                      <w:sz w:val="20"/>
                    </w:rPr>
                    <w:t>Emergency response, relief and clean</w:t>
                  </w:r>
                  <w:r w:rsidRPr="0096279E">
                    <w:rPr>
                      <w:sz w:val="20"/>
                    </w:rPr>
                    <w:noBreakHyphen/>
                    <w:t>up</w:t>
                  </w:r>
                </w:p>
              </w:tc>
              <w:tc>
                <w:tcPr>
                  <w:tcW w:w="1641" w:type="pct"/>
                  <w:shd w:val="clear" w:color="auto" w:fill="F2F2F2"/>
                </w:tcPr>
                <w:p w14:paraId="2439425B" w14:textId="77777777" w:rsidR="00DE1537" w:rsidRDefault="00DE1537" w:rsidP="00343F3E">
                  <w:pPr>
                    <w:pStyle w:val="TableBodyText"/>
                    <w:jc w:val="left"/>
                  </w:pPr>
                  <w:r w:rsidRPr="0096279E">
                    <w:rPr>
                      <w:sz w:val="20"/>
                    </w:rPr>
                    <w:t>Marginal cost of resources used plus opportunity cost of volunteer labour</w:t>
                  </w:r>
                </w:p>
              </w:tc>
              <w:tc>
                <w:tcPr>
                  <w:tcW w:w="1489" w:type="pct"/>
                  <w:shd w:val="clear" w:color="auto" w:fill="F2F2F2"/>
                </w:tcPr>
                <w:p w14:paraId="43B3648A" w14:textId="77777777" w:rsidR="00DE1537" w:rsidRDefault="00DE1537" w:rsidP="00343F3E">
                  <w:pPr>
                    <w:pStyle w:val="TableBodyText"/>
                    <w:jc w:val="left"/>
                  </w:pPr>
                  <w:r>
                    <w:rPr>
                      <w:sz w:val="20"/>
                    </w:rPr>
                    <w:t>Government</w:t>
                  </w:r>
                  <w:r w:rsidRPr="0096279E">
                    <w:rPr>
                      <w:sz w:val="20"/>
                    </w:rPr>
                    <w:t xml:space="preserve"> budgets</w:t>
                  </w:r>
                </w:p>
              </w:tc>
            </w:tr>
            <w:tr w:rsidR="00DE1537" w14:paraId="5B969EDD" w14:textId="77777777" w:rsidTr="00343F3E">
              <w:tc>
                <w:tcPr>
                  <w:tcW w:w="758" w:type="pct"/>
                </w:tcPr>
                <w:p w14:paraId="26BB5E40" w14:textId="77777777" w:rsidR="00DE1537" w:rsidRDefault="00DE1537" w:rsidP="00343F3E">
                  <w:pPr>
                    <w:pStyle w:val="TableBodyText"/>
                    <w:jc w:val="left"/>
                  </w:pPr>
                </w:p>
              </w:tc>
              <w:tc>
                <w:tcPr>
                  <w:tcW w:w="1112" w:type="pct"/>
                </w:tcPr>
                <w:p w14:paraId="7D1B7C69" w14:textId="77777777" w:rsidR="00DE1537" w:rsidRDefault="00DE1537" w:rsidP="00343F3E">
                  <w:pPr>
                    <w:pStyle w:val="TableBodyText"/>
                    <w:jc w:val="left"/>
                  </w:pPr>
                  <w:r w:rsidRPr="0096279E">
                    <w:rPr>
                      <w:sz w:val="20"/>
                    </w:rPr>
                    <w:t>Disruption of public services such as education and healthcare</w:t>
                  </w:r>
                </w:p>
              </w:tc>
              <w:tc>
                <w:tcPr>
                  <w:tcW w:w="1641" w:type="pct"/>
                </w:tcPr>
                <w:p w14:paraId="2280CD12" w14:textId="77777777" w:rsidR="00DE1537" w:rsidRDefault="00DE1537" w:rsidP="00343F3E">
                  <w:pPr>
                    <w:pStyle w:val="TableBodyText"/>
                    <w:jc w:val="left"/>
                  </w:pPr>
                  <w:r>
                    <w:rPr>
                      <w:sz w:val="20"/>
                    </w:rPr>
                    <w:t>Lost utility to households</w:t>
                  </w:r>
                </w:p>
              </w:tc>
              <w:tc>
                <w:tcPr>
                  <w:tcW w:w="1489" w:type="pct"/>
                </w:tcPr>
                <w:p w14:paraId="4247E7DB"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r w:rsidR="00DE1537" w14:paraId="52AFA1DC" w14:textId="77777777" w:rsidTr="00343F3E">
              <w:tc>
                <w:tcPr>
                  <w:tcW w:w="758" w:type="pct"/>
                  <w:shd w:val="clear" w:color="auto" w:fill="F2F2F2"/>
                </w:tcPr>
                <w:p w14:paraId="3C596A1D" w14:textId="77777777" w:rsidR="00DE1537" w:rsidRDefault="00DE1537" w:rsidP="00343F3E">
                  <w:pPr>
                    <w:pStyle w:val="TableBodyText"/>
                    <w:jc w:val="left"/>
                  </w:pPr>
                  <w:r w:rsidRPr="00E8198B">
                    <w:rPr>
                      <w:b/>
                      <w:sz w:val="20"/>
                    </w:rPr>
                    <w:t>Non</w:t>
                  </w:r>
                  <w:r w:rsidRPr="00E8198B">
                    <w:rPr>
                      <w:b/>
                      <w:sz w:val="20"/>
                    </w:rPr>
                    <w:noBreakHyphen/>
                    <w:t>market/</w:t>
                  </w:r>
                  <w:r w:rsidRPr="00E8198B">
                    <w:rPr>
                      <w:b/>
                      <w:sz w:val="20"/>
                    </w:rPr>
                    <w:br/>
                    <w:t>intangible costs</w:t>
                  </w:r>
                </w:p>
              </w:tc>
              <w:tc>
                <w:tcPr>
                  <w:tcW w:w="1112" w:type="pct"/>
                  <w:shd w:val="clear" w:color="auto" w:fill="F2F2F2"/>
                </w:tcPr>
                <w:p w14:paraId="4D48AE9B" w14:textId="77777777" w:rsidR="00DE1537" w:rsidRDefault="00DE1537" w:rsidP="00343F3E">
                  <w:pPr>
                    <w:pStyle w:val="TableBodyText"/>
                    <w:jc w:val="left"/>
                  </w:pPr>
                  <w:r w:rsidRPr="0096279E">
                    <w:rPr>
                      <w:sz w:val="20"/>
                    </w:rPr>
                    <w:t>Injury and death</w:t>
                  </w:r>
                </w:p>
              </w:tc>
              <w:tc>
                <w:tcPr>
                  <w:tcW w:w="1641" w:type="pct"/>
                  <w:shd w:val="clear" w:color="auto" w:fill="F2F2F2"/>
                </w:tcPr>
                <w:p w14:paraId="785F4280" w14:textId="77777777" w:rsidR="00DE1537" w:rsidRDefault="00DE1537" w:rsidP="00343F3E">
                  <w:pPr>
                    <w:pStyle w:val="TableBodyText"/>
                    <w:jc w:val="left"/>
                  </w:pPr>
                  <w:r w:rsidRPr="0096279E">
                    <w:rPr>
                      <w:sz w:val="20"/>
                    </w:rPr>
                    <w:t>Willingness to pay to avoid the injury or death of an unknown person in future</w:t>
                  </w:r>
                </w:p>
              </w:tc>
              <w:tc>
                <w:tcPr>
                  <w:tcW w:w="1489" w:type="pct"/>
                  <w:shd w:val="clear" w:color="auto" w:fill="F2F2F2"/>
                </w:tcPr>
                <w:p w14:paraId="798732AA" w14:textId="77777777" w:rsidR="00DE1537" w:rsidRDefault="00DE1537" w:rsidP="00343F3E">
                  <w:pPr>
                    <w:pStyle w:val="TableBodyText"/>
                    <w:jc w:val="left"/>
                  </w:pPr>
                  <w:r>
                    <w:rPr>
                      <w:sz w:val="20"/>
                    </w:rPr>
                    <w:t>AEMI (incomplete)</w:t>
                  </w:r>
                  <w:r w:rsidRPr="0096279E">
                    <w:rPr>
                      <w:sz w:val="20"/>
                    </w:rPr>
                    <w:t xml:space="preserve"> </w:t>
                  </w:r>
                </w:p>
              </w:tc>
            </w:tr>
            <w:tr w:rsidR="00DE1537" w14:paraId="6904F933" w14:textId="77777777" w:rsidTr="00343F3E">
              <w:tc>
                <w:tcPr>
                  <w:tcW w:w="758" w:type="pct"/>
                </w:tcPr>
                <w:p w14:paraId="36E169BC" w14:textId="77777777" w:rsidR="00DE1537" w:rsidRDefault="00DE1537" w:rsidP="00343F3E">
                  <w:pPr>
                    <w:pStyle w:val="TableBodyText"/>
                    <w:jc w:val="left"/>
                  </w:pPr>
                </w:p>
              </w:tc>
              <w:tc>
                <w:tcPr>
                  <w:tcW w:w="1112" w:type="pct"/>
                </w:tcPr>
                <w:p w14:paraId="00A231F5" w14:textId="77777777" w:rsidR="00DE1537" w:rsidRDefault="00DE1537" w:rsidP="00343F3E">
                  <w:pPr>
                    <w:pStyle w:val="TableBodyText"/>
                    <w:jc w:val="left"/>
                  </w:pPr>
                  <w:r w:rsidRPr="0096279E">
                    <w:rPr>
                      <w:sz w:val="20"/>
                    </w:rPr>
                    <w:t>Physical and mental health</w:t>
                  </w:r>
                </w:p>
              </w:tc>
              <w:tc>
                <w:tcPr>
                  <w:tcW w:w="1641" w:type="pct"/>
                </w:tcPr>
                <w:p w14:paraId="6963439E" w14:textId="77777777" w:rsidR="00DE1537" w:rsidRPr="002C7C9A" w:rsidRDefault="00DE1537" w:rsidP="00343F3E">
                  <w:pPr>
                    <w:pStyle w:val="TableBodyText"/>
                    <w:jc w:val="left"/>
                  </w:pPr>
                  <w:r w:rsidRPr="002C7C9A">
                    <w:rPr>
                      <w:sz w:val="20"/>
                    </w:rPr>
                    <w:t>Willingness to pay to avoid physical and mental health problems</w:t>
                  </w:r>
                </w:p>
              </w:tc>
              <w:tc>
                <w:tcPr>
                  <w:tcW w:w="1489" w:type="pct"/>
                </w:tcPr>
                <w:p w14:paraId="2025E668" w14:textId="77777777" w:rsidR="00DE1537" w:rsidRDefault="00DE1537" w:rsidP="00343F3E">
                  <w:pPr>
                    <w:pStyle w:val="TableBodyText"/>
                    <w:jc w:val="left"/>
                  </w:pPr>
                  <w:r>
                    <w:rPr>
                      <w:sz w:val="20"/>
                    </w:rPr>
                    <w:t>Department of Health, Health Insurance Commission; Department of Health Services</w:t>
                  </w:r>
                </w:p>
              </w:tc>
            </w:tr>
            <w:tr w:rsidR="00DE1537" w14:paraId="52BC19B9" w14:textId="77777777" w:rsidTr="00343F3E">
              <w:tc>
                <w:tcPr>
                  <w:tcW w:w="758" w:type="pct"/>
                  <w:shd w:val="clear" w:color="auto" w:fill="F2F2F2"/>
                </w:tcPr>
                <w:p w14:paraId="7ED8F60F" w14:textId="77777777" w:rsidR="00DE1537" w:rsidRDefault="00DE1537" w:rsidP="00343F3E">
                  <w:pPr>
                    <w:pStyle w:val="TableBodyText"/>
                    <w:jc w:val="left"/>
                  </w:pPr>
                </w:p>
              </w:tc>
              <w:tc>
                <w:tcPr>
                  <w:tcW w:w="1112" w:type="pct"/>
                  <w:shd w:val="clear" w:color="auto" w:fill="F2F2F2"/>
                </w:tcPr>
                <w:p w14:paraId="6464AA2A" w14:textId="77777777" w:rsidR="00DE1537" w:rsidRDefault="00DE1537" w:rsidP="00343F3E">
                  <w:pPr>
                    <w:pStyle w:val="TableBodyText"/>
                    <w:jc w:val="left"/>
                  </w:pPr>
                  <w:r w:rsidRPr="0096279E">
                    <w:rPr>
                      <w:sz w:val="20"/>
                    </w:rPr>
                    <w:t>Loss of memorabilia</w:t>
                  </w:r>
                </w:p>
              </w:tc>
              <w:tc>
                <w:tcPr>
                  <w:tcW w:w="1641" w:type="pct"/>
                  <w:shd w:val="clear" w:color="auto" w:fill="F2F2F2"/>
                </w:tcPr>
                <w:p w14:paraId="04E0EBBF" w14:textId="77777777" w:rsidR="00DE1537" w:rsidRDefault="00DE1537" w:rsidP="00343F3E">
                  <w:pPr>
                    <w:pStyle w:val="TableBodyText"/>
                    <w:jc w:val="left"/>
                  </w:pPr>
                  <w:r w:rsidRPr="0096279E">
                    <w:rPr>
                      <w:sz w:val="20"/>
                    </w:rPr>
                    <w:t>Willingness to pay to avoid the loss</w:t>
                  </w:r>
                </w:p>
              </w:tc>
              <w:tc>
                <w:tcPr>
                  <w:tcW w:w="1489" w:type="pct"/>
                  <w:shd w:val="clear" w:color="auto" w:fill="F2F2F2"/>
                </w:tcPr>
                <w:p w14:paraId="43C0B3BC" w14:textId="77777777" w:rsidR="00DE1537" w:rsidRDefault="00DE1537" w:rsidP="00343F3E">
                  <w:pPr>
                    <w:pStyle w:val="TableBodyText"/>
                    <w:jc w:val="left"/>
                  </w:pPr>
                  <w:r>
                    <w:rPr>
                      <w:rStyle w:val="BodyTextChar"/>
                      <w:b/>
                      <w:sz w:val="20"/>
                    </w:rPr>
                    <w:t>n</w:t>
                  </w:r>
                  <w:r w:rsidRPr="00642E5F">
                    <w:rPr>
                      <w:rStyle w:val="BodyTextChar"/>
                      <w:b/>
                      <w:sz w:val="20"/>
                    </w:rPr>
                    <w:t>a</w:t>
                  </w:r>
                  <w:r>
                    <w:rPr>
                      <w:rStyle w:val="BodyTextChar"/>
                      <w:b/>
                      <w:sz w:val="20"/>
                    </w:rPr>
                    <w:t>,</w:t>
                  </w:r>
                  <w:r w:rsidRPr="0096279E">
                    <w:rPr>
                      <w:sz w:val="20"/>
                    </w:rPr>
                    <w:t xml:space="preserve"> surveys or literature may have some estimates</w:t>
                  </w:r>
                </w:p>
              </w:tc>
            </w:tr>
            <w:tr w:rsidR="00DE1537" w14:paraId="62FFBAB0" w14:textId="77777777" w:rsidTr="00343F3E">
              <w:tc>
                <w:tcPr>
                  <w:tcW w:w="758" w:type="pct"/>
                </w:tcPr>
                <w:p w14:paraId="1533B3AA" w14:textId="77777777" w:rsidR="00DE1537" w:rsidRDefault="00DE1537" w:rsidP="00343F3E">
                  <w:pPr>
                    <w:pStyle w:val="TableBodyText"/>
                    <w:jc w:val="left"/>
                  </w:pPr>
                </w:p>
              </w:tc>
              <w:tc>
                <w:tcPr>
                  <w:tcW w:w="1112" w:type="pct"/>
                </w:tcPr>
                <w:p w14:paraId="7B8031FB" w14:textId="77777777" w:rsidR="00DE1537" w:rsidRDefault="00DE1537" w:rsidP="00343F3E">
                  <w:pPr>
                    <w:pStyle w:val="TableBodyText"/>
                    <w:jc w:val="left"/>
                  </w:pPr>
                  <w:r w:rsidRPr="0096279E">
                    <w:rPr>
                      <w:sz w:val="20"/>
                    </w:rPr>
                    <w:t>Loss of cultural and heritage assets</w:t>
                  </w:r>
                </w:p>
              </w:tc>
              <w:tc>
                <w:tcPr>
                  <w:tcW w:w="1641" w:type="pct"/>
                </w:tcPr>
                <w:p w14:paraId="000A775A" w14:textId="77777777" w:rsidR="00DE1537" w:rsidRDefault="00DE1537" w:rsidP="00343F3E">
                  <w:pPr>
                    <w:pStyle w:val="TableBodyText"/>
                    <w:jc w:val="left"/>
                  </w:pPr>
                  <w:r w:rsidRPr="0096279E">
                    <w:rPr>
                      <w:sz w:val="20"/>
                    </w:rPr>
                    <w:t>Willingness to pay to avoid the loss</w:t>
                  </w:r>
                </w:p>
              </w:tc>
              <w:tc>
                <w:tcPr>
                  <w:tcW w:w="1489" w:type="pct"/>
                </w:tcPr>
                <w:p w14:paraId="2C917344"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r w:rsidR="00DE1537" w14:paraId="0E106D62" w14:textId="77777777" w:rsidTr="00343F3E">
              <w:tc>
                <w:tcPr>
                  <w:tcW w:w="758" w:type="pct"/>
                  <w:shd w:val="clear" w:color="auto" w:fill="F2F2F2"/>
                </w:tcPr>
                <w:p w14:paraId="07A9E841" w14:textId="77777777" w:rsidR="00DE1537" w:rsidRDefault="00DE1537" w:rsidP="00343F3E">
                  <w:pPr>
                    <w:pStyle w:val="TableBodyText"/>
                    <w:jc w:val="left"/>
                  </w:pPr>
                </w:p>
              </w:tc>
              <w:tc>
                <w:tcPr>
                  <w:tcW w:w="1112" w:type="pct"/>
                  <w:shd w:val="clear" w:color="auto" w:fill="F2F2F2"/>
                </w:tcPr>
                <w:p w14:paraId="1C3FB1D3" w14:textId="77777777" w:rsidR="00DE1537" w:rsidRDefault="00DE1537" w:rsidP="00343F3E">
                  <w:pPr>
                    <w:pStyle w:val="TableBodyText"/>
                    <w:jc w:val="left"/>
                  </w:pPr>
                  <w:r w:rsidRPr="0096279E">
                    <w:rPr>
                      <w:sz w:val="20"/>
                    </w:rPr>
                    <w:t>Environmental damage</w:t>
                  </w:r>
                </w:p>
              </w:tc>
              <w:tc>
                <w:tcPr>
                  <w:tcW w:w="1641" w:type="pct"/>
                  <w:shd w:val="clear" w:color="auto" w:fill="F2F2F2"/>
                </w:tcPr>
                <w:p w14:paraId="5295A592" w14:textId="77777777" w:rsidR="00DE1537" w:rsidRDefault="00DE1537" w:rsidP="00343F3E">
                  <w:pPr>
                    <w:pStyle w:val="TableBodyText"/>
                    <w:jc w:val="left"/>
                  </w:pPr>
                  <w:r w:rsidRPr="0096279E">
                    <w:rPr>
                      <w:sz w:val="20"/>
                    </w:rPr>
                    <w:t>Willingness to pay to avoid the loss</w:t>
                  </w:r>
                </w:p>
              </w:tc>
              <w:tc>
                <w:tcPr>
                  <w:tcW w:w="1489" w:type="pct"/>
                  <w:shd w:val="clear" w:color="auto" w:fill="F2F2F2"/>
                </w:tcPr>
                <w:p w14:paraId="51FDBB8A"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r w:rsidR="00DE1537" w14:paraId="5D158180" w14:textId="77777777" w:rsidTr="00343F3E">
              <w:tc>
                <w:tcPr>
                  <w:tcW w:w="758" w:type="pct"/>
                  <w:tcBorders>
                    <w:bottom w:val="single" w:sz="6" w:space="0" w:color="BFBFBF"/>
                  </w:tcBorders>
                </w:tcPr>
                <w:p w14:paraId="274110AF" w14:textId="77777777" w:rsidR="00DE1537" w:rsidRDefault="00DE1537" w:rsidP="00343F3E">
                  <w:pPr>
                    <w:pStyle w:val="TableBodyText"/>
                    <w:jc w:val="left"/>
                  </w:pPr>
                </w:p>
              </w:tc>
              <w:tc>
                <w:tcPr>
                  <w:tcW w:w="1112" w:type="pct"/>
                  <w:tcBorders>
                    <w:bottom w:val="single" w:sz="6" w:space="0" w:color="BFBFBF"/>
                  </w:tcBorders>
                </w:tcPr>
                <w:p w14:paraId="0629D960" w14:textId="77777777" w:rsidR="00DE1537" w:rsidRDefault="00DE1537" w:rsidP="00343F3E">
                  <w:pPr>
                    <w:pStyle w:val="TableBodyText"/>
                    <w:jc w:val="left"/>
                  </w:pPr>
                  <w:r w:rsidRPr="0096279E">
                    <w:rPr>
                      <w:sz w:val="20"/>
                    </w:rPr>
                    <w:t>Inconvenience</w:t>
                  </w:r>
                  <w:r>
                    <w:rPr>
                      <w:sz w:val="20"/>
                    </w:rPr>
                    <w:t xml:space="preserve"> and</w:t>
                  </w:r>
                  <w:r w:rsidRPr="0096279E">
                    <w:rPr>
                      <w:sz w:val="20"/>
                    </w:rPr>
                    <w:t xml:space="preserve"> disruption </w:t>
                  </w:r>
                </w:p>
              </w:tc>
              <w:tc>
                <w:tcPr>
                  <w:tcW w:w="1641" w:type="pct"/>
                  <w:tcBorders>
                    <w:bottom w:val="single" w:sz="6" w:space="0" w:color="BFBFBF"/>
                  </w:tcBorders>
                </w:tcPr>
                <w:p w14:paraId="0E84FC83" w14:textId="77777777" w:rsidR="00DE1537" w:rsidRDefault="00DE1537" w:rsidP="00343F3E">
                  <w:pPr>
                    <w:pStyle w:val="TableBodyText"/>
                    <w:jc w:val="left"/>
                  </w:pPr>
                  <w:r w:rsidRPr="0096279E">
                    <w:rPr>
                      <w:sz w:val="20"/>
                    </w:rPr>
                    <w:t>Willingness to pay to avoid the loss</w:t>
                  </w:r>
                </w:p>
              </w:tc>
              <w:tc>
                <w:tcPr>
                  <w:tcW w:w="1489" w:type="pct"/>
                  <w:tcBorders>
                    <w:bottom w:val="single" w:sz="6" w:space="0" w:color="BFBFBF"/>
                  </w:tcBorders>
                </w:tcPr>
                <w:p w14:paraId="1ED7EFC1" w14:textId="77777777" w:rsidR="00DE1537" w:rsidRDefault="00DE1537" w:rsidP="00343F3E">
                  <w:pPr>
                    <w:pStyle w:val="TableBodyText"/>
                    <w:jc w:val="left"/>
                  </w:pPr>
                  <w:r w:rsidRPr="00642E5F">
                    <w:rPr>
                      <w:rStyle w:val="BodyTextChar"/>
                      <w:b/>
                      <w:sz w:val="20"/>
                    </w:rPr>
                    <w:t>na</w:t>
                  </w:r>
                  <w:r w:rsidRPr="0096279E">
                    <w:rPr>
                      <w:sz w:val="20"/>
                    </w:rPr>
                    <w:t>, surveys or literature may have some estimates</w:t>
                  </w:r>
                </w:p>
              </w:tc>
            </w:tr>
          </w:tbl>
          <w:p w14:paraId="1D15E2CB" w14:textId="77777777" w:rsidR="00DE1537" w:rsidRDefault="00DE1537" w:rsidP="00343F3E">
            <w:pPr>
              <w:pStyle w:val="Box"/>
            </w:pPr>
          </w:p>
        </w:tc>
      </w:tr>
      <w:tr w:rsidR="00DE1537" w14:paraId="2D59077B" w14:textId="77777777" w:rsidTr="00343F3E">
        <w:trPr>
          <w:cantSplit/>
        </w:trPr>
        <w:tc>
          <w:tcPr>
            <w:tcW w:w="8771" w:type="dxa"/>
            <w:tcBorders>
              <w:top w:val="nil"/>
              <w:left w:val="nil"/>
              <w:bottom w:val="nil"/>
              <w:right w:val="nil"/>
            </w:tcBorders>
            <w:shd w:val="clear" w:color="auto" w:fill="auto"/>
          </w:tcPr>
          <w:p w14:paraId="7FE5C8E5" w14:textId="77777777" w:rsidR="00DE1537" w:rsidRDefault="00DE1537" w:rsidP="00343F3E">
            <w:pPr>
              <w:pStyle w:val="Note"/>
              <w:rPr>
                <w:i/>
              </w:rPr>
            </w:pPr>
            <w:proofErr w:type="gramStart"/>
            <w:r w:rsidRPr="00954E9C">
              <w:rPr>
                <w:b/>
              </w:rPr>
              <w:t>na</w:t>
            </w:r>
            <w:proofErr w:type="gramEnd"/>
            <w:r>
              <w:t xml:space="preserve"> not available.</w:t>
            </w:r>
          </w:p>
        </w:tc>
      </w:tr>
      <w:tr w:rsidR="00DE1537" w14:paraId="27E3917E" w14:textId="77777777" w:rsidTr="00343F3E">
        <w:trPr>
          <w:cantSplit/>
        </w:trPr>
        <w:tc>
          <w:tcPr>
            <w:tcW w:w="8771" w:type="dxa"/>
            <w:tcBorders>
              <w:top w:val="nil"/>
              <w:left w:val="nil"/>
              <w:bottom w:val="nil"/>
              <w:right w:val="nil"/>
            </w:tcBorders>
            <w:shd w:val="clear" w:color="auto" w:fill="auto"/>
          </w:tcPr>
          <w:p w14:paraId="4B80D120" w14:textId="373D7DC4" w:rsidR="00DE1537" w:rsidRDefault="00DE1537" w:rsidP="00343F3E">
            <w:pPr>
              <w:pStyle w:val="Source"/>
            </w:pPr>
            <w:r>
              <w:rPr>
                <w:i/>
              </w:rPr>
              <w:t>Sources</w:t>
            </w:r>
            <w:r w:rsidRPr="00167F06">
              <w:t xml:space="preserve">: </w:t>
            </w:r>
            <w:r w:rsidRPr="0096279E">
              <w:t xml:space="preserve">BTE </w:t>
            </w:r>
            <w:r w:rsidRPr="0096279E">
              <w:rPr>
                <w:rFonts w:cs="Arial"/>
              </w:rPr>
              <w:t>(2001)</w:t>
            </w:r>
            <w:r>
              <w:t xml:space="preserve">; Deloitte Access Economics </w:t>
            </w:r>
            <w:r w:rsidR="007C5656" w:rsidRPr="007C5656">
              <w:rPr>
                <w:rFonts w:cs="Arial"/>
              </w:rPr>
              <w:t>(2014a)</w:t>
            </w:r>
            <w:r>
              <w:t>.</w:t>
            </w:r>
          </w:p>
        </w:tc>
      </w:tr>
      <w:tr w:rsidR="00DE1537" w14:paraId="2ADA06BB" w14:textId="77777777" w:rsidTr="00343F3E">
        <w:trPr>
          <w:cantSplit/>
        </w:trPr>
        <w:tc>
          <w:tcPr>
            <w:tcW w:w="8771" w:type="dxa"/>
            <w:tcBorders>
              <w:top w:val="nil"/>
              <w:left w:val="nil"/>
              <w:bottom w:val="single" w:sz="6" w:space="0" w:color="78A22F"/>
              <w:right w:val="nil"/>
            </w:tcBorders>
            <w:shd w:val="clear" w:color="auto" w:fill="auto"/>
          </w:tcPr>
          <w:p w14:paraId="60515295" w14:textId="77777777" w:rsidR="00DE1537" w:rsidRDefault="00DE1537" w:rsidP="00343F3E">
            <w:pPr>
              <w:pStyle w:val="Box"/>
              <w:spacing w:before="0" w:line="120" w:lineRule="exact"/>
            </w:pPr>
          </w:p>
        </w:tc>
      </w:tr>
      <w:tr w:rsidR="00DE1537" w:rsidRPr="000863A5" w14:paraId="1D41D30E" w14:textId="77777777" w:rsidTr="00343F3E">
        <w:tc>
          <w:tcPr>
            <w:tcW w:w="8771" w:type="dxa"/>
            <w:tcBorders>
              <w:top w:val="single" w:sz="6" w:space="0" w:color="78A22F"/>
              <w:left w:val="nil"/>
              <w:bottom w:val="nil"/>
              <w:right w:val="nil"/>
            </w:tcBorders>
          </w:tcPr>
          <w:p w14:paraId="0940FD4B" w14:textId="77777777" w:rsidR="00DE1537" w:rsidRPr="00626D32" w:rsidRDefault="00DE1537" w:rsidP="00343F3E">
            <w:pPr>
              <w:pStyle w:val="BoxSpaceBelow"/>
            </w:pPr>
          </w:p>
        </w:tc>
      </w:tr>
    </w:tbl>
    <w:p w14:paraId="014A8B65" w14:textId="77777777" w:rsidR="00DE1537" w:rsidRDefault="00DE1537" w:rsidP="00343F3E">
      <w:pPr>
        <w:pStyle w:val="Bibliography"/>
      </w:pPr>
    </w:p>
    <w:p w14:paraId="23D243DC" w14:textId="77777777" w:rsidR="00DE1537" w:rsidRPr="00CD6B2E" w:rsidRDefault="00DE1537" w:rsidP="00343F3E"/>
    <w:p w14:paraId="5482222B" w14:textId="77777777" w:rsidR="00DE1537" w:rsidRDefault="00DE1537" w:rsidP="00DE1537">
      <w:pPr>
        <w:sectPr w:rsidR="00DE1537" w:rsidSect="00DE1537">
          <w:headerReference w:type="even" r:id="rId30"/>
          <w:headerReference w:type="default" r:id="rId31"/>
          <w:footerReference w:type="even" r:id="rId32"/>
          <w:footerReference w:type="default" r:id="rId33"/>
          <w:pgSz w:w="11907" w:h="16840" w:code="9"/>
          <w:pgMar w:top="1985" w:right="1304" w:bottom="1247" w:left="1814" w:header="1701" w:footer="397" w:gutter="0"/>
          <w:pgNumType w:chapSep="period"/>
          <w:cols w:space="720"/>
          <w:docGrid w:linePitch="326"/>
        </w:sectPr>
      </w:pPr>
    </w:p>
    <w:p w14:paraId="1F65A965" w14:textId="77777777" w:rsidR="00DE1537" w:rsidRDefault="00DE1537" w:rsidP="00343F3E">
      <w:pPr>
        <w:pStyle w:val="Heading1"/>
        <w:spacing w:before="0"/>
      </w:pPr>
      <w:bookmarkStart w:id="7" w:name="_Toc406424313"/>
      <w:r>
        <w:lastRenderedPageBreak/>
        <w:t>2</w:t>
      </w:r>
      <w:r>
        <w:tab/>
        <w:t>Natural disaster funding arrangements</w:t>
      </w:r>
      <w:bookmarkEnd w:id="7"/>
    </w:p>
    <w:p w14:paraId="1A205ACA" w14:textId="5D21954C" w:rsidR="00DE1537" w:rsidRDefault="00DE1537" w:rsidP="00343F3E">
      <w:pPr>
        <w:pStyle w:val="Heading2"/>
      </w:pPr>
      <w:bookmarkStart w:id="8" w:name="begin"/>
      <w:bookmarkStart w:id="9" w:name="_Toc406424314"/>
      <w:bookmarkEnd w:id="8"/>
      <w:r>
        <w:t>2.</w:t>
      </w:r>
      <w:r>
        <w:rPr>
          <w:noProof/>
        </w:rPr>
        <w:t>1</w:t>
      </w:r>
      <w:r>
        <w:tab/>
        <w:t>Introduction and key points</w:t>
      </w:r>
      <w:bookmarkEnd w:id="9"/>
    </w:p>
    <w:p w14:paraId="6647BBB7" w14:textId="77777777" w:rsidR="00DE1537" w:rsidRPr="0097711D" w:rsidRDefault="00DE1537" w:rsidP="00343F3E">
      <w:pPr>
        <w:pStyle w:val="BodyText"/>
      </w:pPr>
      <w:r w:rsidRPr="0097711D">
        <w:t xml:space="preserve">This supplementary paper </w:t>
      </w:r>
      <w:r>
        <w:t>provides an overview of</w:t>
      </w:r>
      <w:r w:rsidRPr="0097711D">
        <w:t xml:space="preserve"> the current </w:t>
      </w:r>
      <w:r>
        <w:t xml:space="preserve">funding </w:t>
      </w:r>
      <w:r w:rsidRPr="0097711D">
        <w:t xml:space="preserve">arrangements </w:t>
      </w:r>
      <w:r>
        <w:t xml:space="preserve">and policies </w:t>
      </w:r>
      <w:r w:rsidRPr="0097711D">
        <w:t xml:space="preserve">for </w:t>
      </w:r>
      <w:r>
        <w:t xml:space="preserve">managing </w:t>
      </w:r>
      <w:r w:rsidRPr="0097711D">
        <w:t>natural disaster</w:t>
      </w:r>
      <w:r>
        <w:t>s</w:t>
      </w:r>
      <w:r w:rsidRPr="0097711D">
        <w:t xml:space="preserve"> in Australia</w:t>
      </w:r>
      <w:r>
        <w:t xml:space="preserve"> (figure 2.1)</w:t>
      </w:r>
      <w:r w:rsidRPr="0097711D">
        <w:t>. Section</w:t>
      </w:r>
      <w:r>
        <w:t xml:space="preserve"> 2.2</w:t>
      </w:r>
      <w:r w:rsidRPr="0097711D">
        <w:t xml:space="preserve"> provides a brief history of emergency management </w:t>
      </w:r>
      <w:r>
        <w:t xml:space="preserve">and natural disaster funding </w:t>
      </w:r>
      <w:r w:rsidRPr="0097711D">
        <w:t>arrangements</w:t>
      </w:r>
      <w:r>
        <w:t xml:space="preserve"> in Australia</w:t>
      </w:r>
      <w:r w:rsidRPr="0097711D">
        <w:t>. Section</w:t>
      </w:r>
      <w:r>
        <w:t xml:space="preserve"> 2.3</w:t>
      </w:r>
      <w:r w:rsidRPr="0097711D">
        <w:t xml:space="preserve"> describes the </w:t>
      </w:r>
      <w:r>
        <w:t>roles and responsibilities of government and non</w:t>
      </w:r>
      <w:r>
        <w:noBreakHyphen/>
        <w:t>government stakeholders in managing natural disaster risks. Section 2.4</w:t>
      </w:r>
      <w:r w:rsidRPr="0097711D">
        <w:t xml:space="preserve"> describes </w:t>
      </w:r>
      <w:r>
        <w:t>the government funding frameworks that influence the natural disaster funding arrangements. Section 2.5 outlines government funding levels and the underlying funding arrangements before and after natural disasters. Section 2.6 describes funding arrangements in the private sector.</w:t>
      </w:r>
    </w:p>
    <w:p w14:paraId="68F94E7E" w14:textId="77777777" w:rsidR="00DE1537" w:rsidRDefault="00DE1537" w:rsidP="00343F3E">
      <w:pPr>
        <w:pStyle w:val="BodyText"/>
      </w:pPr>
      <w:r>
        <w:t>This supplementary paper makes several key points.</w:t>
      </w:r>
    </w:p>
    <w:p w14:paraId="3F453102" w14:textId="77777777" w:rsidR="00DE1537" w:rsidRDefault="00DE1537" w:rsidP="00343F3E">
      <w:pPr>
        <w:pStyle w:val="ListBullet"/>
      </w:pPr>
      <w:r>
        <w:t xml:space="preserve">Australia’s natural disaster funding </w:t>
      </w:r>
      <w:r w:rsidRPr="006C169D">
        <w:t>arrangements have evolved over time. Historically, the evolution of natural disaster funding has largely been driven by efforts</w:t>
      </w:r>
      <w:r>
        <w:t xml:space="preserve"> to share costs across different levels of government due to different fiscal capacities.</w:t>
      </w:r>
    </w:p>
    <w:p w14:paraId="5C75EF85" w14:textId="77777777" w:rsidR="00DE1537" w:rsidRDefault="00DE1537" w:rsidP="00343F3E">
      <w:pPr>
        <w:pStyle w:val="ListBullet"/>
      </w:pPr>
      <w:r>
        <w:t>The recent evolution of the funding arrangements can be characterised by growing generosity from the Australian Government followed by a shift to constrain costs and increase oversight, after the recent concentrated spate of costly disasters.</w:t>
      </w:r>
    </w:p>
    <w:p w14:paraId="33729A55" w14:textId="77777777" w:rsidR="00DE1537" w:rsidRDefault="00DE1537" w:rsidP="00343F3E">
      <w:pPr>
        <w:pStyle w:val="ListBullet"/>
      </w:pPr>
      <w:r>
        <w:t>All levels of government and non</w:t>
      </w:r>
      <w:r>
        <w:noBreakHyphen/>
        <w:t>government organisations have roles and responsibilities for natural disaster funding. Government responsibilities involve supporting the strategic direction for natural disaster policy, promoting the collection and use of natural hazard information and research, planning for and modifying natural disaster risk and providing response, relief and recovery efforts after a natural disaster.</w:t>
      </w:r>
    </w:p>
    <w:p w14:paraId="4E9780A0" w14:textId="77777777" w:rsidR="00DE1537" w:rsidRDefault="00DE1537" w:rsidP="00343F3E">
      <w:pPr>
        <w:pStyle w:val="ListBullet"/>
      </w:pPr>
      <w:r>
        <w:t>Australian Government funding for relief and recovery activities significantly outweighs funding to improve natural disaster resilience. The quantum of state, territory and local government funding for mitigation is unclear, but it would appear that a significant amount of mitigation is undertaken as part of ‘business as usual’ government activities.</w:t>
      </w:r>
    </w:p>
    <w:p w14:paraId="252E5A7C" w14:textId="77777777" w:rsidR="00DE1537" w:rsidRDefault="00DE1537" w:rsidP="00343F3E">
      <w:pPr>
        <w:pStyle w:val="ListBullet"/>
      </w:pPr>
      <w:r>
        <w:t>State, territory and local governments have primary responsibility for post</w:t>
      </w:r>
      <w:r>
        <w:noBreakHyphen/>
        <w:t>disaster funding, such as response, relief and recovery. The Australian Government generally reimburses some state and territory government (hereon states) relief and recovery funding and also provides immediate relief assistance to households.</w:t>
      </w:r>
    </w:p>
    <w:p w14:paraId="7E521126" w14:textId="77777777" w:rsidR="00DE1537" w:rsidRDefault="00DE1537" w:rsidP="00343F3E">
      <w:pPr>
        <w:pStyle w:val="ListBullet"/>
      </w:pPr>
      <w:r>
        <w:lastRenderedPageBreak/>
        <w:t>Most of the costs of natural disasters apply to private assets, so non</w:t>
      </w:r>
      <w:r>
        <w:noBreakHyphen/>
        <w:t>government entities also have an important role. Insurance is a key mechanism for households and businesses to fund and finance natural disaster costs.</w:t>
      </w:r>
    </w:p>
    <w:p w14:paraId="2D68D14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909"/>
      </w:tblGrid>
      <w:tr w:rsidR="00DE1537" w14:paraId="328BD189" w14:textId="77777777" w:rsidTr="00343F3E">
        <w:tc>
          <w:tcPr>
            <w:tcW w:w="8771" w:type="dxa"/>
            <w:tcBorders>
              <w:top w:val="single" w:sz="6" w:space="0" w:color="78A22F"/>
              <w:left w:val="nil"/>
              <w:bottom w:val="nil"/>
              <w:right w:val="nil"/>
            </w:tcBorders>
            <w:shd w:val="clear" w:color="auto" w:fill="auto"/>
          </w:tcPr>
          <w:p w14:paraId="29321911" w14:textId="0EB2AFBA" w:rsidR="00DE1537" w:rsidRDefault="00DE1537" w:rsidP="00343F3E">
            <w:pPr>
              <w:pStyle w:val="FigureTitle"/>
            </w:pPr>
            <w:r w:rsidRPr="00784A05">
              <w:rPr>
                <w:b w:val="0"/>
              </w:rPr>
              <w:t xml:space="preserve">Figure </w:t>
            </w:r>
            <w:r>
              <w:rPr>
                <w:b w:val="0"/>
              </w:rPr>
              <w:t>2.</w:t>
            </w:r>
            <w:r>
              <w:rPr>
                <w:b w:val="0"/>
                <w:noProof/>
              </w:rPr>
              <w:t>1</w:t>
            </w:r>
            <w:r>
              <w:tab/>
            </w:r>
            <w:r w:rsidRPr="00CB2A4D">
              <w:t>The major national natural disaster funding arrangements</w:t>
            </w:r>
            <w:r w:rsidRPr="00D73EA1">
              <w:rPr>
                <w:rStyle w:val="NoteLabel"/>
                <w:b/>
              </w:rPr>
              <w:t>a</w:t>
            </w:r>
          </w:p>
          <w:p w14:paraId="01F86D75" w14:textId="77777777" w:rsidR="00DE1537" w:rsidRPr="00D06D41" w:rsidRDefault="00DE1537" w:rsidP="00343F3E">
            <w:pPr>
              <w:pStyle w:val="Subtitle"/>
            </w:pPr>
            <w:r>
              <w:t>Expenditure for 2009</w:t>
            </w:r>
            <w:r>
              <w:noBreakHyphen/>
              <w:t>10 to 2012</w:t>
            </w:r>
            <w:r>
              <w:noBreakHyphen/>
              <w:t>13</w:t>
            </w:r>
          </w:p>
        </w:tc>
      </w:tr>
      <w:tr w:rsidR="00DE1537" w14:paraId="59987613"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DE1537" w14:paraId="3F7A24FB" w14:textId="77777777" w:rsidTr="00343F3E">
              <w:tc>
                <w:tcPr>
                  <w:tcW w:w="5000" w:type="pct"/>
                  <w:tcBorders>
                    <w:top w:val="nil"/>
                    <w:bottom w:val="nil"/>
                  </w:tcBorders>
                </w:tcPr>
                <w:p w14:paraId="38F238CF" w14:textId="77777777" w:rsidR="00DE1537" w:rsidRDefault="00DE1537" w:rsidP="00343F3E">
                  <w:pPr>
                    <w:pStyle w:val="Figure"/>
                    <w:spacing w:before="60" w:after="60"/>
                  </w:pPr>
                  <w:r>
                    <w:rPr>
                      <w:noProof/>
                    </w:rPr>
                    <w:drawing>
                      <wp:inline distT="0" distB="0" distL="0" distR="0" wp14:anchorId="79FEA95D" wp14:editId="39B43F09">
                        <wp:extent cx="5477510" cy="2777490"/>
                        <wp:effectExtent l="0" t="0" r="8890" b="0"/>
                        <wp:docPr id="3" name="Picture 3"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title="The major national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77510" cy="2777490"/>
                                </a:xfrm>
                                <a:prstGeom prst="rect">
                                  <a:avLst/>
                                </a:prstGeom>
                                <a:noFill/>
                                <a:ln>
                                  <a:noFill/>
                                </a:ln>
                              </pic:spPr>
                            </pic:pic>
                          </a:graphicData>
                        </a:graphic>
                      </wp:inline>
                    </w:drawing>
                  </w:r>
                </w:p>
              </w:tc>
            </w:tr>
          </w:tbl>
          <w:p w14:paraId="4BE98B79" w14:textId="77777777" w:rsidR="00DE1537" w:rsidRDefault="00DE1537" w:rsidP="00343F3E">
            <w:pPr>
              <w:pStyle w:val="Figure"/>
            </w:pPr>
          </w:p>
        </w:tc>
      </w:tr>
      <w:tr w:rsidR="00DE1537" w:rsidRPr="00176D3F" w14:paraId="381583EF" w14:textId="77777777" w:rsidTr="00343F3E">
        <w:tc>
          <w:tcPr>
            <w:tcW w:w="8909" w:type="dxa"/>
            <w:tcBorders>
              <w:top w:val="nil"/>
              <w:left w:val="nil"/>
              <w:bottom w:val="nil"/>
              <w:right w:val="nil"/>
            </w:tcBorders>
            <w:shd w:val="clear" w:color="auto" w:fill="auto"/>
          </w:tcPr>
          <w:p w14:paraId="48F69DEE" w14:textId="77777777" w:rsidR="00DE1537" w:rsidRPr="00AC019D" w:rsidRDefault="00DE1537" w:rsidP="00343F3E">
            <w:pPr>
              <w:pStyle w:val="Note"/>
            </w:pPr>
            <w:proofErr w:type="gramStart"/>
            <w:r>
              <w:rPr>
                <w:rStyle w:val="NoteLabel"/>
              </w:rPr>
              <w:t>a</w:t>
            </w:r>
            <w:proofErr w:type="gramEnd"/>
            <w:r>
              <w:t xml:space="preserve"> Estimate based on state and territory implementation plans. </w:t>
            </w:r>
            <w:proofErr w:type="gramStart"/>
            <w:r w:rsidRPr="00D73EA1">
              <w:rPr>
                <w:rStyle w:val="NoteLabel"/>
              </w:rPr>
              <w:t>b</w:t>
            </w:r>
            <w:proofErr w:type="gramEnd"/>
            <w:r>
              <w:t xml:space="preserve"> </w:t>
            </w:r>
            <w:r w:rsidRPr="00D73EA1">
              <w:t>Most state and territory government mitigation spending is part of the business as usual activities of government, and in particular general infrastructure spending. As a result, consistent data on state and territory mitig</w:t>
            </w:r>
            <w:r>
              <w:t>ation spending do not exist. I</w:t>
            </w:r>
            <w:r w:rsidRPr="00D73EA1">
              <w:t>t is likely that this spending exceeds the total spending through the NPANDR.</w:t>
            </w:r>
            <w:r>
              <w:t xml:space="preserve"> </w:t>
            </w:r>
            <w:proofErr w:type="gramStart"/>
            <w:r>
              <w:rPr>
                <w:rStyle w:val="NoteLabel"/>
              </w:rPr>
              <w:t>c</w:t>
            </w:r>
            <w:proofErr w:type="gramEnd"/>
            <w:r>
              <w:t xml:space="preserve"> Australian Government reimbursement does not always occur in the same year in which state and territory governments incur eligible expenditure. </w:t>
            </w:r>
            <w:proofErr w:type="gramStart"/>
            <w:r>
              <w:rPr>
                <w:rStyle w:val="NoteLabel"/>
              </w:rPr>
              <w:t>d</w:t>
            </w:r>
            <w:proofErr w:type="gramEnd"/>
            <w:r>
              <w:t xml:space="preserve"> </w:t>
            </w:r>
            <w:r w:rsidRPr="00D22086">
              <w:t>Eligible expenditures reported by state and territory governments, less estimates of reimbursement</w:t>
            </w:r>
            <w:r>
              <w:t>s</w:t>
            </w:r>
            <w:r w:rsidRPr="00D22086">
              <w:t xml:space="preserve"> owed for expenditures incurred. Some data have not been audited. </w:t>
            </w:r>
            <w:r>
              <w:t>E</w:t>
            </w:r>
            <w:r w:rsidRPr="00D22086">
              <w:t>xcludes expenditure in Victoria in 2012</w:t>
            </w:r>
            <w:r>
              <w:rPr>
                <w:rFonts w:ascii="MS Gothic" w:eastAsia="MS Gothic" w:hAnsi="MS Gothic" w:cs="MS Gothic"/>
              </w:rPr>
              <w:noBreakHyphen/>
            </w:r>
            <w:r w:rsidRPr="00D22086">
              <w:t>13 and the Northern Territory in 2011</w:t>
            </w:r>
            <w:r>
              <w:rPr>
                <w:rFonts w:ascii="MS Gothic" w:eastAsia="MS Gothic" w:hAnsi="MS Gothic" w:cs="MS Gothic"/>
              </w:rPr>
              <w:noBreakHyphen/>
            </w:r>
            <w:r w:rsidRPr="00D22086">
              <w:t>12 and 2012</w:t>
            </w:r>
            <w:r>
              <w:rPr>
                <w:rFonts w:ascii="MS Gothic" w:eastAsia="MS Gothic" w:hAnsi="MS Gothic" w:cs="MS Gothic"/>
              </w:rPr>
              <w:noBreakHyphen/>
            </w:r>
            <w:r>
              <w:t>13.</w:t>
            </w:r>
          </w:p>
        </w:tc>
      </w:tr>
      <w:tr w:rsidR="00DE1537" w:rsidRPr="00176D3F" w14:paraId="5D23A2FF" w14:textId="77777777" w:rsidTr="00343F3E">
        <w:tc>
          <w:tcPr>
            <w:tcW w:w="8771" w:type="dxa"/>
            <w:tcBorders>
              <w:top w:val="nil"/>
              <w:left w:val="nil"/>
              <w:bottom w:val="nil"/>
              <w:right w:val="nil"/>
            </w:tcBorders>
            <w:shd w:val="clear" w:color="auto" w:fill="auto"/>
          </w:tcPr>
          <w:p w14:paraId="2C7344D0" w14:textId="2EA00F94" w:rsidR="00DE1537" w:rsidRPr="00974556" w:rsidRDefault="00DE1537" w:rsidP="00343F3E">
            <w:pPr>
              <w:pStyle w:val="Source"/>
            </w:pPr>
            <w:r>
              <w:rPr>
                <w:i/>
              </w:rPr>
              <w:t>Data sources</w:t>
            </w:r>
            <w:r>
              <w:t>: Attorney</w:t>
            </w:r>
            <w:r>
              <w:noBreakHyphen/>
              <w:t xml:space="preserve">General’s Department (pers. comm., 30 July 2014); COAG Council on Federal Financial Relations </w:t>
            </w:r>
            <w:r w:rsidRPr="00007F22">
              <w:rPr>
                <w:rFonts w:cs="Arial"/>
              </w:rPr>
              <w:t>(2014)</w:t>
            </w:r>
            <w:r>
              <w:t xml:space="preserve">; Treasury </w:t>
            </w:r>
            <w:r w:rsidRPr="00694DAC">
              <w:rPr>
                <w:rFonts w:cs="Arial"/>
              </w:rPr>
              <w:t>(various years)</w:t>
            </w:r>
            <w:r>
              <w:t>; Data provided by state and territory governments.</w:t>
            </w:r>
          </w:p>
        </w:tc>
      </w:tr>
      <w:tr w:rsidR="00DE1537" w14:paraId="615D7C6F" w14:textId="77777777" w:rsidTr="00343F3E">
        <w:tc>
          <w:tcPr>
            <w:tcW w:w="8771" w:type="dxa"/>
            <w:tcBorders>
              <w:top w:val="nil"/>
              <w:left w:val="nil"/>
              <w:bottom w:val="single" w:sz="6" w:space="0" w:color="78A22F"/>
              <w:right w:val="nil"/>
            </w:tcBorders>
            <w:shd w:val="clear" w:color="auto" w:fill="auto"/>
          </w:tcPr>
          <w:p w14:paraId="3B30FCC2" w14:textId="77777777" w:rsidR="00DE1537" w:rsidRDefault="00DE1537" w:rsidP="00343F3E">
            <w:pPr>
              <w:pStyle w:val="Figurespace"/>
            </w:pPr>
          </w:p>
        </w:tc>
      </w:tr>
      <w:tr w:rsidR="00DE1537" w:rsidRPr="000863A5" w14:paraId="549B9175" w14:textId="77777777" w:rsidTr="00343F3E">
        <w:tc>
          <w:tcPr>
            <w:tcW w:w="8771" w:type="dxa"/>
            <w:tcBorders>
              <w:top w:val="single" w:sz="6" w:space="0" w:color="78A22F"/>
              <w:left w:val="nil"/>
              <w:bottom w:val="nil"/>
              <w:right w:val="nil"/>
            </w:tcBorders>
          </w:tcPr>
          <w:p w14:paraId="5A7BA5FC" w14:textId="77777777" w:rsidR="00DE1537" w:rsidRPr="003E289C" w:rsidRDefault="00DE1537" w:rsidP="00343F3E">
            <w:pPr>
              <w:pStyle w:val="BoxSpaceBelow"/>
            </w:pPr>
          </w:p>
        </w:tc>
      </w:tr>
    </w:tbl>
    <w:p w14:paraId="6F281855" w14:textId="169988F5" w:rsidR="00DE1537" w:rsidRPr="00CB41DC" w:rsidRDefault="00DE1537" w:rsidP="00343F3E">
      <w:pPr>
        <w:pStyle w:val="Heading2"/>
      </w:pPr>
      <w:bookmarkStart w:id="10" w:name="OLE_LINK9"/>
      <w:bookmarkStart w:id="11" w:name="_Toc406424315"/>
      <w:r>
        <w:t>2.</w:t>
      </w:r>
      <w:r>
        <w:rPr>
          <w:noProof/>
        </w:rPr>
        <w:t>2</w:t>
      </w:r>
      <w:bookmarkEnd w:id="10"/>
      <w:r w:rsidRPr="00CB41DC">
        <w:tab/>
      </w:r>
      <w:r>
        <w:t>A brief history of Australia’s emergency management and natural disaster funding arrangements</w:t>
      </w:r>
      <w:bookmarkEnd w:id="11"/>
    </w:p>
    <w:p w14:paraId="703A651E" w14:textId="77777777" w:rsidR="00DE1537" w:rsidRDefault="00DE1537" w:rsidP="00343F3E">
      <w:pPr>
        <w:pStyle w:val="Heading4"/>
      </w:pPr>
      <w:r>
        <w:t>Emergency management framework</w:t>
      </w:r>
    </w:p>
    <w:p w14:paraId="0B4633DA" w14:textId="0EA663F0" w:rsidR="00DE1537" w:rsidRPr="00CB41DC" w:rsidRDefault="00DE1537" w:rsidP="00343F3E">
      <w:pPr>
        <w:pStyle w:val="BodyText"/>
        <w:tabs>
          <w:tab w:val="left" w:pos="2554"/>
        </w:tabs>
      </w:pPr>
      <w:r w:rsidRPr="00CB41DC">
        <w:t>Australia’s emergency management framework was borne out of a national approach to civil defence</w:t>
      </w:r>
      <w:r>
        <w:t xml:space="preserve"> </w:t>
      </w:r>
      <w:r w:rsidRPr="00153B93">
        <w:rPr>
          <w:szCs w:val="24"/>
        </w:rPr>
        <w:t>(ACT Emergency Services Agency 2012)</w:t>
      </w:r>
      <w:r w:rsidRPr="00CB41DC">
        <w:t>. In 1936, the Australian and state governments agreed that states should protect the population in civil defence matters</w:t>
      </w:r>
      <w:r>
        <w:t>,</w:t>
      </w:r>
      <w:r w:rsidRPr="00CB41DC">
        <w:t xml:space="preserve"> such as providing relief services after disasters. </w:t>
      </w:r>
      <w:r>
        <w:t>In</w:t>
      </w:r>
      <w:r w:rsidRPr="00CB41DC">
        <w:t xml:space="preserve"> the following decades, the states accepted this </w:t>
      </w:r>
      <w:r w:rsidRPr="00CB41DC">
        <w:lastRenderedPageBreak/>
        <w:t>responsibility by forming their own civil defence organisations (the Australian Government organised civil defence in the territories).</w:t>
      </w:r>
    </w:p>
    <w:p w14:paraId="1F3FE0BA" w14:textId="6684A23F" w:rsidR="00DE1537" w:rsidRDefault="00DE1537" w:rsidP="00343F3E">
      <w:pPr>
        <w:pStyle w:val="BodyText"/>
        <w:tabs>
          <w:tab w:val="left" w:pos="2554"/>
        </w:tabs>
      </w:pPr>
      <w:r w:rsidRPr="00CB41DC">
        <w:t>Over time</w:t>
      </w:r>
      <w:r>
        <w:t>,</w:t>
      </w:r>
      <w:r w:rsidRPr="00CB41DC">
        <w:t xml:space="preserve"> civil defence organisations focus</w:t>
      </w:r>
      <w:r>
        <w:t>ed</w:t>
      </w:r>
      <w:r w:rsidRPr="00CB41DC">
        <w:t xml:space="preserve"> less on war</w:t>
      </w:r>
      <w:r>
        <w:noBreakHyphen/>
      </w:r>
      <w:r w:rsidRPr="00CB41DC">
        <w:t>related civil defence and more on other emergencies. This led to the establishment of the Natural Disasters Organisation (NDO) within the Department of Defence in 1974</w:t>
      </w:r>
      <w:r>
        <w:t>,</w:t>
      </w:r>
      <w:r w:rsidRPr="00CB41DC">
        <w:t xml:space="preserve"> which amalgamated the Australian Government’s civil defence capability </w:t>
      </w:r>
      <w:r w:rsidRPr="00897443">
        <w:rPr>
          <w:szCs w:val="24"/>
        </w:rPr>
        <w:t>(EMA 2006)</w:t>
      </w:r>
      <w:r w:rsidRPr="00CB41DC">
        <w:t>.</w:t>
      </w:r>
      <w:r>
        <w:t xml:space="preserve"> In December 1974, Cyclone Tracy was the first major natural disaster event that occurred after the establishment of the NDO </w:t>
      </w:r>
      <w:r w:rsidRPr="009314E4">
        <w:t>(box </w:t>
      </w:r>
      <w:r>
        <w:t>2</w:t>
      </w:r>
      <w:r w:rsidRPr="009314E4">
        <w:t>.1). Around this time, the different state civil defence organisations were remodelled</w:t>
      </w:r>
      <w:r w:rsidRPr="00CB41DC">
        <w:t xml:space="preserve"> into State Emergency Services organisations</w:t>
      </w:r>
      <w:r>
        <w:t xml:space="preserve"> </w:t>
      </w:r>
      <w:r w:rsidRPr="00B04181">
        <w:rPr>
          <w:szCs w:val="24"/>
        </w:rPr>
        <w:t>(ACT Emergency Services Agency 2012)</w:t>
      </w:r>
      <w:r w:rsidRPr="00CB41DC">
        <w:t>.</w:t>
      </w:r>
    </w:p>
    <w:p w14:paraId="709D11B0" w14:textId="77777777" w:rsidR="00DE1537" w:rsidRPr="003E289C"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0F26AA6" w14:textId="77777777" w:rsidTr="00343F3E">
        <w:tc>
          <w:tcPr>
            <w:tcW w:w="8771" w:type="dxa"/>
            <w:tcBorders>
              <w:top w:val="single" w:sz="6" w:space="0" w:color="78A22F"/>
              <w:left w:val="nil"/>
              <w:bottom w:val="nil"/>
              <w:right w:val="nil"/>
            </w:tcBorders>
            <w:shd w:val="clear" w:color="auto" w:fill="F2F2F2" w:themeFill="background1" w:themeFillShade="F2"/>
          </w:tcPr>
          <w:p w14:paraId="54BC9023" w14:textId="2E1F52B6" w:rsidR="00DE1537" w:rsidRDefault="00DE1537" w:rsidP="00343F3E">
            <w:pPr>
              <w:pStyle w:val="BoxTitle"/>
            </w:pPr>
            <w:r>
              <w:rPr>
                <w:b w:val="0"/>
              </w:rPr>
              <w:t xml:space="preserve">Box </w:t>
            </w:r>
            <w:bookmarkStart w:id="12" w:name="OLE_LINK21"/>
            <w:r>
              <w:rPr>
                <w:b w:val="0"/>
              </w:rPr>
              <w:t>2.</w:t>
            </w:r>
            <w:r>
              <w:rPr>
                <w:b w:val="0"/>
                <w:noProof/>
              </w:rPr>
              <w:t>1</w:t>
            </w:r>
            <w:bookmarkEnd w:id="12"/>
            <w:r>
              <w:tab/>
              <w:t>Cyclone Tracy natural disaster funding</w:t>
            </w:r>
          </w:p>
        </w:tc>
      </w:tr>
      <w:tr w:rsidR="00DE1537" w14:paraId="56CD7CE6" w14:textId="77777777" w:rsidTr="00343F3E">
        <w:trPr>
          <w:cantSplit/>
        </w:trPr>
        <w:tc>
          <w:tcPr>
            <w:tcW w:w="8771" w:type="dxa"/>
            <w:tcBorders>
              <w:top w:val="nil"/>
              <w:left w:val="nil"/>
              <w:bottom w:val="nil"/>
              <w:right w:val="nil"/>
            </w:tcBorders>
            <w:shd w:val="clear" w:color="auto" w:fill="F2F2F2" w:themeFill="background1" w:themeFillShade="F2"/>
          </w:tcPr>
          <w:p w14:paraId="4EF25DA3" w14:textId="6B609915" w:rsidR="00DE1537" w:rsidRDefault="00DE1537" w:rsidP="00343F3E">
            <w:pPr>
              <w:pStyle w:val="Box"/>
            </w:pPr>
            <w:r>
              <w:t xml:space="preserve">Cyclone Tracy, and actions taken in the wake of this disaster, </w:t>
            </w:r>
            <w:proofErr w:type="gramStart"/>
            <w:r>
              <w:t>have</w:t>
            </w:r>
            <w:proofErr w:type="gramEnd"/>
            <w:r>
              <w:t xml:space="preserve"> shaped much of Australia’s current approach to natural disaster management. Cyclone Tracy led to the loss of 71 lives and had significant impacts on the city of Darwin. According to Mason and Haynes </w:t>
            </w:r>
            <w:r w:rsidRPr="00D63E19">
              <w:rPr>
                <w:rFonts w:cs="Arial"/>
              </w:rPr>
              <w:t>(2010)</w:t>
            </w:r>
            <w:r>
              <w:t xml:space="preserve">, approximately 60 per cent of Darwin’s houses were destroyed beyond repair. </w:t>
            </w:r>
          </w:p>
          <w:p w14:paraId="42FF0F4E" w14:textId="77777777" w:rsidR="00DE1537" w:rsidRDefault="00DE1537" w:rsidP="00343F3E">
            <w:pPr>
              <w:pStyle w:val="Box"/>
            </w:pPr>
            <w:r>
              <w:t>The Insurance Council of Australia database recorded Cyclone Tracy as causing an insured loss of $200 million in original terms. This would have been only a fraction of the total costs of the disaster, given significant levels of underinsurance. When normalised to 2011 socioeconomic conditions, this loss is more than $4 billion.</w:t>
            </w:r>
          </w:p>
          <w:p w14:paraId="4DFAFC0D" w14:textId="77777777" w:rsidR="00DE1537" w:rsidRPr="00E17288" w:rsidRDefault="00DE1537" w:rsidP="00343F3E">
            <w:pPr>
              <w:pStyle w:val="BoxHeading1"/>
            </w:pPr>
            <w:r w:rsidRPr="00E17288">
              <w:t>Government activities</w:t>
            </w:r>
          </w:p>
          <w:p w14:paraId="30A45AF6" w14:textId="77777777" w:rsidR="00DE1537" w:rsidRDefault="00DE1537" w:rsidP="00343F3E">
            <w:pPr>
              <w:pStyle w:val="Box"/>
            </w:pPr>
            <w:r>
              <w:t>Responsibilities for response, relief and recovery fell on the Commonwealth Government, as the Northern Territory was under direct legislative control of the Commonwealth (the Northern Territory was not granted self</w:t>
            </w:r>
            <w:r>
              <w:noBreakHyphen/>
              <w:t>government until 1978).</w:t>
            </w:r>
          </w:p>
          <w:p w14:paraId="2C4259D9" w14:textId="64A7FE43" w:rsidR="00DE1537" w:rsidRDefault="00DE1537" w:rsidP="00343F3E">
            <w:pPr>
              <w:pStyle w:val="Box"/>
            </w:pPr>
            <w:r>
              <w:t xml:space="preserve">At the time, Darwin had a large (Commonwealth) public housing stock. According to Mason and Haynes </w:t>
            </w:r>
            <w:r w:rsidRPr="00D63E19">
              <w:rPr>
                <w:rFonts w:cs="Arial"/>
              </w:rPr>
              <w:t>(2010)</w:t>
            </w:r>
            <w:r>
              <w:t>, the Government paid out about $200 million for the rebuilding of government</w:t>
            </w:r>
            <w:r>
              <w:noBreakHyphen/>
              <w:t>owned buildings. It also provided about $60 million as special payouts for those without insurance. Payouts to the non</w:t>
            </w:r>
            <w:r>
              <w:noBreakHyphen/>
              <w:t>insured were capped at 50 per cent of the home and contents values prior to Cyclone Tracy — but the effective payout was much less because of the ‘demand surge’ that occurred afterwards (rapid increases in building costs after the event).</w:t>
            </w:r>
          </w:p>
          <w:p w14:paraId="087DA271" w14:textId="77777777" w:rsidR="00DE1537" w:rsidRPr="005715CD" w:rsidRDefault="00DE1537" w:rsidP="00343F3E">
            <w:pPr>
              <w:pStyle w:val="Box"/>
              <w:rPr>
                <w:rStyle w:val="DraftingNote"/>
                <w:b w:val="0"/>
                <w:color w:val="auto"/>
                <w:sz w:val="22"/>
                <w:u w:val="none"/>
              </w:rPr>
            </w:pPr>
            <w:r>
              <w:t>The events during and after Cyclone Tracy gave impetus for the Commonwealth to develop national</w:t>
            </w:r>
            <w:r>
              <w:noBreakHyphen/>
              <w:t>level responses to natural disasters of catastrophic proportions, under the nationhood principle in the Constitution. It also highlighted deficiencies in local</w:t>
            </w:r>
            <w:r>
              <w:noBreakHyphen/>
              <w:t>level responses and facilitated the move to self</w:t>
            </w:r>
            <w:r>
              <w:noBreakHyphen/>
              <w:t>government in the Northern Territory.</w:t>
            </w:r>
          </w:p>
        </w:tc>
      </w:tr>
      <w:tr w:rsidR="00DE1537" w14:paraId="65340F52" w14:textId="77777777" w:rsidTr="00343F3E">
        <w:trPr>
          <w:cantSplit/>
        </w:trPr>
        <w:tc>
          <w:tcPr>
            <w:tcW w:w="8771" w:type="dxa"/>
            <w:tcBorders>
              <w:top w:val="nil"/>
              <w:left w:val="nil"/>
              <w:bottom w:val="nil"/>
              <w:right w:val="nil"/>
            </w:tcBorders>
            <w:shd w:val="clear" w:color="auto" w:fill="F2F2F2" w:themeFill="background1" w:themeFillShade="F2"/>
          </w:tcPr>
          <w:p w14:paraId="243D7812" w14:textId="39E83C27" w:rsidR="00DE1537" w:rsidRDefault="00DE1537" w:rsidP="00343F3E">
            <w:pPr>
              <w:pStyle w:val="BoxSource"/>
            </w:pPr>
            <w:r>
              <w:rPr>
                <w:i/>
              </w:rPr>
              <w:t>Sources</w:t>
            </w:r>
            <w:r w:rsidRPr="00167F06">
              <w:t xml:space="preserve">: </w:t>
            </w:r>
            <w:r>
              <w:t xml:space="preserve">Mason and Haynes </w:t>
            </w:r>
            <w:r w:rsidRPr="00B979CF">
              <w:rPr>
                <w:rFonts w:cs="Arial"/>
              </w:rPr>
              <w:t>(2010)</w:t>
            </w:r>
            <w:r>
              <w:t xml:space="preserve">; McNamara </w:t>
            </w:r>
            <w:r w:rsidRPr="00B979CF">
              <w:rPr>
                <w:rFonts w:cs="Arial"/>
              </w:rPr>
              <w:t>(2012)</w:t>
            </w:r>
            <w:r>
              <w:t xml:space="preserve">; Smith </w:t>
            </w:r>
            <w:r w:rsidRPr="00B979CF">
              <w:rPr>
                <w:rFonts w:cs="Arial"/>
              </w:rPr>
              <w:t>(2006)</w:t>
            </w:r>
            <w:r>
              <w:t xml:space="preserve">; Walker </w:t>
            </w:r>
            <w:r w:rsidRPr="00B979CF">
              <w:rPr>
                <w:rFonts w:cs="Arial"/>
              </w:rPr>
              <w:t>(2009)</w:t>
            </w:r>
            <w:r>
              <w:t>.</w:t>
            </w:r>
          </w:p>
        </w:tc>
      </w:tr>
      <w:tr w:rsidR="00DE1537" w14:paraId="48B57EC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93CB341" w14:textId="77777777" w:rsidR="00DE1537" w:rsidRDefault="00DE1537" w:rsidP="00343F3E">
            <w:pPr>
              <w:pStyle w:val="Box"/>
              <w:spacing w:before="0" w:line="120" w:lineRule="exact"/>
            </w:pPr>
          </w:p>
        </w:tc>
      </w:tr>
      <w:tr w:rsidR="00DE1537" w:rsidRPr="000863A5" w14:paraId="489CA234" w14:textId="77777777" w:rsidTr="00343F3E">
        <w:tc>
          <w:tcPr>
            <w:tcW w:w="8771" w:type="dxa"/>
            <w:tcBorders>
              <w:top w:val="single" w:sz="6" w:space="0" w:color="78A22F"/>
              <w:left w:val="nil"/>
              <w:bottom w:val="nil"/>
              <w:right w:val="nil"/>
            </w:tcBorders>
          </w:tcPr>
          <w:p w14:paraId="75CCB084" w14:textId="77777777" w:rsidR="00DE1537" w:rsidRPr="003E289C" w:rsidRDefault="00DE1537" w:rsidP="00343F3E">
            <w:pPr>
              <w:pStyle w:val="BoxSpaceBelow"/>
            </w:pPr>
          </w:p>
        </w:tc>
      </w:tr>
    </w:tbl>
    <w:p w14:paraId="3C076E19" w14:textId="69170268" w:rsidR="00DE1537" w:rsidRPr="00CB41DC" w:rsidRDefault="00DE1537" w:rsidP="00343F3E">
      <w:pPr>
        <w:pStyle w:val="BodyText"/>
        <w:tabs>
          <w:tab w:val="left" w:pos="2554"/>
        </w:tabs>
      </w:pPr>
      <w:r w:rsidRPr="00CB41DC">
        <w:t>In the following decades</w:t>
      </w:r>
      <w:r>
        <w:t>,</w:t>
      </w:r>
      <w:r w:rsidRPr="00CB41DC">
        <w:t xml:space="preserve"> </w:t>
      </w:r>
      <w:r>
        <w:t xml:space="preserve">the </w:t>
      </w:r>
      <w:r w:rsidRPr="00CB41DC">
        <w:t>NDO took on a broader approach to emergency management</w:t>
      </w:r>
      <w:r>
        <w:t xml:space="preserve"> beyond response</w:t>
      </w:r>
      <w:r w:rsidRPr="00CB41DC">
        <w:t xml:space="preserve">, embracing the ‘PPRR’ emergency management framework of </w:t>
      </w:r>
      <w:r>
        <w:t xml:space="preserve">considering </w:t>
      </w:r>
      <w:r w:rsidRPr="00CB41DC">
        <w:t xml:space="preserve">prevention, preparedness, response and recovery </w:t>
      </w:r>
      <w:r w:rsidRPr="00B04181">
        <w:rPr>
          <w:szCs w:val="24"/>
        </w:rPr>
        <w:t>(EMA 2006)</w:t>
      </w:r>
      <w:r w:rsidRPr="00CB41DC">
        <w:t xml:space="preserve">. </w:t>
      </w:r>
      <w:r>
        <w:t>I</w:t>
      </w:r>
      <w:r w:rsidRPr="00CB41DC">
        <w:t>n 1993</w:t>
      </w:r>
      <w:r>
        <w:t>,</w:t>
      </w:r>
      <w:r w:rsidRPr="00CB41DC">
        <w:t xml:space="preserve"> the NDO was retitled Emergency Management Australia</w:t>
      </w:r>
      <w:r>
        <w:t xml:space="preserve"> and it </w:t>
      </w:r>
      <w:r w:rsidRPr="00CB41DC">
        <w:t xml:space="preserve">moved to the </w:t>
      </w:r>
      <w:r>
        <w:t>Attorney</w:t>
      </w:r>
      <w:r>
        <w:noBreakHyphen/>
        <w:t xml:space="preserve">General’s Department in 2001 </w:t>
      </w:r>
      <w:r w:rsidRPr="00B04181">
        <w:rPr>
          <w:szCs w:val="24"/>
        </w:rPr>
        <w:t>(EMA 2006)</w:t>
      </w:r>
      <w:r>
        <w:t>.</w:t>
      </w:r>
    </w:p>
    <w:p w14:paraId="04177A52" w14:textId="39D7BFD6" w:rsidR="00DE1537" w:rsidRDefault="00DE1537" w:rsidP="00343F3E">
      <w:pPr>
        <w:pStyle w:val="BodyText"/>
      </w:pPr>
      <w:r w:rsidRPr="00CB41DC">
        <w:lastRenderedPageBreak/>
        <w:t>In 2001</w:t>
      </w:r>
      <w:r>
        <w:t xml:space="preserve">, </w:t>
      </w:r>
      <w:r w:rsidRPr="00CB41DC">
        <w:t xml:space="preserve">COAG commissioned a review of </w:t>
      </w:r>
      <w:r>
        <w:t xml:space="preserve">Australia’s approach to </w:t>
      </w:r>
      <w:r w:rsidRPr="00CB41DC">
        <w:t>natural disaster</w:t>
      </w:r>
      <w:r>
        <w:t>s. T</w:t>
      </w:r>
      <w:r w:rsidRPr="00CB41DC">
        <w:t>he report promoted a focus</w:t>
      </w:r>
      <w:r>
        <w:t xml:space="preserve"> on mitigation</w:t>
      </w:r>
      <w:r w:rsidRPr="00CB41DC">
        <w:t xml:space="preserve">, representing a further move towards anticipation </w:t>
      </w:r>
      <w:r>
        <w:t>of</w:t>
      </w:r>
      <w:r w:rsidRPr="00CB41DC">
        <w:t xml:space="preserve"> natural disasters </w:t>
      </w:r>
      <w:r w:rsidRPr="00897443">
        <w:rPr>
          <w:szCs w:val="24"/>
        </w:rPr>
        <w:t>(COAG 2002)</w:t>
      </w:r>
      <w:r w:rsidRPr="00CB41DC">
        <w:t xml:space="preserve">. The </w:t>
      </w:r>
      <w:r>
        <w:t xml:space="preserve">report also recommended taking a broader view of risks, promoting an ‘all hazards’ approach to emergency management; this occurred in the wake of national reviews being undertaken in relation to potential terrorist incidents </w:t>
      </w:r>
      <w:r w:rsidRPr="004A789A">
        <w:rPr>
          <w:szCs w:val="24"/>
        </w:rPr>
        <w:t>(COAG 2002)</w:t>
      </w:r>
      <w:r>
        <w:t>.</w:t>
      </w:r>
    </w:p>
    <w:p w14:paraId="13BC48F9" w14:textId="77777777" w:rsidR="00DE1537" w:rsidRPr="00CB41DC" w:rsidRDefault="00DE1537" w:rsidP="00343F3E">
      <w:pPr>
        <w:pStyle w:val="BodyText"/>
      </w:pPr>
      <w:r>
        <w:t>In 2004, COAG commissioned a report on bushfire mitigation and management which recommended the PPRR paradigm be expanded and re</w:t>
      </w:r>
      <w:r>
        <w:noBreakHyphen/>
        <w:t>labelled the ‘Five R’ approach to emergency management (Environmental Risk Science and Audit, sub. 12). The approach includes research, information and analysis; risk modification; readiness; response; and recovery.</w:t>
      </w:r>
    </w:p>
    <w:p w14:paraId="3948403D" w14:textId="060E9334" w:rsidR="00DE1537" w:rsidRDefault="00DE1537" w:rsidP="00343F3E">
      <w:pPr>
        <w:pStyle w:val="BodyText"/>
      </w:pPr>
      <w:r w:rsidRPr="00CB41DC">
        <w:t>In 2009, COAG tasked the National Emergency Management Committee to develop a national resilience</w:t>
      </w:r>
      <w:r>
        <w:noBreakHyphen/>
      </w:r>
      <w:r w:rsidRPr="00CB41DC">
        <w:t>based approach to disaster management.</w:t>
      </w:r>
      <w:r w:rsidRPr="00A30E0C">
        <w:rPr>
          <w:rStyle w:val="FootnoteReference"/>
        </w:rPr>
        <w:footnoteReference w:id="7"/>
      </w:r>
      <w:r w:rsidRPr="00CB41DC">
        <w:t xml:space="preserve"> The </w:t>
      </w:r>
      <w:r>
        <w:t>committee</w:t>
      </w:r>
      <w:r w:rsidRPr="00CB41DC">
        <w:t xml:space="preserve"> developed the National Strategy for Disaster Resilience </w:t>
      </w:r>
      <w:r>
        <w:t xml:space="preserve">(NSDR) </w:t>
      </w:r>
      <w:r w:rsidRPr="00CB41DC">
        <w:t>which was adopted by COAG in 2011</w:t>
      </w:r>
      <w:r>
        <w:t xml:space="preserve"> </w:t>
      </w:r>
      <w:r w:rsidRPr="00117DBA">
        <w:rPr>
          <w:szCs w:val="24"/>
        </w:rPr>
        <w:t>(COAG 2011b)</w:t>
      </w:r>
      <w:r w:rsidRPr="00CB41DC">
        <w:t>. The strategy</w:t>
      </w:r>
      <w:r>
        <w:t xml:space="preserve"> provides high</w:t>
      </w:r>
      <w:r>
        <w:noBreakHyphen/>
      </w:r>
      <w:r w:rsidRPr="00CB41DC">
        <w:t>level guidance on disaster management to all levels of government and the community</w:t>
      </w:r>
      <w:r>
        <w:t xml:space="preserve"> (section 2.3</w:t>
      </w:r>
      <w:r w:rsidRPr="00CB41DC">
        <w:t>).</w:t>
      </w:r>
      <w:r>
        <w:t xml:space="preserve"> This resilience approach to disaster management began a ‘shift from government responsibility to one of shared responsibility’ </w:t>
      </w:r>
      <w:r w:rsidRPr="003505F3">
        <w:rPr>
          <w:szCs w:val="24"/>
        </w:rPr>
        <w:t>(Granger, Bridger and Rosewall 2014, p. 5)</w:t>
      </w:r>
      <w:r>
        <w:t>.</w:t>
      </w:r>
    </w:p>
    <w:p w14:paraId="23D53E73" w14:textId="77777777" w:rsidR="00DE1537" w:rsidRPr="00CB41DC" w:rsidRDefault="00DE1537" w:rsidP="00343F3E">
      <w:pPr>
        <w:pStyle w:val="Heading4"/>
      </w:pPr>
      <w:r>
        <w:t>Natural disaster funding policy</w:t>
      </w:r>
    </w:p>
    <w:p w14:paraId="46C996E5" w14:textId="0A491D4B" w:rsidR="00DE1537" w:rsidRDefault="00DE1537" w:rsidP="00343F3E">
      <w:pPr>
        <w:pStyle w:val="BodyText"/>
        <w:tabs>
          <w:tab w:val="left" w:pos="2554"/>
        </w:tabs>
      </w:pPr>
      <w:r>
        <w:t>All levels of government have a role in the funding and financing of natural disasters. The Australian Government has generally had a role in providing financial assistance to other levels of government and the broader community for natural disaster recovery and relief due to its greater ability to raise revenue. For example, s</w:t>
      </w:r>
      <w:r w:rsidRPr="00CB41DC">
        <w:t xml:space="preserve">ince Cyclone Tracy in 1974, the Australian Government has primarily used </w:t>
      </w:r>
      <w:r>
        <w:t>tied</w:t>
      </w:r>
      <w:r w:rsidRPr="00CB41DC">
        <w:t xml:space="preserve"> grants </w:t>
      </w:r>
      <w:r>
        <w:t>to provide</w:t>
      </w:r>
      <w:r w:rsidRPr="00CB41DC">
        <w:t xml:space="preserve"> relief and recovery funding </w:t>
      </w:r>
      <w:r w:rsidRPr="00C102EC">
        <w:rPr>
          <w:szCs w:val="24"/>
        </w:rPr>
        <w:t>(Dwyer 2006)</w:t>
      </w:r>
      <w:r w:rsidRPr="00CB41DC">
        <w:t>. These specific purpose payments are the foundation of the current Natural Disaster Relief and Recovery Arrangements (NDRRA)</w:t>
      </w:r>
      <w:r>
        <w:t xml:space="preserve"> (section 2</w:t>
      </w:r>
      <w:r w:rsidRPr="001861C2">
        <w:t>.5</w:t>
      </w:r>
      <w:r>
        <w:t>)</w:t>
      </w:r>
      <w:r w:rsidRPr="00CB41DC">
        <w:t>.</w:t>
      </w:r>
    </w:p>
    <w:p w14:paraId="3EAEB638" w14:textId="77777777" w:rsidR="00DE1537" w:rsidRDefault="00DE1537" w:rsidP="00343F3E">
      <w:pPr>
        <w:pStyle w:val="BodyText"/>
        <w:tabs>
          <w:tab w:val="left" w:pos="2554"/>
        </w:tabs>
      </w:pPr>
      <w:r>
        <w:t>Figure 2</w:t>
      </w:r>
      <w:r w:rsidRPr="001861C2">
        <w:t>.2</w:t>
      </w:r>
      <w:r>
        <w:t xml:space="preserve"> presents the recent history of government funding policies from 2006, presenting the evolution of natural disaster policy alongside significant natural disasters. The NDRRA have undergone many and various changes over time as new policies have been added and determinations have been released. These variations have expanded the scope of activities eligible for reimbursement by the Australian Government. Similarly, eligibility for Australian Government assistance to households has expanded in scope. However, more recently, eligibility has been tightened in response to escalating costs associated with recent large natural disasters.</w:t>
      </w:r>
      <w:r>
        <w:br w:type="page"/>
      </w:r>
    </w:p>
    <w:p w14:paraId="4F9152D1" w14:textId="77777777" w:rsidR="00DE1537" w:rsidRDefault="00DE1537">
      <w:pPr>
        <w:pStyle w:val="BodyText"/>
        <w:sectPr w:rsidR="00DE1537" w:rsidSect="00DE1537">
          <w:headerReference w:type="even" r:id="rId35"/>
          <w:headerReference w:type="default" r:id="rId36"/>
          <w:footerReference w:type="even" r:id="rId37"/>
          <w:footerReference w:type="default" r:id="rId38"/>
          <w:type w:val="oddPage"/>
          <w:pgSz w:w="11907" w:h="16840" w:code="9"/>
          <w:pgMar w:top="1985" w:right="1304" w:bottom="1247" w:left="1814" w:header="1701" w:footer="397" w:gutter="0"/>
          <w:pgNumType w:chapSep="period"/>
          <w:cols w:space="720"/>
          <w:docGrid w:linePitch="326"/>
        </w:sectPr>
      </w:pPr>
    </w:p>
    <w:p w14:paraId="1522F8EA" w14:textId="77777777" w:rsidR="00DE1537" w:rsidRPr="003E289C"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303"/>
      </w:tblGrid>
      <w:tr w:rsidR="00DE1537" w14:paraId="0682972D" w14:textId="77777777" w:rsidTr="00343F3E">
        <w:tc>
          <w:tcPr>
            <w:tcW w:w="13303" w:type="dxa"/>
            <w:tcBorders>
              <w:top w:val="single" w:sz="6" w:space="0" w:color="78A22F"/>
              <w:left w:val="nil"/>
              <w:bottom w:val="nil"/>
              <w:right w:val="nil"/>
            </w:tcBorders>
            <w:shd w:val="clear" w:color="auto" w:fill="auto"/>
          </w:tcPr>
          <w:p w14:paraId="79B3EC71" w14:textId="1B52DD62" w:rsidR="00DE1537" w:rsidRPr="00176D3F" w:rsidRDefault="00DE1537" w:rsidP="00343F3E">
            <w:pPr>
              <w:pStyle w:val="FigureTitle"/>
            </w:pPr>
            <w:r w:rsidRPr="00784A05">
              <w:rPr>
                <w:b w:val="0"/>
              </w:rPr>
              <w:t xml:space="preserve">Figure </w:t>
            </w:r>
            <w:bookmarkStart w:id="13" w:name="OLE_LINK14"/>
            <w:r>
              <w:rPr>
                <w:b w:val="0"/>
              </w:rPr>
              <w:t>2.</w:t>
            </w:r>
            <w:r>
              <w:rPr>
                <w:b w:val="0"/>
                <w:noProof/>
              </w:rPr>
              <w:t>2</w:t>
            </w:r>
            <w:bookmarkEnd w:id="13"/>
            <w:r>
              <w:tab/>
              <w:t>Policy evolution of the Australian Government natural disaster funding arrangements</w:t>
            </w:r>
          </w:p>
        </w:tc>
      </w:tr>
      <w:tr w:rsidR="00DE1537" w14:paraId="37741F14" w14:textId="77777777" w:rsidTr="00343F3E">
        <w:tc>
          <w:tcPr>
            <w:tcW w:w="1330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019"/>
            </w:tblGrid>
            <w:tr w:rsidR="00DE1537" w14:paraId="03A70516" w14:textId="77777777" w:rsidTr="00343F3E">
              <w:tc>
                <w:tcPr>
                  <w:tcW w:w="5000" w:type="pct"/>
                  <w:tcBorders>
                    <w:top w:val="nil"/>
                    <w:bottom w:val="nil"/>
                  </w:tcBorders>
                </w:tcPr>
                <w:p w14:paraId="5AEE5105" w14:textId="77777777" w:rsidR="00DE1537" w:rsidRDefault="00DE1537" w:rsidP="00343F3E">
                  <w:pPr>
                    <w:pStyle w:val="Figure"/>
                    <w:spacing w:before="60" w:after="60"/>
                  </w:pPr>
                  <w:r>
                    <w:rPr>
                      <w:noProof/>
                    </w:rPr>
                    <w:drawing>
                      <wp:inline distT="0" distB="0" distL="0" distR="0" wp14:anchorId="52E31C67" wp14:editId="6DC576FA">
                        <wp:extent cx="8261350" cy="3891280"/>
                        <wp:effectExtent l="0" t="0" r="0" b="0"/>
                        <wp:docPr id="7" name="Picture 7" descr="This figure provides a timeline of the main changes to Australian Government natural disaster funding arrangements from 2006 to 2014. It shows that there has been many changes over this period. The figure also includes a chart of Australian Government relief and recovery expenditure on the Natural Disaster Relief and Recovery Arrangements and the Australian Government Disaster Recovery Payment between 2006 and 2014." title="Policy evolution of the Australian Government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261350" cy="3891280"/>
                                </a:xfrm>
                                <a:prstGeom prst="rect">
                                  <a:avLst/>
                                </a:prstGeom>
                                <a:noFill/>
                                <a:ln>
                                  <a:noFill/>
                                </a:ln>
                              </pic:spPr>
                            </pic:pic>
                          </a:graphicData>
                        </a:graphic>
                      </wp:inline>
                    </w:drawing>
                  </w:r>
                </w:p>
              </w:tc>
            </w:tr>
          </w:tbl>
          <w:p w14:paraId="397ACF6B" w14:textId="77777777" w:rsidR="00DE1537" w:rsidRDefault="00DE1537" w:rsidP="00343F3E">
            <w:pPr>
              <w:pStyle w:val="Figure"/>
              <w:tabs>
                <w:tab w:val="left" w:pos="5626"/>
              </w:tabs>
              <w:jc w:val="left"/>
            </w:pPr>
          </w:p>
        </w:tc>
      </w:tr>
      <w:tr w:rsidR="00DE1537" w14:paraId="2D2CAB1B" w14:textId="77777777" w:rsidTr="00343F3E">
        <w:tc>
          <w:tcPr>
            <w:tcW w:w="13303" w:type="dxa"/>
            <w:tcBorders>
              <w:top w:val="nil"/>
              <w:left w:val="nil"/>
              <w:bottom w:val="single" w:sz="6" w:space="0" w:color="78A22F"/>
              <w:right w:val="nil"/>
            </w:tcBorders>
            <w:shd w:val="clear" w:color="auto" w:fill="auto"/>
          </w:tcPr>
          <w:p w14:paraId="7CD9089F" w14:textId="77777777" w:rsidR="00DE1537" w:rsidRDefault="00DE1537" w:rsidP="00343F3E">
            <w:pPr>
              <w:pStyle w:val="Figurespace"/>
            </w:pPr>
          </w:p>
        </w:tc>
      </w:tr>
      <w:tr w:rsidR="00DE1537" w:rsidRPr="000863A5" w14:paraId="791F6B68" w14:textId="77777777" w:rsidTr="00343F3E">
        <w:tc>
          <w:tcPr>
            <w:tcW w:w="13303" w:type="dxa"/>
            <w:tcBorders>
              <w:top w:val="single" w:sz="6" w:space="0" w:color="78A22F"/>
              <w:left w:val="nil"/>
              <w:bottom w:val="nil"/>
              <w:right w:val="nil"/>
            </w:tcBorders>
          </w:tcPr>
          <w:p w14:paraId="25AD0181" w14:textId="77777777" w:rsidR="00DE1537" w:rsidRPr="003E289C" w:rsidRDefault="00DE1537" w:rsidP="00343F3E">
            <w:pPr>
              <w:pStyle w:val="BoxSpaceBelow"/>
            </w:pPr>
          </w:p>
        </w:tc>
      </w:tr>
    </w:tbl>
    <w:p w14:paraId="456861CD" w14:textId="77777777" w:rsidR="00DE1537" w:rsidRDefault="00DE1537">
      <w:pPr>
        <w:pStyle w:val="BodyText"/>
        <w:sectPr w:rsidR="00DE1537" w:rsidSect="00DE1537">
          <w:headerReference w:type="even" r:id="rId40"/>
          <w:headerReference w:type="default" r:id="rId41"/>
          <w:footerReference w:type="even" r:id="rId42"/>
          <w:footerReference w:type="default" r:id="rId43"/>
          <w:pgSz w:w="16840" w:h="11907" w:orient="landscape" w:code="9"/>
          <w:pgMar w:top="1814" w:right="1985" w:bottom="1304" w:left="1418" w:header="1701" w:footer="567" w:gutter="0"/>
          <w:pgNumType w:chapSep="period"/>
          <w:cols w:space="720"/>
          <w:docGrid w:linePitch="326"/>
        </w:sectPr>
      </w:pPr>
    </w:p>
    <w:p w14:paraId="507CDA66" w14:textId="7A486911" w:rsidR="00DE1537" w:rsidRDefault="00DE1537" w:rsidP="001117AC">
      <w:pPr>
        <w:pStyle w:val="Heading2"/>
        <w:spacing w:before="0"/>
      </w:pPr>
      <w:bookmarkStart w:id="14" w:name="OLE_LINK31"/>
      <w:bookmarkStart w:id="15" w:name="_Toc406424316"/>
      <w:r>
        <w:lastRenderedPageBreak/>
        <w:t>2.</w:t>
      </w:r>
      <w:r>
        <w:rPr>
          <w:noProof/>
        </w:rPr>
        <w:t>3</w:t>
      </w:r>
      <w:bookmarkEnd w:id="14"/>
      <w:r>
        <w:tab/>
        <w:t>Private and government sector roles and responsibilities</w:t>
      </w:r>
      <w:bookmarkEnd w:id="15"/>
    </w:p>
    <w:p w14:paraId="60D36E98" w14:textId="77777777" w:rsidR="00DE1537" w:rsidRDefault="00DE1537" w:rsidP="00343F3E">
      <w:pPr>
        <w:pStyle w:val="BodyText"/>
      </w:pPr>
      <w:r>
        <w:t>Households, businesses and governments are responsible for managing natural disaster risks to their assets. However, due to the presence of externalities (supplementary paper 3), total risk does not always equal the sum of individual risks, and there is a case for some form of collective action. This section describes the roles and responsibilities of governments and other stakeholders for managing natural disaster risk. These stakeholders undertake a number of different actions as part of their roles and responsibilities (figure 2.3). Some of this collective action is undertaken by governments, for example providing strategic direction and producing natural hazard information and research.</w:t>
      </w:r>
    </w:p>
    <w:p w14:paraId="2A469A82" w14:textId="77777777" w:rsidR="00DE1537" w:rsidRPr="003E289C"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49F419E" w14:textId="77777777" w:rsidTr="00343F3E">
        <w:tc>
          <w:tcPr>
            <w:tcW w:w="8771" w:type="dxa"/>
            <w:tcBorders>
              <w:top w:val="single" w:sz="6" w:space="0" w:color="78A22F"/>
              <w:left w:val="nil"/>
              <w:bottom w:val="nil"/>
              <w:right w:val="nil"/>
            </w:tcBorders>
            <w:shd w:val="clear" w:color="auto" w:fill="auto"/>
          </w:tcPr>
          <w:p w14:paraId="71A2262B" w14:textId="1B4E3884" w:rsidR="00DE1537" w:rsidRPr="00176D3F" w:rsidRDefault="00DE1537" w:rsidP="00343F3E">
            <w:pPr>
              <w:pStyle w:val="FigureTitle"/>
            </w:pPr>
            <w:r w:rsidRPr="00784A05">
              <w:rPr>
                <w:b w:val="0"/>
              </w:rPr>
              <w:t xml:space="preserve">Figure </w:t>
            </w:r>
            <w:r>
              <w:rPr>
                <w:b w:val="0"/>
              </w:rPr>
              <w:t>2.</w:t>
            </w:r>
            <w:r>
              <w:rPr>
                <w:b w:val="0"/>
                <w:noProof/>
              </w:rPr>
              <w:t>3</w:t>
            </w:r>
            <w:r>
              <w:tab/>
              <w:t>Roles and responsibilities in natural disaster risk management</w:t>
            </w:r>
          </w:p>
        </w:tc>
      </w:tr>
      <w:tr w:rsidR="00DE1537" w14:paraId="258C39E9" w14:textId="77777777" w:rsidTr="00343F3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E1537" w14:paraId="0D063DDE" w14:textId="77777777" w:rsidTr="00343F3E">
              <w:trPr>
                <w:jc w:val="center"/>
              </w:trPr>
              <w:tc>
                <w:tcPr>
                  <w:tcW w:w="5000" w:type="pct"/>
                  <w:tcBorders>
                    <w:top w:val="nil"/>
                    <w:bottom w:val="nil"/>
                  </w:tcBorders>
                </w:tcPr>
                <w:p w14:paraId="1CA5504C" w14:textId="77777777" w:rsidR="00DE1537" w:rsidRDefault="00DE1537" w:rsidP="00343F3E">
                  <w:pPr>
                    <w:pStyle w:val="Figure"/>
                    <w:spacing w:before="60" w:after="60"/>
                  </w:pPr>
                  <w:r>
                    <w:rPr>
                      <w:noProof/>
                    </w:rPr>
                    <w:drawing>
                      <wp:inline distT="0" distB="0" distL="0" distR="0" wp14:anchorId="4B7253AC" wp14:editId="7C00DB40">
                        <wp:extent cx="5400040" cy="3381375"/>
                        <wp:effectExtent l="0" t="0" r="0" b="9525"/>
                        <wp:docPr id="9" name="Picture 9" descr="This figure providers an overview of the roles and responsibilities of different stakeholders, including governments, businesses and the wider community, in mitigation and recovery." title="Roles and responsibilities in natural disaster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40" cy="3381375"/>
                                </a:xfrm>
                                <a:prstGeom prst="rect">
                                  <a:avLst/>
                                </a:prstGeom>
                                <a:noFill/>
                                <a:ln>
                                  <a:noFill/>
                                </a:ln>
                              </pic:spPr>
                            </pic:pic>
                          </a:graphicData>
                        </a:graphic>
                      </wp:inline>
                    </w:drawing>
                  </w:r>
                </w:p>
              </w:tc>
            </w:tr>
          </w:tbl>
          <w:p w14:paraId="43802159" w14:textId="77777777" w:rsidR="00DE1537" w:rsidRDefault="00DE1537" w:rsidP="00343F3E">
            <w:pPr>
              <w:pStyle w:val="Figure"/>
            </w:pPr>
          </w:p>
        </w:tc>
      </w:tr>
      <w:tr w:rsidR="00DE1537" w14:paraId="18D3D1D6" w14:textId="77777777" w:rsidTr="00343F3E">
        <w:tc>
          <w:tcPr>
            <w:tcW w:w="8771" w:type="dxa"/>
            <w:tcBorders>
              <w:top w:val="nil"/>
              <w:left w:val="nil"/>
              <w:bottom w:val="single" w:sz="6" w:space="0" w:color="78A22F"/>
              <w:right w:val="nil"/>
            </w:tcBorders>
            <w:shd w:val="clear" w:color="auto" w:fill="auto"/>
          </w:tcPr>
          <w:p w14:paraId="0F966CAD" w14:textId="77777777" w:rsidR="00DE1537" w:rsidRDefault="00DE1537" w:rsidP="00343F3E">
            <w:pPr>
              <w:pStyle w:val="Figurespace"/>
            </w:pPr>
          </w:p>
        </w:tc>
      </w:tr>
      <w:tr w:rsidR="00DE1537" w:rsidRPr="000863A5" w14:paraId="7040E859" w14:textId="77777777" w:rsidTr="00343F3E">
        <w:tc>
          <w:tcPr>
            <w:tcW w:w="8771" w:type="dxa"/>
            <w:tcBorders>
              <w:top w:val="single" w:sz="6" w:space="0" w:color="78A22F"/>
              <w:left w:val="nil"/>
              <w:bottom w:val="nil"/>
              <w:right w:val="nil"/>
            </w:tcBorders>
          </w:tcPr>
          <w:p w14:paraId="1125BFEF" w14:textId="77777777" w:rsidR="00DE1537" w:rsidRPr="003E289C" w:rsidRDefault="00DE1537" w:rsidP="00343F3E">
            <w:pPr>
              <w:pStyle w:val="BoxSpaceBelow"/>
            </w:pPr>
          </w:p>
        </w:tc>
      </w:tr>
    </w:tbl>
    <w:p w14:paraId="051E84D6" w14:textId="77777777" w:rsidR="00DE1537" w:rsidRPr="0087438F" w:rsidRDefault="00DE1537" w:rsidP="00343F3E">
      <w:pPr>
        <w:pStyle w:val="BodyText"/>
      </w:pPr>
      <w:r>
        <w:t>R</w:t>
      </w:r>
      <w:r w:rsidRPr="0087438F">
        <w:t xml:space="preserve">esponsibilities for financing and funding natural disaster </w:t>
      </w:r>
      <w:r>
        <w:t xml:space="preserve">risk </w:t>
      </w:r>
      <w:r w:rsidRPr="0087438F">
        <w:t>management are split across househ</w:t>
      </w:r>
      <w:r>
        <w:t xml:space="preserve">olds, businesses, </w:t>
      </w:r>
      <w:r w:rsidRPr="0087438F">
        <w:t>government</w:t>
      </w:r>
      <w:r>
        <w:t>s</w:t>
      </w:r>
      <w:r w:rsidRPr="0087438F">
        <w:t>, and the broader community (figure </w:t>
      </w:r>
      <w:r>
        <w:t>2.4).</w:t>
      </w:r>
    </w:p>
    <w:p w14:paraId="7EDACBCC" w14:textId="77777777" w:rsidR="00DE1537" w:rsidRPr="0087438F" w:rsidRDefault="00DE1537" w:rsidP="00343F3E">
      <w:pPr>
        <w:pStyle w:val="ListBullet"/>
      </w:pPr>
      <w:r>
        <w:t>F</w:t>
      </w:r>
      <w:r w:rsidRPr="0087438F">
        <w:t>inancing refers to supplying the capital to pay the upfront investment costs of natural disaster</w:t>
      </w:r>
      <w:r>
        <w:t xml:space="preserve"> risk</w:t>
      </w:r>
      <w:r w:rsidRPr="0087438F">
        <w:t xml:space="preserve"> management</w:t>
      </w:r>
    </w:p>
    <w:p w14:paraId="2AC94AF2" w14:textId="77777777" w:rsidR="00DE1537" w:rsidRDefault="00DE1537" w:rsidP="00343F3E">
      <w:pPr>
        <w:pStyle w:val="ListBullet"/>
      </w:pPr>
      <w:r>
        <w:t>F</w:t>
      </w:r>
      <w:r w:rsidRPr="0087438F">
        <w:t xml:space="preserve">unding refers to revenue sources to pay for the financing costs of natural disaster </w:t>
      </w:r>
      <w:r>
        <w:t xml:space="preserve">risk </w:t>
      </w:r>
      <w:r w:rsidRPr="0087438F">
        <w:t>management.</w:t>
      </w:r>
    </w:p>
    <w:p w14:paraId="074CE6BB" w14:textId="77777777" w:rsidR="00DE1537" w:rsidRPr="003E289C"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03BB0EE" w14:textId="77777777" w:rsidTr="00343F3E">
        <w:tc>
          <w:tcPr>
            <w:tcW w:w="8771" w:type="dxa"/>
            <w:tcBorders>
              <w:top w:val="single" w:sz="6" w:space="0" w:color="78A22F"/>
              <w:left w:val="nil"/>
              <w:bottom w:val="nil"/>
              <w:right w:val="nil"/>
            </w:tcBorders>
            <w:shd w:val="clear" w:color="auto" w:fill="auto"/>
          </w:tcPr>
          <w:p w14:paraId="2C3C4BFB" w14:textId="42732151" w:rsidR="00DE1537" w:rsidRPr="00176D3F" w:rsidRDefault="00DE1537" w:rsidP="00343F3E">
            <w:pPr>
              <w:pStyle w:val="FigureTitle"/>
            </w:pPr>
            <w:r w:rsidRPr="00784A05">
              <w:rPr>
                <w:b w:val="0"/>
              </w:rPr>
              <w:t xml:space="preserve">Figure </w:t>
            </w:r>
            <w:bookmarkStart w:id="16" w:name="OLE_LINK5"/>
            <w:r>
              <w:rPr>
                <w:b w:val="0"/>
              </w:rPr>
              <w:t>2.</w:t>
            </w:r>
            <w:r>
              <w:rPr>
                <w:b w:val="0"/>
                <w:noProof/>
              </w:rPr>
              <w:t>4</w:t>
            </w:r>
            <w:bookmarkEnd w:id="16"/>
            <w:r>
              <w:tab/>
            </w:r>
            <w:r w:rsidRPr="00B0301E">
              <w:t xml:space="preserve">Responsibilities for funding and financing natural disaster </w:t>
            </w:r>
            <w:r>
              <w:t xml:space="preserve">risk </w:t>
            </w:r>
            <w:r w:rsidRPr="00B0301E">
              <w:t>management</w:t>
            </w:r>
          </w:p>
        </w:tc>
      </w:tr>
      <w:tr w:rsidR="00DE1537" w14:paraId="08571E82"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5BDEC505" w14:textId="77777777" w:rsidTr="00343F3E">
              <w:tc>
                <w:tcPr>
                  <w:tcW w:w="5000" w:type="pct"/>
                  <w:tcBorders>
                    <w:top w:val="nil"/>
                    <w:bottom w:val="nil"/>
                  </w:tcBorders>
                </w:tcPr>
                <w:p w14:paraId="2CFF5EA6" w14:textId="77777777" w:rsidR="00DE1537" w:rsidRDefault="00DE1537" w:rsidP="00343F3E">
                  <w:pPr>
                    <w:pStyle w:val="Figure"/>
                    <w:spacing w:before="60" w:after="60"/>
                  </w:pPr>
                  <w:r>
                    <w:rPr>
                      <w:noProof/>
                    </w:rPr>
                    <w:drawing>
                      <wp:inline distT="0" distB="0" distL="0" distR="0" wp14:anchorId="47E82A6C" wp14:editId="30B05AF6">
                        <wp:extent cx="5391150" cy="2360930"/>
                        <wp:effectExtent l="0" t="0" r="0" b="1270"/>
                        <wp:docPr id="10" name="Picture 10" descr="This figure providers an overview of the roles and responsibilities of different stakeholders, including governments, businesses and the wider community, in mitigation and recovery." title="Responsibilities for funding and financing natural disaster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1150" cy="2360930"/>
                                </a:xfrm>
                                <a:prstGeom prst="rect">
                                  <a:avLst/>
                                </a:prstGeom>
                                <a:noFill/>
                                <a:ln>
                                  <a:noFill/>
                                </a:ln>
                              </pic:spPr>
                            </pic:pic>
                          </a:graphicData>
                        </a:graphic>
                      </wp:inline>
                    </w:drawing>
                  </w:r>
                </w:p>
              </w:tc>
            </w:tr>
          </w:tbl>
          <w:p w14:paraId="0C392BEF" w14:textId="77777777" w:rsidR="00DE1537" w:rsidRDefault="00DE1537" w:rsidP="00343F3E">
            <w:pPr>
              <w:pStyle w:val="Figure"/>
            </w:pPr>
          </w:p>
        </w:tc>
      </w:tr>
      <w:tr w:rsidR="00DE1537" w14:paraId="7D27A453" w14:textId="77777777" w:rsidTr="00343F3E">
        <w:tc>
          <w:tcPr>
            <w:tcW w:w="8771" w:type="dxa"/>
            <w:tcBorders>
              <w:top w:val="nil"/>
              <w:left w:val="nil"/>
              <w:bottom w:val="single" w:sz="6" w:space="0" w:color="78A22F"/>
              <w:right w:val="nil"/>
            </w:tcBorders>
            <w:shd w:val="clear" w:color="auto" w:fill="auto"/>
          </w:tcPr>
          <w:p w14:paraId="113A1AED" w14:textId="77777777" w:rsidR="00DE1537" w:rsidRDefault="00DE1537" w:rsidP="00343F3E">
            <w:pPr>
              <w:pStyle w:val="Figurespace"/>
            </w:pPr>
          </w:p>
        </w:tc>
      </w:tr>
      <w:tr w:rsidR="00DE1537" w:rsidRPr="000863A5" w14:paraId="1E9643F3" w14:textId="77777777" w:rsidTr="00343F3E">
        <w:tc>
          <w:tcPr>
            <w:tcW w:w="8771" w:type="dxa"/>
            <w:tcBorders>
              <w:top w:val="single" w:sz="6" w:space="0" w:color="78A22F"/>
              <w:left w:val="nil"/>
              <w:bottom w:val="nil"/>
              <w:right w:val="nil"/>
            </w:tcBorders>
          </w:tcPr>
          <w:p w14:paraId="74D80720" w14:textId="77777777" w:rsidR="00DE1537" w:rsidRPr="00626D32" w:rsidRDefault="00DE1537" w:rsidP="00343F3E">
            <w:pPr>
              <w:pStyle w:val="BoxSpaceBelow"/>
            </w:pPr>
          </w:p>
        </w:tc>
      </w:tr>
    </w:tbl>
    <w:p w14:paraId="05B9755B" w14:textId="77777777" w:rsidR="00DE1537" w:rsidRDefault="00DE1537" w:rsidP="00343F3E">
      <w:pPr>
        <w:pStyle w:val="Heading3"/>
      </w:pPr>
      <w:r>
        <w:t>Private sector roles and responsibilities</w:t>
      </w:r>
    </w:p>
    <w:p w14:paraId="36D7E0C0" w14:textId="77777777" w:rsidR="00DE1537" w:rsidRDefault="00DE1537" w:rsidP="00343F3E">
      <w:pPr>
        <w:pStyle w:val="BodyText"/>
      </w:pPr>
      <w:r>
        <w:t>The private sector has roles and responsibilities in dealing with natural disasters, most notably the role of managing risks to their own assets (supplementary paper 3).</w:t>
      </w:r>
    </w:p>
    <w:p w14:paraId="12D6048A" w14:textId="3731CC01" w:rsidR="00DE1537" w:rsidRPr="00CB41DC" w:rsidRDefault="00DE1537" w:rsidP="00343F3E">
      <w:pPr>
        <w:pStyle w:val="BodyText"/>
      </w:pPr>
      <w:r w:rsidRPr="006C4543">
        <w:rPr>
          <w:b/>
        </w:rPr>
        <w:t>Households</w:t>
      </w:r>
      <w:r w:rsidRPr="00CB41DC">
        <w:t xml:space="preserve"> </w:t>
      </w:r>
      <w:r>
        <w:t>are</w:t>
      </w:r>
      <w:r w:rsidRPr="00CB41DC">
        <w:t xml:space="preserve"> responsible for safeguarding their own property and assets from natural disaster</w:t>
      </w:r>
      <w:r>
        <w:t>s</w:t>
      </w:r>
      <w:r w:rsidRPr="00CB41DC">
        <w:t xml:space="preserve"> by identifying risks, taking mitigation measures and purchasing adequate property and contents insurance</w:t>
      </w:r>
      <w:r w:rsidRPr="00754D5B">
        <w:t xml:space="preserve"> </w:t>
      </w:r>
      <w:r w:rsidRPr="00773A2E">
        <w:rPr>
          <w:szCs w:val="24"/>
        </w:rPr>
        <w:t>(Attorney-General’s Department 2009)</w:t>
      </w:r>
      <w:r>
        <w:t>.</w:t>
      </w:r>
    </w:p>
    <w:p w14:paraId="3778CCFE" w14:textId="61E6048E" w:rsidR="00DE1537" w:rsidRDefault="00DE1537" w:rsidP="00343F3E">
      <w:pPr>
        <w:pStyle w:val="BodyText"/>
      </w:pPr>
      <w:r w:rsidRPr="006C4543">
        <w:rPr>
          <w:b/>
        </w:rPr>
        <w:t>Businesses</w:t>
      </w:r>
      <w:r w:rsidRPr="00B20457">
        <w:t xml:space="preserve"> have a role in supporting the community’s resilience to natural disasters</w:t>
      </w:r>
      <w:r>
        <w:t xml:space="preserve"> </w:t>
      </w:r>
      <w:r w:rsidRPr="00773A2E">
        <w:rPr>
          <w:szCs w:val="24"/>
        </w:rPr>
        <w:t>(Attorney-General’s Department 2009)</w:t>
      </w:r>
      <w:r w:rsidRPr="00B20457">
        <w:t xml:space="preserve">. </w:t>
      </w:r>
      <w:r w:rsidRPr="006C4543">
        <w:t xml:space="preserve">Businesses contribute by understanding and assessing natural disaster risks to ensure </w:t>
      </w:r>
      <w:r>
        <w:t xml:space="preserve">that </w:t>
      </w:r>
      <w:r w:rsidRPr="006C4543">
        <w:t>they can continue to operate in the event of</w:t>
      </w:r>
      <w:r>
        <w:t>,</w:t>
      </w:r>
      <w:r w:rsidRPr="006C4543">
        <w:t xml:space="preserve"> or shortly after</w:t>
      </w:r>
      <w:r>
        <w:t>,</w:t>
      </w:r>
      <w:r w:rsidRPr="006C4543">
        <w:t xml:space="preserve"> a disaster.</w:t>
      </w:r>
      <w:r w:rsidRPr="00B20457">
        <w:t xml:space="preserve"> Businesses are responsible for developing and implementing plans to reduce their natural disaster risk or </w:t>
      </w:r>
      <w:proofErr w:type="gramStart"/>
      <w:r w:rsidRPr="00B20457">
        <w:t>mitigate</w:t>
      </w:r>
      <w:proofErr w:type="gramEnd"/>
      <w:r w:rsidRPr="00B20457">
        <w:t xml:space="preserve"> against the impacts </w:t>
      </w:r>
      <w:r>
        <w:br/>
      </w:r>
      <w:r w:rsidRPr="00773A2E">
        <w:rPr>
          <w:szCs w:val="24"/>
        </w:rPr>
        <w:t>(Attorney-General’s Department 2009)</w:t>
      </w:r>
      <w:r w:rsidRPr="00B20457">
        <w:t>. For example, businesses have responsibility</w:t>
      </w:r>
      <w:r>
        <w:t xml:space="preserve"> over using adequate measures, such as </w:t>
      </w:r>
      <w:r w:rsidRPr="00CB41DC">
        <w:t>insurance</w:t>
      </w:r>
      <w:r>
        <w:t>,</w:t>
      </w:r>
      <w:r w:rsidRPr="00CB41DC">
        <w:t xml:space="preserve"> to protect their assets and stock from the impacts of natural disasters.</w:t>
      </w:r>
      <w:r>
        <w:t xml:space="preserve"> </w:t>
      </w:r>
      <w:r w:rsidRPr="00CB41DC">
        <w:t>Businesses involved in the land use planning profession and construction industry have roles in</w:t>
      </w:r>
      <w:r>
        <w:t xml:space="preserve"> working with governments to reduce</w:t>
      </w:r>
      <w:r w:rsidRPr="00CB41DC">
        <w:t xml:space="preserve"> the potential impacts of natural disasters on the built environment</w:t>
      </w:r>
      <w:r>
        <w:t xml:space="preserve"> (</w:t>
      </w:r>
      <w:r w:rsidRPr="009F5F61">
        <w:t>Property Council</w:t>
      </w:r>
      <w:r>
        <w:t xml:space="preserve"> of</w:t>
      </w:r>
      <w:r w:rsidRPr="009F5F61">
        <w:t xml:space="preserve"> Australia, sub</w:t>
      </w:r>
      <w:r>
        <w:t>.</w:t>
      </w:r>
      <w:r w:rsidRPr="009F5F61">
        <w:t> 44</w:t>
      </w:r>
      <w:r>
        <w:t>).</w:t>
      </w:r>
    </w:p>
    <w:p w14:paraId="305D0238" w14:textId="77777777" w:rsidR="00DE1537" w:rsidRDefault="00DE1537" w:rsidP="00343F3E">
      <w:pPr>
        <w:pStyle w:val="BodyText"/>
      </w:pPr>
      <w:r w:rsidRPr="006C4543">
        <w:rPr>
          <w:b/>
        </w:rPr>
        <w:t>Private infrastructure providers</w:t>
      </w:r>
      <w:r>
        <w:t xml:space="preserve"> are responsible for</w:t>
      </w:r>
      <w:r w:rsidRPr="00CB41DC">
        <w:t xml:space="preserve"> managing the risks to their assets</w:t>
      </w:r>
      <w:r>
        <w:t>. Many of these assets are critical to communities and</w:t>
      </w:r>
      <w:r w:rsidRPr="00CB41DC">
        <w:t xml:space="preserve"> </w:t>
      </w:r>
      <w:r>
        <w:t>the economy, and infrastructure failure during a natural disaster could result in</w:t>
      </w:r>
      <w:r w:rsidRPr="00CB41DC">
        <w:t xml:space="preserve"> significant negative externalities</w:t>
      </w:r>
      <w:r>
        <w:t xml:space="preserve">. As such, </w:t>
      </w:r>
      <w:proofErr w:type="gramStart"/>
      <w:r>
        <w:t>governments</w:t>
      </w:r>
      <w:proofErr w:type="gramEnd"/>
      <w:r>
        <w:t xml:space="preserve"> take an active role in ensuring these assets are managed well (box 2.2)</w:t>
      </w:r>
      <w:r w:rsidRPr="00CB41DC">
        <w:t>.</w:t>
      </w:r>
    </w:p>
    <w:p w14:paraId="7B2ADEEE"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F2BB7B3" w14:textId="77777777" w:rsidTr="00343F3E">
        <w:tc>
          <w:tcPr>
            <w:tcW w:w="8771" w:type="dxa"/>
            <w:tcBorders>
              <w:top w:val="single" w:sz="6" w:space="0" w:color="78A22F"/>
              <w:left w:val="nil"/>
              <w:bottom w:val="nil"/>
              <w:right w:val="nil"/>
            </w:tcBorders>
            <w:shd w:val="clear" w:color="auto" w:fill="F2F2F2" w:themeFill="background1" w:themeFillShade="F2"/>
          </w:tcPr>
          <w:p w14:paraId="36B74054" w14:textId="0EC8D1A7" w:rsidR="00DE1537" w:rsidRDefault="00DE1537" w:rsidP="00343F3E">
            <w:pPr>
              <w:pStyle w:val="BoxTitle"/>
            </w:pPr>
            <w:r>
              <w:rPr>
                <w:b w:val="0"/>
              </w:rPr>
              <w:t xml:space="preserve">Box </w:t>
            </w:r>
            <w:bookmarkStart w:id="17" w:name="OLE_LINK32"/>
            <w:r>
              <w:rPr>
                <w:b w:val="0"/>
              </w:rPr>
              <w:t>2.</w:t>
            </w:r>
            <w:r>
              <w:rPr>
                <w:b w:val="0"/>
                <w:noProof/>
              </w:rPr>
              <w:t>2</w:t>
            </w:r>
            <w:bookmarkEnd w:id="17"/>
            <w:r>
              <w:tab/>
              <w:t>Management of critical infrastructure</w:t>
            </w:r>
          </w:p>
        </w:tc>
      </w:tr>
      <w:tr w:rsidR="00DE1537" w14:paraId="1F3C3A0F" w14:textId="77777777" w:rsidTr="00343F3E">
        <w:trPr>
          <w:cantSplit/>
        </w:trPr>
        <w:tc>
          <w:tcPr>
            <w:tcW w:w="8771" w:type="dxa"/>
            <w:tcBorders>
              <w:top w:val="nil"/>
              <w:left w:val="nil"/>
              <w:bottom w:val="nil"/>
              <w:right w:val="nil"/>
            </w:tcBorders>
            <w:shd w:val="clear" w:color="auto" w:fill="F2F2F2" w:themeFill="background1" w:themeFillShade="F2"/>
          </w:tcPr>
          <w:p w14:paraId="3B33180F" w14:textId="660B9B3C" w:rsidR="00DE1537" w:rsidRDefault="00DE1537" w:rsidP="00343F3E">
            <w:pPr>
              <w:pStyle w:val="Box"/>
            </w:pPr>
            <w:r>
              <w:t xml:space="preserve">Much of Australia’s critical infrastructure, including for the supply of energy, food, water, transport, communications, health, banking and finance, is owned or managed by private entities </w:t>
            </w:r>
            <w:r w:rsidRPr="00B36289">
              <w:rPr>
                <w:rFonts w:cs="Arial"/>
                <w:szCs w:val="24"/>
              </w:rPr>
              <w:t>(Attorney-General’s Department 2010)</w:t>
            </w:r>
            <w:r>
              <w:t xml:space="preserve">. This infrastructure is generally not eligible for Australian Government assistance for reconstruction or replacement under the Natural Disaster Relief and Recovery Arrangements, as it does not meet the definition of an essential public asset </w:t>
            </w:r>
            <w:r w:rsidRPr="006A283D">
              <w:rPr>
                <w:rFonts w:cs="Arial"/>
                <w:szCs w:val="24"/>
              </w:rPr>
              <w:t>(Attorney-General’s Department 2011)</w:t>
            </w:r>
            <w:r>
              <w:t>. However, if this infrastructure were to be impacted by a natural disaster, it could impose significant costs on the community.</w:t>
            </w:r>
          </w:p>
          <w:p w14:paraId="322EBC9C" w14:textId="4CADA9B0" w:rsidR="00DE1537" w:rsidRDefault="00DE1537" w:rsidP="00343F3E">
            <w:pPr>
              <w:pStyle w:val="Box"/>
            </w:pPr>
            <w:r>
              <w:t>While asset owners are best placed to manage the risks to these assets, the Australian Government has taken an active non</w:t>
            </w:r>
            <w:r>
              <w:noBreakHyphen/>
              <w:t xml:space="preserve">regulatory role in supporting asset owners to do this. In 2010, the Australian Government released the </w:t>
            </w:r>
            <w:r>
              <w:rPr>
                <w:i/>
              </w:rPr>
              <w:t>Critical Infrastructure Resilience Strategy</w:t>
            </w:r>
            <w:r>
              <w:t xml:space="preserve"> with the aim of achieving ‘the continued operation of critical infrastructure in the face of all hazards’ </w:t>
            </w:r>
            <w:r w:rsidRPr="000250B6">
              <w:rPr>
                <w:rFonts w:cs="Arial"/>
                <w:szCs w:val="24"/>
              </w:rPr>
              <w:t>(Attorney-General’s Department 2010, p. 8)</w:t>
            </w:r>
            <w:r>
              <w:t xml:space="preserve">. It encourages and enables critical infrastructure providers to better manage risks to their assets, supply chains and networks. The Australian Government also established </w:t>
            </w:r>
            <w:r w:rsidRPr="001F2D80">
              <w:t xml:space="preserve">the </w:t>
            </w:r>
            <w:r w:rsidRPr="001F2D80">
              <w:rPr>
                <w:i/>
              </w:rPr>
              <w:t>Trusted Information Sharing Network</w:t>
            </w:r>
            <w:r w:rsidRPr="001F2D80">
              <w:t>, which promotes government and</w:t>
            </w:r>
            <w:r>
              <w:t xml:space="preserve"> business information sharing on threats and vulnerabilities, and strategies to mitigate risk </w:t>
            </w:r>
            <w:r w:rsidRPr="001F2D80">
              <w:rPr>
                <w:rFonts w:cs="Arial"/>
                <w:szCs w:val="24"/>
              </w:rPr>
              <w:t>(Attorney-General’s Department 2010)</w:t>
            </w:r>
            <w:r w:rsidRPr="001F2D80">
              <w:t>.</w:t>
            </w:r>
            <w:r>
              <w:t xml:space="preserve"> </w:t>
            </w:r>
            <w:r w:rsidRPr="006913F2">
              <w:t xml:space="preserve">An additional related initiative established by the Australian Government is a </w:t>
            </w:r>
            <w:r w:rsidRPr="004B085D">
              <w:rPr>
                <w:i/>
              </w:rPr>
              <w:t>Critical Infrastructure Program for Modelling and Analysis</w:t>
            </w:r>
            <w:r w:rsidRPr="006913F2">
              <w:t xml:space="preserve"> facility within the Attorney</w:t>
            </w:r>
            <w:r>
              <w:noBreakHyphen/>
            </w:r>
            <w:r w:rsidRPr="006913F2">
              <w:t>General’s De</w:t>
            </w:r>
            <w:r>
              <w:t>partment. Where relevant data are</w:t>
            </w:r>
            <w:r w:rsidRPr="006913F2">
              <w:t xml:space="preserve"> available, </w:t>
            </w:r>
            <w:r>
              <w:t>the program</w:t>
            </w:r>
            <w:r w:rsidRPr="006913F2">
              <w:t xml:space="preserve"> analyses the relationships and dependencies between critical infrastructure systems and provides critical infrastructure owners and operators </w:t>
            </w:r>
            <w:r>
              <w:t>analysis</w:t>
            </w:r>
            <w:r w:rsidRPr="006913F2">
              <w:t xml:space="preserve"> to</w:t>
            </w:r>
            <w:r>
              <w:t xml:space="preserve"> help</w:t>
            </w:r>
            <w:r w:rsidRPr="006913F2">
              <w:t xml:space="preserve"> prevent, prepare for, respond to and recover from natural or human</w:t>
            </w:r>
            <w:r>
              <w:noBreakHyphen/>
            </w:r>
            <w:r w:rsidRPr="006913F2">
              <w:t>caused hazard</w:t>
            </w:r>
            <w:r>
              <w:t xml:space="preserve">s </w:t>
            </w:r>
            <w:r w:rsidRPr="00FB5BFE">
              <w:rPr>
                <w:rFonts w:cs="Arial"/>
                <w:szCs w:val="24"/>
              </w:rPr>
              <w:t>(Attorney-General’s Department 2014b)</w:t>
            </w:r>
            <w:r w:rsidRPr="006913F2">
              <w:t>.</w:t>
            </w:r>
          </w:p>
          <w:p w14:paraId="46067940" w14:textId="77777777" w:rsidR="00DE1537" w:rsidRDefault="00DE1537" w:rsidP="00343F3E">
            <w:pPr>
              <w:pStyle w:val="BoxHeading1"/>
            </w:pPr>
            <w:r>
              <w:t>Telstra</w:t>
            </w:r>
          </w:p>
          <w:p w14:paraId="01665828" w14:textId="77777777" w:rsidR="00DE1537" w:rsidRDefault="00DE1537" w:rsidP="00343F3E">
            <w:pPr>
              <w:pStyle w:val="Box"/>
            </w:pPr>
            <w:r>
              <w:t>Private critical infrastructure providers manage risks to assets in various ways. Telstra is an example of how a critical infrastructure provider manages risks to its assets.</w:t>
            </w:r>
          </w:p>
          <w:p w14:paraId="4E50AA15" w14:textId="77777777" w:rsidR="00DE1537" w:rsidRDefault="00DE1537" w:rsidP="00343F3E">
            <w:pPr>
              <w:pStyle w:val="Box"/>
            </w:pPr>
            <w:r>
              <w:t>Telstra is the largest supplier of telecommunications services in Australia and has a role in maintaining these services to communities in times of natural disasters. Telecommunications services can provide early warning information to communities at risk of natural disasters and are essential in relief operations.</w:t>
            </w:r>
          </w:p>
          <w:p w14:paraId="0799C046" w14:textId="77777777" w:rsidR="00DE1537" w:rsidRDefault="00DE1537" w:rsidP="00343F3E">
            <w:pPr>
              <w:pStyle w:val="Box"/>
            </w:pPr>
            <w:r>
              <w:t xml:space="preserve">Telstra’s physical assets are susceptible to damage from natural disasters. </w:t>
            </w:r>
            <w:r w:rsidRPr="005C2933">
              <w:t xml:space="preserve">Telstra manages </w:t>
            </w:r>
            <w:r>
              <w:t xml:space="preserve">risks to its </w:t>
            </w:r>
            <w:r w:rsidRPr="005C2933">
              <w:t xml:space="preserve">assets </w:t>
            </w:r>
            <w:r>
              <w:t>with the aim of providing continued service to its customers. Risk management activities include investing in and developing the capability of its fixed and mobile network, having ‘redundancy’ in the network, providing back</w:t>
            </w:r>
            <w:r>
              <w:noBreakHyphen/>
              <w:t>up power capability and using insurance. Telstra primarily self</w:t>
            </w:r>
            <w:r>
              <w:noBreakHyphen/>
              <w:t>insures its network and it has commercial insurance for major property sites.</w:t>
            </w:r>
          </w:p>
          <w:p w14:paraId="3071F7CD" w14:textId="77777777" w:rsidR="00DE1537" w:rsidRPr="00C7545C" w:rsidRDefault="00DE1537" w:rsidP="00343F3E">
            <w:pPr>
              <w:pStyle w:val="Box"/>
            </w:pPr>
            <w:r>
              <w:t>Telstra funds its own disaster relief and recovery efforts, such as restoring services to affected areas, and these costs are ultimately passed onto its customers through the cost of services. Telstra does not receive funding from governments for this purpose (Telstra, sub. 51).</w:t>
            </w:r>
          </w:p>
        </w:tc>
      </w:tr>
      <w:tr w:rsidR="00DE1537" w14:paraId="6B4102C9"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48C08F8" w14:textId="77777777" w:rsidR="00DE1537" w:rsidRDefault="00DE1537" w:rsidP="00343F3E">
            <w:pPr>
              <w:pStyle w:val="Box"/>
              <w:spacing w:before="0" w:line="120" w:lineRule="exact"/>
            </w:pPr>
          </w:p>
        </w:tc>
      </w:tr>
      <w:tr w:rsidR="00DE1537" w:rsidRPr="000863A5" w14:paraId="0E326742" w14:textId="77777777" w:rsidTr="00343F3E">
        <w:tc>
          <w:tcPr>
            <w:tcW w:w="8771" w:type="dxa"/>
            <w:tcBorders>
              <w:top w:val="single" w:sz="6" w:space="0" w:color="78A22F"/>
              <w:left w:val="nil"/>
              <w:bottom w:val="nil"/>
              <w:right w:val="nil"/>
            </w:tcBorders>
          </w:tcPr>
          <w:p w14:paraId="3814BA0D" w14:textId="77777777" w:rsidR="00DE1537" w:rsidRPr="00626D32" w:rsidRDefault="00DE1537" w:rsidP="00343F3E">
            <w:pPr>
              <w:pStyle w:val="BoxSpaceBelow"/>
            </w:pPr>
          </w:p>
        </w:tc>
      </w:tr>
    </w:tbl>
    <w:p w14:paraId="3EAFFCFC" w14:textId="77777777" w:rsidR="00DE1537" w:rsidRPr="00B20457" w:rsidRDefault="00DE1537" w:rsidP="00343F3E">
      <w:pPr>
        <w:pStyle w:val="BodyText"/>
      </w:pPr>
      <w:r w:rsidRPr="006C4543">
        <w:rPr>
          <w:b/>
        </w:rPr>
        <w:t>Insurers</w:t>
      </w:r>
      <w:r w:rsidRPr="00B20457">
        <w:t xml:space="preserve"> play an important </w:t>
      </w:r>
      <w:r>
        <w:t>role</w:t>
      </w:r>
      <w:r w:rsidRPr="00B20457">
        <w:t xml:space="preserve"> in natural disaster management by providing households, businesses and governments with products that </w:t>
      </w:r>
      <w:r w:rsidRPr="00580D12">
        <w:t>help them</w:t>
      </w:r>
      <w:r w:rsidRPr="00B20457">
        <w:t xml:space="preserve"> to manage residual risk and finance the cost of a natural disaster. Insurance also provides a signal to policyholders about the level of risk they face, encouraging them to undertake risk reduction measures such as mitigation </w:t>
      </w:r>
      <w:r w:rsidRPr="006C4543">
        <w:t>(su</w:t>
      </w:r>
      <w:r>
        <w:t>pplementary paper 5</w:t>
      </w:r>
      <w:r w:rsidRPr="006C4543">
        <w:t>)</w:t>
      </w:r>
      <w:r w:rsidRPr="00B20457">
        <w:t>. Insurers also have a role in</w:t>
      </w:r>
      <w:r w:rsidRPr="00B20457">
        <w:rPr>
          <w:color w:val="245CA2" w:themeColor="accent5" w:themeShade="BF"/>
        </w:rPr>
        <w:t xml:space="preserve"> </w:t>
      </w:r>
      <w:r w:rsidRPr="006C4543">
        <w:t xml:space="preserve">improving the </w:t>
      </w:r>
      <w:r w:rsidRPr="006C4543">
        <w:lastRenderedPageBreak/>
        <w:t>knowledge base through conducting research, cooperating with other stakeholders, and educating communities about insurance and risk management (</w:t>
      </w:r>
      <w:r>
        <w:t>IAG</w:t>
      </w:r>
      <w:r w:rsidRPr="006C4543">
        <w:t xml:space="preserve">, sub. 24; </w:t>
      </w:r>
      <w:r>
        <w:t>ICA</w:t>
      </w:r>
      <w:r w:rsidRPr="006C4543">
        <w:t>, sub. 57)</w:t>
      </w:r>
      <w:r w:rsidRPr="00B20457">
        <w:t>.</w:t>
      </w:r>
    </w:p>
    <w:p w14:paraId="00891742" w14:textId="6543DE6F" w:rsidR="00DE1537" w:rsidRDefault="00DE1537" w:rsidP="00343F3E">
      <w:pPr>
        <w:pStyle w:val="BodyText"/>
      </w:pPr>
      <w:r w:rsidRPr="00B20457">
        <w:t xml:space="preserve">The broader </w:t>
      </w:r>
      <w:r w:rsidRPr="006C4543">
        <w:rPr>
          <w:b/>
        </w:rPr>
        <w:t>research community</w:t>
      </w:r>
      <w:r w:rsidRPr="00B20457">
        <w:t xml:space="preserve"> ha</w:t>
      </w:r>
      <w:r>
        <w:t>s</w:t>
      </w:r>
      <w:r w:rsidRPr="00B20457">
        <w:t xml:space="preserve"> a role alongside governments to provide information and </w:t>
      </w:r>
      <w:r w:rsidRPr="00580D12">
        <w:t>advance</w:t>
      </w:r>
      <w:r w:rsidRPr="00B20457">
        <w:t xml:space="preserve"> knowledge that will increase community resilience to natural disasters (box </w:t>
      </w:r>
      <w:r>
        <w:t>2.3</w:t>
      </w:r>
      <w:r w:rsidRPr="00B20457">
        <w:t>). Researchers collect data and provide analysis, risk assessment and often work closely with government agencies and insurers. Private sector agents can also provide natural disaster information. For example, the</w:t>
      </w:r>
      <w:r>
        <w:t xml:space="preserve"> Insurance Council of Australia </w:t>
      </w:r>
      <w:r w:rsidR="007C5656" w:rsidRPr="007C5656">
        <w:rPr>
          <w:szCs w:val="24"/>
        </w:rPr>
        <w:t>(ICA 2014d)</w:t>
      </w:r>
      <w:r w:rsidRPr="006C4543">
        <w:t xml:space="preserve"> maintains a record of historical disaster statistics that is used in natural disaster research</w:t>
      </w:r>
      <w:r>
        <w:t>. Further,</w:t>
      </w:r>
      <w:r w:rsidRPr="006C4543">
        <w:t xml:space="preserve"> Risk Frontiers (sub. 19) has developed a database of national hazard profiles by street address to help inform insurers of Australian risks.</w:t>
      </w:r>
    </w:p>
    <w:p w14:paraId="264DEBEF" w14:textId="6B45602B" w:rsidR="00DE1537" w:rsidRDefault="00DE1537" w:rsidP="00343F3E">
      <w:pPr>
        <w:pStyle w:val="BodyText"/>
      </w:pPr>
      <w:r>
        <w:rPr>
          <w:b/>
        </w:rPr>
        <w:t>Volunteers and non</w:t>
      </w:r>
      <w:r w:rsidRPr="006C4543">
        <w:rPr>
          <w:b/>
        </w:rPr>
        <w:t>profit agencies</w:t>
      </w:r>
      <w:r w:rsidRPr="00CB41DC">
        <w:t xml:space="preserve"> have a role in </w:t>
      </w:r>
      <w:r>
        <w:t>preparing</w:t>
      </w:r>
      <w:r w:rsidRPr="00CB41DC">
        <w:t xml:space="preserve"> for and </w:t>
      </w:r>
      <w:r>
        <w:t>responding</w:t>
      </w:r>
      <w:r w:rsidRPr="00CB41DC">
        <w:t xml:space="preserve"> to natural disasters</w:t>
      </w:r>
      <w:r>
        <w:t>. They</w:t>
      </w:r>
      <w:r w:rsidRPr="00CB41DC">
        <w:t xml:space="preserve"> reduce </w:t>
      </w:r>
      <w:r>
        <w:t xml:space="preserve">fiscal costs of </w:t>
      </w:r>
      <w:r w:rsidRPr="00CB41DC">
        <w:t>disaster response</w:t>
      </w:r>
      <w:r>
        <w:t xml:space="preserve"> and recovery</w:t>
      </w:r>
      <w:r w:rsidRPr="00CB41DC">
        <w:t xml:space="preserve"> as these functions would otherwise likely be taken on by government</w:t>
      </w:r>
      <w:r>
        <w:t>. For example, the</w:t>
      </w:r>
      <w:r w:rsidRPr="00CB41DC">
        <w:t xml:space="preserve"> Australian Red Cross (sub.</w:t>
      </w:r>
      <w:r>
        <w:t> </w:t>
      </w:r>
      <w:r w:rsidRPr="00CB41DC">
        <w:t>56) noted that the organisation has a role in providing emergency preparedness, response and recovery services in addition to government authorities.</w:t>
      </w:r>
      <w:r>
        <w:t xml:space="preserve"> </w:t>
      </w:r>
      <w:r w:rsidRPr="00CB41DC">
        <w:t>Relief measures often involve running emergency community centres</w:t>
      </w:r>
      <w:r>
        <w:t>, soliciting donations</w:t>
      </w:r>
      <w:r w:rsidRPr="00CB41DC">
        <w:t xml:space="preserve"> and providing support to victims.</w:t>
      </w:r>
      <w:r>
        <w:t xml:space="preserve"> For example, after the Black Saturday bushfires in 2009, donations made up approximately 13 per cent ($400 million) of funding for property losses </w:t>
      </w:r>
      <w:r w:rsidRPr="005D171C">
        <w:rPr>
          <w:szCs w:val="24"/>
        </w:rPr>
        <w:t>(Latham, McCourt and Larkin 2010)</w:t>
      </w:r>
      <w:r>
        <w:t>. Charitable donations for natural disasters are highly variable (section 2.6).</w:t>
      </w:r>
    </w:p>
    <w:p w14:paraId="4599C9D1" w14:textId="77777777" w:rsidR="001F3989" w:rsidRDefault="001F3989" w:rsidP="001F3989">
      <w:pPr>
        <w:pStyle w:val="Heading3"/>
      </w:pPr>
      <w:r>
        <w:t>Government roles and responsibilities</w:t>
      </w:r>
    </w:p>
    <w:p w14:paraId="113144CC" w14:textId="19CCD091" w:rsidR="001F3989" w:rsidRDefault="001F3989" w:rsidP="00343F3E">
      <w:pPr>
        <w:pStyle w:val="BodyText"/>
      </w:pPr>
      <w:r>
        <w:t>All levels of government have roles and responsibilities for funding natural disaster risk management in respect of government</w:t>
      </w:r>
      <w:r>
        <w:noBreakHyphen/>
        <w:t>owned assets, as well as taking collective action where the private sector is not able to produce an efficient outcome. The allocation of roles and responsibilities is generally guided by the Australian Constitution, and further clarified in various intergovernmental agreements. Table 2.1 summarises the various roles played by each level of government. Given that many of the roles overlap with all three levels of government in Australia, the management and funding of natural disaster risk is characterised by a degree of both coordination and duplication.</w:t>
      </w:r>
    </w:p>
    <w:p w14:paraId="1661091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4"/>
      </w:tblGrid>
      <w:tr w:rsidR="00DE1537" w14:paraId="23839260" w14:textId="77777777" w:rsidTr="00343F3E">
        <w:tc>
          <w:tcPr>
            <w:tcW w:w="8774" w:type="dxa"/>
            <w:tcBorders>
              <w:top w:val="single" w:sz="6" w:space="0" w:color="78A22F"/>
              <w:left w:val="nil"/>
              <w:bottom w:val="nil"/>
              <w:right w:val="nil"/>
            </w:tcBorders>
            <w:shd w:val="clear" w:color="auto" w:fill="F2F2F2" w:themeFill="background1" w:themeFillShade="F2"/>
          </w:tcPr>
          <w:p w14:paraId="23A59CF8" w14:textId="7472AB6B" w:rsidR="00DE1537" w:rsidRDefault="00DE1537" w:rsidP="00343F3E">
            <w:pPr>
              <w:pStyle w:val="BoxTitle"/>
            </w:pPr>
            <w:r>
              <w:rPr>
                <w:b w:val="0"/>
              </w:rPr>
              <w:t xml:space="preserve">Box </w:t>
            </w:r>
            <w:bookmarkStart w:id="18" w:name="OLE_LINK8"/>
            <w:r>
              <w:rPr>
                <w:b w:val="0"/>
              </w:rPr>
              <w:t>2.</w:t>
            </w:r>
            <w:r>
              <w:rPr>
                <w:b w:val="0"/>
                <w:noProof/>
              </w:rPr>
              <w:t>3</w:t>
            </w:r>
            <w:bookmarkEnd w:id="18"/>
            <w:r>
              <w:tab/>
              <w:t>Natural hazard information and research</w:t>
            </w:r>
          </w:p>
        </w:tc>
      </w:tr>
      <w:tr w:rsidR="00DE1537" w14:paraId="34300FD6" w14:textId="77777777" w:rsidTr="00343F3E">
        <w:trPr>
          <w:cantSplit/>
        </w:trPr>
        <w:tc>
          <w:tcPr>
            <w:tcW w:w="8774" w:type="dxa"/>
            <w:tcBorders>
              <w:top w:val="nil"/>
              <w:left w:val="nil"/>
              <w:bottom w:val="nil"/>
              <w:right w:val="nil"/>
            </w:tcBorders>
            <w:shd w:val="clear" w:color="auto" w:fill="F2F2F2" w:themeFill="background1" w:themeFillShade="F2"/>
          </w:tcPr>
          <w:p w14:paraId="09933885" w14:textId="77777777" w:rsidR="00DE1537" w:rsidRDefault="00DE1537" w:rsidP="00343F3E">
            <w:pPr>
              <w:pStyle w:val="Box"/>
            </w:pPr>
            <w:r>
              <w:t>Information is important for managing natural disaster risks and can increase awareness of risks and inform risk management decisions. Currently, most natural disaster risk information is provided by governments, although insurers and academic researchers also contribute information and research.</w:t>
            </w:r>
          </w:p>
          <w:p w14:paraId="6FEBF4A8" w14:textId="77777777" w:rsidR="00DE1537" w:rsidRDefault="00DE1537" w:rsidP="00343F3E">
            <w:pPr>
              <w:pStyle w:val="Box"/>
            </w:pPr>
            <w:r>
              <w:t>There are several Australian Government agencies which undertake research and provide information services, such as meteorological, hydrological, geophysical and other services that support warnings and disaster management. State, territory and local governments provide local natural disaster information (such as statewide risk assessments) and information portals to aid in community preparation and understanding of state emergency response plans.</w:t>
            </w:r>
          </w:p>
          <w:p w14:paraId="4A15CB47" w14:textId="77777777" w:rsidR="00DE1537" w:rsidRDefault="00DE1537" w:rsidP="00343F3E">
            <w:pPr>
              <w:pStyle w:val="BoxHeading1"/>
            </w:pPr>
            <w:r>
              <w:t>Current state of data and information gathering</w:t>
            </w:r>
          </w:p>
          <w:tbl>
            <w:tblPr>
              <w:tblW w:w="8483" w:type="dxa"/>
              <w:tblCellMar>
                <w:top w:w="28" w:type="dxa"/>
                <w:left w:w="0" w:type="dxa"/>
                <w:right w:w="0" w:type="dxa"/>
              </w:tblCellMar>
              <w:tblLook w:val="0000" w:firstRow="0" w:lastRow="0" w:firstColumn="0" w:lastColumn="0" w:noHBand="0" w:noVBand="0"/>
            </w:tblPr>
            <w:tblGrid>
              <w:gridCol w:w="2828"/>
              <w:gridCol w:w="5655"/>
            </w:tblGrid>
            <w:tr w:rsidR="00DE1537" w14:paraId="09757E9A" w14:textId="77777777" w:rsidTr="00343F3E">
              <w:tc>
                <w:tcPr>
                  <w:tcW w:w="1667" w:type="pct"/>
                  <w:tcBorders>
                    <w:top w:val="single" w:sz="4" w:space="0" w:color="BFBFBF"/>
                    <w:bottom w:val="single" w:sz="4" w:space="0" w:color="BFBFBF"/>
                  </w:tcBorders>
                  <w:vAlign w:val="center"/>
                </w:tcPr>
                <w:p w14:paraId="412436CA" w14:textId="77777777" w:rsidR="00DE1537" w:rsidRPr="00736E1E" w:rsidRDefault="00DE1537" w:rsidP="00343F3E">
                  <w:pPr>
                    <w:pStyle w:val="TableColumnHeading"/>
                    <w:jc w:val="left"/>
                  </w:pPr>
                  <w:r w:rsidRPr="00736E1E">
                    <w:t>Who collects the information</w:t>
                  </w:r>
                  <w:r>
                    <w:t>?</w:t>
                  </w:r>
                </w:p>
              </w:tc>
              <w:tc>
                <w:tcPr>
                  <w:tcW w:w="3333" w:type="pct"/>
                  <w:tcBorders>
                    <w:top w:val="single" w:sz="4" w:space="0" w:color="BFBFBF"/>
                    <w:bottom w:val="single" w:sz="4" w:space="0" w:color="BFBFBF"/>
                  </w:tcBorders>
                  <w:vAlign w:val="center"/>
                </w:tcPr>
                <w:p w14:paraId="2556AE9D" w14:textId="77777777" w:rsidR="00DE1537" w:rsidRPr="00736E1E" w:rsidRDefault="00DE1537" w:rsidP="00343F3E">
                  <w:pPr>
                    <w:pStyle w:val="TableColumnHeading"/>
                    <w:jc w:val="left"/>
                  </w:pPr>
                  <w:r w:rsidRPr="00736E1E">
                    <w:t>What information is collected?</w:t>
                  </w:r>
                </w:p>
              </w:tc>
            </w:tr>
            <w:tr w:rsidR="00DE1537" w14:paraId="1162AC5B" w14:textId="77777777" w:rsidTr="00343F3E">
              <w:tc>
                <w:tcPr>
                  <w:tcW w:w="1667" w:type="pct"/>
                  <w:tcBorders>
                    <w:top w:val="single" w:sz="4" w:space="0" w:color="BFBFBF"/>
                  </w:tcBorders>
                </w:tcPr>
                <w:p w14:paraId="7B868AF2" w14:textId="77777777" w:rsidR="00DE1537" w:rsidRPr="00736E1E" w:rsidRDefault="00DE1537" w:rsidP="00343F3E">
                  <w:pPr>
                    <w:pStyle w:val="TableBodyText"/>
                    <w:jc w:val="left"/>
                  </w:pPr>
                  <w:r w:rsidRPr="00736E1E">
                    <w:t>Academic researchers</w:t>
                  </w:r>
                </w:p>
              </w:tc>
              <w:tc>
                <w:tcPr>
                  <w:tcW w:w="3333" w:type="pct"/>
                  <w:tcBorders>
                    <w:top w:val="single" w:sz="4" w:space="0" w:color="BFBFBF"/>
                  </w:tcBorders>
                </w:tcPr>
                <w:p w14:paraId="738D5E2C" w14:textId="77777777" w:rsidR="00DE1537" w:rsidRDefault="00DE1537" w:rsidP="00343F3E">
                  <w:pPr>
                    <w:pStyle w:val="TableBodyText"/>
                    <w:jc w:val="left"/>
                  </w:pPr>
                  <w:r>
                    <w:t>General research and contribute to innovation in the emergency management sector</w:t>
                  </w:r>
                </w:p>
              </w:tc>
            </w:tr>
            <w:tr w:rsidR="00DE1537" w14:paraId="30944C2C" w14:textId="77777777" w:rsidTr="00343F3E">
              <w:tc>
                <w:tcPr>
                  <w:tcW w:w="1667" w:type="pct"/>
                </w:tcPr>
                <w:p w14:paraId="117AE7F8" w14:textId="77777777" w:rsidR="00DE1537" w:rsidRPr="00736E1E" w:rsidRDefault="00DE1537" w:rsidP="00343F3E">
                  <w:pPr>
                    <w:pStyle w:val="TableBodyText"/>
                    <w:spacing w:before="40"/>
                    <w:jc w:val="left"/>
                  </w:pPr>
                  <w:r w:rsidRPr="00736E1E">
                    <w:t>Australian Building Codes Board</w:t>
                  </w:r>
                </w:p>
              </w:tc>
              <w:tc>
                <w:tcPr>
                  <w:tcW w:w="3333" w:type="pct"/>
                </w:tcPr>
                <w:p w14:paraId="3321BE75" w14:textId="77777777" w:rsidR="00DE1537" w:rsidRDefault="00DE1537" w:rsidP="00343F3E">
                  <w:pPr>
                    <w:pStyle w:val="TableBodyText"/>
                    <w:spacing w:before="40"/>
                    <w:jc w:val="left"/>
                  </w:pPr>
                  <w:r>
                    <w:t>Wind hazard mapping</w:t>
                  </w:r>
                </w:p>
              </w:tc>
            </w:tr>
            <w:tr w:rsidR="00DE1537" w14:paraId="030A3915" w14:textId="77777777" w:rsidTr="00343F3E">
              <w:tc>
                <w:tcPr>
                  <w:tcW w:w="1667" w:type="pct"/>
                </w:tcPr>
                <w:p w14:paraId="443AFA44" w14:textId="77777777" w:rsidR="00DE1537" w:rsidRPr="00736E1E" w:rsidRDefault="00DE1537" w:rsidP="00343F3E">
                  <w:pPr>
                    <w:pStyle w:val="TableBodyText"/>
                    <w:jc w:val="left"/>
                  </w:pPr>
                  <w:r>
                    <w:t>Australian Bureau of Statistics</w:t>
                  </w:r>
                </w:p>
              </w:tc>
              <w:tc>
                <w:tcPr>
                  <w:tcW w:w="3333" w:type="pct"/>
                </w:tcPr>
                <w:p w14:paraId="259FEB15" w14:textId="77777777" w:rsidR="00DE1537" w:rsidRDefault="00DE1537" w:rsidP="00343F3E">
                  <w:pPr>
                    <w:pStyle w:val="TableBodyText"/>
                    <w:jc w:val="left"/>
                  </w:pPr>
                  <w:r>
                    <w:t>Asset and demographic information</w:t>
                  </w:r>
                </w:p>
              </w:tc>
            </w:tr>
            <w:tr w:rsidR="00DE1537" w14:paraId="0E5695C5" w14:textId="77777777" w:rsidTr="00343F3E">
              <w:tc>
                <w:tcPr>
                  <w:tcW w:w="1667" w:type="pct"/>
                </w:tcPr>
                <w:p w14:paraId="3A3C93CD" w14:textId="77777777" w:rsidR="00DE1537" w:rsidRPr="00736E1E" w:rsidRDefault="00DE1537" w:rsidP="00343F3E">
                  <w:pPr>
                    <w:pStyle w:val="TableBodyText"/>
                    <w:spacing w:after="0"/>
                    <w:jc w:val="left"/>
                  </w:pPr>
                  <w:r w:rsidRPr="00736E1E">
                    <w:t>BNHCRC</w:t>
                  </w:r>
                  <w:r w:rsidRPr="00736E1E">
                    <w:rPr>
                      <w:rStyle w:val="NoteLabel"/>
                    </w:rPr>
                    <w:t>a</w:t>
                  </w:r>
                </w:p>
              </w:tc>
              <w:tc>
                <w:tcPr>
                  <w:tcW w:w="3333" w:type="pct"/>
                </w:tcPr>
                <w:p w14:paraId="40FEE9A7" w14:textId="77777777" w:rsidR="00DE1537" w:rsidRDefault="00DE1537" w:rsidP="00343F3E">
                  <w:pPr>
                    <w:pStyle w:val="TableBodyText"/>
                    <w:spacing w:before="40"/>
                    <w:jc w:val="left"/>
                  </w:pPr>
                  <w:r>
                    <w:t>Research on reducing the risks and costs of natural disasters</w:t>
                  </w:r>
                </w:p>
              </w:tc>
            </w:tr>
            <w:tr w:rsidR="00DE1537" w14:paraId="24016324" w14:textId="77777777" w:rsidTr="00343F3E">
              <w:tc>
                <w:tcPr>
                  <w:tcW w:w="1667" w:type="pct"/>
                </w:tcPr>
                <w:p w14:paraId="2ABC61D6" w14:textId="77777777" w:rsidR="00DE1537" w:rsidRPr="00736E1E" w:rsidRDefault="00DE1537" w:rsidP="00343F3E">
                  <w:pPr>
                    <w:pStyle w:val="TableBodyText"/>
                    <w:jc w:val="left"/>
                  </w:pPr>
                  <w:r>
                    <w:t>Bureau of Meteorology</w:t>
                  </w:r>
                </w:p>
              </w:tc>
              <w:tc>
                <w:tcPr>
                  <w:tcW w:w="3333" w:type="pct"/>
                </w:tcPr>
                <w:p w14:paraId="18021C39" w14:textId="77777777" w:rsidR="00DE1537" w:rsidRDefault="00DE1537" w:rsidP="00343F3E">
                  <w:pPr>
                    <w:pStyle w:val="TableBodyText"/>
                    <w:jc w:val="left"/>
                  </w:pPr>
                  <w:r>
                    <w:t>Weather and other climate information (forecasts, warnings, monitoring and advisory roles)</w:t>
                  </w:r>
                </w:p>
              </w:tc>
            </w:tr>
            <w:tr w:rsidR="00DE1537" w14:paraId="27E09376" w14:textId="77777777" w:rsidTr="00343F3E">
              <w:tc>
                <w:tcPr>
                  <w:tcW w:w="1667" w:type="pct"/>
                </w:tcPr>
                <w:p w14:paraId="64452AE7" w14:textId="77777777" w:rsidR="00DE1537" w:rsidRPr="00736E1E" w:rsidRDefault="00DE1537" w:rsidP="00343F3E">
                  <w:pPr>
                    <w:pStyle w:val="TableBodyText"/>
                    <w:jc w:val="left"/>
                  </w:pPr>
                  <w:r w:rsidRPr="00736E1E">
                    <w:t>CSIRO</w:t>
                  </w:r>
                </w:p>
              </w:tc>
              <w:tc>
                <w:tcPr>
                  <w:tcW w:w="3333" w:type="pct"/>
                </w:tcPr>
                <w:p w14:paraId="4C8BBD0E" w14:textId="77777777" w:rsidR="00DE1537" w:rsidRDefault="00DE1537" w:rsidP="00343F3E">
                  <w:pPr>
                    <w:pStyle w:val="TableBodyText"/>
                    <w:jc w:val="left"/>
                  </w:pPr>
                  <w:r w:rsidRPr="00D616BB">
                    <w:t>Applied technical and social research for improved understanding of natural hazards and risks, and of mitigation options and their benefits</w:t>
                  </w:r>
                </w:p>
              </w:tc>
            </w:tr>
            <w:tr w:rsidR="00DE1537" w14:paraId="4C90E57D" w14:textId="77777777" w:rsidTr="00343F3E">
              <w:tc>
                <w:tcPr>
                  <w:tcW w:w="1667" w:type="pct"/>
                </w:tcPr>
                <w:p w14:paraId="6D85D362" w14:textId="77777777" w:rsidR="00DE1537" w:rsidRPr="00736E1E" w:rsidRDefault="00DE1537" w:rsidP="00343F3E">
                  <w:pPr>
                    <w:pStyle w:val="TableBodyText"/>
                    <w:jc w:val="left"/>
                  </w:pPr>
                  <w:r w:rsidRPr="00736E1E">
                    <w:t>Geoscience Australia</w:t>
                  </w:r>
                </w:p>
              </w:tc>
              <w:tc>
                <w:tcPr>
                  <w:tcW w:w="3333" w:type="pct"/>
                </w:tcPr>
                <w:p w14:paraId="420B3550" w14:textId="77777777" w:rsidR="00DE1537" w:rsidRDefault="00DE1537" w:rsidP="00343F3E">
                  <w:pPr>
                    <w:pStyle w:val="TableBodyText"/>
                    <w:jc w:val="left"/>
                  </w:pPr>
                  <w:r>
                    <w:t>Geographic and geological data</w:t>
                  </w:r>
                </w:p>
                <w:p w14:paraId="43090851" w14:textId="77777777" w:rsidR="00DE1537" w:rsidRDefault="00DE1537" w:rsidP="00343F3E">
                  <w:pPr>
                    <w:pStyle w:val="TableBodyText"/>
                    <w:jc w:val="left"/>
                  </w:pPr>
                  <w:r>
                    <w:t xml:space="preserve">Produces earthquake and flood hazard mapping data and research, </w:t>
                  </w:r>
                  <w:r w:rsidRPr="008A5425">
                    <w:t>LiDAR elevation studies, National Exposure Information System, natural hazard maps and models</w:t>
                  </w:r>
                </w:p>
              </w:tc>
            </w:tr>
            <w:tr w:rsidR="00DE1537" w14:paraId="390FC68A" w14:textId="77777777" w:rsidTr="00343F3E">
              <w:tc>
                <w:tcPr>
                  <w:tcW w:w="1667" w:type="pct"/>
                </w:tcPr>
                <w:p w14:paraId="6DC0D2FC" w14:textId="77777777" w:rsidR="00DE1537" w:rsidRPr="00736E1E" w:rsidRDefault="00DE1537" w:rsidP="00343F3E">
                  <w:pPr>
                    <w:pStyle w:val="TableBodyText"/>
                    <w:jc w:val="left"/>
                  </w:pPr>
                  <w:r w:rsidRPr="00736E1E">
                    <w:t xml:space="preserve">Geoscience Australia and </w:t>
                  </w:r>
                  <w:r>
                    <w:t>Attorney</w:t>
                  </w:r>
                  <w:r>
                    <w:noBreakHyphen/>
                    <w:t>General’s</w:t>
                  </w:r>
                  <w:r w:rsidRPr="00736E1E">
                    <w:t xml:space="preserve"> Department</w:t>
                  </w:r>
                </w:p>
              </w:tc>
              <w:tc>
                <w:tcPr>
                  <w:tcW w:w="3333" w:type="pct"/>
                </w:tcPr>
                <w:p w14:paraId="196B00F0" w14:textId="77777777" w:rsidR="00DE1537" w:rsidRDefault="00DE1537" w:rsidP="00343F3E">
                  <w:pPr>
                    <w:pStyle w:val="TableBodyText"/>
                    <w:jc w:val="left"/>
                  </w:pPr>
                  <w:r>
                    <w:t>National Flood Risk Information Project</w:t>
                  </w:r>
                </w:p>
              </w:tc>
            </w:tr>
            <w:tr w:rsidR="00DE1537" w14:paraId="1DD2EC5A" w14:textId="77777777" w:rsidTr="00343F3E">
              <w:tc>
                <w:tcPr>
                  <w:tcW w:w="1667" w:type="pct"/>
                </w:tcPr>
                <w:p w14:paraId="2D405D52" w14:textId="77777777" w:rsidR="00DE1537" w:rsidRPr="00736E1E" w:rsidRDefault="00DE1537" w:rsidP="00343F3E">
                  <w:pPr>
                    <w:pStyle w:val="TableBodyText"/>
                    <w:jc w:val="left"/>
                  </w:pPr>
                  <w:r>
                    <w:t>Insurers</w:t>
                  </w:r>
                </w:p>
              </w:tc>
              <w:tc>
                <w:tcPr>
                  <w:tcW w:w="3333" w:type="pct"/>
                </w:tcPr>
                <w:p w14:paraId="1948EDAE" w14:textId="77777777" w:rsidR="00DE1537" w:rsidRDefault="00DE1537" w:rsidP="00343F3E">
                  <w:pPr>
                    <w:pStyle w:val="TableBodyText"/>
                    <w:jc w:val="left"/>
                  </w:pPr>
                  <w:r>
                    <w:t>Insurance and natural hazard data</w:t>
                  </w:r>
                </w:p>
              </w:tc>
            </w:tr>
            <w:tr w:rsidR="00DE1537" w14:paraId="757E0C4D" w14:textId="77777777" w:rsidTr="00343F3E">
              <w:tc>
                <w:tcPr>
                  <w:tcW w:w="1667" w:type="pct"/>
                </w:tcPr>
                <w:p w14:paraId="3FC1FEC1" w14:textId="77777777" w:rsidR="00DE1537" w:rsidRPr="00736E1E" w:rsidRDefault="00DE1537" w:rsidP="00343F3E">
                  <w:pPr>
                    <w:pStyle w:val="TableBodyText"/>
                    <w:jc w:val="left"/>
                  </w:pPr>
                  <w:r w:rsidRPr="00736E1E">
                    <w:t>Local governments</w:t>
                  </w:r>
                </w:p>
              </w:tc>
              <w:tc>
                <w:tcPr>
                  <w:tcW w:w="3333" w:type="pct"/>
                </w:tcPr>
                <w:p w14:paraId="10570596" w14:textId="77777777" w:rsidR="00DE1537" w:rsidRDefault="00DE1537" w:rsidP="00343F3E">
                  <w:pPr>
                    <w:pStyle w:val="TableBodyText"/>
                    <w:jc w:val="left"/>
                  </w:pPr>
                  <w:r>
                    <w:t>Flood mapping</w:t>
                  </w:r>
                </w:p>
              </w:tc>
            </w:tr>
            <w:tr w:rsidR="00DE1537" w14:paraId="224CBA9D" w14:textId="77777777" w:rsidTr="00343F3E">
              <w:tc>
                <w:tcPr>
                  <w:tcW w:w="1667" w:type="pct"/>
                  <w:tcBorders>
                    <w:bottom w:val="single" w:sz="4" w:space="0" w:color="BFBFBF"/>
                  </w:tcBorders>
                </w:tcPr>
                <w:p w14:paraId="7FAAEABE" w14:textId="77777777" w:rsidR="00DE1537" w:rsidRPr="00736E1E" w:rsidRDefault="00DE1537" w:rsidP="00343F3E">
                  <w:pPr>
                    <w:pStyle w:val="TableBodyText"/>
                    <w:jc w:val="left"/>
                  </w:pPr>
                  <w:r w:rsidRPr="00736E1E">
                    <w:t>State</w:t>
                  </w:r>
                  <w:r>
                    <w:t>, territory</w:t>
                  </w:r>
                  <w:r w:rsidRPr="00736E1E">
                    <w:t xml:space="preserve"> and local governments</w:t>
                  </w:r>
                </w:p>
              </w:tc>
              <w:tc>
                <w:tcPr>
                  <w:tcW w:w="3333" w:type="pct"/>
                  <w:tcBorders>
                    <w:bottom w:val="single" w:sz="4" w:space="0" w:color="BFBFBF"/>
                  </w:tcBorders>
                </w:tcPr>
                <w:p w14:paraId="5AFC7621" w14:textId="77777777" w:rsidR="00DE1537" w:rsidRDefault="00DE1537" w:rsidP="00343F3E">
                  <w:pPr>
                    <w:pStyle w:val="TableBodyText"/>
                    <w:jc w:val="left"/>
                  </w:pPr>
                  <w:r>
                    <w:t>Risk assessments and bushfire mapping</w:t>
                  </w:r>
                </w:p>
              </w:tc>
            </w:tr>
          </w:tbl>
          <w:p w14:paraId="749FDEB7" w14:textId="77777777" w:rsidR="00DE1537" w:rsidRDefault="00DE1537" w:rsidP="00343F3E">
            <w:pPr>
              <w:pStyle w:val="Box"/>
            </w:pPr>
          </w:p>
        </w:tc>
      </w:tr>
      <w:tr w:rsidR="00DE1537" w14:paraId="4A7E934D" w14:textId="77777777" w:rsidTr="00343F3E">
        <w:trPr>
          <w:cantSplit/>
        </w:trPr>
        <w:tc>
          <w:tcPr>
            <w:tcW w:w="8774" w:type="dxa"/>
            <w:tcBorders>
              <w:top w:val="nil"/>
              <w:left w:val="nil"/>
              <w:bottom w:val="nil"/>
              <w:right w:val="nil"/>
            </w:tcBorders>
            <w:shd w:val="clear" w:color="auto" w:fill="F2F2F2" w:themeFill="background1" w:themeFillShade="F2"/>
          </w:tcPr>
          <w:p w14:paraId="32DC5A3D" w14:textId="77777777" w:rsidR="00DE1537" w:rsidRDefault="00DE1537" w:rsidP="00343F3E">
            <w:pPr>
              <w:pStyle w:val="BoxSource"/>
              <w:rPr>
                <w:i/>
              </w:rPr>
            </w:pPr>
            <w:r w:rsidRPr="00736E1E">
              <w:rPr>
                <w:rStyle w:val="NoteLabel"/>
              </w:rPr>
              <w:t>a</w:t>
            </w:r>
            <w:r w:rsidRPr="00736E1E">
              <w:t xml:space="preserve"> The Bushfire and Natural Hazards Coo</w:t>
            </w:r>
            <w:r>
              <w:t>perative Research Centre</w:t>
            </w:r>
            <w:r w:rsidRPr="00736E1E">
              <w:t xml:space="preserve"> was established in 2013 and is funded for </w:t>
            </w:r>
            <w:r>
              <w:t xml:space="preserve">eight </w:t>
            </w:r>
            <w:r w:rsidRPr="00736E1E">
              <w:t>years with $47 million from the Australian Government and approximately $80 million in cash and in</w:t>
            </w:r>
            <w:r>
              <w:noBreakHyphen/>
            </w:r>
            <w:r w:rsidRPr="00736E1E">
              <w:t>kind funding from partner agencies, non</w:t>
            </w:r>
            <w:r>
              <w:noBreakHyphen/>
            </w:r>
            <w:r w:rsidRPr="00736E1E">
              <w:t>government organisations, government organisations and research institutions.</w:t>
            </w:r>
          </w:p>
        </w:tc>
      </w:tr>
      <w:tr w:rsidR="00DE1537" w14:paraId="2FE450C0" w14:textId="77777777" w:rsidTr="00343F3E">
        <w:trPr>
          <w:cantSplit/>
        </w:trPr>
        <w:tc>
          <w:tcPr>
            <w:tcW w:w="8774" w:type="dxa"/>
            <w:tcBorders>
              <w:top w:val="nil"/>
              <w:left w:val="nil"/>
              <w:bottom w:val="nil"/>
              <w:right w:val="nil"/>
            </w:tcBorders>
            <w:shd w:val="clear" w:color="auto" w:fill="F2F2F2" w:themeFill="background1" w:themeFillShade="F2"/>
          </w:tcPr>
          <w:p w14:paraId="74E5D333" w14:textId="4FFC31C5" w:rsidR="00DE1537" w:rsidRDefault="00DE1537" w:rsidP="00343F3E">
            <w:pPr>
              <w:pStyle w:val="BoxSource"/>
            </w:pPr>
            <w:r>
              <w:rPr>
                <w:i/>
              </w:rPr>
              <w:t>Sources</w:t>
            </w:r>
            <w:r w:rsidRPr="00167F06">
              <w:t xml:space="preserve">: </w:t>
            </w:r>
            <w:r>
              <w:t xml:space="preserve">BNHCRC (sub. 41); BOM (sub. 105); CSIRO (sub. 72); Deloitte Access Economics </w:t>
            </w:r>
            <w:r w:rsidR="007C5656" w:rsidRPr="007C5656">
              <w:rPr>
                <w:rFonts w:cs="Arial"/>
              </w:rPr>
              <w:t>(2014a)</w:t>
            </w:r>
            <w:r>
              <w:t xml:space="preserve">; Geoscience Australia (sub. 111). </w:t>
            </w:r>
          </w:p>
        </w:tc>
      </w:tr>
      <w:tr w:rsidR="00DE1537" w14:paraId="7FEFC85E" w14:textId="77777777" w:rsidTr="00343F3E">
        <w:trPr>
          <w:cantSplit/>
        </w:trPr>
        <w:tc>
          <w:tcPr>
            <w:tcW w:w="8774" w:type="dxa"/>
            <w:tcBorders>
              <w:top w:val="nil"/>
              <w:left w:val="nil"/>
              <w:bottom w:val="single" w:sz="6" w:space="0" w:color="78A22F"/>
              <w:right w:val="nil"/>
            </w:tcBorders>
            <w:shd w:val="clear" w:color="auto" w:fill="F2F2F2" w:themeFill="background1" w:themeFillShade="F2"/>
          </w:tcPr>
          <w:p w14:paraId="64FAADF0" w14:textId="77777777" w:rsidR="00DE1537" w:rsidRDefault="00DE1537" w:rsidP="00343F3E">
            <w:pPr>
              <w:pStyle w:val="Box"/>
              <w:spacing w:before="0" w:line="120" w:lineRule="exact"/>
            </w:pPr>
          </w:p>
        </w:tc>
      </w:tr>
      <w:tr w:rsidR="00DE1537" w:rsidRPr="000863A5" w14:paraId="2D26BD2A" w14:textId="77777777" w:rsidTr="00343F3E">
        <w:tc>
          <w:tcPr>
            <w:tcW w:w="8774" w:type="dxa"/>
            <w:tcBorders>
              <w:top w:val="single" w:sz="6" w:space="0" w:color="78A22F"/>
              <w:left w:val="nil"/>
              <w:bottom w:val="nil"/>
              <w:right w:val="nil"/>
            </w:tcBorders>
          </w:tcPr>
          <w:p w14:paraId="2CE6CBD7" w14:textId="77777777" w:rsidR="00DE1537" w:rsidRPr="00626D32" w:rsidRDefault="00DE1537" w:rsidP="00343F3E">
            <w:pPr>
              <w:pStyle w:val="BoxSpaceBelow"/>
            </w:pPr>
          </w:p>
        </w:tc>
      </w:tr>
    </w:tbl>
    <w:p w14:paraId="33EFAACC"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8C41DBD" w14:textId="77777777" w:rsidTr="00343F3E">
        <w:tc>
          <w:tcPr>
            <w:tcW w:w="8771" w:type="dxa"/>
            <w:tcBorders>
              <w:top w:val="single" w:sz="4" w:space="0" w:color="78A22F"/>
              <w:left w:val="nil"/>
              <w:bottom w:val="nil"/>
              <w:right w:val="nil"/>
            </w:tcBorders>
            <w:shd w:val="clear" w:color="auto" w:fill="auto"/>
          </w:tcPr>
          <w:p w14:paraId="0C7828DB" w14:textId="7A2D6C12" w:rsidR="00DE1537" w:rsidRPr="00784A05" w:rsidRDefault="00DE1537" w:rsidP="00343F3E">
            <w:pPr>
              <w:pStyle w:val="TableTitle"/>
            </w:pPr>
            <w:r>
              <w:rPr>
                <w:b w:val="0"/>
              </w:rPr>
              <w:t xml:space="preserve">Table </w:t>
            </w:r>
            <w:bookmarkStart w:id="19" w:name="OLE_LINK3"/>
            <w:r>
              <w:rPr>
                <w:b w:val="0"/>
              </w:rPr>
              <w:t>2.</w:t>
            </w:r>
            <w:r>
              <w:rPr>
                <w:b w:val="0"/>
                <w:noProof/>
              </w:rPr>
              <w:t>1</w:t>
            </w:r>
            <w:bookmarkEnd w:id="19"/>
            <w:r>
              <w:tab/>
              <w:t>Natural disaster roles and responsibilities across levels of government</w:t>
            </w:r>
          </w:p>
        </w:tc>
      </w:tr>
      <w:tr w:rsidR="00DE1537" w14:paraId="1BCB6275" w14:textId="77777777" w:rsidTr="00343F3E">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134"/>
              <w:gridCol w:w="2191"/>
              <w:gridCol w:w="4162"/>
            </w:tblGrid>
            <w:tr w:rsidR="00DE1537" w14:paraId="4BA39739" w14:textId="77777777" w:rsidTr="00343F3E">
              <w:tc>
                <w:tcPr>
                  <w:tcW w:w="1257" w:type="pct"/>
                  <w:tcBorders>
                    <w:top w:val="single" w:sz="6" w:space="0" w:color="BFBFBF"/>
                    <w:bottom w:val="single" w:sz="6" w:space="0" w:color="BFBFBF"/>
                  </w:tcBorders>
                  <w:shd w:val="clear" w:color="auto" w:fill="auto"/>
                  <w:vAlign w:val="center"/>
                </w:tcPr>
                <w:p w14:paraId="16B5E71B" w14:textId="77777777" w:rsidR="00DE1537" w:rsidRDefault="00DE1537" w:rsidP="00343F3E">
                  <w:pPr>
                    <w:pStyle w:val="TableColumnHeading"/>
                    <w:jc w:val="left"/>
                  </w:pPr>
                  <w:r>
                    <w:t>What is the role?</w:t>
                  </w:r>
                </w:p>
              </w:tc>
              <w:tc>
                <w:tcPr>
                  <w:tcW w:w="1291" w:type="pct"/>
                  <w:tcBorders>
                    <w:top w:val="single" w:sz="6" w:space="0" w:color="BFBFBF"/>
                    <w:bottom w:val="single" w:sz="6" w:space="0" w:color="BFBFBF"/>
                  </w:tcBorders>
                  <w:shd w:val="clear" w:color="auto" w:fill="auto"/>
                  <w:vAlign w:val="center"/>
                </w:tcPr>
                <w:p w14:paraId="5B6FABA2" w14:textId="77777777" w:rsidR="00DE1537" w:rsidRDefault="00DE1537" w:rsidP="00343F3E">
                  <w:pPr>
                    <w:pStyle w:val="TableColumnHeading"/>
                    <w:jc w:val="left"/>
                  </w:pPr>
                  <w:r>
                    <w:t>Who is responsible?</w:t>
                  </w:r>
                </w:p>
              </w:tc>
              <w:tc>
                <w:tcPr>
                  <w:tcW w:w="2452" w:type="pct"/>
                  <w:tcBorders>
                    <w:top w:val="single" w:sz="6" w:space="0" w:color="BFBFBF"/>
                    <w:bottom w:val="single" w:sz="6" w:space="0" w:color="BFBFBF"/>
                  </w:tcBorders>
                  <w:shd w:val="clear" w:color="auto" w:fill="auto"/>
                  <w:vAlign w:val="center"/>
                </w:tcPr>
                <w:p w14:paraId="661841DD" w14:textId="77777777" w:rsidR="00DE1537" w:rsidRDefault="00DE1537" w:rsidP="00343F3E">
                  <w:pPr>
                    <w:pStyle w:val="TableColumnHeading"/>
                    <w:ind w:right="28"/>
                    <w:jc w:val="left"/>
                  </w:pPr>
                  <w:r>
                    <w:t>Current arrangements in place</w:t>
                  </w:r>
                </w:p>
              </w:tc>
            </w:tr>
            <w:tr w:rsidR="00DE1537" w14:paraId="6C3FD502" w14:textId="77777777" w:rsidTr="00343F3E">
              <w:trPr>
                <w:trHeight w:val="567"/>
              </w:trPr>
              <w:tc>
                <w:tcPr>
                  <w:tcW w:w="1257" w:type="pct"/>
                  <w:tcBorders>
                    <w:top w:val="single" w:sz="4" w:space="0" w:color="auto"/>
                  </w:tcBorders>
                  <w:shd w:val="clear" w:color="auto" w:fill="auto"/>
                </w:tcPr>
                <w:p w14:paraId="5DED3AAD" w14:textId="77777777" w:rsidR="00DE1537" w:rsidRDefault="00DE1537" w:rsidP="00343F3E">
                  <w:pPr>
                    <w:pStyle w:val="TableBodyText"/>
                    <w:spacing w:before="40"/>
                    <w:jc w:val="left"/>
                  </w:pPr>
                  <w:r>
                    <w:t>Intergovernmental framework and strategic direction</w:t>
                  </w:r>
                </w:p>
              </w:tc>
              <w:tc>
                <w:tcPr>
                  <w:tcW w:w="1291" w:type="pct"/>
                  <w:tcBorders>
                    <w:top w:val="single" w:sz="4" w:space="0" w:color="auto"/>
                  </w:tcBorders>
                  <w:shd w:val="clear" w:color="auto" w:fill="auto"/>
                </w:tcPr>
                <w:p w14:paraId="70F0D7EF" w14:textId="77777777" w:rsidR="00DE1537" w:rsidRDefault="00DE1537" w:rsidP="00343F3E">
                  <w:pPr>
                    <w:pStyle w:val="TableBodyText"/>
                    <w:spacing w:before="40"/>
                    <w:jc w:val="left"/>
                  </w:pPr>
                  <w:r>
                    <w:t>All governments</w:t>
                  </w:r>
                </w:p>
              </w:tc>
              <w:tc>
                <w:tcPr>
                  <w:tcW w:w="2452" w:type="pct"/>
                  <w:tcBorders>
                    <w:top w:val="single" w:sz="4" w:space="0" w:color="auto"/>
                  </w:tcBorders>
                  <w:shd w:val="clear" w:color="auto" w:fill="auto"/>
                </w:tcPr>
                <w:p w14:paraId="6298EAE7" w14:textId="77777777" w:rsidR="00DE1537" w:rsidRDefault="00DE1537" w:rsidP="00343F3E">
                  <w:pPr>
                    <w:pStyle w:val="TableBullet"/>
                    <w:spacing w:before="40"/>
                  </w:pPr>
                  <w:r>
                    <w:t>COAG, Ministerial councils, ANZEMC</w:t>
                  </w:r>
                </w:p>
                <w:p w14:paraId="1F787C28" w14:textId="77777777" w:rsidR="00DE1537" w:rsidRDefault="00DE1537" w:rsidP="00343F3E">
                  <w:pPr>
                    <w:pStyle w:val="TableBullet"/>
                  </w:pPr>
                  <w:r>
                    <w:t>Provide strategic direction through NSDR</w:t>
                  </w:r>
                </w:p>
              </w:tc>
            </w:tr>
            <w:tr w:rsidR="00DE1537" w14:paraId="7839EC80" w14:textId="77777777" w:rsidTr="00343F3E">
              <w:trPr>
                <w:trHeight w:val="253"/>
              </w:trPr>
              <w:tc>
                <w:tcPr>
                  <w:tcW w:w="1257" w:type="pct"/>
                  <w:shd w:val="clear" w:color="auto" w:fill="auto"/>
                </w:tcPr>
                <w:p w14:paraId="67DB9CB1" w14:textId="77777777" w:rsidR="00DE1537" w:rsidRDefault="00DE1537" w:rsidP="00343F3E">
                  <w:pPr>
                    <w:pStyle w:val="TableBodyText"/>
                    <w:jc w:val="left"/>
                  </w:pPr>
                </w:p>
              </w:tc>
              <w:tc>
                <w:tcPr>
                  <w:tcW w:w="1291" w:type="pct"/>
                  <w:shd w:val="clear" w:color="auto" w:fill="auto"/>
                </w:tcPr>
                <w:p w14:paraId="6F1732F3" w14:textId="77777777" w:rsidR="00DE1537" w:rsidRDefault="00DE1537" w:rsidP="00343F3E">
                  <w:pPr>
                    <w:pStyle w:val="TableBodyText"/>
                    <w:jc w:val="left"/>
                  </w:pPr>
                  <w:r>
                    <w:t>Australian Government</w:t>
                  </w:r>
                </w:p>
              </w:tc>
              <w:tc>
                <w:tcPr>
                  <w:tcW w:w="2452" w:type="pct"/>
                  <w:shd w:val="clear" w:color="auto" w:fill="auto"/>
                </w:tcPr>
                <w:p w14:paraId="680A8FC2" w14:textId="77777777" w:rsidR="00DE1537" w:rsidRDefault="00DE1537" w:rsidP="00343F3E">
                  <w:pPr>
                    <w:pStyle w:val="TableBullet"/>
                  </w:pPr>
                  <w:r>
                    <w:t>Lead national policy coordination</w:t>
                  </w:r>
                </w:p>
              </w:tc>
            </w:tr>
            <w:tr w:rsidR="00DE1537" w14:paraId="49A147C5" w14:textId="77777777" w:rsidTr="00343F3E">
              <w:trPr>
                <w:trHeight w:val="567"/>
              </w:trPr>
              <w:tc>
                <w:tcPr>
                  <w:tcW w:w="1257" w:type="pct"/>
                  <w:shd w:val="clear" w:color="auto" w:fill="F2F2F2"/>
                </w:tcPr>
                <w:p w14:paraId="6132E156" w14:textId="77777777" w:rsidR="00DE1537" w:rsidRDefault="00DE1537" w:rsidP="00343F3E">
                  <w:pPr>
                    <w:pStyle w:val="TableBodyText"/>
                    <w:spacing w:before="40"/>
                    <w:jc w:val="left"/>
                  </w:pPr>
                  <w:r>
                    <w:t>Natural hazard information and research</w:t>
                  </w:r>
                </w:p>
              </w:tc>
              <w:tc>
                <w:tcPr>
                  <w:tcW w:w="1291" w:type="pct"/>
                  <w:shd w:val="clear" w:color="auto" w:fill="F2F2F2"/>
                </w:tcPr>
                <w:p w14:paraId="77FB7D3A" w14:textId="77777777" w:rsidR="00DE1537" w:rsidRDefault="00DE1537" w:rsidP="00343F3E">
                  <w:pPr>
                    <w:pStyle w:val="TableBodyText"/>
                    <w:spacing w:before="40"/>
                    <w:jc w:val="left"/>
                  </w:pPr>
                  <w:r>
                    <w:t>Australian Government</w:t>
                  </w:r>
                </w:p>
              </w:tc>
              <w:tc>
                <w:tcPr>
                  <w:tcW w:w="2452" w:type="pct"/>
                  <w:shd w:val="clear" w:color="auto" w:fill="F2F2F2"/>
                </w:tcPr>
                <w:p w14:paraId="060003DF" w14:textId="77777777" w:rsidR="00DE1537" w:rsidRDefault="00DE1537" w:rsidP="00343F3E">
                  <w:pPr>
                    <w:pStyle w:val="TableBullet"/>
                    <w:spacing w:before="40"/>
                  </w:pPr>
                  <w:r>
                    <w:t>Research and analysis undertaken by organisations such as the ABS, BOM, CSIRO and Geoscience Australia as well as funding other organisations such as the BNHCRC.</w:t>
                  </w:r>
                </w:p>
              </w:tc>
            </w:tr>
            <w:tr w:rsidR="00DE1537" w14:paraId="10E38AC9" w14:textId="77777777" w:rsidTr="00343F3E">
              <w:trPr>
                <w:trHeight w:val="406"/>
              </w:trPr>
              <w:tc>
                <w:tcPr>
                  <w:tcW w:w="1257" w:type="pct"/>
                  <w:shd w:val="clear" w:color="auto" w:fill="F2F2F2"/>
                </w:tcPr>
                <w:p w14:paraId="4B4B2E87" w14:textId="77777777" w:rsidR="00DE1537" w:rsidRDefault="00DE1537" w:rsidP="00343F3E">
                  <w:pPr>
                    <w:pStyle w:val="TableBodyText"/>
                    <w:jc w:val="left"/>
                  </w:pPr>
                </w:p>
              </w:tc>
              <w:tc>
                <w:tcPr>
                  <w:tcW w:w="1291" w:type="pct"/>
                  <w:shd w:val="clear" w:color="auto" w:fill="F2F2F2"/>
                </w:tcPr>
                <w:p w14:paraId="1E44C258" w14:textId="77777777" w:rsidR="00DE1537" w:rsidRDefault="00DE1537" w:rsidP="00343F3E">
                  <w:pPr>
                    <w:pStyle w:val="TableBodyText"/>
                    <w:jc w:val="left"/>
                  </w:pPr>
                  <w:r>
                    <w:t>State and local governments</w:t>
                  </w:r>
                </w:p>
              </w:tc>
              <w:tc>
                <w:tcPr>
                  <w:tcW w:w="2452" w:type="pct"/>
                  <w:shd w:val="clear" w:color="auto" w:fill="F2F2F2"/>
                </w:tcPr>
                <w:p w14:paraId="4EE06084" w14:textId="77777777" w:rsidR="00DE1537" w:rsidRDefault="00DE1537" w:rsidP="00343F3E">
                  <w:pPr>
                    <w:pStyle w:val="TableBullet"/>
                  </w:pPr>
                  <w:r>
                    <w:t>Provide jurisdiction specific information for response and recovery efforts</w:t>
                  </w:r>
                </w:p>
              </w:tc>
            </w:tr>
            <w:tr w:rsidR="00DE1537" w14:paraId="0FB3977B" w14:textId="77777777" w:rsidTr="00343F3E">
              <w:trPr>
                <w:trHeight w:val="567"/>
              </w:trPr>
              <w:tc>
                <w:tcPr>
                  <w:tcW w:w="1257" w:type="pct"/>
                  <w:shd w:val="clear" w:color="auto" w:fill="auto"/>
                </w:tcPr>
                <w:p w14:paraId="04500AE7" w14:textId="77777777" w:rsidR="00DE1537" w:rsidRDefault="00DE1537" w:rsidP="00343F3E">
                  <w:pPr>
                    <w:pStyle w:val="TableBodyText"/>
                    <w:spacing w:before="40"/>
                    <w:jc w:val="left"/>
                  </w:pPr>
                  <w:r>
                    <w:t>Planning and readiness</w:t>
                  </w:r>
                </w:p>
              </w:tc>
              <w:tc>
                <w:tcPr>
                  <w:tcW w:w="1291" w:type="pct"/>
                  <w:shd w:val="clear" w:color="auto" w:fill="auto"/>
                </w:tcPr>
                <w:p w14:paraId="0DBEF725" w14:textId="77777777" w:rsidR="00DE1537" w:rsidRDefault="00DE1537" w:rsidP="00343F3E">
                  <w:pPr>
                    <w:pStyle w:val="TableBodyText"/>
                    <w:spacing w:before="40"/>
                    <w:jc w:val="left"/>
                  </w:pPr>
                  <w:r>
                    <w:t>All governments</w:t>
                  </w:r>
                </w:p>
              </w:tc>
              <w:tc>
                <w:tcPr>
                  <w:tcW w:w="2452" w:type="pct"/>
                  <w:shd w:val="clear" w:color="auto" w:fill="auto"/>
                </w:tcPr>
                <w:p w14:paraId="721BF4E5" w14:textId="77777777" w:rsidR="00DE1537" w:rsidRDefault="00DE1537" w:rsidP="00343F3E">
                  <w:pPr>
                    <w:pStyle w:val="TableBullet"/>
                    <w:spacing w:before="40"/>
                  </w:pPr>
                  <w:r>
                    <w:t>Risk assessments</w:t>
                  </w:r>
                </w:p>
                <w:p w14:paraId="358EE6B5" w14:textId="77777777" w:rsidR="00DE1537" w:rsidRDefault="00DE1537" w:rsidP="00343F3E">
                  <w:pPr>
                    <w:pStyle w:val="TableBullet"/>
                  </w:pPr>
                  <w:r>
                    <w:t>Budget provisioning</w:t>
                  </w:r>
                </w:p>
                <w:p w14:paraId="46358EC9" w14:textId="77777777" w:rsidR="00DE1537" w:rsidRDefault="00DE1537" w:rsidP="00343F3E">
                  <w:pPr>
                    <w:pStyle w:val="TableBullet"/>
                  </w:pPr>
                  <w:r>
                    <w:t>Planning</w:t>
                  </w:r>
                </w:p>
              </w:tc>
            </w:tr>
            <w:tr w:rsidR="00DE1537" w14:paraId="6B0D0D7D" w14:textId="77777777" w:rsidTr="00343F3E">
              <w:trPr>
                <w:trHeight w:val="567"/>
              </w:trPr>
              <w:tc>
                <w:tcPr>
                  <w:tcW w:w="1257" w:type="pct"/>
                  <w:shd w:val="clear" w:color="auto" w:fill="F2F2F2"/>
                </w:tcPr>
                <w:p w14:paraId="77C6F0B8" w14:textId="77777777" w:rsidR="00DE1537" w:rsidRDefault="00DE1537" w:rsidP="00343F3E">
                  <w:pPr>
                    <w:pStyle w:val="TableBodyText"/>
                    <w:spacing w:before="40"/>
                    <w:jc w:val="left"/>
                  </w:pPr>
                  <w:r>
                    <w:t>Risk modification</w:t>
                  </w:r>
                </w:p>
              </w:tc>
              <w:tc>
                <w:tcPr>
                  <w:tcW w:w="1291" w:type="pct"/>
                  <w:shd w:val="clear" w:color="auto" w:fill="F2F2F2"/>
                </w:tcPr>
                <w:p w14:paraId="260DB509" w14:textId="77777777" w:rsidR="00DE1537" w:rsidRDefault="00DE1537" w:rsidP="00343F3E">
                  <w:pPr>
                    <w:pStyle w:val="TableBodyText"/>
                    <w:spacing w:before="40"/>
                    <w:jc w:val="left"/>
                  </w:pPr>
                  <w:r>
                    <w:t>All governments</w:t>
                  </w:r>
                </w:p>
              </w:tc>
              <w:tc>
                <w:tcPr>
                  <w:tcW w:w="2452" w:type="pct"/>
                  <w:shd w:val="clear" w:color="auto" w:fill="F2F2F2"/>
                </w:tcPr>
                <w:p w14:paraId="76E6ED36" w14:textId="77777777" w:rsidR="00DE1537" w:rsidRDefault="00DE1537" w:rsidP="00343F3E">
                  <w:pPr>
                    <w:pStyle w:val="TableBullet"/>
                    <w:spacing w:before="40"/>
                  </w:pPr>
                  <w:r>
                    <w:t>Mitigation activities</w:t>
                  </w:r>
                </w:p>
                <w:p w14:paraId="142733BF" w14:textId="77777777" w:rsidR="00DE1537" w:rsidRDefault="00DE1537" w:rsidP="00343F3E">
                  <w:pPr>
                    <w:pStyle w:val="TableBullet"/>
                  </w:pPr>
                  <w:r>
                    <w:t>General infrastructure spending</w:t>
                  </w:r>
                </w:p>
                <w:p w14:paraId="3EF8D4EB" w14:textId="77777777" w:rsidR="00DE1537" w:rsidRDefault="00DE1537" w:rsidP="00343F3E">
                  <w:pPr>
                    <w:pStyle w:val="TableBullet"/>
                  </w:pPr>
                  <w:r>
                    <w:t>Transfer risk by purchasing insurance</w:t>
                  </w:r>
                </w:p>
              </w:tc>
            </w:tr>
            <w:tr w:rsidR="00DE1537" w14:paraId="5EDDFC89" w14:textId="77777777" w:rsidTr="00343F3E">
              <w:trPr>
                <w:trHeight w:val="252"/>
              </w:trPr>
              <w:tc>
                <w:tcPr>
                  <w:tcW w:w="1257" w:type="pct"/>
                  <w:shd w:val="clear" w:color="auto" w:fill="F2F2F2"/>
                </w:tcPr>
                <w:p w14:paraId="6ECB779B" w14:textId="77777777" w:rsidR="00DE1537" w:rsidRDefault="00DE1537" w:rsidP="00343F3E">
                  <w:pPr>
                    <w:pStyle w:val="TableBodyText"/>
                    <w:spacing w:before="40"/>
                    <w:jc w:val="left"/>
                  </w:pPr>
                </w:p>
              </w:tc>
              <w:tc>
                <w:tcPr>
                  <w:tcW w:w="1291" w:type="pct"/>
                  <w:shd w:val="clear" w:color="auto" w:fill="F2F2F2"/>
                </w:tcPr>
                <w:p w14:paraId="0EB8779D" w14:textId="77777777" w:rsidR="00DE1537" w:rsidRDefault="00DE1537" w:rsidP="00343F3E">
                  <w:pPr>
                    <w:pStyle w:val="TableBodyText"/>
                    <w:spacing w:before="40"/>
                    <w:jc w:val="left"/>
                  </w:pPr>
                  <w:r>
                    <w:t>Australian Government</w:t>
                  </w:r>
                </w:p>
              </w:tc>
              <w:tc>
                <w:tcPr>
                  <w:tcW w:w="2452" w:type="pct"/>
                  <w:shd w:val="clear" w:color="auto" w:fill="F2F2F2"/>
                </w:tcPr>
                <w:p w14:paraId="55D170B7" w14:textId="77777777" w:rsidR="00DE1537" w:rsidRDefault="00DE1537" w:rsidP="00343F3E">
                  <w:pPr>
                    <w:pStyle w:val="TableBullet"/>
                  </w:pPr>
                  <w:r>
                    <w:t>Provide funding through NPANDR and NEMP</w:t>
                  </w:r>
                </w:p>
              </w:tc>
            </w:tr>
            <w:tr w:rsidR="00DE1537" w14:paraId="68A0E827" w14:textId="77777777" w:rsidTr="00343F3E">
              <w:trPr>
                <w:trHeight w:val="567"/>
              </w:trPr>
              <w:tc>
                <w:tcPr>
                  <w:tcW w:w="1257" w:type="pct"/>
                  <w:shd w:val="clear" w:color="auto" w:fill="F2F2F2"/>
                </w:tcPr>
                <w:p w14:paraId="052E0EBB" w14:textId="77777777" w:rsidR="00DE1537" w:rsidRDefault="00DE1537" w:rsidP="00343F3E">
                  <w:pPr>
                    <w:pStyle w:val="TableBodyText"/>
                    <w:spacing w:before="40"/>
                    <w:jc w:val="left"/>
                  </w:pPr>
                </w:p>
              </w:tc>
              <w:tc>
                <w:tcPr>
                  <w:tcW w:w="1291" w:type="pct"/>
                  <w:shd w:val="clear" w:color="auto" w:fill="F2F2F2"/>
                </w:tcPr>
                <w:p w14:paraId="52F7D22E" w14:textId="77777777" w:rsidR="00DE1537" w:rsidRDefault="00DE1537" w:rsidP="00343F3E">
                  <w:pPr>
                    <w:pStyle w:val="TableBodyText"/>
                    <w:spacing w:before="40"/>
                    <w:jc w:val="left"/>
                  </w:pPr>
                  <w:r>
                    <w:t>State and local governments</w:t>
                  </w:r>
                </w:p>
              </w:tc>
              <w:tc>
                <w:tcPr>
                  <w:tcW w:w="2452" w:type="pct"/>
                  <w:shd w:val="clear" w:color="auto" w:fill="F2F2F2"/>
                </w:tcPr>
                <w:p w14:paraId="08471C09" w14:textId="77777777" w:rsidR="00DE1537" w:rsidRDefault="00DE1537" w:rsidP="00343F3E">
                  <w:pPr>
                    <w:pStyle w:val="TableBullet"/>
                  </w:pPr>
                  <w:r>
                    <w:t>Land use planning</w:t>
                  </w:r>
                </w:p>
                <w:p w14:paraId="2B0B3945" w14:textId="77777777" w:rsidR="00DE1537" w:rsidRDefault="00DE1537" w:rsidP="00343F3E">
                  <w:pPr>
                    <w:pStyle w:val="TableBullet"/>
                    <w:spacing w:before="40"/>
                  </w:pPr>
                  <w:r>
                    <w:t>Building regulations</w:t>
                  </w:r>
                </w:p>
              </w:tc>
            </w:tr>
            <w:tr w:rsidR="00DE1537" w14:paraId="000C760D" w14:textId="77777777" w:rsidTr="00343F3E">
              <w:trPr>
                <w:trHeight w:val="415"/>
              </w:trPr>
              <w:tc>
                <w:tcPr>
                  <w:tcW w:w="1257" w:type="pct"/>
                  <w:shd w:val="clear" w:color="auto" w:fill="auto"/>
                </w:tcPr>
                <w:p w14:paraId="7FF70312" w14:textId="77777777" w:rsidR="00DE1537" w:rsidRDefault="00DE1537" w:rsidP="00343F3E">
                  <w:pPr>
                    <w:pStyle w:val="TableBodyText"/>
                    <w:spacing w:before="40"/>
                    <w:jc w:val="left"/>
                  </w:pPr>
                  <w:r>
                    <w:t>Responding to natural hazards</w:t>
                  </w:r>
                </w:p>
              </w:tc>
              <w:tc>
                <w:tcPr>
                  <w:tcW w:w="1291" w:type="pct"/>
                  <w:shd w:val="clear" w:color="auto" w:fill="auto"/>
                </w:tcPr>
                <w:p w14:paraId="423DC0C0" w14:textId="77777777" w:rsidR="00DE1537" w:rsidRDefault="00DE1537" w:rsidP="00343F3E">
                  <w:pPr>
                    <w:pStyle w:val="TableBodyText"/>
                    <w:spacing w:before="40"/>
                    <w:jc w:val="left"/>
                  </w:pPr>
                  <w:r>
                    <w:t>State and local governments</w:t>
                  </w:r>
                </w:p>
              </w:tc>
              <w:tc>
                <w:tcPr>
                  <w:tcW w:w="2452" w:type="pct"/>
                  <w:shd w:val="clear" w:color="auto" w:fill="auto"/>
                </w:tcPr>
                <w:p w14:paraId="56185F4A" w14:textId="77777777" w:rsidR="00DE1537" w:rsidRDefault="00DE1537" w:rsidP="00343F3E">
                  <w:pPr>
                    <w:pStyle w:val="TableBullet"/>
                    <w:spacing w:before="40"/>
                  </w:pPr>
                  <w:r>
                    <w:t>Provide response efforts (SES, police, ambulance and fire services)</w:t>
                  </w:r>
                </w:p>
              </w:tc>
            </w:tr>
            <w:tr w:rsidR="00DE1537" w14:paraId="15F1EF02" w14:textId="77777777" w:rsidTr="00343F3E">
              <w:trPr>
                <w:trHeight w:val="567"/>
              </w:trPr>
              <w:tc>
                <w:tcPr>
                  <w:tcW w:w="1257" w:type="pct"/>
                  <w:shd w:val="clear" w:color="auto" w:fill="F2F2F2"/>
                </w:tcPr>
                <w:p w14:paraId="79196DDE" w14:textId="77777777" w:rsidR="00DE1537" w:rsidRDefault="00DE1537" w:rsidP="00343F3E">
                  <w:pPr>
                    <w:pStyle w:val="TableBodyText"/>
                    <w:spacing w:before="40"/>
                    <w:jc w:val="left"/>
                  </w:pPr>
                  <w:r>
                    <w:t>Relief and recovery funding arrangements</w:t>
                  </w:r>
                </w:p>
              </w:tc>
              <w:tc>
                <w:tcPr>
                  <w:tcW w:w="1291" w:type="pct"/>
                  <w:shd w:val="clear" w:color="auto" w:fill="F2F2F2"/>
                </w:tcPr>
                <w:p w14:paraId="5F98D0BD" w14:textId="77777777" w:rsidR="00DE1537" w:rsidRDefault="00DE1537" w:rsidP="00343F3E">
                  <w:pPr>
                    <w:pStyle w:val="TableBodyText"/>
                    <w:spacing w:before="40"/>
                    <w:jc w:val="left"/>
                  </w:pPr>
                  <w:r>
                    <w:t>Australian Government</w:t>
                  </w:r>
                </w:p>
              </w:tc>
              <w:tc>
                <w:tcPr>
                  <w:tcW w:w="2452" w:type="pct"/>
                  <w:shd w:val="clear" w:color="auto" w:fill="F2F2F2"/>
                </w:tcPr>
                <w:p w14:paraId="048CCA24" w14:textId="77777777" w:rsidR="00DE1537" w:rsidRDefault="00DE1537" w:rsidP="00343F3E">
                  <w:pPr>
                    <w:pStyle w:val="TableBullet"/>
                    <w:spacing w:before="40"/>
                  </w:pPr>
                  <w:r>
                    <w:t>Provide recovery funding through the NDRRA</w:t>
                  </w:r>
                </w:p>
                <w:p w14:paraId="283374A3" w14:textId="77777777" w:rsidR="00DE1537" w:rsidRDefault="00DE1537" w:rsidP="00343F3E">
                  <w:pPr>
                    <w:pStyle w:val="TableBullet"/>
                  </w:pPr>
                  <w:r>
                    <w:t>Provide relief funding through the AGDRP</w:t>
                  </w:r>
                </w:p>
                <w:p w14:paraId="590E5579" w14:textId="77777777" w:rsidR="00DE1537" w:rsidRDefault="00DE1537" w:rsidP="00343F3E">
                  <w:pPr>
                    <w:pStyle w:val="TableBullet"/>
                  </w:pPr>
                  <w:r>
                    <w:t>Other relief and recovery funding policies</w:t>
                  </w:r>
                </w:p>
              </w:tc>
            </w:tr>
            <w:tr w:rsidR="00DE1537" w14:paraId="6424B021" w14:textId="77777777" w:rsidTr="00343F3E">
              <w:trPr>
                <w:trHeight w:val="567"/>
              </w:trPr>
              <w:tc>
                <w:tcPr>
                  <w:tcW w:w="1257" w:type="pct"/>
                  <w:tcBorders>
                    <w:bottom w:val="single" w:sz="6" w:space="0" w:color="BFBFBF"/>
                  </w:tcBorders>
                  <w:shd w:val="clear" w:color="auto" w:fill="F2F2F2"/>
                </w:tcPr>
                <w:p w14:paraId="7D6AD05A" w14:textId="77777777" w:rsidR="00DE1537" w:rsidRDefault="00DE1537" w:rsidP="00343F3E">
                  <w:pPr>
                    <w:pStyle w:val="TableBodyText"/>
                    <w:spacing w:before="40"/>
                    <w:jc w:val="left"/>
                  </w:pPr>
                </w:p>
              </w:tc>
              <w:tc>
                <w:tcPr>
                  <w:tcW w:w="1291" w:type="pct"/>
                  <w:tcBorders>
                    <w:bottom w:val="single" w:sz="6" w:space="0" w:color="BFBFBF"/>
                  </w:tcBorders>
                  <w:shd w:val="clear" w:color="auto" w:fill="F2F2F2"/>
                </w:tcPr>
                <w:p w14:paraId="05C8087B" w14:textId="77777777" w:rsidR="00DE1537" w:rsidRDefault="00DE1537" w:rsidP="00343F3E">
                  <w:pPr>
                    <w:pStyle w:val="TableBodyText"/>
                    <w:spacing w:before="40"/>
                    <w:jc w:val="left"/>
                  </w:pPr>
                  <w:r>
                    <w:t>State and local governments</w:t>
                  </w:r>
                </w:p>
              </w:tc>
              <w:tc>
                <w:tcPr>
                  <w:tcW w:w="2452" w:type="pct"/>
                  <w:tcBorders>
                    <w:bottom w:val="single" w:sz="6" w:space="0" w:color="BFBFBF"/>
                  </w:tcBorders>
                  <w:shd w:val="clear" w:color="auto" w:fill="F2F2F2"/>
                </w:tcPr>
                <w:p w14:paraId="65FA0CDB" w14:textId="77777777" w:rsidR="00DE1537" w:rsidRDefault="00DE1537" w:rsidP="00343F3E">
                  <w:pPr>
                    <w:pStyle w:val="TableBullet"/>
                    <w:spacing w:before="40"/>
                  </w:pPr>
                  <w:r>
                    <w:t>Funding and financing of recovery</w:t>
                  </w:r>
                </w:p>
                <w:p w14:paraId="44CC13E9" w14:textId="77777777" w:rsidR="00DE1537" w:rsidRDefault="00DE1537" w:rsidP="00343F3E">
                  <w:pPr>
                    <w:pStyle w:val="TableBullet"/>
                    <w:spacing w:before="40"/>
                  </w:pPr>
                  <w:r>
                    <w:t xml:space="preserve">Utilise Australian Government recovery funding </w:t>
                  </w:r>
                </w:p>
              </w:tc>
            </w:tr>
          </w:tbl>
          <w:p w14:paraId="6E85BDB3" w14:textId="77777777" w:rsidR="00DE1537" w:rsidRDefault="00DE1537" w:rsidP="00343F3E">
            <w:pPr>
              <w:pStyle w:val="Box"/>
            </w:pPr>
          </w:p>
        </w:tc>
      </w:tr>
      <w:tr w:rsidR="00DE1537" w14:paraId="0BBA3BAF" w14:textId="77777777" w:rsidTr="00343F3E">
        <w:trPr>
          <w:cantSplit/>
        </w:trPr>
        <w:tc>
          <w:tcPr>
            <w:tcW w:w="8771" w:type="dxa"/>
            <w:tcBorders>
              <w:top w:val="nil"/>
              <w:left w:val="nil"/>
              <w:bottom w:val="single" w:sz="4" w:space="0" w:color="78A22F"/>
              <w:right w:val="nil"/>
            </w:tcBorders>
            <w:shd w:val="clear" w:color="auto" w:fill="auto"/>
          </w:tcPr>
          <w:p w14:paraId="648CE1AB" w14:textId="77777777" w:rsidR="00DE1537" w:rsidRDefault="00DE1537" w:rsidP="00343F3E">
            <w:pPr>
              <w:pStyle w:val="Box"/>
              <w:spacing w:before="0" w:line="120" w:lineRule="exact"/>
            </w:pPr>
          </w:p>
        </w:tc>
      </w:tr>
      <w:tr w:rsidR="00DE1537" w:rsidRPr="000863A5" w14:paraId="787B6122" w14:textId="77777777" w:rsidTr="00343F3E">
        <w:tc>
          <w:tcPr>
            <w:tcW w:w="8771" w:type="dxa"/>
            <w:tcBorders>
              <w:top w:val="single" w:sz="4" w:space="0" w:color="78A22F"/>
              <w:left w:val="nil"/>
              <w:bottom w:val="nil"/>
              <w:right w:val="nil"/>
            </w:tcBorders>
          </w:tcPr>
          <w:p w14:paraId="029064E5" w14:textId="77777777" w:rsidR="00DE1537" w:rsidRPr="003E289C" w:rsidRDefault="00DE1537" w:rsidP="00343F3E">
            <w:pPr>
              <w:pStyle w:val="BoxSpaceBelow"/>
            </w:pPr>
          </w:p>
        </w:tc>
      </w:tr>
    </w:tbl>
    <w:p w14:paraId="304A3B2F" w14:textId="77777777" w:rsidR="00DE1537" w:rsidRDefault="00DE1537" w:rsidP="00343F3E">
      <w:pPr>
        <w:pStyle w:val="Heading4"/>
        <w:tabs>
          <w:tab w:val="left" w:pos="2550"/>
        </w:tabs>
      </w:pPr>
      <w:r>
        <w:t>Intergovernmental natural disaster policy framework and strategic direction</w:t>
      </w:r>
    </w:p>
    <w:p w14:paraId="2ACD3EC9" w14:textId="77777777" w:rsidR="00DE1537" w:rsidRDefault="00DE1537" w:rsidP="00343F3E">
      <w:pPr>
        <w:pStyle w:val="BodyText"/>
      </w:pPr>
      <w:r>
        <w:t>The Australian, state and local governments have worked together through COAG to produce a national approach to emergency management (figure 2.5). A number of intergovernmental agreements guide emergency management, including the NSDR.</w:t>
      </w:r>
    </w:p>
    <w:p w14:paraId="751738FD" w14:textId="77777777" w:rsidR="001F3989" w:rsidRPr="00CB41DC" w:rsidRDefault="001F3989" w:rsidP="001F3989">
      <w:pPr>
        <w:pStyle w:val="BodyText"/>
      </w:pPr>
      <w:r w:rsidRPr="00CB41DC">
        <w:t>The NSDR</w:t>
      </w:r>
      <w:r>
        <w:t xml:space="preserve"> is a largely aspirational document (</w:t>
      </w:r>
      <w:r w:rsidRPr="004E3F74">
        <w:t>McGowan and Tiernan</w:t>
      </w:r>
      <w:r>
        <w:t>, sub. 83) that</w:t>
      </w:r>
      <w:r w:rsidRPr="00CB41DC">
        <w:t xml:space="preserve"> describes th</w:t>
      </w:r>
      <w:r>
        <w:t>e characteristics of a disaster</w:t>
      </w:r>
      <w:r>
        <w:noBreakHyphen/>
      </w:r>
      <w:r w:rsidRPr="00CB41DC">
        <w:t>resilient community</w:t>
      </w:r>
      <w:r>
        <w:t>, emphasises shared responsibility</w:t>
      </w:r>
      <w:r w:rsidRPr="00CB41DC">
        <w:t xml:space="preserve"> and focuses on priority areas of action </w:t>
      </w:r>
      <w:r>
        <w:t xml:space="preserve">by the community </w:t>
      </w:r>
      <w:r w:rsidRPr="00CB41DC">
        <w:t xml:space="preserve">to achieve this objective </w:t>
      </w:r>
      <w:r>
        <w:t>by:</w:t>
      </w:r>
    </w:p>
    <w:p w14:paraId="16F22D83" w14:textId="77777777" w:rsidR="001F3989" w:rsidRPr="00CB41DC" w:rsidRDefault="001F3989" w:rsidP="001F3989">
      <w:pPr>
        <w:pStyle w:val="ListBullet"/>
      </w:pPr>
      <w:r>
        <w:t>l</w:t>
      </w:r>
      <w:r w:rsidRPr="00CB41DC">
        <w:t>eading change and coordinating effort</w:t>
      </w:r>
    </w:p>
    <w:p w14:paraId="63C8A7C5" w14:textId="77777777" w:rsidR="001F3989" w:rsidRPr="00CB41DC" w:rsidRDefault="001F3989" w:rsidP="001F3989">
      <w:pPr>
        <w:pStyle w:val="ListBullet"/>
      </w:pPr>
      <w:r>
        <w:t>u</w:t>
      </w:r>
      <w:r w:rsidRPr="00CB41DC">
        <w:t>nderstanding risks</w:t>
      </w:r>
    </w:p>
    <w:p w14:paraId="23D91EB7" w14:textId="77777777" w:rsidR="001F3989" w:rsidRPr="00CB41DC" w:rsidRDefault="001F3989" w:rsidP="001F3989">
      <w:pPr>
        <w:pStyle w:val="ListBullet"/>
      </w:pPr>
      <w:r>
        <w:t>c</w:t>
      </w:r>
      <w:r w:rsidRPr="00CB41DC">
        <w:t>ommunicating with and educating people about risks</w:t>
      </w:r>
    </w:p>
    <w:p w14:paraId="5B7C0668" w14:textId="77777777" w:rsidR="001F3989" w:rsidRPr="00CB41DC" w:rsidRDefault="001F3989" w:rsidP="001F3989">
      <w:pPr>
        <w:pStyle w:val="ListBullet"/>
      </w:pPr>
      <w:r>
        <w:t>p</w:t>
      </w:r>
      <w:r w:rsidRPr="00CB41DC">
        <w:t>artnering with those who effect change</w:t>
      </w:r>
    </w:p>
    <w:p w14:paraId="400E98E6" w14:textId="77777777" w:rsidR="001F3989" w:rsidRPr="00CB41DC" w:rsidRDefault="001F3989" w:rsidP="001F3989">
      <w:pPr>
        <w:pStyle w:val="ListBullet"/>
      </w:pPr>
      <w:r>
        <w:lastRenderedPageBreak/>
        <w:t>e</w:t>
      </w:r>
      <w:r w:rsidRPr="00CB41DC">
        <w:t>mpowering individuals and communities to exercise choice and take responsibility</w:t>
      </w:r>
    </w:p>
    <w:p w14:paraId="0B0C9696" w14:textId="77777777" w:rsidR="001F3989" w:rsidRPr="00CB41DC" w:rsidRDefault="001F3989" w:rsidP="001F3989">
      <w:pPr>
        <w:pStyle w:val="ListBullet"/>
      </w:pPr>
      <w:r>
        <w:t>r</w:t>
      </w:r>
      <w:r w:rsidRPr="00CB41DC">
        <w:t>educing risks in the built environment</w:t>
      </w:r>
    </w:p>
    <w:p w14:paraId="6169FAB4" w14:textId="5FF4BCAD" w:rsidR="001F3989" w:rsidRDefault="001F3989" w:rsidP="00343F3E">
      <w:pPr>
        <w:pStyle w:val="ListBullet"/>
      </w:pPr>
      <w:proofErr w:type="gramStart"/>
      <w:r>
        <w:t>s</w:t>
      </w:r>
      <w:r w:rsidRPr="00CB41DC">
        <w:t>upporting</w:t>
      </w:r>
      <w:proofErr w:type="gramEnd"/>
      <w:r w:rsidRPr="00CB41DC">
        <w:t xml:space="preserve"> capabilities for disaster resilience</w:t>
      </w:r>
      <w:r w:rsidRPr="00A67F9A">
        <w:t xml:space="preserve"> </w:t>
      </w:r>
      <w:r w:rsidRPr="005D171C">
        <w:rPr>
          <w:szCs w:val="24"/>
        </w:rPr>
        <w:t>(COAG 2011b)</w:t>
      </w:r>
      <w:r>
        <w:t>.</w:t>
      </w:r>
    </w:p>
    <w:p w14:paraId="1EEE6E2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58C55FE" w14:textId="77777777" w:rsidTr="00343F3E">
        <w:tc>
          <w:tcPr>
            <w:tcW w:w="8771" w:type="dxa"/>
            <w:tcBorders>
              <w:top w:val="single" w:sz="6" w:space="0" w:color="78A22F"/>
              <w:left w:val="nil"/>
              <w:bottom w:val="nil"/>
              <w:right w:val="nil"/>
            </w:tcBorders>
            <w:shd w:val="clear" w:color="auto" w:fill="auto"/>
          </w:tcPr>
          <w:p w14:paraId="3C048C6F" w14:textId="3012729B" w:rsidR="00DE1537" w:rsidRPr="00176D3F" w:rsidRDefault="00DE1537" w:rsidP="00343F3E">
            <w:pPr>
              <w:pStyle w:val="FigureTitle"/>
            </w:pPr>
            <w:r w:rsidRPr="00784A05">
              <w:rPr>
                <w:b w:val="0"/>
              </w:rPr>
              <w:t xml:space="preserve">Figure </w:t>
            </w:r>
            <w:bookmarkStart w:id="20" w:name="OLE_LINK6"/>
            <w:r>
              <w:rPr>
                <w:b w:val="0"/>
              </w:rPr>
              <w:t>2.</w:t>
            </w:r>
            <w:r>
              <w:rPr>
                <w:b w:val="0"/>
                <w:noProof/>
              </w:rPr>
              <w:t>5</w:t>
            </w:r>
            <w:bookmarkEnd w:id="20"/>
            <w:r>
              <w:tab/>
              <w:t>Intergovernmental emergency management framework</w:t>
            </w:r>
          </w:p>
        </w:tc>
      </w:tr>
      <w:tr w:rsidR="00DE1537" w14:paraId="7968C95C"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7978C905" w14:textId="77777777" w:rsidTr="00343F3E">
              <w:tc>
                <w:tcPr>
                  <w:tcW w:w="5000" w:type="pct"/>
                  <w:tcBorders>
                    <w:top w:val="nil"/>
                    <w:bottom w:val="nil"/>
                  </w:tcBorders>
                </w:tcPr>
                <w:p w14:paraId="43CBB8AE" w14:textId="77777777" w:rsidR="00DE1537" w:rsidRDefault="00DE1537" w:rsidP="00343F3E">
                  <w:pPr>
                    <w:pStyle w:val="Figure"/>
                    <w:spacing w:before="60" w:after="60"/>
                  </w:pPr>
                  <w:r>
                    <w:rPr>
                      <w:noProof/>
                    </w:rPr>
                    <w:drawing>
                      <wp:inline distT="0" distB="0" distL="0" distR="0" wp14:anchorId="789E4E27" wp14:editId="6C29369C">
                        <wp:extent cx="5380355" cy="2562225"/>
                        <wp:effectExtent l="0" t="0" r="0" b="9525"/>
                        <wp:docPr id="11" name="Picture 11" descr="This figure provides an overview of the intergovernmental emergency management framework including the relevant bodies and committees under the Council of Australian Governments." title="Intergovernmental emergency management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80355" cy="2562225"/>
                                </a:xfrm>
                                <a:prstGeom prst="rect">
                                  <a:avLst/>
                                </a:prstGeom>
                                <a:noFill/>
                                <a:ln>
                                  <a:noFill/>
                                </a:ln>
                              </pic:spPr>
                            </pic:pic>
                          </a:graphicData>
                        </a:graphic>
                      </wp:inline>
                    </w:drawing>
                  </w:r>
                </w:p>
              </w:tc>
            </w:tr>
          </w:tbl>
          <w:p w14:paraId="29C4AE8B" w14:textId="77777777" w:rsidR="00DE1537" w:rsidRDefault="00DE1537" w:rsidP="00343F3E">
            <w:pPr>
              <w:pStyle w:val="Figure"/>
            </w:pPr>
          </w:p>
        </w:tc>
      </w:tr>
      <w:tr w:rsidR="00DE1537" w:rsidRPr="00176D3F" w14:paraId="10E869C3" w14:textId="77777777" w:rsidTr="00343F3E">
        <w:tc>
          <w:tcPr>
            <w:tcW w:w="8771" w:type="dxa"/>
            <w:tcBorders>
              <w:top w:val="nil"/>
              <w:left w:val="nil"/>
              <w:bottom w:val="nil"/>
              <w:right w:val="nil"/>
            </w:tcBorders>
            <w:shd w:val="clear" w:color="auto" w:fill="auto"/>
          </w:tcPr>
          <w:p w14:paraId="4401B779" w14:textId="416F49DB" w:rsidR="00DE1537" w:rsidRPr="00176D3F" w:rsidRDefault="00DE1537" w:rsidP="00343F3E">
            <w:pPr>
              <w:pStyle w:val="Source"/>
            </w:pPr>
            <w:r>
              <w:rPr>
                <w:i/>
              </w:rPr>
              <w:t>S</w:t>
            </w:r>
            <w:r w:rsidRPr="00784A05">
              <w:rPr>
                <w:i/>
              </w:rPr>
              <w:t>ource</w:t>
            </w:r>
            <w:r w:rsidRPr="00176D3F">
              <w:t>:</w:t>
            </w:r>
            <w:r>
              <w:t xml:space="preserve"> Adapted from SCRGSP </w:t>
            </w:r>
            <w:r w:rsidRPr="005D171C">
              <w:rPr>
                <w:rFonts w:cs="Arial"/>
              </w:rPr>
              <w:t>(2013)</w:t>
            </w:r>
            <w:r>
              <w:t>.</w:t>
            </w:r>
          </w:p>
        </w:tc>
      </w:tr>
      <w:tr w:rsidR="00DE1537" w14:paraId="66667611" w14:textId="77777777" w:rsidTr="00343F3E">
        <w:tc>
          <w:tcPr>
            <w:tcW w:w="8771" w:type="dxa"/>
            <w:tcBorders>
              <w:top w:val="nil"/>
              <w:left w:val="nil"/>
              <w:bottom w:val="single" w:sz="6" w:space="0" w:color="78A22F"/>
              <w:right w:val="nil"/>
            </w:tcBorders>
            <w:shd w:val="clear" w:color="auto" w:fill="auto"/>
          </w:tcPr>
          <w:p w14:paraId="3F2E1849" w14:textId="77777777" w:rsidR="00DE1537" w:rsidRDefault="00DE1537" w:rsidP="00343F3E">
            <w:pPr>
              <w:pStyle w:val="Figurespace"/>
            </w:pPr>
          </w:p>
        </w:tc>
      </w:tr>
      <w:tr w:rsidR="00DE1537" w:rsidRPr="000863A5" w14:paraId="5416FD0A" w14:textId="77777777" w:rsidTr="00343F3E">
        <w:tc>
          <w:tcPr>
            <w:tcW w:w="8771" w:type="dxa"/>
            <w:tcBorders>
              <w:top w:val="single" w:sz="6" w:space="0" w:color="78A22F"/>
              <w:left w:val="nil"/>
              <w:bottom w:val="nil"/>
              <w:right w:val="nil"/>
            </w:tcBorders>
          </w:tcPr>
          <w:p w14:paraId="03CC6A4F" w14:textId="77777777" w:rsidR="00DE1537" w:rsidRPr="00626D32" w:rsidRDefault="00DE1537" w:rsidP="00343F3E">
            <w:pPr>
              <w:pStyle w:val="BoxSpaceBelow"/>
            </w:pPr>
          </w:p>
        </w:tc>
      </w:tr>
    </w:tbl>
    <w:p w14:paraId="4DD9A6B1" w14:textId="77777777" w:rsidR="00DE1537" w:rsidRPr="003E289C" w:rsidRDefault="00DE1537" w:rsidP="00343F3E">
      <w:pPr>
        <w:pStyle w:val="Heading4"/>
      </w:pPr>
      <w:r w:rsidRPr="00D57BDF">
        <w:t>Role of state and local governments</w:t>
      </w:r>
    </w:p>
    <w:p w14:paraId="31DCA4ED" w14:textId="77777777" w:rsidR="00DE1537" w:rsidRPr="000922D6" w:rsidRDefault="00DE1537" w:rsidP="00343F3E">
      <w:pPr>
        <w:pStyle w:val="BodyText"/>
      </w:pPr>
      <w:r w:rsidRPr="000922D6">
        <w:t xml:space="preserve">State and local governments have primary responsibility for natural disaster risk management, </w:t>
      </w:r>
      <w:r>
        <w:t>including</w:t>
      </w:r>
      <w:r w:rsidRPr="000922D6">
        <w:t xml:space="preserve"> planning and </w:t>
      </w:r>
      <w:r>
        <w:t>mitigating</w:t>
      </w:r>
      <w:r w:rsidRPr="000922D6">
        <w:t xml:space="preserve"> natural disaster risk, </w:t>
      </w:r>
      <w:r>
        <w:t>and providing</w:t>
      </w:r>
      <w:r w:rsidRPr="000922D6">
        <w:t xml:space="preserve"> response</w:t>
      </w:r>
      <w:r>
        <w:t>,</w:t>
      </w:r>
      <w:r w:rsidRPr="000922D6">
        <w:t xml:space="preserve"> relief and recovery. State and local governments are also responsible for funding these activities, though they do receive fiscal support from the Australian Government.</w:t>
      </w:r>
    </w:p>
    <w:p w14:paraId="78AFDCA7" w14:textId="77777777" w:rsidR="00DE1537" w:rsidRPr="000922D6" w:rsidRDefault="00DE1537" w:rsidP="00343F3E">
      <w:pPr>
        <w:pStyle w:val="BodyText"/>
      </w:pPr>
      <w:r w:rsidRPr="000922D6">
        <w:rPr>
          <w:b/>
        </w:rPr>
        <w:t xml:space="preserve">Planning for and modifying natural disaster </w:t>
      </w:r>
      <w:proofErr w:type="gramStart"/>
      <w:r w:rsidRPr="000922D6">
        <w:rPr>
          <w:b/>
        </w:rPr>
        <w:t>risks</w:t>
      </w:r>
      <w:r w:rsidRPr="000922D6">
        <w:t xml:space="preserve"> involves</w:t>
      </w:r>
      <w:proofErr w:type="gramEnd"/>
      <w:r w:rsidRPr="000922D6">
        <w:t xml:space="preserve"> various activities, such as:</w:t>
      </w:r>
    </w:p>
    <w:p w14:paraId="0DB0FA97" w14:textId="77777777" w:rsidR="00DE1537" w:rsidRPr="00CD7E34" w:rsidRDefault="00DE1537" w:rsidP="00343F3E">
      <w:pPr>
        <w:pStyle w:val="ListBullet"/>
      </w:pPr>
      <w:r w:rsidRPr="00CD7E34">
        <w:t>undertaking risk assessments</w:t>
      </w:r>
    </w:p>
    <w:p w14:paraId="598A395D" w14:textId="77777777" w:rsidR="00DE1537" w:rsidRPr="00CD7E34" w:rsidRDefault="00DE1537" w:rsidP="00343F3E">
      <w:pPr>
        <w:pStyle w:val="ListBullet"/>
      </w:pPr>
      <w:r w:rsidRPr="00CD7E34">
        <w:t>emergency management planning</w:t>
      </w:r>
    </w:p>
    <w:p w14:paraId="26C77BB4" w14:textId="77777777" w:rsidR="00DE1537" w:rsidRPr="00CD7E34" w:rsidRDefault="00DE1537" w:rsidP="00343F3E">
      <w:pPr>
        <w:pStyle w:val="ListBullet"/>
      </w:pPr>
      <w:r w:rsidRPr="00CD7E34">
        <w:t>integrating natural disaster risk into land use planning and building regulation (supplemen</w:t>
      </w:r>
      <w:r>
        <w:t>tary paper 6</w:t>
      </w:r>
      <w:r w:rsidRPr="00CD7E34">
        <w:t>)</w:t>
      </w:r>
      <w:r>
        <w:t>, and</w:t>
      </w:r>
    </w:p>
    <w:p w14:paraId="4DE176D7" w14:textId="77777777" w:rsidR="00DE1537" w:rsidRPr="00CD7E34" w:rsidRDefault="00DE1537" w:rsidP="00343F3E">
      <w:pPr>
        <w:pStyle w:val="ListBullet"/>
      </w:pPr>
      <w:proofErr w:type="gramStart"/>
      <w:r w:rsidRPr="00CD7E34">
        <w:t>undertaking</w:t>
      </w:r>
      <w:proofErr w:type="gramEnd"/>
      <w:r w:rsidRPr="00CD7E34">
        <w:t xml:space="preserve"> mitigation</w:t>
      </w:r>
      <w:r>
        <w:t xml:space="preserve"> (supplementary paper 4</w:t>
      </w:r>
      <w:r w:rsidRPr="00CD7E34">
        <w:t>)</w:t>
      </w:r>
      <w:r>
        <w:t>.</w:t>
      </w:r>
    </w:p>
    <w:p w14:paraId="5D98F6C3" w14:textId="77777777" w:rsidR="00DE1537" w:rsidRPr="003E289C" w:rsidRDefault="00DE1537" w:rsidP="00343F3E">
      <w:pPr>
        <w:pStyle w:val="BodyText"/>
      </w:pPr>
      <w:r>
        <w:t>For example, under t</w:t>
      </w:r>
      <w:r w:rsidRPr="00CB41DC">
        <w:t xml:space="preserve">he </w:t>
      </w:r>
      <w:r>
        <w:t>National Partnership Agreement on Natural Disaster Resilience (</w:t>
      </w:r>
      <w:r w:rsidRPr="00CB41DC">
        <w:t>NPANDR</w:t>
      </w:r>
      <w:r>
        <w:t>)</w:t>
      </w:r>
      <w:r w:rsidRPr="00CB41DC">
        <w:t xml:space="preserve"> </w:t>
      </w:r>
      <w:r>
        <w:t>(section 2.5), states are required to publish</w:t>
      </w:r>
      <w:r w:rsidRPr="00CB41DC">
        <w:t xml:space="preserve"> risk assessments</w:t>
      </w:r>
      <w:r>
        <w:t xml:space="preserve"> </w:t>
      </w:r>
      <w:r w:rsidRPr="00CB41DC">
        <w:t xml:space="preserve">that are consistent with the </w:t>
      </w:r>
      <w:r w:rsidRPr="000922D6">
        <w:t>revised National Emergency Risk Assessment Guidelines (NERAG</w:t>
      </w:r>
      <w:r>
        <w:t>)</w:t>
      </w:r>
      <w:r w:rsidRPr="00CB41DC">
        <w:t xml:space="preserve">. </w:t>
      </w:r>
      <w:r>
        <w:t>The NERAG are produced to assist states in assessing risks in a nationally consistent manner (box 2.4).</w:t>
      </w:r>
    </w:p>
    <w:p w14:paraId="503F7CD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E357DC7" w14:textId="77777777" w:rsidTr="00343F3E">
        <w:tc>
          <w:tcPr>
            <w:tcW w:w="8771" w:type="dxa"/>
            <w:tcBorders>
              <w:top w:val="single" w:sz="6" w:space="0" w:color="78A22F"/>
              <w:left w:val="nil"/>
              <w:bottom w:val="nil"/>
              <w:right w:val="nil"/>
            </w:tcBorders>
            <w:shd w:val="clear" w:color="auto" w:fill="F2F2F2" w:themeFill="background1" w:themeFillShade="F2"/>
          </w:tcPr>
          <w:p w14:paraId="2EA43FEF" w14:textId="6F288069" w:rsidR="00DE1537" w:rsidRDefault="00DE1537" w:rsidP="00343F3E">
            <w:pPr>
              <w:pStyle w:val="BoxTitle"/>
            </w:pPr>
            <w:r>
              <w:rPr>
                <w:b w:val="0"/>
              </w:rPr>
              <w:t xml:space="preserve">Box </w:t>
            </w:r>
            <w:bookmarkStart w:id="21" w:name="OLE_LINK26"/>
            <w:r>
              <w:rPr>
                <w:b w:val="0"/>
              </w:rPr>
              <w:t>2.</w:t>
            </w:r>
            <w:r>
              <w:rPr>
                <w:b w:val="0"/>
                <w:noProof/>
              </w:rPr>
              <w:t>4</w:t>
            </w:r>
            <w:bookmarkEnd w:id="21"/>
            <w:r>
              <w:tab/>
              <w:t>National Emergency Risk Assessment Guidelines</w:t>
            </w:r>
          </w:p>
        </w:tc>
      </w:tr>
      <w:tr w:rsidR="00DE1537" w14:paraId="166BFF34" w14:textId="77777777" w:rsidTr="00343F3E">
        <w:trPr>
          <w:cantSplit/>
        </w:trPr>
        <w:tc>
          <w:tcPr>
            <w:tcW w:w="8771" w:type="dxa"/>
            <w:tcBorders>
              <w:top w:val="nil"/>
              <w:left w:val="nil"/>
              <w:bottom w:val="nil"/>
              <w:right w:val="nil"/>
            </w:tcBorders>
            <w:shd w:val="clear" w:color="auto" w:fill="F2F2F2" w:themeFill="background1" w:themeFillShade="F2"/>
          </w:tcPr>
          <w:p w14:paraId="15271FDA" w14:textId="77777777" w:rsidR="00DE1537" w:rsidRDefault="00DE1537" w:rsidP="00343F3E">
            <w:pPr>
              <w:pStyle w:val="Box"/>
            </w:pPr>
            <w:r>
              <w:t>In 2012, the Standing Council on Police and Emergency Management agreed that t</w:t>
            </w:r>
            <w:r w:rsidRPr="0052151C">
              <w:t>he</w:t>
            </w:r>
            <w:r>
              <w:t xml:space="preserve"> National Emergency Risk Assessment Guidelines (NERAG) would be the consistent method for all governments and other relevant stakeholders to assess risk for priority hazards. NERAG risk assessments aim to improve decision making for prioritising risk mitigation activities.</w:t>
            </w:r>
          </w:p>
          <w:p w14:paraId="18FD9888" w14:textId="77777777" w:rsidR="00DE1537" w:rsidRDefault="00DE1537" w:rsidP="00343F3E">
            <w:pPr>
              <w:pStyle w:val="Box"/>
            </w:pPr>
            <w:r>
              <w:t xml:space="preserve">NERAG provides the methodology for emergency risk assessment, consistent with the </w:t>
            </w:r>
            <w:r w:rsidRPr="0052151C">
              <w:rPr>
                <w:i/>
              </w:rPr>
              <w:t>Australian Standard AS/NZS ISO 31000:2009 Risk management principles and guidelines</w:t>
            </w:r>
            <w:r>
              <w:t>. The risk assessment methodology can be integrated into stakeholders’ broader risk management processes.</w:t>
            </w:r>
          </w:p>
          <w:p w14:paraId="53D164EF" w14:textId="77777777" w:rsidR="00DE1537" w:rsidRDefault="00DE1537" w:rsidP="00343F3E">
            <w:pPr>
              <w:pStyle w:val="BoxListBullet"/>
            </w:pPr>
            <w:r>
              <w:t>Identify risks — causes, prevention and preparedness, response and recovery, impacts.</w:t>
            </w:r>
          </w:p>
          <w:p w14:paraId="231A0243" w14:textId="77777777" w:rsidR="00DE1537" w:rsidRDefault="00DE1537" w:rsidP="00343F3E">
            <w:pPr>
              <w:pStyle w:val="BoxListBullet"/>
            </w:pPr>
            <w:r>
              <w:t>Analyse risks — level of control, consequence and likelihood, risk rating, confidence.</w:t>
            </w:r>
          </w:p>
          <w:p w14:paraId="37D58B39" w14:textId="77777777" w:rsidR="00DE1537" w:rsidRDefault="00DE1537" w:rsidP="00343F3E">
            <w:pPr>
              <w:pStyle w:val="BoxListBullet"/>
            </w:pPr>
            <w:r>
              <w:t>Evaluate risks — tolerability, decision point.</w:t>
            </w:r>
          </w:p>
          <w:p w14:paraId="164ADD1B" w14:textId="77777777" w:rsidR="00DE1537" w:rsidRDefault="00DE1537" w:rsidP="00343F3E">
            <w:pPr>
              <w:pStyle w:val="Box"/>
            </w:pPr>
            <w:r>
              <w:t>The assessment is expected to produce outputs that rate identified risks and indicate areas and options for treating risks. An updated version of NERAG is expected to be released in 2014.</w:t>
            </w:r>
          </w:p>
          <w:p w14:paraId="51110EA7" w14:textId="77777777" w:rsidR="00DE1537" w:rsidRDefault="00DE1537" w:rsidP="00343F3E">
            <w:pPr>
              <w:pStyle w:val="Box"/>
            </w:pPr>
            <w:r>
              <w:t xml:space="preserve">The Government of South Australia has </w:t>
            </w:r>
            <w:r w:rsidRPr="003E4855">
              <w:t>commenced a program to complete a statewide Emergency Risk Assessment</w:t>
            </w:r>
            <w:r>
              <w:t xml:space="preserve"> </w:t>
            </w:r>
            <w:r w:rsidRPr="003E4855">
              <w:t>and to produce a risk</w:t>
            </w:r>
            <w:r>
              <w:noBreakHyphen/>
            </w:r>
            <w:r w:rsidRPr="003E4855">
              <w:t>based State Hazard Plan for each of the State’s priority hazards</w:t>
            </w:r>
            <w:r>
              <w:t>, in accordance with NERAG</w:t>
            </w:r>
            <w:r w:rsidRPr="003E4855">
              <w:t>.</w:t>
            </w:r>
            <w:r>
              <w:t xml:space="preserve"> ‘</w:t>
            </w:r>
            <w:r w:rsidRPr="003E4855">
              <w:t>The risk assessments model future risk likelihood and consequence scenarios utilising historical data, evidence</w:t>
            </w:r>
            <w:r>
              <w:noBreakHyphen/>
            </w:r>
            <w:r w:rsidRPr="003E4855">
              <w:t>based research, climatic and demographic projections</w:t>
            </w:r>
            <w:r>
              <w:t>’ (sub. 67, p. 11). The risk assessment will be used to identify cost</w:t>
            </w:r>
            <w:r>
              <w:noBreakHyphen/>
              <w:t>effective treatment options. South Australia’s arrangements also divide the state into 11 regional zones which must establish a Zone Emergency Management Committee — typically chaired by local government — tasked with undertaking a more detailed zone</w:t>
            </w:r>
            <w:r>
              <w:noBreakHyphen/>
              <w:t>level risk assessment.</w:t>
            </w:r>
          </w:p>
        </w:tc>
      </w:tr>
      <w:tr w:rsidR="00DE1537" w14:paraId="127D0E44" w14:textId="77777777" w:rsidTr="00343F3E">
        <w:trPr>
          <w:cantSplit/>
        </w:trPr>
        <w:tc>
          <w:tcPr>
            <w:tcW w:w="8771" w:type="dxa"/>
            <w:tcBorders>
              <w:top w:val="nil"/>
              <w:left w:val="nil"/>
              <w:bottom w:val="nil"/>
              <w:right w:val="nil"/>
            </w:tcBorders>
            <w:shd w:val="clear" w:color="auto" w:fill="F2F2F2" w:themeFill="background1" w:themeFillShade="F2"/>
          </w:tcPr>
          <w:p w14:paraId="482A1BE5" w14:textId="3A50D913" w:rsidR="00DE1537" w:rsidRDefault="00DE1537" w:rsidP="00343F3E">
            <w:pPr>
              <w:pStyle w:val="BoxSource"/>
            </w:pPr>
            <w:r>
              <w:rPr>
                <w:i/>
              </w:rPr>
              <w:t>Sources</w:t>
            </w:r>
            <w:r w:rsidRPr="00167F06">
              <w:t xml:space="preserve">: </w:t>
            </w:r>
            <w:r>
              <w:t xml:space="preserve">Government of South Australia (sub. 67); NEMC </w:t>
            </w:r>
            <w:r w:rsidRPr="005D171C">
              <w:rPr>
                <w:rFonts w:cs="Arial"/>
              </w:rPr>
              <w:t>(2010)</w:t>
            </w:r>
            <w:r>
              <w:t>.</w:t>
            </w:r>
          </w:p>
        </w:tc>
      </w:tr>
      <w:tr w:rsidR="00DE1537" w14:paraId="20C873A3"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298F3A9" w14:textId="77777777" w:rsidR="00DE1537" w:rsidRDefault="00DE1537" w:rsidP="00343F3E">
            <w:pPr>
              <w:pStyle w:val="Box"/>
              <w:spacing w:before="0" w:line="120" w:lineRule="exact"/>
            </w:pPr>
          </w:p>
        </w:tc>
      </w:tr>
      <w:tr w:rsidR="00DE1537" w:rsidRPr="000863A5" w14:paraId="0398CCDD" w14:textId="77777777" w:rsidTr="00343F3E">
        <w:tc>
          <w:tcPr>
            <w:tcW w:w="8771" w:type="dxa"/>
            <w:tcBorders>
              <w:top w:val="single" w:sz="6" w:space="0" w:color="78A22F"/>
              <w:left w:val="nil"/>
              <w:bottom w:val="nil"/>
              <w:right w:val="nil"/>
            </w:tcBorders>
          </w:tcPr>
          <w:p w14:paraId="4508F481" w14:textId="77777777" w:rsidR="00DE1537" w:rsidRPr="00626D32" w:rsidRDefault="00DE1537" w:rsidP="00343F3E">
            <w:pPr>
              <w:pStyle w:val="BoxSpaceBelow"/>
            </w:pPr>
          </w:p>
        </w:tc>
      </w:tr>
    </w:tbl>
    <w:p w14:paraId="17F7DF27" w14:textId="45111797" w:rsidR="00DE1537" w:rsidRPr="00C163B9" w:rsidRDefault="00DE1537" w:rsidP="00343F3E">
      <w:pPr>
        <w:pStyle w:val="BodyText"/>
        <w:rPr>
          <w:b/>
        </w:rPr>
      </w:pPr>
      <w:r>
        <w:t xml:space="preserve">Local governments also play an important role </w:t>
      </w:r>
      <w:r w:rsidRPr="00C163B9">
        <w:t>in</w:t>
      </w:r>
      <w:r>
        <w:t xml:space="preserve"> emergency management planning. </w:t>
      </w:r>
      <w:r w:rsidRPr="00C163B9">
        <w:t>Most</w:t>
      </w:r>
      <w:r>
        <w:t xml:space="preserve"> states </w:t>
      </w:r>
      <w:r w:rsidRPr="00CB41DC">
        <w:t>have a legislative requirement for local governments to prepare a plan or set of arrangements for emergency manag</w:t>
      </w:r>
      <w:r>
        <w:t xml:space="preserve">ement in the council area </w:t>
      </w:r>
      <w:r w:rsidRPr="005D171C">
        <w:rPr>
          <w:szCs w:val="24"/>
        </w:rPr>
        <w:t>(LGASA 2011)</w:t>
      </w:r>
      <w:r>
        <w:t>. For example, l</w:t>
      </w:r>
      <w:r w:rsidRPr="00CB41DC">
        <w:t xml:space="preserve">ocal governments in Queensland are required under </w:t>
      </w:r>
      <w:r>
        <w:t>section </w:t>
      </w:r>
      <w:r w:rsidRPr="00CB41DC">
        <w:t xml:space="preserve">57 of the </w:t>
      </w:r>
      <w:r w:rsidRPr="00CB41DC">
        <w:rPr>
          <w:i/>
        </w:rPr>
        <w:t>Disaster Management Act 2003</w:t>
      </w:r>
      <w:r>
        <w:rPr>
          <w:i/>
        </w:rPr>
        <w:t xml:space="preserve"> </w:t>
      </w:r>
      <w:r w:rsidRPr="007C1067">
        <w:t>(Qld)</w:t>
      </w:r>
      <w:r w:rsidRPr="00CB41DC">
        <w:t xml:space="preserve"> to prepare a local disaster management plan.</w:t>
      </w:r>
    </w:p>
    <w:p w14:paraId="1B389CBC" w14:textId="09F7F42D" w:rsidR="00DE1537" w:rsidRDefault="00DE1537" w:rsidP="00343F3E">
      <w:pPr>
        <w:pStyle w:val="Quote"/>
      </w:pPr>
      <w:r>
        <w:t>[T]</w:t>
      </w:r>
      <w:r w:rsidRPr="00CB41DC">
        <w:t>he plans must be consistent with the [Disaster Management Strategic Policy Framework] and include provisions for local disaster management priorities, operations and events and any other matters stated in the disaster management guidelines.</w:t>
      </w:r>
      <w:r>
        <w:t xml:space="preserve"> </w:t>
      </w:r>
      <w:r w:rsidRPr="005D171C">
        <w:rPr>
          <w:szCs w:val="24"/>
        </w:rPr>
        <w:t>(Queensland Public Safety Business Agency 2014, p. 41)</w:t>
      </w:r>
    </w:p>
    <w:p w14:paraId="65E1894C" w14:textId="77777777" w:rsidR="00DE1537" w:rsidRDefault="00DE1537" w:rsidP="00343F3E">
      <w:pPr>
        <w:pStyle w:val="BodyText"/>
      </w:pPr>
      <w:r w:rsidRPr="000922D6">
        <w:t xml:space="preserve">State and local governments have primary responsibility over </w:t>
      </w:r>
      <w:r w:rsidRPr="000922D6">
        <w:rPr>
          <w:b/>
        </w:rPr>
        <w:t>land use planning, building regulations and infrastructure provision</w:t>
      </w:r>
      <w:r w:rsidRPr="000922D6">
        <w:t xml:space="preserve"> in their jurisdictions. These activities </w:t>
      </w:r>
      <w:r>
        <w:t>have an important influence on the exposure and vulnerability of the built environment to</w:t>
      </w:r>
      <w:r w:rsidRPr="000922D6">
        <w:t xml:space="preserve"> natural </w:t>
      </w:r>
      <w:r>
        <w:t>disaster risk (supplementary paper 6</w:t>
      </w:r>
      <w:r w:rsidRPr="000922D6">
        <w:t>). State governments set the overarching frameworks for land</w:t>
      </w:r>
      <w:r>
        <w:t xml:space="preserve"> </w:t>
      </w:r>
      <w:r w:rsidRPr="000922D6">
        <w:t xml:space="preserve">use planning, while </w:t>
      </w:r>
      <w:r>
        <w:t xml:space="preserve">local governments are generally responsible for implementing and enforcing land use planning and building regulations. </w:t>
      </w:r>
    </w:p>
    <w:p w14:paraId="185D20DF" w14:textId="77777777" w:rsidR="00DE1537" w:rsidRDefault="00DE1537" w:rsidP="00343F3E">
      <w:pPr>
        <w:pStyle w:val="BodyText"/>
      </w:pPr>
      <w:r>
        <w:lastRenderedPageBreak/>
        <w:t>Land use planning has a number of objectives — to the point that it suffers from objective overload — so it is not clear how effectively it prioritises natural disaster risk over other objectives. Building regulations have much clearer objectives, and prioritise the protection of life, and are regularly reviewed to assess whether and how to incorporate natural hazard risk.</w:t>
      </w:r>
    </w:p>
    <w:p w14:paraId="47C2D2F1" w14:textId="702D8F7C" w:rsidR="00DE1537" w:rsidRDefault="00DE1537" w:rsidP="00343F3E">
      <w:pPr>
        <w:pStyle w:val="BodyText"/>
      </w:pPr>
      <w:r>
        <w:t>State governments generally require local governments to prepare asset management plans for at least a 10 year period to guide infrastructure provision (box 2.5). These plans often feed into budget frameworks. Queensland, New South Wales and Western Australia all noted improvements in their asset management planning in recent years. The Victorian Auditor</w:t>
      </w:r>
      <w:r>
        <w:noBreakHyphen/>
        <w:t xml:space="preserve">General also noted improved asset management practices in councils </w:t>
      </w:r>
      <w:r w:rsidR="007C5656" w:rsidRPr="007C5656">
        <w:rPr>
          <w:szCs w:val="24"/>
        </w:rPr>
        <w:t>(Victorian Auditor-General 2014a, p. vii)</w:t>
      </w:r>
      <w:r>
        <w:t>. Local governments are not always required to integrate natural hazard risk in their asset management plans; however these risks are often integrated into general risk management.</w:t>
      </w:r>
    </w:p>
    <w:p w14:paraId="18234FC7" w14:textId="77777777" w:rsidR="00DE1537" w:rsidRPr="00F13B77" w:rsidRDefault="00DE1537" w:rsidP="00343F3E">
      <w:pPr>
        <w:pStyle w:val="BodyText"/>
      </w:pPr>
      <w:r>
        <w:t xml:space="preserve">State and local governments also undertake a variety of </w:t>
      </w:r>
      <w:r w:rsidRPr="006C4543">
        <w:rPr>
          <w:b/>
        </w:rPr>
        <w:t>mitigation and resilience</w:t>
      </w:r>
      <w:r>
        <w:t xml:space="preserve"> activities (section 2.5). This can include hazard mapping, investing in early warning systems, prescribed burning and constructing flood levees.</w:t>
      </w:r>
    </w:p>
    <w:p w14:paraId="1DB8522C" w14:textId="77777777" w:rsidR="00DE1537" w:rsidRDefault="00DE1537" w:rsidP="00343F3E">
      <w:pPr>
        <w:pStyle w:val="BodyText"/>
      </w:pPr>
      <w:r w:rsidRPr="00CB41DC">
        <w:t xml:space="preserve">States have primary responsibility in </w:t>
      </w:r>
      <w:r w:rsidRPr="006C4543">
        <w:rPr>
          <w:b/>
        </w:rPr>
        <w:t>responding to natural disasters</w:t>
      </w:r>
      <w:r w:rsidRPr="00CB41DC">
        <w:t xml:space="preserve"> for the protection of life and property within their jurisdictions (Atto</w:t>
      </w:r>
      <w:r>
        <w:t>rney</w:t>
      </w:r>
      <w:r>
        <w:noBreakHyphen/>
        <w:t>General’s Department, sub. </w:t>
      </w:r>
      <w:r w:rsidRPr="00CB41DC">
        <w:t xml:space="preserve">90). States </w:t>
      </w:r>
      <w:r>
        <w:t xml:space="preserve">fund and </w:t>
      </w:r>
      <w:r w:rsidRPr="00CB41DC">
        <w:t xml:space="preserve">operate police, fire and ambulance services as well as State Emergency Service agencies (made up primarily of volunteers) which give immediate assistance during emergencies. </w:t>
      </w:r>
      <w:r>
        <w:t>They</w:t>
      </w:r>
      <w:r w:rsidRPr="00CB41DC">
        <w:t xml:space="preserve"> are also responsible for training and equipping emergency management volunteers.</w:t>
      </w:r>
    </w:p>
    <w:p w14:paraId="43352366" w14:textId="2BED512C" w:rsidR="00DE1537" w:rsidRPr="00890C20" w:rsidRDefault="00DE1537" w:rsidP="00343F3E">
      <w:pPr>
        <w:pStyle w:val="BodyText"/>
      </w:pPr>
      <w:r w:rsidRPr="00CB41DC">
        <w:t>Local governments are responsible for ensuring that disaster response measures are in place and generally outline these arrangements in their local emergency management plans.</w:t>
      </w:r>
      <w:r>
        <w:t xml:space="preserve"> </w:t>
      </w:r>
      <w:r w:rsidRPr="00CB41DC">
        <w:t>For example</w:t>
      </w:r>
      <w:r w:rsidRPr="00890C20">
        <w:t>, t</w:t>
      </w:r>
      <w:r w:rsidRPr="00CB41DC">
        <w:t>he Queensland Disaster Ma</w:t>
      </w:r>
      <w:r>
        <w:t>nagement Plan</w:t>
      </w:r>
      <w:r w:rsidRPr="00CB41DC">
        <w:t xml:space="preserve"> noted that local disaster coordination centres are established by local governments to coordinate resources and information</w:t>
      </w:r>
      <w:r>
        <w:t>,</w:t>
      </w:r>
      <w:r w:rsidRPr="00CB41DC">
        <w:t xml:space="preserve"> and support the district disaster coordination centre</w:t>
      </w:r>
      <w:r>
        <w:t xml:space="preserve"> </w:t>
      </w:r>
      <w:r w:rsidRPr="005D171C">
        <w:rPr>
          <w:szCs w:val="24"/>
        </w:rPr>
        <w:t>(Queensland Public Safety Business Agency 2014)</w:t>
      </w:r>
      <w:r w:rsidRPr="00CB41DC">
        <w:t>.</w:t>
      </w:r>
    </w:p>
    <w:p w14:paraId="2CE1DAC8" w14:textId="77777777" w:rsidR="004506DA" w:rsidRDefault="004506DA" w:rsidP="004506DA">
      <w:pPr>
        <w:pStyle w:val="BodyText"/>
      </w:pPr>
      <w:r>
        <w:t xml:space="preserve">Ongoing emergency response capability is an important element of natural disaster resilience. State governments provide </w:t>
      </w:r>
      <w:r w:rsidRPr="00D57BDF">
        <w:t xml:space="preserve">the majority of </w:t>
      </w:r>
      <w:r>
        <w:t>funding for emergency response capability every year</w:t>
      </w:r>
      <w:r>
        <w:rPr>
          <w:color w:val="245CA2" w:themeColor="accent5" w:themeShade="BF"/>
        </w:rPr>
        <w:t>.</w:t>
      </w:r>
      <w:r>
        <w:t xml:space="preserve"> However, not all of this expenditure is specifically related to natural disaster events and there is generally relatively little Australian Government funding.</w:t>
      </w:r>
    </w:p>
    <w:p w14:paraId="689BC97B" w14:textId="1FAC0CC6" w:rsidR="00DE1537" w:rsidRDefault="004506DA" w:rsidP="00343F3E">
      <w:pPr>
        <w:pStyle w:val="BodyText"/>
      </w:pPr>
      <w:proofErr w:type="gramStart"/>
      <w:r w:rsidRPr="006C4543">
        <w:rPr>
          <w:b/>
        </w:rPr>
        <w:t>Relief and recovery</w:t>
      </w:r>
      <w:r>
        <w:t xml:space="preserve"> after a natural disaster impacts on the resilience of a community, particularly its ability to resume a normal level of functioning.</w:t>
      </w:r>
      <w:proofErr w:type="gramEnd"/>
      <w:r>
        <w:t xml:space="preserve"> State and local governments undertake a range of relief and recovery activities, such as providing </w:t>
      </w:r>
      <w:r w:rsidRPr="005243A2">
        <w:t>emergency food, clothing or temporary accommodation</w:t>
      </w:r>
      <w:r>
        <w:t xml:space="preserve"> and restoring essential public assets. They also provide subsidies and concessional loans to small businesses and primary producers. State and local governments can receive financial support from the Australian Government for these activities in certain circumstances (section 2.5).</w:t>
      </w:r>
    </w:p>
    <w:p w14:paraId="3B8D7430"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4E9C8AB" w14:textId="77777777" w:rsidTr="00343F3E">
        <w:tc>
          <w:tcPr>
            <w:tcW w:w="8771" w:type="dxa"/>
            <w:tcBorders>
              <w:top w:val="single" w:sz="6" w:space="0" w:color="78A22F"/>
              <w:left w:val="nil"/>
              <w:bottom w:val="nil"/>
              <w:right w:val="nil"/>
            </w:tcBorders>
            <w:shd w:val="clear" w:color="auto" w:fill="F2F2F2"/>
          </w:tcPr>
          <w:p w14:paraId="3CAF1C9F" w14:textId="7739C1F8" w:rsidR="00DE1537" w:rsidRDefault="00DE1537" w:rsidP="00343F3E">
            <w:pPr>
              <w:pStyle w:val="BoxTitle"/>
            </w:pPr>
            <w:r>
              <w:rPr>
                <w:b w:val="0"/>
              </w:rPr>
              <w:t xml:space="preserve">Box </w:t>
            </w:r>
            <w:bookmarkStart w:id="22" w:name="OLE_LINK4"/>
            <w:r>
              <w:rPr>
                <w:b w:val="0"/>
              </w:rPr>
              <w:t>2.</w:t>
            </w:r>
            <w:r>
              <w:rPr>
                <w:b w:val="0"/>
                <w:noProof/>
              </w:rPr>
              <w:t>5</w:t>
            </w:r>
            <w:bookmarkEnd w:id="22"/>
            <w:r>
              <w:tab/>
              <w:t>Examples of asset management planning in Australia</w:t>
            </w:r>
          </w:p>
        </w:tc>
      </w:tr>
      <w:tr w:rsidR="00DE1537" w14:paraId="32DF8942" w14:textId="77777777" w:rsidTr="00343F3E">
        <w:trPr>
          <w:cantSplit/>
        </w:trPr>
        <w:tc>
          <w:tcPr>
            <w:tcW w:w="8771" w:type="dxa"/>
            <w:tcBorders>
              <w:top w:val="nil"/>
              <w:left w:val="nil"/>
              <w:bottom w:val="nil"/>
              <w:right w:val="nil"/>
            </w:tcBorders>
            <w:shd w:val="clear" w:color="auto" w:fill="F2F2F2"/>
          </w:tcPr>
          <w:p w14:paraId="37C417D8" w14:textId="77777777" w:rsidR="00DE1537" w:rsidRDefault="00DE1537" w:rsidP="00343F3E">
            <w:pPr>
              <w:pStyle w:val="BoxHeading1"/>
              <w:tabs>
                <w:tab w:val="left" w:pos="5040"/>
              </w:tabs>
            </w:pPr>
            <w:r>
              <w:t>Queensland</w:t>
            </w:r>
          </w:p>
          <w:p w14:paraId="78D39D7F" w14:textId="77777777" w:rsidR="00DE1537" w:rsidRDefault="00DE1537" w:rsidP="00343F3E">
            <w:pPr>
              <w:pStyle w:val="BoxQuote"/>
            </w:pPr>
            <w:r>
              <w:t>Under the Local Government Regulation 2012, councils are required to prepare and adopt a long</w:t>
            </w:r>
            <w:r>
              <w:noBreakHyphen/>
              <w:t>term asset management plan covering a period of at least ten years. Queensland councils, supported by [Local Government Association of Queensland] have in recent years significantly improved their asset management practices. Queensland local governments are required by legislation to value infrastructure assets to meet the requirements of the Australian Accounting standards. Revaluations are required where there has been a material change (typically 5%) in “fair value”.</w:t>
            </w:r>
          </w:p>
          <w:p w14:paraId="694DFDC8" w14:textId="77777777" w:rsidR="00DE1537" w:rsidRDefault="00DE1537" w:rsidP="00343F3E">
            <w:pPr>
              <w:pStyle w:val="BoxQuote"/>
            </w:pPr>
            <w:r>
              <w:t>Up to date asset registers are required to be able to undertake these calculations and these are audited by the Queensland Audit Office (QAO) as part of the valuation process. Asset registers are typically updated annually based on improvement and renewal works performed in the previous 12 month period. The asset register is established in Council’s financial/asset management system. The asset register is used to capture life cycle costs of road assets and to facilitate work. (LGAQ, sub. DR188, p. 16)</w:t>
            </w:r>
          </w:p>
          <w:p w14:paraId="700DCA07" w14:textId="77777777" w:rsidR="00DE1537" w:rsidRDefault="00DE1537" w:rsidP="00343F3E">
            <w:pPr>
              <w:pStyle w:val="BoxHeading1"/>
            </w:pPr>
            <w:r>
              <w:t>Western Australia</w:t>
            </w:r>
          </w:p>
          <w:p w14:paraId="5C0C6FB8" w14:textId="77777777" w:rsidR="00DE1537" w:rsidRDefault="00DE1537" w:rsidP="00343F3E">
            <w:pPr>
              <w:pStyle w:val="BoxQuote"/>
            </w:pPr>
            <w:r w:rsidRPr="00C73E71">
              <w:t>As part of the annual budget cycle in Western Australia, agencies are required to submit, through their CEO and Minister a Strategic Asset Plan to Treasury each year, which includes justification for asset investment proposals based on the agency’s future service delivery model and demand. The information informs discussions between Treasury, agencies, and government on what should be funded under the State’s Asset Investment Program as part of the State Budget.</w:t>
            </w:r>
          </w:p>
          <w:p w14:paraId="6426C560" w14:textId="77777777" w:rsidR="00DE1537" w:rsidRDefault="00DE1537" w:rsidP="00343F3E">
            <w:pPr>
              <w:pStyle w:val="BoxQuote"/>
            </w:pPr>
            <w:r>
              <w:t>Risk evaluation and mitigation are fundamental aspects of an agency’s Strategic Asset Plan, including assessment of natural disaster risk. All Western Australian local governments, under an Integrated Planning and Reporting (IPR) regulation (2010), are required to have developed and adopted, a Strategic Community Plan to cover a period of at least 10 financial years. These plans are linked to the Annual Budget and Annual Report and include managing and identifying resourcing requirements in the area of natural disasters. While significant progress has been made in the implementation of asset management planning, further work is required, particularly with country local governments.</w:t>
            </w:r>
          </w:p>
          <w:p w14:paraId="3E6EE46B" w14:textId="77777777" w:rsidR="00DE1537" w:rsidRDefault="00DE1537" w:rsidP="00343F3E">
            <w:pPr>
              <w:pStyle w:val="BoxQuote"/>
            </w:pPr>
            <w:r>
              <w:t>The State has also commenced a tenure blind Bushfire Risk Management Planning project and State Risk Project which will give further information on hazard and vulnerabilities at State, District and Local level that can be incorporated in to asset management plans. (WA SEMCS, sub. DR216, p. 6)</w:t>
            </w:r>
          </w:p>
          <w:p w14:paraId="3F3DAFF8" w14:textId="77777777" w:rsidR="00DE1537" w:rsidRDefault="00DE1537" w:rsidP="00343F3E">
            <w:pPr>
              <w:pStyle w:val="BoxHeading1"/>
            </w:pPr>
            <w:r>
              <w:t>South Australia</w:t>
            </w:r>
          </w:p>
          <w:p w14:paraId="3C94816E" w14:textId="77777777" w:rsidR="00DE1537" w:rsidRDefault="00DE1537" w:rsidP="00343F3E">
            <w:pPr>
              <w:pStyle w:val="BoxQuote"/>
            </w:pPr>
            <w:r>
              <w:t>At a minimum, each Council must:</w:t>
            </w:r>
          </w:p>
          <w:p w14:paraId="2836259D" w14:textId="77777777" w:rsidR="00DE1537" w:rsidRDefault="00DE1537" w:rsidP="00343F3E">
            <w:pPr>
              <w:pStyle w:val="BoxQuoteBullet"/>
            </w:pPr>
            <w:r>
              <w:t>have an ‘infrastructure and asset management plan’ covering a period of at least 10 years; and</w:t>
            </w:r>
          </w:p>
          <w:p w14:paraId="404DCAE8" w14:textId="77777777" w:rsidR="00DE1537" w:rsidRDefault="00DE1537" w:rsidP="00343F3E">
            <w:pPr>
              <w:pStyle w:val="BoxQuoteBullet"/>
            </w:pPr>
            <w:proofErr w:type="gramStart"/>
            <w:r>
              <w:t>record</w:t>
            </w:r>
            <w:proofErr w:type="gramEnd"/>
            <w:r>
              <w:t xml:space="preserve"> the value of its assets and the depreciation of assets in the audited annual financial statements.</w:t>
            </w:r>
          </w:p>
          <w:p w14:paraId="036DFC14" w14:textId="77777777" w:rsidR="00DE1537" w:rsidRDefault="00DE1537" w:rsidP="00343F3E">
            <w:pPr>
              <w:pStyle w:val="BoxQuote"/>
            </w:pPr>
            <w:r>
              <w:t xml:space="preserve">Although there is no legal requirement to have an ‘asset register’ as such, most </w:t>
            </w:r>
            <w:proofErr w:type="gramStart"/>
            <w:r>
              <w:t>Councils</w:t>
            </w:r>
            <w:proofErr w:type="gramEnd"/>
            <w:r>
              <w:t xml:space="preserve"> find it useful to have a list of their assets, to serve at least the two purposes above. [Local Government Association]</w:t>
            </w:r>
            <w:r w:rsidRPr="00071BB6">
              <w:t xml:space="preserve"> notes that Councils’ asset registers are not consistent in their design so aggregation of information for the sector would be problematic.</w:t>
            </w:r>
          </w:p>
          <w:p w14:paraId="2D6C3DEB" w14:textId="77777777" w:rsidR="00DE1537" w:rsidRPr="00071BB6" w:rsidRDefault="00DE1537" w:rsidP="00343F3E">
            <w:pPr>
              <w:pStyle w:val="BoxQuote"/>
            </w:pPr>
            <w:r w:rsidRPr="00071BB6">
              <w:t>Pursuant to ss122</w:t>
            </w:r>
            <w:r>
              <w:noBreakHyphen/>
            </w:r>
            <w:r w:rsidRPr="00071BB6">
              <w:t xml:space="preserve">123 of the Local Government Act 1999 (SA) each Council’s asset management plan is part of its suite of </w:t>
            </w:r>
            <w:r>
              <w:t>‘</w:t>
            </w:r>
            <w:r w:rsidRPr="00071BB6">
              <w:t>strategic management plans</w:t>
            </w:r>
            <w:r>
              <w:t>’</w:t>
            </w:r>
            <w:r w:rsidRPr="00071BB6">
              <w:t xml:space="preserve"> (SMPs). The objectives of the SMPs, in turn, must be reflected in each year’s annual business plan and budget.</w:t>
            </w:r>
          </w:p>
          <w:p w14:paraId="2C90321F" w14:textId="77777777" w:rsidR="00DE1537" w:rsidRPr="003E2DD4" w:rsidRDefault="00DE1537" w:rsidP="00343F3E">
            <w:pPr>
              <w:pStyle w:val="BoxQuote"/>
            </w:pPr>
            <w:r w:rsidRPr="00071BB6">
              <w:t>There is no specific legal requirement to have natural disaster risk management incorporated into a Council’s asset management plan, nor any other planning tool. However there are references within the Local Government Act 1999 (SA) that require Councils to adopt appropriate policies, practices and procedures that ensure their assets are protected through sound administrative management.</w:t>
            </w:r>
            <w:r>
              <w:t xml:space="preserve"> (LGASA, sub. DR161, p. 4)</w:t>
            </w:r>
          </w:p>
        </w:tc>
      </w:tr>
      <w:tr w:rsidR="00DE1537" w14:paraId="00C8B8C3" w14:textId="77777777" w:rsidTr="00343F3E">
        <w:trPr>
          <w:cantSplit/>
        </w:trPr>
        <w:tc>
          <w:tcPr>
            <w:tcW w:w="8771" w:type="dxa"/>
            <w:tcBorders>
              <w:top w:val="nil"/>
              <w:left w:val="nil"/>
              <w:bottom w:val="single" w:sz="6" w:space="0" w:color="78A22F"/>
              <w:right w:val="nil"/>
            </w:tcBorders>
            <w:shd w:val="clear" w:color="auto" w:fill="F2F2F2"/>
          </w:tcPr>
          <w:p w14:paraId="44A17315" w14:textId="77777777" w:rsidR="00DE1537" w:rsidRDefault="00DE1537" w:rsidP="00343F3E">
            <w:pPr>
              <w:pStyle w:val="Continued"/>
              <w:spacing w:after="40"/>
            </w:pPr>
            <w:r>
              <w:t>(</w:t>
            </w:r>
            <w:r w:rsidRPr="003245EF">
              <w:t>continued</w:t>
            </w:r>
            <w:r>
              <w:t xml:space="preserve"> next page)</w:t>
            </w:r>
          </w:p>
        </w:tc>
      </w:tr>
    </w:tbl>
    <w:p w14:paraId="2F64B2EF"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E819258" w14:textId="77777777" w:rsidTr="00343F3E">
        <w:tc>
          <w:tcPr>
            <w:tcW w:w="8771" w:type="dxa"/>
            <w:tcBorders>
              <w:top w:val="single" w:sz="6" w:space="0" w:color="78A22F"/>
              <w:left w:val="nil"/>
              <w:bottom w:val="nil"/>
              <w:right w:val="nil"/>
            </w:tcBorders>
            <w:shd w:val="clear" w:color="auto" w:fill="F2F2F2"/>
          </w:tcPr>
          <w:p w14:paraId="4531471A" w14:textId="4A70D32C" w:rsidR="00DE1537" w:rsidRDefault="00DE1537" w:rsidP="00343F3E">
            <w:pPr>
              <w:pStyle w:val="Arial"/>
            </w:pPr>
            <w:r>
              <w:t>Box 2.5</w:t>
            </w:r>
            <w:r>
              <w:tab/>
            </w:r>
            <w:r w:rsidRPr="00F96AB0">
              <w:rPr>
                <w:sz w:val="18"/>
                <w:szCs w:val="18"/>
              </w:rPr>
              <w:t>(continued)</w:t>
            </w:r>
          </w:p>
        </w:tc>
      </w:tr>
      <w:tr w:rsidR="00DE1537" w14:paraId="5C5C89B4" w14:textId="77777777" w:rsidTr="00343F3E">
        <w:trPr>
          <w:cantSplit/>
        </w:trPr>
        <w:tc>
          <w:tcPr>
            <w:tcW w:w="8771" w:type="dxa"/>
            <w:tcBorders>
              <w:top w:val="nil"/>
              <w:left w:val="nil"/>
              <w:bottom w:val="nil"/>
              <w:right w:val="nil"/>
            </w:tcBorders>
            <w:shd w:val="clear" w:color="auto" w:fill="F2F2F2"/>
          </w:tcPr>
          <w:p w14:paraId="1BD7E654" w14:textId="77777777" w:rsidR="00DE1537" w:rsidRDefault="00DE1537" w:rsidP="00343F3E">
            <w:pPr>
              <w:pStyle w:val="BoxHeading1"/>
              <w:tabs>
                <w:tab w:val="left" w:pos="2850"/>
              </w:tabs>
            </w:pPr>
            <w:r>
              <w:t>New South Wales</w:t>
            </w:r>
          </w:p>
          <w:p w14:paraId="44ABEC5F" w14:textId="77777777" w:rsidR="00DE1537" w:rsidRDefault="00DE1537" w:rsidP="00343F3E">
            <w:pPr>
              <w:pStyle w:val="BoxQuote"/>
            </w:pPr>
            <w:r>
              <w:t>All NSW councils are required to prepare 10 year (or more) asset management plans for all asset classes. These assess the condition of assets, cost to bring them to an acceptable standard, and include appropriate actions in their delivery programs and budgets. A recent asset infrastructure audit found that council asset management planning is improving. (NSW Government, sub. 114, p. 28)</w:t>
            </w:r>
          </w:p>
          <w:p w14:paraId="1297D9C6" w14:textId="77777777" w:rsidR="00DE1537" w:rsidRPr="00F96AB0" w:rsidRDefault="00DE1537" w:rsidP="00343F3E">
            <w:pPr>
              <w:pStyle w:val="BoxQuote"/>
            </w:pPr>
            <w:r w:rsidRPr="00F96AB0">
              <w:t>It is important to note that the NSW Government invests heavily in asset management, risk management and disaster mitigation through a range of business</w:t>
            </w:r>
            <w:r>
              <w:noBreakHyphen/>
            </w:r>
            <w:r w:rsidRPr="00F96AB0">
              <w:t>as</w:t>
            </w:r>
            <w:r>
              <w:noBreakHyphen/>
            </w:r>
            <w:r w:rsidRPr="00F96AB0">
              <w:t>usual activities. Whilst this investment may not be named ‘disaster mitigation’ per se, it has a direct and tangible effect on the resilience of communities to natural disasters.</w:t>
            </w:r>
            <w:r>
              <w:t xml:space="preserve"> (NSW Government, sub. DR217, p. 2)</w:t>
            </w:r>
          </w:p>
          <w:p w14:paraId="668A2B90" w14:textId="77777777" w:rsidR="00DE1537" w:rsidRDefault="00DE1537" w:rsidP="00343F3E">
            <w:pPr>
              <w:pStyle w:val="BoxHeading1"/>
            </w:pPr>
            <w:r>
              <w:t>Victoria</w:t>
            </w:r>
          </w:p>
          <w:p w14:paraId="5DB61AB6" w14:textId="77777777" w:rsidR="00DE1537" w:rsidRDefault="00DE1537" w:rsidP="00343F3E">
            <w:pPr>
              <w:pStyle w:val="BoxQuote"/>
            </w:pPr>
            <w:r>
              <w:t xml:space="preserve">Under Section 44B of the </w:t>
            </w:r>
            <w:r>
              <w:rPr>
                <w:i/>
                <w:iCs/>
              </w:rPr>
              <w:t xml:space="preserve">Financial Management Act 1994 </w:t>
            </w:r>
            <w:r>
              <w:t xml:space="preserve">and Section 23 of the </w:t>
            </w:r>
            <w:r>
              <w:rPr>
                <w:i/>
                <w:iCs/>
              </w:rPr>
              <w:t xml:space="preserve">Victorian Managed Insurance Authority Act 1996, </w:t>
            </w:r>
            <w:r>
              <w:t>a department or public body must maintain a register of assets and develop, implement and keep under review a risk management strategy. The Victorian Managed Insurance Authority (VMIA) must report to the Minister on the adequacy of the register of assets and risk management strategy (this requirement applies only to agencies required to insure with VMIA). (Victorian Government, sub. DR215, app. 2, p. 35)</w:t>
            </w:r>
          </w:p>
          <w:p w14:paraId="2E2BAB6F" w14:textId="77777777" w:rsidR="00DE1537" w:rsidRPr="003E2DD4" w:rsidRDefault="00DE1537" w:rsidP="00343F3E">
            <w:pPr>
              <w:pStyle w:val="BoxQuote"/>
            </w:pPr>
            <w:r w:rsidRPr="00AB4D70">
              <w:t>All councils’ asset plans incorporate risk assessments and risk management plans, however not all plans incorporate natural disaster risk specifically. Risk management plans are often quite general in nature. However some asset management plans incorporate natural disaster risk management impact assessments for each asset group.</w:t>
            </w:r>
            <w:r>
              <w:t xml:space="preserve"> (MAV, sub. DR162, p. 17)</w:t>
            </w:r>
          </w:p>
        </w:tc>
      </w:tr>
      <w:tr w:rsidR="00DE1537" w14:paraId="71580253" w14:textId="77777777" w:rsidTr="00343F3E">
        <w:trPr>
          <w:cantSplit/>
        </w:trPr>
        <w:tc>
          <w:tcPr>
            <w:tcW w:w="8771" w:type="dxa"/>
            <w:tcBorders>
              <w:top w:val="nil"/>
              <w:left w:val="nil"/>
              <w:bottom w:val="single" w:sz="6" w:space="0" w:color="78A22F"/>
              <w:right w:val="nil"/>
            </w:tcBorders>
            <w:shd w:val="clear" w:color="auto" w:fill="F2F2F2"/>
          </w:tcPr>
          <w:p w14:paraId="651BAA10" w14:textId="77777777" w:rsidR="00DE1537" w:rsidRDefault="00DE1537">
            <w:pPr>
              <w:pStyle w:val="Box"/>
              <w:spacing w:before="0" w:line="120" w:lineRule="exact"/>
            </w:pPr>
          </w:p>
        </w:tc>
      </w:tr>
      <w:tr w:rsidR="00DE1537" w:rsidRPr="000863A5" w14:paraId="2C38DD16" w14:textId="77777777" w:rsidTr="00343F3E">
        <w:tc>
          <w:tcPr>
            <w:tcW w:w="8771" w:type="dxa"/>
            <w:tcBorders>
              <w:top w:val="single" w:sz="6" w:space="0" w:color="78A22F"/>
              <w:left w:val="nil"/>
              <w:bottom w:val="nil"/>
              <w:right w:val="nil"/>
            </w:tcBorders>
          </w:tcPr>
          <w:p w14:paraId="585E142D" w14:textId="77777777" w:rsidR="00DE1537" w:rsidRPr="00626D32" w:rsidRDefault="00DE1537" w:rsidP="00343F3E">
            <w:pPr>
              <w:pStyle w:val="BoxSpaceBelow"/>
            </w:pPr>
          </w:p>
        </w:tc>
      </w:tr>
    </w:tbl>
    <w:p w14:paraId="0272CAFA" w14:textId="77777777" w:rsidR="00DE1537" w:rsidRDefault="00DE1537" w:rsidP="00343F3E">
      <w:pPr>
        <w:pStyle w:val="Heading4"/>
      </w:pPr>
      <w:bookmarkStart w:id="23" w:name="OLE_LINK2"/>
      <w:r>
        <w:t>Role of the Australian Government</w:t>
      </w:r>
    </w:p>
    <w:p w14:paraId="08E17A51" w14:textId="77777777" w:rsidR="00DE1537" w:rsidRDefault="00DE1537" w:rsidP="00343F3E">
      <w:pPr>
        <w:pStyle w:val="BodyText"/>
      </w:pPr>
      <w:r>
        <w:t>The Australian Government has a number of roles in natural disaster management, including:</w:t>
      </w:r>
    </w:p>
    <w:p w14:paraId="4D1E3052" w14:textId="77777777" w:rsidR="00DE1537" w:rsidRDefault="00DE1537" w:rsidP="00343F3E">
      <w:pPr>
        <w:pStyle w:val="ListBullet"/>
      </w:pPr>
      <w:r>
        <w:t>managing risks to its own assets</w:t>
      </w:r>
    </w:p>
    <w:p w14:paraId="1A30A1C8" w14:textId="77777777" w:rsidR="00DE1537" w:rsidRDefault="00DE1537" w:rsidP="00343F3E">
      <w:pPr>
        <w:pStyle w:val="ListBullet"/>
      </w:pPr>
      <w:r>
        <w:t>c</w:t>
      </w:r>
      <w:r w:rsidRPr="00DF1546">
        <w:t>oordinat</w:t>
      </w:r>
      <w:r>
        <w:t>ing</w:t>
      </w:r>
      <w:r w:rsidRPr="00C654BE">
        <w:t xml:space="preserve"> natural disaster </w:t>
      </w:r>
      <w:r w:rsidRPr="00DF1546">
        <w:t>issues of national significance</w:t>
      </w:r>
    </w:p>
    <w:p w14:paraId="56BB44B4" w14:textId="77777777" w:rsidR="00DE1537" w:rsidRDefault="00DE1537" w:rsidP="00343F3E">
      <w:pPr>
        <w:pStyle w:val="ListBullet"/>
      </w:pPr>
      <w:r>
        <w:t>providing financial support to state and local governments for mitigation and recovery activities</w:t>
      </w:r>
    </w:p>
    <w:p w14:paraId="69479F6E" w14:textId="77777777" w:rsidR="00DE1537" w:rsidRDefault="00DE1537" w:rsidP="00343F3E">
      <w:pPr>
        <w:pStyle w:val="ListBullet"/>
      </w:pPr>
      <w:r>
        <w:t>providing response efforts through the Australian Defence Force, when required</w:t>
      </w:r>
    </w:p>
    <w:p w14:paraId="7BBC2A54" w14:textId="77777777" w:rsidR="00DE1537" w:rsidRDefault="00DE1537" w:rsidP="00343F3E">
      <w:pPr>
        <w:pStyle w:val="ListBullet"/>
      </w:pPr>
      <w:r>
        <w:t>providing natural hazard information and research through agencies such as the Bureau of Meteorology, CSIRO and Geoscience Australia, and</w:t>
      </w:r>
    </w:p>
    <w:p w14:paraId="7CB0E3E1" w14:textId="77777777" w:rsidR="00DE1537" w:rsidRDefault="00DE1537" w:rsidP="00343F3E">
      <w:pPr>
        <w:pStyle w:val="ListBullet"/>
      </w:pPr>
      <w:proofErr w:type="gramStart"/>
      <w:r>
        <w:t>regulating</w:t>
      </w:r>
      <w:proofErr w:type="gramEnd"/>
      <w:r w:rsidRPr="00C654BE">
        <w:t xml:space="preserve"> insurance </w:t>
      </w:r>
      <w:r>
        <w:t>markets</w:t>
      </w:r>
      <w:r w:rsidRPr="00C654BE">
        <w:t xml:space="preserve"> and </w:t>
      </w:r>
      <w:r>
        <w:t xml:space="preserve">some </w:t>
      </w:r>
      <w:r w:rsidRPr="00C654BE">
        <w:t>infrastructure</w:t>
      </w:r>
      <w:r>
        <w:t>.</w:t>
      </w:r>
    </w:p>
    <w:p w14:paraId="2923293F" w14:textId="3DA9AC14" w:rsidR="00DE1537" w:rsidRDefault="00DE1537" w:rsidP="00343F3E">
      <w:pPr>
        <w:pStyle w:val="BodyText"/>
      </w:pPr>
      <w:r>
        <w:t>The Attorney</w:t>
      </w:r>
      <w:r>
        <w:noBreakHyphen/>
        <w:t>General’s Department leads collaboration and coordination of national emergency management policy. It coordinates intergovernmental forums such as</w:t>
      </w:r>
      <w:r w:rsidRPr="00CB41DC">
        <w:t xml:space="preserve"> the</w:t>
      </w:r>
      <w:r>
        <w:t xml:space="preserve"> Australia–</w:t>
      </w:r>
      <w:r w:rsidRPr="00927BA2">
        <w:t>New Zealand Emergency Management Committee</w:t>
      </w:r>
      <w:r>
        <w:t>,</w:t>
      </w:r>
      <w:r w:rsidRPr="00CB41DC">
        <w:t xml:space="preserve"> which reports to the</w:t>
      </w:r>
      <w:r>
        <w:t xml:space="preserve"> Law, Crime and Community Safety Council</w:t>
      </w:r>
      <w:r w:rsidRPr="00CB41DC">
        <w:t xml:space="preserve"> </w:t>
      </w:r>
      <w:r w:rsidR="007C5656" w:rsidRPr="007C5656">
        <w:rPr>
          <w:szCs w:val="24"/>
        </w:rPr>
        <w:t>(Australian Government 2013a)</w:t>
      </w:r>
      <w:r>
        <w:t xml:space="preserve"> (box 2.6)</w:t>
      </w:r>
      <w:r w:rsidRPr="00CB41DC">
        <w:t>.</w:t>
      </w:r>
      <w:r>
        <w:t xml:space="preserve"> It is also responsible for preparing national plans for emergencies and disasters and coordinating Australian Government response and recovery efforts.</w:t>
      </w:r>
    </w:p>
    <w:p w14:paraId="1A06C54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81CF89C" w14:textId="77777777" w:rsidTr="00343F3E">
        <w:tc>
          <w:tcPr>
            <w:tcW w:w="8771" w:type="dxa"/>
            <w:tcBorders>
              <w:top w:val="single" w:sz="6" w:space="0" w:color="78A22F"/>
              <w:left w:val="nil"/>
              <w:bottom w:val="nil"/>
              <w:right w:val="nil"/>
            </w:tcBorders>
            <w:shd w:val="clear" w:color="auto" w:fill="F2F2F2" w:themeFill="background1" w:themeFillShade="F2"/>
          </w:tcPr>
          <w:p w14:paraId="10CB08CA" w14:textId="31923A08" w:rsidR="00DE1537" w:rsidRDefault="00DE1537" w:rsidP="00343F3E">
            <w:pPr>
              <w:pStyle w:val="BoxTitle"/>
            </w:pPr>
            <w:r>
              <w:rPr>
                <w:b w:val="0"/>
              </w:rPr>
              <w:t xml:space="preserve">Box </w:t>
            </w:r>
            <w:bookmarkStart w:id="24" w:name="OLE_LINK30"/>
            <w:r>
              <w:rPr>
                <w:b w:val="0"/>
              </w:rPr>
              <w:t>2.</w:t>
            </w:r>
            <w:r>
              <w:rPr>
                <w:b w:val="0"/>
                <w:noProof/>
              </w:rPr>
              <w:t>6</w:t>
            </w:r>
            <w:bookmarkEnd w:id="24"/>
            <w:r>
              <w:tab/>
              <w:t>Australia–</w:t>
            </w:r>
            <w:r w:rsidRPr="00927BA2">
              <w:t>New Zealand Emergency Management Committee</w:t>
            </w:r>
          </w:p>
        </w:tc>
      </w:tr>
      <w:tr w:rsidR="00DE1537" w14:paraId="0D0B165B" w14:textId="77777777" w:rsidTr="00343F3E">
        <w:trPr>
          <w:cantSplit/>
        </w:trPr>
        <w:tc>
          <w:tcPr>
            <w:tcW w:w="8771" w:type="dxa"/>
            <w:tcBorders>
              <w:top w:val="nil"/>
              <w:left w:val="nil"/>
              <w:bottom w:val="nil"/>
              <w:right w:val="nil"/>
            </w:tcBorders>
            <w:shd w:val="clear" w:color="auto" w:fill="F2F2F2" w:themeFill="background1" w:themeFillShade="F2"/>
          </w:tcPr>
          <w:p w14:paraId="6A7A6098" w14:textId="77777777" w:rsidR="00DE1537" w:rsidRDefault="00DE1537" w:rsidP="00343F3E">
            <w:pPr>
              <w:pStyle w:val="Box"/>
            </w:pPr>
            <w:r w:rsidRPr="00927BA2">
              <w:t xml:space="preserve">The </w:t>
            </w:r>
            <w:r>
              <w:t>Australia–</w:t>
            </w:r>
            <w:r w:rsidRPr="00A614C9">
              <w:t xml:space="preserve">New Zealand Emergency Management Committee </w:t>
            </w:r>
            <w:r>
              <w:t>(</w:t>
            </w:r>
            <w:r w:rsidRPr="00927BA2">
              <w:t>ANZEMC</w:t>
            </w:r>
            <w:r>
              <w:t>)</w:t>
            </w:r>
            <w:r w:rsidRPr="00927BA2">
              <w:t xml:space="preserve"> </w:t>
            </w:r>
            <w:r>
              <w:t>was</w:t>
            </w:r>
            <w:r w:rsidRPr="00974290">
              <w:t xml:space="preserve"> established by agreement between COAG and the New Zealand Government</w:t>
            </w:r>
            <w:r>
              <w:t xml:space="preserve"> and reports to the Law, Crime and Community Safety Council. It </w:t>
            </w:r>
            <w:r w:rsidRPr="00927BA2">
              <w:t xml:space="preserve">provides strategic leadership and advice on nationwide emergency management policy with a view </w:t>
            </w:r>
            <w:r>
              <w:t>to</w:t>
            </w:r>
            <w:r w:rsidRPr="00927BA2">
              <w:t xml:space="preserve"> strengthening disaster resilience.</w:t>
            </w:r>
            <w:r>
              <w:t xml:space="preserve"> For example, the ANZEMC assesses and recommends applications for National Emergency Management Projects submitted to the Attorney</w:t>
            </w:r>
            <w:r>
              <w:noBreakHyphen/>
              <w:t>General’s Department. Projects are prioritised based on whether they are consistent with the National Strategy for Disaster Resilience and address emergency management focus areas.</w:t>
            </w:r>
          </w:p>
          <w:p w14:paraId="73D8A4F2" w14:textId="77777777" w:rsidR="00DE1537" w:rsidRPr="00A614C9" w:rsidRDefault="00DE1537" w:rsidP="00343F3E">
            <w:pPr>
              <w:pStyle w:val="Box"/>
            </w:pPr>
            <w:r w:rsidRPr="00927BA2">
              <w:t>The ANZEMC is s</w:t>
            </w:r>
            <w:r>
              <w:t>upported by four sub</w:t>
            </w:r>
            <w:r>
              <w:noBreakHyphen/>
              <w:t xml:space="preserve">committees (figure 2.5). It </w:t>
            </w:r>
            <w:r w:rsidRPr="00A614C9">
              <w:t xml:space="preserve">is responsible for reviewing and reissuing the Australian Emergency Management Arrangements </w:t>
            </w:r>
            <w:r>
              <w:t xml:space="preserve">(AEMA) </w:t>
            </w:r>
            <w:r w:rsidRPr="00AF2937">
              <w:t>every three years, in consultation with all relevant agencies and organisations. However, the current iteration of the arrangements was released in 2009.</w:t>
            </w:r>
          </w:p>
          <w:p w14:paraId="593CD02C" w14:textId="77777777" w:rsidR="00DE1537" w:rsidRDefault="00DE1537" w:rsidP="00343F3E">
            <w:pPr>
              <w:pStyle w:val="Box"/>
            </w:pPr>
            <w:r w:rsidRPr="00CB41DC">
              <w:t xml:space="preserve">The </w:t>
            </w:r>
            <w:r>
              <w:t xml:space="preserve">AEMA </w:t>
            </w:r>
            <w:r w:rsidRPr="00CB41DC">
              <w:t>provide an overvi</w:t>
            </w:r>
            <w:r>
              <w:t>ew of how the Australian, state</w:t>
            </w:r>
            <w:r w:rsidRPr="00CB41DC">
              <w:t xml:space="preserve"> and local governments collectively manage emergencies, including natural disasters. They outline the principles, structures and procedures that support the coordination of emergency management in Australia. </w:t>
            </w:r>
            <w:r>
              <w:t>In addition, the arrangements outline the roles and responsibilities of all stakeholders, including the different levels of government, in prevention and preparedness, response and recovery.</w:t>
            </w:r>
          </w:p>
        </w:tc>
      </w:tr>
      <w:tr w:rsidR="00DE1537" w14:paraId="369C1896" w14:textId="77777777" w:rsidTr="00343F3E">
        <w:trPr>
          <w:cantSplit/>
        </w:trPr>
        <w:tc>
          <w:tcPr>
            <w:tcW w:w="8771" w:type="dxa"/>
            <w:tcBorders>
              <w:top w:val="nil"/>
              <w:left w:val="nil"/>
              <w:bottom w:val="nil"/>
              <w:right w:val="nil"/>
            </w:tcBorders>
            <w:shd w:val="clear" w:color="auto" w:fill="F2F2F2" w:themeFill="background1" w:themeFillShade="F2"/>
          </w:tcPr>
          <w:p w14:paraId="7D6569E3" w14:textId="61D99319" w:rsidR="00DE1537" w:rsidRDefault="00DE1537" w:rsidP="00343F3E">
            <w:pPr>
              <w:pStyle w:val="BoxSource"/>
            </w:pPr>
            <w:r>
              <w:rPr>
                <w:i/>
              </w:rPr>
              <w:t>Sources</w:t>
            </w:r>
            <w:r w:rsidRPr="00167F06">
              <w:t>:</w:t>
            </w:r>
            <w:r>
              <w:t xml:space="preserve"> Attorney</w:t>
            </w:r>
            <w:r>
              <w:noBreakHyphen/>
              <w:t xml:space="preserve">General’s Department </w:t>
            </w:r>
            <w:r w:rsidRPr="00187A76">
              <w:rPr>
                <w:rFonts w:cs="Arial"/>
              </w:rPr>
              <w:t>(2009, 2014a, 2014c)</w:t>
            </w:r>
            <w:r>
              <w:t xml:space="preserve">; SCRGSP </w:t>
            </w:r>
            <w:r w:rsidRPr="005D171C">
              <w:rPr>
                <w:rFonts w:cs="Arial"/>
              </w:rPr>
              <w:t>(2014)</w:t>
            </w:r>
            <w:r>
              <w:t>.</w:t>
            </w:r>
          </w:p>
        </w:tc>
      </w:tr>
      <w:tr w:rsidR="00DE1537" w14:paraId="381613F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D67F45B" w14:textId="77777777" w:rsidR="00DE1537" w:rsidRDefault="00DE1537" w:rsidP="00343F3E">
            <w:pPr>
              <w:pStyle w:val="Box"/>
              <w:spacing w:before="0" w:line="120" w:lineRule="exact"/>
            </w:pPr>
          </w:p>
        </w:tc>
      </w:tr>
      <w:tr w:rsidR="00DE1537" w:rsidRPr="000863A5" w14:paraId="3982A060" w14:textId="77777777" w:rsidTr="00343F3E">
        <w:tc>
          <w:tcPr>
            <w:tcW w:w="8771" w:type="dxa"/>
            <w:tcBorders>
              <w:top w:val="single" w:sz="6" w:space="0" w:color="78A22F"/>
              <w:left w:val="nil"/>
              <w:bottom w:val="nil"/>
              <w:right w:val="nil"/>
            </w:tcBorders>
          </w:tcPr>
          <w:p w14:paraId="42079F9A" w14:textId="77777777" w:rsidR="00DE1537" w:rsidRPr="00626D32" w:rsidRDefault="00DE1537" w:rsidP="00343F3E">
            <w:pPr>
              <w:pStyle w:val="BoxSpaceBelow"/>
            </w:pPr>
          </w:p>
        </w:tc>
      </w:tr>
    </w:tbl>
    <w:p w14:paraId="634F5D03" w14:textId="136AF7CB" w:rsidR="00DE1537" w:rsidRDefault="00DA0E95" w:rsidP="00343F3E">
      <w:pPr>
        <w:pStyle w:val="BodyText"/>
      </w:pPr>
      <w:bookmarkStart w:id="25" w:name="OLE_LINK13"/>
      <w:r>
        <w:t xml:space="preserve">The Australian Government is responsible for providing response measures in particular circumstances, primarily through the Australian Defence Force. States can request emergency assistance, referred to as ‘Defence Assistance to the Civil Community’ </w:t>
      </w:r>
      <w:r w:rsidRPr="00DA6C0C">
        <w:rPr>
          <w:szCs w:val="24"/>
        </w:rPr>
        <w:t>(ANAO 2014, p. 11)</w:t>
      </w:r>
      <w:r>
        <w:t>. Examples of emergency assistance include airlift of equipment and personnel, engineering support, and search, health and psychological support.</w:t>
      </w:r>
    </w:p>
    <w:p w14:paraId="76B029A2" w14:textId="51028ACE" w:rsidR="00DE1537" w:rsidRDefault="00DE1537" w:rsidP="00343F3E">
      <w:pPr>
        <w:pStyle w:val="Heading2"/>
      </w:pPr>
      <w:bookmarkStart w:id="26" w:name="_Toc406424317"/>
      <w:r>
        <w:t>2.</w:t>
      </w:r>
      <w:r>
        <w:rPr>
          <w:noProof/>
        </w:rPr>
        <w:t>4</w:t>
      </w:r>
      <w:bookmarkEnd w:id="23"/>
      <w:bookmarkEnd w:id="25"/>
      <w:r>
        <w:tab/>
        <w:t>Government funding frameworks</w:t>
      </w:r>
      <w:bookmarkEnd w:id="26"/>
    </w:p>
    <w:p w14:paraId="5F3A1B1E" w14:textId="77777777" w:rsidR="00DE1537" w:rsidRDefault="00DE1537" w:rsidP="00343F3E">
      <w:pPr>
        <w:pStyle w:val="BodyText"/>
      </w:pPr>
      <w:r>
        <w:t>This section describes the general government funding frameworks that influence how governments fund natural disaster risk management. The Australian federal system is characterised by both vertical and horizontal fiscal imbalance. This imbalance has had a significant influence on how natural disaster funding arrangements have evolved over time. Government provisioning for the fiscal risks of natural disasters and use of insurance also have a bearing on the funding arrangements and their efficacy.</w:t>
      </w:r>
    </w:p>
    <w:p w14:paraId="532F440F" w14:textId="77777777" w:rsidR="00DE1537" w:rsidRDefault="00DE1537" w:rsidP="00343F3E">
      <w:pPr>
        <w:pStyle w:val="Heading3"/>
      </w:pPr>
      <w:bookmarkStart w:id="27" w:name="OLE_LINK7"/>
      <w:r w:rsidRPr="00CB41DC">
        <w:t>Intergovernmental agreement on federal financial relations</w:t>
      </w:r>
    </w:p>
    <w:p w14:paraId="5752DE72" w14:textId="5FFE0EE7" w:rsidR="00DE1537" w:rsidRPr="00CB41DC" w:rsidRDefault="00DE1537" w:rsidP="00343F3E">
      <w:pPr>
        <w:pStyle w:val="BodyText"/>
      </w:pPr>
      <w:r>
        <w:t xml:space="preserve">The Australian Government raises more revenue than it requires for its own expenditure, whereas states do not — this is termed ‘vertical fiscal imbalance’ (VFI) </w:t>
      </w:r>
      <w:r w:rsidRPr="003615CC">
        <w:rPr>
          <w:szCs w:val="24"/>
        </w:rPr>
        <w:t>(CGC 2013)</w:t>
      </w:r>
      <w:r>
        <w:t>. The Australian Government addresses VFI through the</w:t>
      </w:r>
      <w:r w:rsidRPr="00CB41DC">
        <w:t xml:space="preserve"> </w:t>
      </w:r>
      <w:r w:rsidRPr="00CB41DC">
        <w:rPr>
          <w:i/>
        </w:rPr>
        <w:t xml:space="preserve">Intergovernmental Agreement on </w:t>
      </w:r>
      <w:r w:rsidRPr="00CB41DC">
        <w:rPr>
          <w:i/>
        </w:rPr>
        <w:lastRenderedPageBreak/>
        <w:t>Federal Financial Relations</w:t>
      </w:r>
      <w:r w:rsidRPr="00A30E0C">
        <w:rPr>
          <w:rStyle w:val="FootnoteReference"/>
        </w:rPr>
        <w:footnoteReference w:id="8"/>
      </w:r>
      <w:r w:rsidRPr="00CB41DC">
        <w:t xml:space="preserve"> </w:t>
      </w:r>
      <w:r w:rsidRPr="005D171C">
        <w:rPr>
          <w:szCs w:val="24"/>
        </w:rPr>
        <w:t>(COAG 2011a)</w:t>
      </w:r>
      <w:r>
        <w:t>, which provides financial support for service delivery by state and territory governments through general revenue assistance and specific purpose assistance. T</w:t>
      </w:r>
      <w:r w:rsidRPr="00E3634D">
        <w:t xml:space="preserve">he average level of Australian Government support for state and territory governments’ activities </w:t>
      </w:r>
      <w:r>
        <w:t>is almost 50 per </w:t>
      </w:r>
      <w:r w:rsidRPr="00E3634D">
        <w:t>cent</w:t>
      </w:r>
      <w:r>
        <w:t xml:space="preserve"> (chapter 2). VFI has given rise to the Australian Government acting as a safety net, and bearing some of the state and territory governments’ fiscal risks posed by natural disasters, largely disaster recovery costs (section 2.5)</w:t>
      </w:r>
      <w:r w:rsidRPr="00CB41DC">
        <w:t>.</w:t>
      </w:r>
    </w:p>
    <w:p w14:paraId="212CA3F1" w14:textId="77777777" w:rsidR="00DE1537" w:rsidRDefault="00DE1537" w:rsidP="00343F3E">
      <w:pPr>
        <w:pStyle w:val="BodyText"/>
      </w:pPr>
      <w:r>
        <w:t>Goods and s</w:t>
      </w:r>
      <w:r w:rsidRPr="00CB41DC">
        <w:t xml:space="preserve">ervices </w:t>
      </w:r>
      <w:r>
        <w:t>t</w:t>
      </w:r>
      <w:r w:rsidRPr="00CB41DC">
        <w:t xml:space="preserve">ax (GST) revenue is provided by the Australian Government to the states </w:t>
      </w:r>
      <w:r>
        <w:t xml:space="preserve">and territories </w:t>
      </w:r>
      <w:r w:rsidRPr="00CB41DC">
        <w:t>to be used for expenditure at the discretion of each state</w:t>
      </w:r>
      <w:r>
        <w:t xml:space="preserve"> and territory</w:t>
      </w:r>
      <w:r w:rsidRPr="00CB41DC">
        <w:t>.</w:t>
      </w:r>
      <w:r>
        <w:t xml:space="preserve"> </w:t>
      </w:r>
      <w:r w:rsidRPr="00CB41DC">
        <w:t>Under the agreement</w:t>
      </w:r>
      <w:r>
        <w:t>,</w:t>
      </w:r>
      <w:r w:rsidRPr="00CB41DC">
        <w:t xml:space="preserve"> the Commonwealth Grants Commission (CGC), an independent statutory authority, informs the distribution of GST revenues to ensure that each state</w:t>
      </w:r>
      <w:r>
        <w:t xml:space="preserve"> and territory</w:t>
      </w:r>
      <w:r w:rsidRPr="00CB41DC">
        <w:t xml:space="preserve"> has the same capacity to provide government services (a process termed horizontal fiscal equalisation</w:t>
      </w:r>
      <w:r>
        <w:t xml:space="preserve"> (HFE)</w:t>
      </w:r>
      <w:r w:rsidRPr="00CB41DC">
        <w:t>).</w:t>
      </w:r>
    </w:p>
    <w:p w14:paraId="489A16F0" w14:textId="77777777" w:rsidR="00DE1537" w:rsidRDefault="00DE1537" w:rsidP="00343F3E">
      <w:pPr>
        <w:pStyle w:val="BodyText"/>
      </w:pPr>
      <w:r>
        <w:t>E</w:t>
      </w:r>
      <w:r w:rsidRPr="00CB41DC">
        <w:t>xpenditure on natural disaster</w:t>
      </w:r>
      <w:r>
        <w:t xml:space="preserve"> relief and recovery</w:t>
      </w:r>
      <w:r w:rsidRPr="00CB41DC">
        <w:t xml:space="preserve"> has implications for the way GST revenues are allocated between jurisdictions.</w:t>
      </w:r>
      <w:r>
        <w:t xml:space="preserve"> </w:t>
      </w:r>
      <w:r w:rsidRPr="00214347">
        <w:t>In making HFE calculations, th</w:t>
      </w:r>
      <w:r>
        <w:t>e CGC accepts that s</w:t>
      </w:r>
      <w:r w:rsidRPr="00214347">
        <w:t xml:space="preserve">tate residual spending captured by the NDRRA is determined by that common framework and is not subject to significant </w:t>
      </w:r>
      <w:r>
        <w:t>policy differences. The CGC</w:t>
      </w:r>
      <w:r w:rsidRPr="00214347">
        <w:t xml:space="preserve"> therefore considers that differences in residual expenditure by states under </w:t>
      </w:r>
      <w:r>
        <w:t>the NDRRA</w:t>
      </w:r>
      <w:r w:rsidRPr="00214347">
        <w:t xml:space="preserve"> only reflect differences in the severity and incidence of natural disasters. Any other spending on natural disasters which is not recognised under this program, whether for mitigation or relief and recovery, is not separately identified or treated in this way. </w:t>
      </w:r>
      <w:r>
        <w:t>Box 2.7 shows how natural disaster funding is shared across all levels of government, for a simplified, hypothetical scenario, through current HFE arrangements. Australian Government funding through the NPANDR does not affect the GST redistribution.</w:t>
      </w:r>
    </w:p>
    <w:p w14:paraId="4839C273" w14:textId="77777777" w:rsidR="00CE306F" w:rsidRDefault="00CE306F" w:rsidP="00CE306F">
      <w:pPr>
        <w:pStyle w:val="Heading3"/>
      </w:pPr>
      <w:r>
        <w:t>Managing fiscal risks of natural disasters</w:t>
      </w:r>
    </w:p>
    <w:p w14:paraId="6AE580EE" w14:textId="77777777" w:rsidR="00CE306F" w:rsidRDefault="00CE306F" w:rsidP="00CE306F">
      <w:pPr>
        <w:pStyle w:val="BodyText"/>
      </w:pPr>
      <w:r>
        <w:t>The Australian, state, territory and local governments own and operate assets on behalf of the community, and also provide services such as education and healthcare. Managing natural disaster risks to these assets and services is a core function of government, including managing the fiscal and budgetary risks (supplementary paper 3).</w:t>
      </w:r>
    </w:p>
    <w:p w14:paraId="58391757" w14:textId="0959CEA9" w:rsidR="00CE306F" w:rsidRDefault="00CE306F" w:rsidP="00343F3E">
      <w:pPr>
        <w:pStyle w:val="BodyText"/>
      </w:pPr>
      <w:r>
        <w:t xml:space="preserve">The Australian Government produces a </w:t>
      </w:r>
      <w:r>
        <w:rPr>
          <w:i/>
        </w:rPr>
        <w:t xml:space="preserve">Statement </w:t>
      </w:r>
      <w:r w:rsidRPr="009929B5">
        <w:rPr>
          <w:i/>
        </w:rPr>
        <w:t>of</w:t>
      </w:r>
      <w:r>
        <w:rPr>
          <w:i/>
        </w:rPr>
        <w:t xml:space="preserve"> Risks </w:t>
      </w:r>
      <w:r>
        <w:t xml:space="preserve">in its annual budget which describes the fiscal risks to the Australian Government </w:t>
      </w:r>
      <w:r w:rsidRPr="007C5656">
        <w:rPr>
          <w:szCs w:val="24"/>
        </w:rPr>
        <w:t>(Treasury 2014b)</w:t>
      </w:r>
      <w:r>
        <w:t>. The 2014</w:t>
      </w:r>
      <w:r>
        <w:noBreakHyphen/>
        <w:t>15 Budget included, for the first time, an explicit acknowledgment of disaster recovery costs as a contingent liability, representing a possible cost to the Australian Government arising from events outside its control.</w:t>
      </w:r>
    </w:p>
    <w:p w14:paraId="5A6ECC7A" w14:textId="77777777" w:rsidR="00DE1537" w:rsidRDefault="00DE1537">
      <w:pPr>
        <w:pStyle w:val="BoxSpaceAbove"/>
      </w:pP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9073"/>
      </w:tblGrid>
      <w:tr w:rsidR="00DE1537" w14:paraId="198C3417" w14:textId="77777777" w:rsidTr="00343F3E">
        <w:tc>
          <w:tcPr>
            <w:tcW w:w="5000" w:type="pct"/>
            <w:tcBorders>
              <w:top w:val="single" w:sz="6" w:space="0" w:color="78A22F"/>
              <w:left w:val="nil"/>
              <w:bottom w:val="nil"/>
              <w:right w:val="nil"/>
            </w:tcBorders>
            <w:shd w:val="clear" w:color="auto" w:fill="F2F2F2" w:themeFill="background1" w:themeFillShade="F2"/>
          </w:tcPr>
          <w:p w14:paraId="67A7559C" w14:textId="4F01D17C" w:rsidR="00DE1537" w:rsidRDefault="00DE1537">
            <w:pPr>
              <w:pStyle w:val="BoxTitle"/>
            </w:pPr>
            <w:r>
              <w:rPr>
                <w:b w:val="0"/>
              </w:rPr>
              <w:t xml:space="preserve">Box </w:t>
            </w:r>
            <w:bookmarkStart w:id="28" w:name="OLE_LINK1"/>
            <w:r>
              <w:rPr>
                <w:b w:val="0"/>
              </w:rPr>
              <w:t>2.</w:t>
            </w:r>
            <w:r>
              <w:rPr>
                <w:b w:val="0"/>
                <w:noProof/>
              </w:rPr>
              <w:t>7</w:t>
            </w:r>
            <w:bookmarkEnd w:id="28"/>
            <w:r>
              <w:tab/>
              <w:t>Effect of natural disasters on GST distribution</w:t>
            </w:r>
          </w:p>
        </w:tc>
      </w:tr>
      <w:tr w:rsidR="00DE1537" w14:paraId="2C0ECAFF" w14:textId="77777777" w:rsidTr="00343F3E">
        <w:trPr>
          <w:cantSplit/>
        </w:trPr>
        <w:tc>
          <w:tcPr>
            <w:tcW w:w="5000" w:type="pct"/>
            <w:tcBorders>
              <w:top w:val="nil"/>
              <w:left w:val="nil"/>
              <w:bottom w:val="nil"/>
              <w:right w:val="nil"/>
            </w:tcBorders>
            <w:shd w:val="clear" w:color="auto" w:fill="F2F2F2" w:themeFill="background1" w:themeFillShade="F2"/>
          </w:tcPr>
          <w:p w14:paraId="32B717D8" w14:textId="77777777" w:rsidR="00DE1537" w:rsidRDefault="00DE1537" w:rsidP="00343F3E">
            <w:pPr>
              <w:pStyle w:val="Box"/>
            </w:pPr>
            <w:r w:rsidRPr="00CB41DC">
              <w:t xml:space="preserve">Commonwealth payments through the </w:t>
            </w:r>
            <w:r>
              <w:t>Natural Disaster Relief and Recovery Arrangements (</w:t>
            </w:r>
            <w:r w:rsidRPr="00CB41DC">
              <w:t>NDRRA</w:t>
            </w:r>
            <w:r>
              <w:t>), and corresponding state expenditure,</w:t>
            </w:r>
            <w:r w:rsidRPr="00CB41DC">
              <w:t xml:space="preserve"> have no effect on the </w:t>
            </w:r>
            <w:r>
              <w:t>goods and</w:t>
            </w:r>
            <w:r w:rsidDel="00E20140">
              <w:t xml:space="preserve"> </w:t>
            </w:r>
            <w:r>
              <w:t>services tax (</w:t>
            </w:r>
            <w:r w:rsidRPr="00CB41DC">
              <w:t>GST</w:t>
            </w:r>
            <w:r>
              <w:t>)</w:t>
            </w:r>
            <w:r w:rsidRPr="00CB41DC">
              <w:t xml:space="preserve"> distribution. </w:t>
            </w:r>
            <w:r>
              <w:t>However, e</w:t>
            </w:r>
            <w:r w:rsidRPr="00CB41DC">
              <w:t xml:space="preserve">xpenses incurred by the states in excess of </w:t>
            </w:r>
            <w:r>
              <w:t>those</w:t>
            </w:r>
            <w:r w:rsidRPr="00CB41DC">
              <w:t xml:space="preserve"> funded by the Australian Government through the NDRRA do affect the GST distribution.</w:t>
            </w:r>
            <w:r>
              <w:t xml:space="preserve"> Residual s</w:t>
            </w:r>
            <w:r w:rsidRPr="00CB41DC">
              <w:t>tate spending on natural disaster</w:t>
            </w:r>
            <w:r>
              <w:t xml:space="preserve"> relief</w:t>
            </w:r>
            <w:r w:rsidRPr="00CB41DC">
              <w:t xml:space="preserve"> that exceeds the average of all states is partly funded by a reduction in other states’ GST shares. The extent </w:t>
            </w:r>
            <w:r>
              <w:t xml:space="preserve">of the reduction </w:t>
            </w:r>
            <w:r w:rsidRPr="00CB41DC">
              <w:t xml:space="preserve">will depend on the level of natural disaster expenditure in each state within the financial year. In essence, the </w:t>
            </w:r>
            <w:r>
              <w:t>Commonwealth Grants Commission</w:t>
            </w:r>
            <w:r w:rsidRPr="00CB41DC">
              <w:t xml:space="preserve"> distributes natural disaster costs across all jurisdictions on a per </w:t>
            </w:r>
            <w:r>
              <w:t>capita</w:t>
            </w:r>
            <w:r w:rsidRPr="00CB41DC">
              <w:t xml:space="preserve"> basis, regardless of wh</w:t>
            </w:r>
            <w:r>
              <w:t>ere the natural disaster occurs. The diagram below provides a simplified, hypothetical example of how horizontal fiscal equalisation works and the ultimate incidence of natural disaster funding.</w:t>
            </w:r>
          </w:p>
          <w:p w14:paraId="351A89DE" w14:textId="77777777" w:rsidR="00DE1537" w:rsidRDefault="00DE1537" w:rsidP="00343F3E">
            <w:pPr>
              <w:pStyle w:val="BoxHeading1"/>
            </w:pPr>
            <w:r>
              <w:t>Hypothetical example of GST redistribution following a natural disaster</w:t>
            </w:r>
            <w:r w:rsidRPr="00646854">
              <w:rPr>
                <w:rStyle w:val="NoteLabel"/>
                <w:b/>
              </w:rPr>
              <w:t>a</w:t>
            </w:r>
          </w:p>
          <w:p w14:paraId="5627DFAA" w14:textId="77777777" w:rsidR="00DE1537" w:rsidRDefault="00DE1537" w:rsidP="00343F3E">
            <w:pPr>
              <w:pStyle w:val="Box"/>
              <w:jc w:val="center"/>
            </w:pPr>
            <w:r>
              <w:rPr>
                <w:noProof/>
              </w:rPr>
              <w:drawing>
                <wp:inline distT="0" distB="0" distL="0" distR="0" wp14:anchorId="0420F609" wp14:editId="7F8B7861">
                  <wp:extent cx="4791075" cy="2552700"/>
                  <wp:effectExtent l="0" t="0" r="9525" b="0"/>
                  <wp:docPr id="12" name="Picture 12" descr="This figure provides a hypothetical example of how a natural disaster affects GST redistribution. In the example, Victoria experiences a natural disaster and incurs $200 million of relief expenses. No other states experience natural disasters. The Australian Government reimburses the Victorian Government for $100 million of relief expenses, leaving Victoria to fund the other $100 million. Given that Victoria’s population share is 25 per cent, through horizontal fiscal equalisation, the Victorian Government receives $75 million from other states GST revenue." title="Hypothetical example of GST redistribution following a natural dis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791075" cy="2552700"/>
                          </a:xfrm>
                          <a:prstGeom prst="rect">
                            <a:avLst/>
                          </a:prstGeom>
                          <a:noFill/>
                          <a:ln>
                            <a:noFill/>
                          </a:ln>
                        </pic:spPr>
                      </pic:pic>
                    </a:graphicData>
                  </a:graphic>
                </wp:inline>
              </w:drawing>
            </w:r>
          </w:p>
          <w:p w14:paraId="52BC6AAD" w14:textId="77777777" w:rsidR="00DE1537" w:rsidRDefault="00DE1537" w:rsidP="00343F3E">
            <w:pPr>
              <w:pStyle w:val="Box"/>
            </w:pPr>
            <w:r w:rsidRPr="00646854">
              <w:t>The table below presents the changes to the GST distribution resulting from the states’ net natural disaster relief expenses in recent years. The table shows that Queensland has received the largest redistribution of GST funds in recent years.</w:t>
            </w:r>
          </w:p>
          <w:p w14:paraId="21555A99" w14:textId="77777777" w:rsidR="00DE1537" w:rsidRPr="00646854" w:rsidRDefault="00DE1537" w:rsidP="00343F3E">
            <w:pPr>
              <w:pStyle w:val="BoxHeading1"/>
            </w:pPr>
            <w:r w:rsidRPr="00646854">
              <w:t>GST redistribution due to natural disaster relief expenses</w:t>
            </w:r>
          </w:p>
          <w:p w14:paraId="62815AB3" w14:textId="77777777" w:rsidR="00DE1537" w:rsidRDefault="00DE1537" w:rsidP="00343F3E">
            <w:pPr>
              <w:pStyle w:val="BoxSubtitle"/>
              <w:tabs>
                <w:tab w:val="left" w:pos="3255"/>
              </w:tabs>
              <w:ind w:left="0"/>
            </w:pPr>
            <w:r>
              <w:t>$ million</w:t>
            </w:r>
          </w:p>
          <w:tbl>
            <w:tblPr>
              <w:tblW w:w="5000" w:type="pct"/>
              <w:tblCellMar>
                <w:left w:w="0" w:type="dxa"/>
                <w:right w:w="0" w:type="dxa"/>
              </w:tblCellMar>
              <w:tblLook w:val="0000" w:firstRow="0" w:lastRow="0" w:firstColumn="0" w:lastColumn="0" w:noHBand="0" w:noVBand="0"/>
            </w:tblPr>
            <w:tblGrid>
              <w:gridCol w:w="750"/>
              <w:gridCol w:w="845"/>
              <w:gridCol w:w="845"/>
              <w:gridCol w:w="845"/>
              <w:gridCol w:w="846"/>
              <w:gridCol w:w="846"/>
              <w:gridCol w:w="846"/>
              <w:gridCol w:w="846"/>
              <w:gridCol w:w="846"/>
              <w:gridCol w:w="1274"/>
            </w:tblGrid>
            <w:tr w:rsidR="00DE1537" w:rsidRPr="002B6646" w14:paraId="394BE450" w14:textId="77777777" w:rsidTr="00343F3E">
              <w:tc>
                <w:tcPr>
                  <w:tcW w:w="427" w:type="pct"/>
                  <w:tcBorders>
                    <w:top w:val="single" w:sz="4" w:space="0" w:color="BFBFBF"/>
                    <w:bottom w:val="single" w:sz="4" w:space="0" w:color="BFBFBF"/>
                  </w:tcBorders>
                  <w:vAlign w:val="bottom"/>
                </w:tcPr>
                <w:p w14:paraId="17816AEF" w14:textId="77777777" w:rsidR="00DE1537" w:rsidRPr="002B6646" w:rsidRDefault="00DE1537" w:rsidP="00343F3E">
                  <w:pPr>
                    <w:pStyle w:val="TableColumnHeading"/>
                  </w:pPr>
                </w:p>
              </w:tc>
              <w:tc>
                <w:tcPr>
                  <w:tcW w:w="481" w:type="pct"/>
                  <w:tcBorders>
                    <w:top w:val="single" w:sz="4" w:space="0" w:color="BFBFBF"/>
                    <w:bottom w:val="single" w:sz="4" w:space="0" w:color="BFBFBF"/>
                  </w:tcBorders>
                  <w:vAlign w:val="bottom"/>
                </w:tcPr>
                <w:p w14:paraId="5AF0077F" w14:textId="77777777" w:rsidR="00DE1537" w:rsidRPr="002B6646" w:rsidRDefault="00DE1537" w:rsidP="00343F3E">
                  <w:pPr>
                    <w:pStyle w:val="TableColumnHeading"/>
                  </w:pPr>
                  <w:r w:rsidRPr="002B6646">
                    <w:t>NSW</w:t>
                  </w:r>
                </w:p>
              </w:tc>
              <w:tc>
                <w:tcPr>
                  <w:tcW w:w="481" w:type="pct"/>
                  <w:tcBorders>
                    <w:top w:val="single" w:sz="4" w:space="0" w:color="BFBFBF"/>
                    <w:bottom w:val="single" w:sz="4" w:space="0" w:color="BFBFBF"/>
                  </w:tcBorders>
                  <w:vAlign w:val="bottom"/>
                </w:tcPr>
                <w:p w14:paraId="455C8793" w14:textId="77777777" w:rsidR="00DE1537" w:rsidRPr="002B6646" w:rsidRDefault="00DE1537" w:rsidP="00343F3E">
                  <w:pPr>
                    <w:pStyle w:val="TableColumnHeading"/>
                  </w:pPr>
                  <w:r w:rsidRPr="002B6646">
                    <w:t>Vic</w:t>
                  </w:r>
                </w:p>
              </w:tc>
              <w:tc>
                <w:tcPr>
                  <w:tcW w:w="481" w:type="pct"/>
                  <w:tcBorders>
                    <w:top w:val="single" w:sz="4" w:space="0" w:color="BFBFBF"/>
                    <w:bottom w:val="single" w:sz="4" w:space="0" w:color="BFBFBF"/>
                  </w:tcBorders>
                  <w:vAlign w:val="bottom"/>
                </w:tcPr>
                <w:p w14:paraId="09C9F696" w14:textId="77777777" w:rsidR="00DE1537" w:rsidRPr="002B6646" w:rsidRDefault="00DE1537" w:rsidP="00343F3E">
                  <w:pPr>
                    <w:pStyle w:val="TableColumnHeading"/>
                  </w:pPr>
                  <w:r w:rsidRPr="002B6646">
                    <w:t>Qld</w:t>
                  </w:r>
                </w:p>
              </w:tc>
              <w:tc>
                <w:tcPr>
                  <w:tcW w:w="481" w:type="pct"/>
                  <w:tcBorders>
                    <w:top w:val="single" w:sz="4" w:space="0" w:color="BFBFBF"/>
                    <w:bottom w:val="single" w:sz="4" w:space="0" w:color="BFBFBF"/>
                  </w:tcBorders>
                  <w:vAlign w:val="bottom"/>
                </w:tcPr>
                <w:p w14:paraId="2405865A" w14:textId="77777777" w:rsidR="00DE1537" w:rsidRPr="002B6646" w:rsidRDefault="00DE1537" w:rsidP="00343F3E">
                  <w:pPr>
                    <w:pStyle w:val="TableColumnHeading"/>
                  </w:pPr>
                  <w:r w:rsidRPr="002B6646">
                    <w:t>SA</w:t>
                  </w:r>
                </w:p>
              </w:tc>
              <w:tc>
                <w:tcPr>
                  <w:tcW w:w="481" w:type="pct"/>
                  <w:tcBorders>
                    <w:top w:val="single" w:sz="4" w:space="0" w:color="BFBFBF"/>
                    <w:bottom w:val="single" w:sz="4" w:space="0" w:color="BFBFBF"/>
                  </w:tcBorders>
                  <w:vAlign w:val="bottom"/>
                </w:tcPr>
                <w:p w14:paraId="02FFE478" w14:textId="77777777" w:rsidR="00DE1537" w:rsidRDefault="00DE1537" w:rsidP="00343F3E">
                  <w:pPr>
                    <w:pStyle w:val="TableColumnHeading"/>
                  </w:pPr>
                  <w:r w:rsidRPr="002B6646">
                    <w:t>WA</w:t>
                  </w:r>
                </w:p>
              </w:tc>
              <w:tc>
                <w:tcPr>
                  <w:tcW w:w="481" w:type="pct"/>
                  <w:tcBorders>
                    <w:top w:val="single" w:sz="4" w:space="0" w:color="BFBFBF"/>
                    <w:bottom w:val="single" w:sz="4" w:space="0" w:color="BFBFBF"/>
                  </w:tcBorders>
                  <w:vAlign w:val="bottom"/>
                </w:tcPr>
                <w:p w14:paraId="2DEC84CB" w14:textId="77777777" w:rsidR="00DE1537" w:rsidRPr="002B6646" w:rsidRDefault="00DE1537" w:rsidP="00343F3E">
                  <w:pPr>
                    <w:pStyle w:val="TableColumnHeading"/>
                  </w:pPr>
                  <w:r w:rsidRPr="002B6646">
                    <w:t>Tas</w:t>
                  </w:r>
                </w:p>
              </w:tc>
              <w:tc>
                <w:tcPr>
                  <w:tcW w:w="481" w:type="pct"/>
                  <w:tcBorders>
                    <w:top w:val="single" w:sz="4" w:space="0" w:color="BFBFBF"/>
                    <w:bottom w:val="single" w:sz="4" w:space="0" w:color="BFBFBF"/>
                  </w:tcBorders>
                  <w:vAlign w:val="bottom"/>
                </w:tcPr>
                <w:p w14:paraId="65AF383D" w14:textId="77777777" w:rsidR="00DE1537" w:rsidRPr="002B6646" w:rsidRDefault="00DE1537" w:rsidP="00343F3E">
                  <w:pPr>
                    <w:pStyle w:val="TableColumnHeading"/>
                  </w:pPr>
                  <w:r w:rsidRPr="002B6646">
                    <w:t>NT</w:t>
                  </w:r>
                </w:p>
              </w:tc>
              <w:tc>
                <w:tcPr>
                  <w:tcW w:w="481" w:type="pct"/>
                  <w:tcBorders>
                    <w:top w:val="single" w:sz="4" w:space="0" w:color="BFBFBF"/>
                    <w:bottom w:val="single" w:sz="4" w:space="0" w:color="BFBFBF"/>
                  </w:tcBorders>
                  <w:vAlign w:val="bottom"/>
                </w:tcPr>
                <w:p w14:paraId="0E0D5A80" w14:textId="77777777" w:rsidR="00DE1537" w:rsidRPr="002B6646" w:rsidRDefault="00DE1537" w:rsidP="00343F3E">
                  <w:pPr>
                    <w:pStyle w:val="TableColumnHeading"/>
                  </w:pPr>
                  <w:r w:rsidRPr="002B6646">
                    <w:t>ACT</w:t>
                  </w:r>
                </w:p>
              </w:tc>
              <w:tc>
                <w:tcPr>
                  <w:tcW w:w="726" w:type="pct"/>
                  <w:tcBorders>
                    <w:top w:val="single" w:sz="4" w:space="0" w:color="BFBFBF"/>
                    <w:bottom w:val="single" w:sz="4" w:space="0" w:color="BFBFBF"/>
                  </w:tcBorders>
                  <w:vAlign w:val="bottom"/>
                </w:tcPr>
                <w:p w14:paraId="315587EA" w14:textId="77777777" w:rsidR="00DE1537" w:rsidRPr="002B6646" w:rsidRDefault="00DE1537" w:rsidP="00343F3E">
                  <w:pPr>
                    <w:pStyle w:val="TableColumnHeading"/>
                    <w:ind w:right="0"/>
                  </w:pPr>
                  <w:r w:rsidRPr="002B6646">
                    <w:t>Redistribution</w:t>
                  </w:r>
                  <w:r w:rsidRPr="005E4938">
                    <w:rPr>
                      <w:rStyle w:val="NoteLabel"/>
                      <w:i w:val="0"/>
                    </w:rPr>
                    <w:t>b</w:t>
                  </w:r>
                </w:p>
              </w:tc>
            </w:tr>
            <w:tr w:rsidR="00DE1537" w:rsidRPr="002B6646" w14:paraId="2FB21279" w14:textId="77777777" w:rsidTr="00343F3E">
              <w:tc>
                <w:tcPr>
                  <w:tcW w:w="427" w:type="pct"/>
                  <w:tcBorders>
                    <w:top w:val="single" w:sz="4" w:space="0" w:color="BFBFBF"/>
                  </w:tcBorders>
                  <w:vAlign w:val="bottom"/>
                </w:tcPr>
                <w:p w14:paraId="2F82B5C4" w14:textId="77777777" w:rsidR="00DE1537" w:rsidRPr="002B6646" w:rsidRDefault="00DE1537" w:rsidP="00343F3E">
                  <w:pPr>
                    <w:pStyle w:val="TableBodyText"/>
                    <w:jc w:val="left"/>
                  </w:pPr>
                  <w:r>
                    <w:t>2011</w:t>
                  </w:r>
                </w:p>
              </w:tc>
              <w:tc>
                <w:tcPr>
                  <w:tcW w:w="481" w:type="pct"/>
                  <w:tcBorders>
                    <w:top w:val="single" w:sz="4" w:space="0" w:color="BFBFBF"/>
                  </w:tcBorders>
                  <w:vAlign w:val="bottom"/>
                </w:tcPr>
                <w:p w14:paraId="4483FED6" w14:textId="77777777" w:rsidR="00DE1537" w:rsidRPr="002B6646" w:rsidRDefault="00DE1537" w:rsidP="00343F3E">
                  <w:pPr>
                    <w:pStyle w:val="TableBodyText"/>
                  </w:pPr>
                  <w:r w:rsidRPr="002B6646">
                    <w:t>2.5</w:t>
                  </w:r>
                </w:p>
              </w:tc>
              <w:tc>
                <w:tcPr>
                  <w:tcW w:w="481" w:type="pct"/>
                  <w:tcBorders>
                    <w:top w:val="single" w:sz="4" w:space="0" w:color="BFBFBF"/>
                  </w:tcBorders>
                  <w:vAlign w:val="bottom"/>
                </w:tcPr>
                <w:p w14:paraId="16D44165" w14:textId="77777777" w:rsidR="00DE1537" w:rsidRPr="002B6646" w:rsidRDefault="00DE1537" w:rsidP="00343F3E">
                  <w:pPr>
                    <w:pStyle w:val="TableBodyText"/>
                  </w:pPr>
                  <w:r>
                    <w:noBreakHyphen/>
                  </w:r>
                  <w:r w:rsidRPr="002B6646">
                    <w:t>17.3</w:t>
                  </w:r>
                </w:p>
              </w:tc>
              <w:tc>
                <w:tcPr>
                  <w:tcW w:w="481" w:type="pct"/>
                  <w:tcBorders>
                    <w:top w:val="single" w:sz="4" w:space="0" w:color="BFBFBF"/>
                  </w:tcBorders>
                  <w:vAlign w:val="bottom"/>
                </w:tcPr>
                <w:p w14:paraId="67DD7783" w14:textId="77777777" w:rsidR="00DE1537" w:rsidRPr="002B6646" w:rsidRDefault="00DE1537" w:rsidP="00343F3E">
                  <w:pPr>
                    <w:pStyle w:val="TableBodyText"/>
                  </w:pPr>
                  <w:r w:rsidRPr="002B6646">
                    <w:t>94.9</w:t>
                  </w:r>
                </w:p>
              </w:tc>
              <w:tc>
                <w:tcPr>
                  <w:tcW w:w="481" w:type="pct"/>
                  <w:tcBorders>
                    <w:top w:val="single" w:sz="4" w:space="0" w:color="BFBFBF"/>
                  </w:tcBorders>
                  <w:vAlign w:val="bottom"/>
                </w:tcPr>
                <w:p w14:paraId="363EC2CB" w14:textId="77777777" w:rsidR="00DE1537" w:rsidRPr="002B6646" w:rsidRDefault="00DE1537" w:rsidP="00343F3E">
                  <w:pPr>
                    <w:pStyle w:val="TableBodyText"/>
                  </w:pPr>
                  <w:r>
                    <w:noBreakHyphen/>
                  </w:r>
                  <w:r w:rsidRPr="002B6646">
                    <w:t>34.5</w:t>
                  </w:r>
                </w:p>
              </w:tc>
              <w:tc>
                <w:tcPr>
                  <w:tcW w:w="481" w:type="pct"/>
                  <w:tcBorders>
                    <w:top w:val="single" w:sz="4" w:space="0" w:color="BFBFBF"/>
                  </w:tcBorders>
                  <w:vAlign w:val="bottom"/>
                </w:tcPr>
                <w:p w14:paraId="20C3B64C" w14:textId="77777777" w:rsidR="00DE1537" w:rsidRDefault="00DE1537" w:rsidP="00343F3E">
                  <w:pPr>
                    <w:pStyle w:val="TableBodyText"/>
                  </w:pPr>
                  <w:r>
                    <w:noBreakHyphen/>
                  </w:r>
                  <w:r w:rsidRPr="002B6646">
                    <w:t>35.6</w:t>
                  </w:r>
                </w:p>
              </w:tc>
              <w:tc>
                <w:tcPr>
                  <w:tcW w:w="481" w:type="pct"/>
                  <w:tcBorders>
                    <w:top w:val="single" w:sz="4" w:space="0" w:color="BFBFBF"/>
                  </w:tcBorders>
                  <w:vAlign w:val="bottom"/>
                </w:tcPr>
                <w:p w14:paraId="0F353F34" w14:textId="77777777" w:rsidR="00DE1537" w:rsidRPr="002B6646" w:rsidRDefault="00DE1537" w:rsidP="00343F3E">
                  <w:pPr>
                    <w:pStyle w:val="TableBodyText"/>
                  </w:pPr>
                  <w:r>
                    <w:noBreakHyphen/>
                  </w:r>
                  <w:r w:rsidRPr="002B6646">
                    <w:t>9.7</w:t>
                  </w:r>
                </w:p>
              </w:tc>
              <w:tc>
                <w:tcPr>
                  <w:tcW w:w="481" w:type="pct"/>
                  <w:tcBorders>
                    <w:top w:val="single" w:sz="4" w:space="0" w:color="BFBFBF"/>
                  </w:tcBorders>
                  <w:vAlign w:val="bottom"/>
                </w:tcPr>
                <w:p w14:paraId="08C66D35" w14:textId="77777777" w:rsidR="00DE1537" w:rsidRPr="002B6646" w:rsidRDefault="00DE1537" w:rsidP="00343F3E">
                  <w:pPr>
                    <w:pStyle w:val="TableBodyText"/>
                  </w:pPr>
                  <w:r w:rsidRPr="002B6646">
                    <w:t>7.7</w:t>
                  </w:r>
                </w:p>
              </w:tc>
              <w:tc>
                <w:tcPr>
                  <w:tcW w:w="481" w:type="pct"/>
                  <w:tcBorders>
                    <w:top w:val="single" w:sz="4" w:space="0" w:color="BFBFBF"/>
                  </w:tcBorders>
                  <w:vAlign w:val="bottom"/>
                </w:tcPr>
                <w:p w14:paraId="3F585063" w14:textId="77777777" w:rsidR="00DE1537" w:rsidRPr="002B6646" w:rsidRDefault="00DE1537" w:rsidP="00343F3E">
                  <w:pPr>
                    <w:pStyle w:val="TableBodyText"/>
                  </w:pPr>
                  <w:r>
                    <w:noBreakHyphen/>
                  </w:r>
                  <w:r w:rsidRPr="002B6646">
                    <w:t>8.1</w:t>
                  </w:r>
                </w:p>
              </w:tc>
              <w:tc>
                <w:tcPr>
                  <w:tcW w:w="726" w:type="pct"/>
                  <w:tcBorders>
                    <w:top w:val="single" w:sz="4" w:space="0" w:color="BFBFBF"/>
                  </w:tcBorders>
                  <w:vAlign w:val="bottom"/>
                </w:tcPr>
                <w:p w14:paraId="3A10C067" w14:textId="77777777" w:rsidR="00DE1537" w:rsidRPr="002B6646" w:rsidRDefault="00DE1537" w:rsidP="00343F3E">
                  <w:pPr>
                    <w:pStyle w:val="TableBodyText"/>
                    <w:spacing w:before="40"/>
                  </w:pPr>
                  <w:r w:rsidRPr="002B6646">
                    <w:t>105.2</w:t>
                  </w:r>
                </w:p>
              </w:tc>
            </w:tr>
            <w:tr w:rsidR="00DE1537" w:rsidRPr="002B6646" w14:paraId="54AAC1EA" w14:textId="77777777" w:rsidTr="00343F3E">
              <w:tc>
                <w:tcPr>
                  <w:tcW w:w="427" w:type="pct"/>
                  <w:vAlign w:val="bottom"/>
                </w:tcPr>
                <w:p w14:paraId="5D7B8ABD" w14:textId="77777777" w:rsidR="00DE1537" w:rsidRPr="002B6646" w:rsidRDefault="00DE1537" w:rsidP="00343F3E">
                  <w:pPr>
                    <w:pStyle w:val="TableBodyText"/>
                    <w:jc w:val="left"/>
                  </w:pPr>
                  <w:r>
                    <w:t>2012</w:t>
                  </w:r>
                </w:p>
              </w:tc>
              <w:tc>
                <w:tcPr>
                  <w:tcW w:w="481" w:type="pct"/>
                  <w:vAlign w:val="bottom"/>
                </w:tcPr>
                <w:p w14:paraId="67866C3E" w14:textId="77777777" w:rsidR="00DE1537" w:rsidRPr="002B6646" w:rsidRDefault="00DE1537" w:rsidP="00343F3E">
                  <w:pPr>
                    <w:pStyle w:val="TableBodyText"/>
                  </w:pPr>
                  <w:r>
                    <w:noBreakHyphen/>
                  </w:r>
                  <w:r w:rsidRPr="002B6646">
                    <w:t>65.7</w:t>
                  </w:r>
                </w:p>
              </w:tc>
              <w:tc>
                <w:tcPr>
                  <w:tcW w:w="481" w:type="pct"/>
                  <w:vAlign w:val="bottom"/>
                </w:tcPr>
                <w:p w14:paraId="2AF382D5" w14:textId="77777777" w:rsidR="00DE1537" w:rsidRPr="002B6646" w:rsidRDefault="00DE1537" w:rsidP="00343F3E">
                  <w:pPr>
                    <w:pStyle w:val="TableBodyText"/>
                  </w:pPr>
                  <w:r w:rsidRPr="002B6646">
                    <w:t>50.2</w:t>
                  </w:r>
                </w:p>
              </w:tc>
              <w:tc>
                <w:tcPr>
                  <w:tcW w:w="481" w:type="pct"/>
                  <w:vAlign w:val="bottom"/>
                </w:tcPr>
                <w:p w14:paraId="5AEEE5F7" w14:textId="77777777" w:rsidR="00DE1537" w:rsidRPr="002B6646" w:rsidRDefault="00DE1537" w:rsidP="00343F3E">
                  <w:pPr>
                    <w:pStyle w:val="TableBodyText"/>
                  </w:pPr>
                  <w:r w:rsidRPr="002B6646">
                    <w:t>172.0</w:t>
                  </w:r>
                </w:p>
              </w:tc>
              <w:tc>
                <w:tcPr>
                  <w:tcW w:w="481" w:type="pct"/>
                  <w:vAlign w:val="bottom"/>
                </w:tcPr>
                <w:p w14:paraId="19F9249A" w14:textId="77777777" w:rsidR="00DE1537" w:rsidRPr="002B6646" w:rsidRDefault="00DE1537" w:rsidP="00343F3E">
                  <w:pPr>
                    <w:pStyle w:val="TableBodyText"/>
                  </w:pPr>
                  <w:r>
                    <w:noBreakHyphen/>
                  </w:r>
                  <w:r w:rsidRPr="002B6646">
                    <w:t>60.7</w:t>
                  </w:r>
                </w:p>
              </w:tc>
              <w:tc>
                <w:tcPr>
                  <w:tcW w:w="481" w:type="pct"/>
                  <w:vAlign w:val="bottom"/>
                </w:tcPr>
                <w:p w14:paraId="05FDE2B1" w14:textId="77777777" w:rsidR="00DE1537" w:rsidRDefault="00DE1537" w:rsidP="00343F3E">
                  <w:pPr>
                    <w:pStyle w:val="TableBodyText"/>
                  </w:pPr>
                  <w:r>
                    <w:noBreakHyphen/>
                  </w:r>
                  <w:r w:rsidRPr="002B6646">
                    <w:t>75.3</w:t>
                  </w:r>
                </w:p>
              </w:tc>
              <w:tc>
                <w:tcPr>
                  <w:tcW w:w="481" w:type="pct"/>
                  <w:vAlign w:val="bottom"/>
                </w:tcPr>
                <w:p w14:paraId="77EE635C" w14:textId="77777777" w:rsidR="00DE1537" w:rsidRPr="002B6646" w:rsidRDefault="00DE1537" w:rsidP="00343F3E">
                  <w:pPr>
                    <w:pStyle w:val="TableBodyText"/>
                  </w:pPr>
                  <w:r>
                    <w:noBreakHyphen/>
                  </w:r>
                  <w:r w:rsidRPr="002B6646">
                    <w:t>16.6</w:t>
                  </w:r>
                </w:p>
              </w:tc>
              <w:tc>
                <w:tcPr>
                  <w:tcW w:w="481" w:type="pct"/>
                  <w:vAlign w:val="bottom"/>
                </w:tcPr>
                <w:p w14:paraId="0F66B011" w14:textId="77777777" w:rsidR="00DE1537" w:rsidRPr="002B6646" w:rsidRDefault="00DE1537" w:rsidP="00343F3E">
                  <w:pPr>
                    <w:pStyle w:val="TableBodyText"/>
                  </w:pPr>
                  <w:r w:rsidRPr="002B6646">
                    <w:t>4.7</w:t>
                  </w:r>
                </w:p>
              </w:tc>
              <w:tc>
                <w:tcPr>
                  <w:tcW w:w="481" w:type="pct"/>
                  <w:vAlign w:val="bottom"/>
                </w:tcPr>
                <w:p w14:paraId="717D4860" w14:textId="77777777" w:rsidR="00DE1537" w:rsidRPr="002B6646" w:rsidRDefault="00DE1537" w:rsidP="00343F3E">
                  <w:pPr>
                    <w:pStyle w:val="TableBodyText"/>
                  </w:pPr>
                  <w:r>
                    <w:noBreakHyphen/>
                  </w:r>
                  <w:r w:rsidRPr="002B6646">
                    <w:t>8.6</w:t>
                  </w:r>
                </w:p>
              </w:tc>
              <w:tc>
                <w:tcPr>
                  <w:tcW w:w="726" w:type="pct"/>
                  <w:vAlign w:val="bottom"/>
                </w:tcPr>
                <w:p w14:paraId="6E4E80A9" w14:textId="77777777" w:rsidR="00DE1537" w:rsidRPr="002B6646" w:rsidRDefault="00DE1537" w:rsidP="00343F3E">
                  <w:pPr>
                    <w:pStyle w:val="TableBodyText"/>
                  </w:pPr>
                  <w:r w:rsidRPr="002B6646">
                    <w:t>226.8</w:t>
                  </w:r>
                </w:p>
              </w:tc>
            </w:tr>
            <w:tr w:rsidR="00DE1537" w:rsidRPr="002B6646" w14:paraId="265FD881" w14:textId="77777777" w:rsidTr="00343F3E">
              <w:tc>
                <w:tcPr>
                  <w:tcW w:w="427" w:type="pct"/>
                  <w:vAlign w:val="bottom"/>
                </w:tcPr>
                <w:p w14:paraId="35DE04DA" w14:textId="77777777" w:rsidR="00DE1537" w:rsidRPr="002B6646" w:rsidRDefault="00DE1537" w:rsidP="00343F3E">
                  <w:pPr>
                    <w:pStyle w:val="TableBodyText"/>
                    <w:jc w:val="left"/>
                  </w:pPr>
                  <w:r>
                    <w:t>2013</w:t>
                  </w:r>
                </w:p>
              </w:tc>
              <w:tc>
                <w:tcPr>
                  <w:tcW w:w="481" w:type="pct"/>
                  <w:vAlign w:val="bottom"/>
                </w:tcPr>
                <w:p w14:paraId="216CE6AE" w14:textId="77777777" w:rsidR="00DE1537" w:rsidRPr="002B6646" w:rsidRDefault="00DE1537" w:rsidP="00343F3E">
                  <w:pPr>
                    <w:pStyle w:val="TableBodyText"/>
                  </w:pPr>
                  <w:r w:rsidRPr="002B6646">
                    <w:t>16.7</w:t>
                  </w:r>
                </w:p>
              </w:tc>
              <w:tc>
                <w:tcPr>
                  <w:tcW w:w="481" w:type="pct"/>
                  <w:vAlign w:val="bottom"/>
                </w:tcPr>
                <w:p w14:paraId="69DA5FA0" w14:textId="77777777" w:rsidR="00DE1537" w:rsidRPr="002B6646" w:rsidRDefault="00DE1537" w:rsidP="00343F3E">
                  <w:pPr>
                    <w:pStyle w:val="TableBodyText"/>
                  </w:pPr>
                  <w:r>
                    <w:noBreakHyphen/>
                  </w:r>
                  <w:r w:rsidRPr="002B6646">
                    <w:t>24.2</w:t>
                  </w:r>
                </w:p>
              </w:tc>
              <w:tc>
                <w:tcPr>
                  <w:tcW w:w="481" w:type="pct"/>
                  <w:vAlign w:val="bottom"/>
                </w:tcPr>
                <w:p w14:paraId="799362B9" w14:textId="77777777" w:rsidR="00DE1537" w:rsidRPr="002B6646" w:rsidRDefault="00DE1537" w:rsidP="00343F3E">
                  <w:pPr>
                    <w:pStyle w:val="TableBodyText"/>
                  </w:pPr>
                  <w:r w:rsidRPr="002B6646">
                    <w:t>148.1</w:t>
                  </w:r>
                </w:p>
              </w:tc>
              <w:tc>
                <w:tcPr>
                  <w:tcW w:w="481" w:type="pct"/>
                  <w:vAlign w:val="bottom"/>
                </w:tcPr>
                <w:p w14:paraId="263F5F1A" w14:textId="77777777" w:rsidR="00DE1537" w:rsidRPr="002B6646" w:rsidRDefault="00DE1537" w:rsidP="00343F3E">
                  <w:pPr>
                    <w:pStyle w:val="TableBodyText"/>
                  </w:pPr>
                  <w:r>
                    <w:noBreakHyphen/>
                  </w:r>
                  <w:r w:rsidRPr="002B6646">
                    <w:t>59.9</w:t>
                  </w:r>
                </w:p>
              </w:tc>
              <w:tc>
                <w:tcPr>
                  <w:tcW w:w="481" w:type="pct"/>
                  <w:vAlign w:val="bottom"/>
                </w:tcPr>
                <w:p w14:paraId="683020B7" w14:textId="77777777" w:rsidR="00DE1537" w:rsidRDefault="00DE1537" w:rsidP="00343F3E">
                  <w:pPr>
                    <w:pStyle w:val="TableBodyText"/>
                  </w:pPr>
                  <w:r>
                    <w:noBreakHyphen/>
                  </w:r>
                  <w:r w:rsidRPr="002B6646">
                    <w:t>61.9</w:t>
                  </w:r>
                </w:p>
              </w:tc>
              <w:tc>
                <w:tcPr>
                  <w:tcW w:w="481" w:type="pct"/>
                  <w:vAlign w:val="bottom"/>
                </w:tcPr>
                <w:p w14:paraId="1963F622" w14:textId="77777777" w:rsidR="00DE1537" w:rsidRPr="002B6646" w:rsidRDefault="00DE1537" w:rsidP="00343F3E">
                  <w:pPr>
                    <w:pStyle w:val="TableBodyText"/>
                  </w:pPr>
                  <w:r>
                    <w:noBreakHyphen/>
                  </w:r>
                  <w:r w:rsidRPr="002B6646">
                    <w:t>14.8</w:t>
                  </w:r>
                </w:p>
              </w:tc>
              <w:tc>
                <w:tcPr>
                  <w:tcW w:w="481" w:type="pct"/>
                  <w:vAlign w:val="bottom"/>
                </w:tcPr>
                <w:p w14:paraId="2AE62E2D" w14:textId="77777777" w:rsidR="00DE1537" w:rsidRPr="002B6646" w:rsidRDefault="00DE1537" w:rsidP="00343F3E">
                  <w:pPr>
                    <w:pStyle w:val="TableBodyText"/>
                  </w:pPr>
                  <w:r w:rsidRPr="002B6646">
                    <w:t>5.7</w:t>
                  </w:r>
                </w:p>
              </w:tc>
              <w:tc>
                <w:tcPr>
                  <w:tcW w:w="481" w:type="pct"/>
                  <w:vAlign w:val="bottom"/>
                </w:tcPr>
                <w:p w14:paraId="5B86342F" w14:textId="77777777" w:rsidR="00DE1537" w:rsidRPr="002B6646" w:rsidRDefault="00DE1537" w:rsidP="00343F3E">
                  <w:pPr>
                    <w:pStyle w:val="TableBodyText"/>
                  </w:pPr>
                  <w:r>
                    <w:noBreakHyphen/>
                  </w:r>
                  <w:r w:rsidRPr="002B6646">
                    <w:t>9.6</w:t>
                  </w:r>
                </w:p>
              </w:tc>
              <w:tc>
                <w:tcPr>
                  <w:tcW w:w="726" w:type="pct"/>
                  <w:vAlign w:val="bottom"/>
                </w:tcPr>
                <w:p w14:paraId="468CE5FC" w14:textId="77777777" w:rsidR="00DE1537" w:rsidRPr="002B6646" w:rsidRDefault="00DE1537" w:rsidP="00343F3E">
                  <w:pPr>
                    <w:pStyle w:val="TableBodyText"/>
                  </w:pPr>
                  <w:r w:rsidRPr="002B6646">
                    <w:t>170.5</w:t>
                  </w:r>
                </w:p>
              </w:tc>
            </w:tr>
            <w:tr w:rsidR="00DE1537" w:rsidRPr="002B6646" w14:paraId="166F525D" w14:textId="77777777" w:rsidTr="00343F3E">
              <w:tc>
                <w:tcPr>
                  <w:tcW w:w="427" w:type="pct"/>
                  <w:vAlign w:val="bottom"/>
                </w:tcPr>
                <w:p w14:paraId="46018C2D" w14:textId="77777777" w:rsidR="00DE1537" w:rsidRPr="002B6646" w:rsidRDefault="00DE1537" w:rsidP="00343F3E">
                  <w:pPr>
                    <w:pStyle w:val="TableBodyText"/>
                    <w:jc w:val="left"/>
                  </w:pPr>
                  <w:r>
                    <w:t>2014</w:t>
                  </w:r>
                </w:p>
              </w:tc>
              <w:tc>
                <w:tcPr>
                  <w:tcW w:w="481" w:type="pct"/>
                  <w:vAlign w:val="bottom"/>
                </w:tcPr>
                <w:p w14:paraId="446B86D8" w14:textId="77777777" w:rsidR="00DE1537" w:rsidRPr="002B6646" w:rsidRDefault="00DE1537" w:rsidP="00343F3E">
                  <w:pPr>
                    <w:pStyle w:val="TableBodyText"/>
                  </w:pPr>
                  <w:r>
                    <w:noBreakHyphen/>
                  </w:r>
                  <w:r w:rsidRPr="002B6646">
                    <w:t>37.3</w:t>
                  </w:r>
                </w:p>
              </w:tc>
              <w:tc>
                <w:tcPr>
                  <w:tcW w:w="481" w:type="pct"/>
                  <w:vAlign w:val="bottom"/>
                </w:tcPr>
                <w:p w14:paraId="6C20E6E8" w14:textId="77777777" w:rsidR="00DE1537" w:rsidRPr="002B6646" w:rsidRDefault="00DE1537" w:rsidP="00343F3E">
                  <w:pPr>
                    <w:pStyle w:val="TableBodyText"/>
                  </w:pPr>
                  <w:r w:rsidRPr="002B6646">
                    <w:t>4.6</w:t>
                  </w:r>
                </w:p>
              </w:tc>
              <w:tc>
                <w:tcPr>
                  <w:tcW w:w="481" w:type="pct"/>
                  <w:vAlign w:val="bottom"/>
                </w:tcPr>
                <w:p w14:paraId="45473556" w14:textId="77777777" w:rsidR="00DE1537" w:rsidRPr="002B6646" w:rsidRDefault="00DE1537" w:rsidP="00343F3E">
                  <w:pPr>
                    <w:pStyle w:val="TableBodyText"/>
                  </w:pPr>
                  <w:r w:rsidRPr="002B6646">
                    <w:t>232.0</w:t>
                  </w:r>
                </w:p>
              </w:tc>
              <w:tc>
                <w:tcPr>
                  <w:tcW w:w="481" w:type="pct"/>
                  <w:vAlign w:val="bottom"/>
                </w:tcPr>
                <w:p w14:paraId="57D60306" w14:textId="77777777" w:rsidR="00DE1537" w:rsidRPr="002B6646" w:rsidRDefault="00DE1537" w:rsidP="00343F3E">
                  <w:pPr>
                    <w:pStyle w:val="TableBodyText"/>
                  </w:pPr>
                  <w:r>
                    <w:noBreakHyphen/>
                  </w:r>
                  <w:r w:rsidRPr="002B6646">
                    <w:t>87.2</w:t>
                  </w:r>
                </w:p>
              </w:tc>
              <w:tc>
                <w:tcPr>
                  <w:tcW w:w="481" w:type="pct"/>
                  <w:vAlign w:val="bottom"/>
                </w:tcPr>
                <w:p w14:paraId="483EF4C4" w14:textId="77777777" w:rsidR="00DE1537" w:rsidRDefault="00DE1537" w:rsidP="00343F3E">
                  <w:pPr>
                    <w:pStyle w:val="TableBodyText"/>
                  </w:pPr>
                  <w:r>
                    <w:noBreakHyphen/>
                  </w:r>
                  <w:r w:rsidRPr="002B6646">
                    <w:t>81.4</w:t>
                  </w:r>
                </w:p>
              </w:tc>
              <w:tc>
                <w:tcPr>
                  <w:tcW w:w="481" w:type="pct"/>
                  <w:vAlign w:val="bottom"/>
                </w:tcPr>
                <w:p w14:paraId="3240D926" w14:textId="77777777" w:rsidR="00DE1537" w:rsidRPr="002B6646" w:rsidRDefault="00DE1537" w:rsidP="00343F3E">
                  <w:pPr>
                    <w:pStyle w:val="TableBodyText"/>
                  </w:pPr>
                  <w:r>
                    <w:noBreakHyphen/>
                  </w:r>
                  <w:r w:rsidRPr="002B6646">
                    <w:t>15.0</w:t>
                  </w:r>
                </w:p>
              </w:tc>
              <w:tc>
                <w:tcPr>
                  <w:tcW w:w="481" w:type="pct"/>
                  <w:vAlign w:val="bottom"/>
                </w:tcPr>
                <w:p w14:paraId="7CD74764" w14:textId="77777777" w:rsidR="00DE1537" w:rsidRPr="002B6646" w:rsidRDefault="00DE1537" w:rsidP="00343F3E">
                  <w:pPr>
                    <w:pStyle w:val="TableBodyText"/>
                  </w:pPr>
                  <w:r w:rsidRPr="002B6646">
                    <w:t>0.1</w:t>
                  </w:r>
                </w:p>
              </w:tc>
              <w:tc>
                <w:tcPr>
                  <w:tcW w:w="481" w:type="pct"/>
                  <w:vAlign w:val="bottom"/>
                </w:tcPr>
                <w:p w14:paraId="69DAB732" w14:textId="77777777" w:rsidR="00DE1537" w:rsidRPr="002B6646" w:rsidRDefault="00DE1537" w:rsidP="00343F3E">
                  <w:pPr>
                    <w:pStyle w:val="TableBodyText"/>
                  </w:pPr>
                  <w:r>
                    <w:noBreakHyphen/>
                  </w:r>
                  <w:r w:rsidRPr="002B6646">
                    <w:t>15.7</w:t>
                  </w:r>
                </w:p>
              </w:tc>
              <w:tc>
                <w:tcPr>
                  <w:tcW w:w="726" w:type="pct"/>
                  <w:vAlign w:val="bottom"/>
                </w:tcPr>
                <w:p w14:paraId="06B2DA5A" w14:textId="77777777" w:rsidR="00DE1537" w:rsidRPr="002B6646" w:rsidRDefault="00DE1537" w:rsidP="00343F3E">
                  <w:pPr>
                    <w:pStyle w:val="TableBodyText"/>
                  </w:pPr>
                  <w:r w:rsidRPr="002B6646">
                    <w:t>236.7</w:t>
                  </w:r>
                </w:p>
              </w:tc>
            </w:tr>
            <w:tr w:rsidR="00DE1537" w:rsidRPr="002B6646" w14:paraId="4F0011F8" w14:textId="77777777" w:rsidTr="00343F3E">
              <w:tc>
                <w:tcPr>
                  <w:tcW w:w="427" w:type="pct"/>
                  <w:tcBorders>
                    <w:bottom w:val="single" w:sz="4" w:space="0" w:color="BFBFBF"/>
                  </w:tcBorders>
                  <w:vAlign w:val="bottom"/>
                </w:tcPr>
                <w:p w14:paraId="47B77EF2" w14:textId="77777777" w:rsidR="00DE1537" w:rsidRPr="0083364B" w:rsidRDefault="00DE1537" w:rsidP="00343F3E">
                  <w:pPr>
                    <w:pStyle w:val="TableBodyText"/>
                    <w:jc w:val="left"/>
                    <w:rPr>
                      <w:b/>
                    </w:rPr>
                  </w:pPr>
                  <w:r w:rsidRPr="0083364B">
                    <w:rPr>
                      <w:b/>
                    </w:rPr>
                    <w:t>Total</w:t>
                  </w:r>
                </w:p>
              </w:tc>
              <w:tc>
                <w:tcPr>
                  <w:tcW w:w="481" w:type="pct"/>
                  <w:tcBorders>
                    <w:bottom w:val="single" w:sz="4" w:space="0" w:color="BFBFBF"/>
                  </w:tcBorders>
                  <w:vAlign w:val="bottom"/>
                </w:tcPr>
                <w:p w14:paraId="658DD67D" w14:textId="77777777" w:rsidR="00DE1537" w:rsidRPr="0083364B" w:rsidRDefault="00DE1537" w:rsidP="00343F3E">
                  <w:pPr>
                    <w:pStyle w:val="TableBodyText"/>
                    <w:framePr w:w="2155" w:hSpace="227" w:vSpace="181" w:wrap="around" w:vAnchor="text" w:hAnchor="page" w:xAlign="outside" w:y="1"/>
                    <w:rPr>
                      <w:b/>
                    </w:rPr>
                  </w:pPr>
                  <w:r>
                    <w:rPr>
                      <w:b/>
                    </w:rPr>
                    <w:noBreakHyphen/>
                  </w:r>
                  <w:r w:rsidRPr="0083364B">
                    <w:rPr>
                      <w:b/>
                    </w:rPr>
                    <w:t>83.8</w:t>
                  </w:r>
                </w:p>
              </w:tc>
              <w:tc>
                <w:tcPr>
                  <w:tcW w:w="481" w:type="pct"/>
                  <w:tcBorders>
                    <w:bottom w:val="single" w:sz="4" w:space="0" w:color="BFBFBF"/>
                  </w:tcBorders>
                  <w:vAlign w:val="bottom"/>
                </w:tcPr>
                <w:p w14:paraId="0D6A6BAE" w14:textId="77777777" w:rsidR="00DE1537" w:rsidRPr="0083364B" w:rsidRDefault="00DE1537" w:rsidP="00343F3E">
                  <w:pPr>
                    <w:pStyle w:val="TableBodyText"/>
                    <w:framePr w:w="2155" w:hSpace="227" w:vSpace="181" w:wrap="around" w:vAnchor="text" w:hAnchor="page" w:xAlign="outside" w:y="1"/>
                    <w:rPr>
                      <w:b/>
                    </w:rPr>
                  </w:pPr>
                  <w:r w:rsidRPr="0076053F">
                    <w:rPr>
                      <w:b/>
                    </w:rPr>
                    <w:t>13.3</w:t>
                  </w:r>
                </w:p>
              </w:tc>
              <w:tc>
                <w:tcPr>
                  <w:tcW w:w="481" w:type="pct"/>
                  <w:tcBorders>
                    <w:bottom w:val="single" w:sz="4" w:space="0" w:color="BFBFBF"/>
                  </w:tcBorders>
                  <w:vAlign w:val="bottom"/>
                </w:tcPr>
                <w:p w14:paraId="46B1A5C3" w14:textId="77777777" w:rsidR="00DE1537" w:rsidRPr="0083364B" w:rsidRDefault="00DE1537" w:rsidP="00343F3E">
                  <w:pPr>
                    <w:pStyle w:val="TableBodyText"/>
                    <w:framePr w:w="2155" w:hSpace="227" w:vSpace="181" w:wrap="around" w:vAnchor="text" w:hAnchor="page" w:xAlign="outside" w:y="1"/>
                    <w:rPr>
                      <w:b/>
                    </w:rPr>
                  </w:pPr>
                  <w:r w:rsidRPr="0076053F">
                    <w:rPr>
                      <w:b/>
                    </w:rPr>
                    <w:t>647</w:t>
                  </w:r>
                  <w:r>
                    <w:rPr>
                      <w:b/>
                    </w:rPr>
                    <w:t>.0</w:t>
                  </w:r>
                </w:p>
              </w:tc>
              <w:tc>
                <w:tcPr>
                  <w:tcW w:w="481" w:type="pct"/>
                  <w:tcBorders>
                    <w:bottom w:val="single" w:sz="4" w:space="0" w:color="BFBFBF"/>
                  </w:tcBorders>
                  <w:vAlign w:val="bottom"/>
                </w:tcPr>
                <w:p w14:paraId="2831027B" w14:textId="77777777" w:rsidR="00DE1537" w:rsidRPr="0083364B" w:rsidRDefault="00DE1537" w:rsidP="00343F3E">
                  <w:pPr>
                    <w:pStyle w:val="TableBodyText"/>
                    <w:framePr w:w="2155" w:hSpace="227" w:vSpace="181" w:wrap="around" w:vAnchor="text" w:hAnchor="page" w:xAlign="outside" w:y="1"/>
                    <w:rPr>
                      <w:b/>
                    </w:rPr>
                  </w:pPr>
                  <w:r>
                    <w:rPr>
                      <w:b/>
                    </w:rPr>
                    <w:noBreakHyphen/>
                  </w:r>
                  <w:r w:rsidRPr="0076053F">
                    <w:rPr>
                      <w:b/>
                    </w:rPr>
                    <w:t>242.3</w:t>
                  </w:r>
                </w:p>
              </w:tc>
              <w:tc>
                <w:tcPr>
                  <w:tcW w:w="481" w:type="pct"/>
                  <w:tcBorders>
                    <w:bottom w:val="single" w:sz="4" w:space="0" w:color="BFBFBF"/>
                  </w:tcBorders>
                  <w:vAlign w:val="bottom"/>
                </w:tcPr>
                <w:p w14:paraId="7B38FDF3" w14:textId="77777777" w:rsidR="00DE1537" w:rsidRDefault="00DE1537" w:rsidP="00343F3E">
                  <w:pPr>
                    <w:pStyle w:val="TableBodyText"/>
                    <w:framePr w:w="2155" w:hSpace="227" w:vSpace="181" w:wrap="around" w:vAnchor="text" w:hAnchor="page" w:xAlign="outside" w:y="1"/>
                    <w:rPr>
                      <w:b/>
                    </w:rPr>
                  </w:pPr>
                  <w:r>
                    <w:rPr>
                      <w:b/>
                    </w:rPr>
                    <w:noBreakHyphen/>
                  </w:r>
                  <w:r w:rsidRPr="0076053F">
                    <w:rPr>
                      <w:b/>
                    </w:rPr>
                    <w:t>254.2</w:t>
                  </w:r>
                </w:p>
              </w:tc>
              <w:tc>
                <w:tcPr>
                  <w:tcW w:w="481" w:type="pct"/>
                  <w:tcBorders>
                    <w:bottom w:val="single" w:sz="4" w:space="0" w:color="BFBFBF"/>
                  </w:tcBorders>
                  <w:vAlign w:val="bottom"/>
                </w:tcPr>
                <w:p w14:paraId="5473483D" w14:textId="77777777" w:rsidR="00DE1537" w:rsidRPr="0083364B" w:rsidRDefault="00DE1537" w:rsidP="00343F3E">
                  <w:pPr>
                    <w:pStyle w:val="TableBodyText"/>
                    <w:framePr w:w="2155" w:hSpace="227" w:vSpace="181" w:wrap="around" w:vAnchor="text" w:hAnchor="page" w:xAlign="outside" w:y="1"/>
                    <w:rPr>
                      <w:b/>
                    </w:rPr>
                  </w:pPr>
                  <w:r>
                    <w:rPr>
                      <w:b/>
                    </w:rPr>
                    <w:noBreakHyphen/>
                  </w:r>
                  <w:r w:rsidRPr="0076053F">
                    <w:rPr>
                      <w:b/>
                    </w:rPr>
                    <w:t>56.1</w:t>
                  </w:r>
                </w:p>
              </w:tc>
              <w:tc>
                <w:tcPr>
                  <w:tcW w:w="481" w:type="pct"/>
                  <w:tcBorders>
                    <w:bottom w:val="single" w:sz="4" w:space="0" w:color="BFBFBF"/>
                  </w:tcBorders>
                  <w:vAlign w:val="bottom"/>
                </w:tcPr>
                <w:p w14:paraId="65A73AD4" w14:textId="77777777" w:rsidR="00DE1537" w:rsidRPr="0083364B" w:rsidRDefault="00DE1537" w:rsidP="00343F3E">
                  <w:pPr>
                    <w:pStyle w:val="TableBodyText"/>
                    <w:framePr w:w="2155" w:hSpace="227" w:vSpace="181" w:wrap="around" w:vAnchor="text" w:hAnchor="page" w:xAlign="outside" w:y="1"/>
                    <w:rPr>
                      <w:b/>
                    </w:rPr>
                  </w:pPr>
                  <w:r w:rsidRPr="0076053F">
                    <w:rPr>
                      <w:b/>
                    </w:rPr>
                    <w:t>18.2</w:t>
                  </w:r>
                </w:p>
              </w:tc>
              <w:tc>
                <w:tcPr>
                  <w:tcW w:w="481" w:type="pct"/>
                  <w:tcBorders>
                    <w:bottom w:val="single" w:sz="4" w:space="0" w:color="BFBFBF"/>
                  </w:tcBorders>
                  <w:vAlign w:val="bottom"/>
                </w:tcPr>
                <w:p w14:paraId="5B88BBB8" w14:textId="77777777" w:rsidR="00DE1537" w:rsidRPr="0083364B" w:rsidRDefault="00DE1537" w:rsidP="00343F3E">
                  <w:pPr>
                    <w:pStyle w:val="TableBodyText"/>
                    <w:framePr w:w="2155" w:hSpace="227" w:vSpace="181" w:wrap="around" w:vAnchor="text" w:hAnchor="page" w:xAlign="outside" w:y="1"/>
                    <w:rPr>
                      <w:b/>
                    </w:rPr>
                  </w:pPr>
                  <w:r>
                    <w:rPr>
                      <w:b/>
                    </w:rPr>
                    <w:noBreakHyphen/>
                  </w:r>
                  <w:r w:rsidRPr="0076053F">
                    <w:rPr>
                      <w:b/>
                    </w:rPr>
                    <w:t>42</w:t>
                  </w:r>
                  <w:r>
                    <w:rPr>
                      <w:b/>
                    </w:rPr>
                    <w:t>.0</w:t>
                  </w:r>
                </w:p>
              </w:tc>
              <w:tc>
                <w:tcPr>
                  <w:tcW w:w="726" w:type="pct"/>
                  <w:tcBorders>
                    <w:bottom w:val="single" w:sz="4" w:space="0" w:color="BFBFBF"/>
                  </w:tcBorders>
                  <w:vAlign w:val="bottom"/>
                </w:tcPr>
                <w:p w14:paraId="2796607B" w14:textId="77777777" w:rsidR="00DE1537" w:rsidRPr="0083364B" w:rsidRDefault="00DE1537" w:rsidP="00343F3E">
                  <w:pPr>
                    <w:pStyle w:val="TableBodyText"/>
                    <w:framePr w:w="2155" w:hSpace="227" w:vSpace="181" w:wrap="around" w:vAnchor="text" w:hAnchor="page" w:xAlign="outside" w:y="1"/>
                    <w:rPr>
                      <w:b/>
                    </w:rPr>
                  </w:pPr>
                </w:p>
              </w:tc>
            </w:tr>
          </w:tbl>
          <w:p w14:paraId="50BE3547" w14:textId="77777777" w:rsidR="00DE1537" w:rsidRDefault="00DE1537" w:rsidP="00343F3E">
            <w:pPr>
              <w:pStyle w:val="Box"/>
            </w:pPr>
          </w:p>
        </w:tc>
      </w:tr>
      <w:tr w:rsidR="00DE1537" w14:paraId="48661407" w14:textId="77777777" w:rsidTr="00343F3E">
        <w:trPr>
          <w:cantSplit/>
        </w:trPr>
        <w:tc>
          <w:tcPr>
            <w:tcW w:w="5000" w:type="pct"/>
            <w:tcBorders>
              <w:top w:val="nil"/>
              <w:left w:val="nil"/>
              <w:bottom w:val="nil"/>
              <w:right w:val="nil"/>
            </w:tcBorders>
            <w:shd w:val="clear" w:color="auto" w:fill="F2F2F2" w:themeFill="background1" w:themeFillShade="F2"/>
          </w:tcPr>
          <w:p w14:paraId="4E8E692F" w14:textId="77777777" w:rsidR="00DE1537" w:rsidRDefault="00DE1537" w:rsidP="00343F3E">
            <w:pPr>
              <w:pStyle w:val="BoxSource"/>
              <w:rPr>
                <w:i/>
              </w:rPr>
            </w:pPr>
            <w:proofErr w:type="gramStart"/>
            <w:r>
              <w:rPr>
                <w:rStyle w:val="NoteLabel"/>
              </w:rPr>
              <w:t>a</w:t>
            </w:r>
            <w:proofErr w:type="gramEnd"/>
            <w:r>
              <w:rPr>
                <w:rStyle w:val="NoteLabel"/>
              </w:rPr>
              <w:t xml:space="preserve"> </w:t>
            </w:r>
            <w:r>
              <w:t xml:space="preserve">This is a hypothetical example of the impact of natural disaster expenses on GST redistribution. In practice, the Commonwealth Grants Commission uses a three year averaging process to calculate relativities. </w:t>
            </w:r>
            <w:proofErr w:type="gramStart"/>
            <w:r>
              <w:rPr>
                <w:rStyle w:val="NoteLabel"/>
              </w:rPr>
              <w:t>b</w:t>
            </w:r>
            <w:proofErr w:type="gramEnd"/>
            <w:r>
              <w:t xml:space="preserve"> The total redistribution for each year is the sum of all the positive numbers across all jurisdictions.</w:t>
            </w:r>
          </w:p>
        </w:tc>
      </w:tr>
      <w:tr w:rsidR="00DE1537" w14:paraId="21FBEED8" w14:textId="77777777" w:rsidTr="00343F3E">
        <w:trPr>
          <w:cantSplit/>
        </w:trPr>
        <w:tc>
          <w:tcPr>
            <w:tcW w:w="5000" w:type="pct"/>
            <w:tcBorders>
              <w:top w:val="nil"/>
              <w:left w:val="nil"/>
              <w:bottom w:val="nil"/>
              <w:right w:val="nil"/>
            </w:tcBorders>
            <w:shd w:val="clear" w:color="auto" w:fill="F2F2F2" w:themeFill="background1" w:themeFillShade="F2"/>
          </w:tcPr>
          <w:p w14:paraId="0F1B3639" w14:textId="6EC5EDD3" w:rsidR="00DE1537" w:rsidRDefault="00DE1537" w:rsidP="00343F3E">
            <w:pPr>
              <w:pStyle w:val="BoxSource"/>
            </w:pPr>
            <w:r>
              <w:rPr>
                <w:i/>
              </w:rPr>
              <w:t>Sources</w:t>
            </w:r>
            <w:r w:rsidRPr="00167F06">
              <w:t>:</w:t>
            </w:r>
            <w:r>
              <w:t xml:space="preserve"> CGC (pers. comm., 22 July 2014); ERC </w:t>
            </w:r>
            <w:r w:rsidRPr="001F265E">
              <w:rPr>
                <w:rFonts w:cs="Arial"/>
              </w:rPr>
              <w:t>(2011)</w:t>
            </w:r>
            <w:r>
              <w:t>.</w:t>
            </w:r>
          </w:p>
        </w:tc>
      </w:tr>
      <w:tr w:rsidR="00DE1537" w14:paraId="6AB11F8D" w14:textId="77777777" w:rsidTr="00343F3E">
        <w:trPr>
          <w:cantSplit/>
        </w:trPr>
        <w:tc>
          <w:tcPr>
            <w:tcW w:w="5000" w:type="pct"/>
            <w:tcBorders>
              <w:top w:val="nil"/>
              <w:left w:val="nil"/>
              <w:bottom w:val="single" w:sz="6" w:space="0" w:color="78A22F"/>
              <w:right w:val="nil"/>
            </w:tcBorders>
            <w:shd w:val="clear" w:color="auto" w:fill="F2F2F2" w:themeFill="background1" w:themeFillShade="F2"/>
          </w:tcPr>
          <w:p w14:paraId="5906888B" w14:textId="77777777" w:rsidR="00DE1537" w:rsidRDefault="00DE1537">
            <w:pPr>
              <w:pStyle w:val="Box"/>
              <w:spacing w:before="0" w:line="120" w:lineRule="exact"/>
            </w:pPr>
          </w:p>
        </w:tc>
      </w:tr>
      <w:tr w:rsidR="00DE1537" w:rsidRPr="000863A5" w14:paraId="2C5B74F3" w14:textId="77777777" w:rsidTr="00343F3E">
        <w:tc>
          <w:tcPr>
            <w:tcW w:w="5000" w:type="pct"/>
            <w:tcBorders>
              <w:top w:val="single" w:sz="6" w:space="0" w:color="78A22F"/>
              <w:left w:val="nil"/>
              <w:bottom w:val="nil"/>
              <w:right w:val="nil"/>
            </w:tcBorders>
          </w:tcPr>
          <w:p w14:paraId="28144302" w14:textId="77777777" w:rsidR="00DE1537" w:rsidRPr="00626D32" w:rsidRDefault="00DE1537" w:rsidP="00343F3E">
            <w:pPr>
              <w:pStyle w:val="BoxSpaceBelow"/>
            </w:pPr>
          </w:p>
        </w:tc>
      </w:tr>
    </w:tbl>
    <w:p w14:paraId="3EEA69A5" w14:textId="77777777" w:rsidR="00DE1537" w:rsidRDefault="00DE1537" w:rsidP="00343F3E">
      <w:pPr>
        <w:pStyle w:val="BodyText"/>
      </w:pPr>
      <w:r>
        <w:lastRenderedPageBreak/>
        <w:t>The random nature of natural disasters means the fiscal impacts to the budget are volatile and difficult to estimate. As such, governments often choose to fund natural disaster recovery costs on an ex</w:t>
      </w:r>
      <w:r>
        <w:noBreakHyphen/>
        <w:t>post basis. Pre</w:t>
      </w:r>
      <w:r>
        <w:noBreakHyphen/>
        <w:t>disaster expenditure (for example on mitigation) is funded on an ex</w:t>
      </w:r>
      <w:r>
        <w:noBreakHyphen/>
        <w:t xml:space="preserve">ante basis. Similar to the Australian Government, some state governments identify fiscal risks of natural disasters in their respective state budgets, treating them as a contingent liability. They may include an allowance for future costs in their demand contingency. </w:t>
      </w:r>
      <w:proofErr w:type="gramStart"/>
      <w:r>
        <w:t>For example, the Victorian Government (sub.</w:t>
      </w:r>
      <w:proofErr w:type="gramEnd"/>
      <w:r>
        <w:t> DR215) provisions annually for natural disasters, estimating economic outflows when they can be reliably measured, and when outflows cannot be determined, discloses an unquantifiable contingent liability. Some states employ more explicit provisioning for natural disaster recovery expenses, such as the NSW Government, which budgets for response and recovery activity through a Disaster Relief Account:</w:t>
      </w:r>
    </w:p>
    <w:p w14:paraId="41E3A201" w14:textId="77777777" w:rsidR="00DE1537" w:rsidRDefault="00DE1537" w:rsidP="00343F3E">
      <w:pPr>
        <w:pStyle w:val="Quote"/>
      </w:pPr>
      <w:r>
        <w:t>Currently, the central disaster provision is set at $95 million for 2014</w:t>
      </w:r>
      <w:r>
        <w:noBreakHyphen/>
        <w:t>15. The figure is based on past expenditures and the expected impact of new policies. This budget does not attempt to capture all volatility in natural disaster costs but to reasonably capture expected costs based on a long term annual median cost calculation.</w:t>
      </w:r>
    </w:p>
    <w:p w14:paraId="54CAC9A4" w14:textId="77777777" w:rsidR="00DE1537" w:rsidRDefault="00DE1537" w:rsidP="00343F3E">
      <w:pPr>
        <w:pStyle w:val="Quote"/>
      </w:pPr>
      <w:r>
        <w:t>Apart from the annual provision, there is no reserve fund dedicated to natural disaster expenditure. In years when the natural disaster budget in the [Disaster Relief Account] is insufficient to meet the funding needs of all eligible response and recovery activity, supplementary funds are sought through either a diversion of resources from the budget, supplementation from the consolidated fund or borrowing. (New South Wales Government, sub. 103, p. 19)</w:t>
      </w:r>
    </w:p>
    <w:p w14:paraId="02A68B26" w14:textId="77777777" w:rsidR="00DE1537" w:rsidRDefault="00DE1537" w:rsidP="00343F3E">
      <w:pPr>
        <w:pStyle w:val="BodyText"/>
      </w:pPr>
      <w:proofErr w:type="gramStart"/>
      <w:r>
        <w:t>Similarly, the Local Government Association of South Australia (sub.</w:t>
      </w:r>
      <w:proofErr w:type="gramEnd"/>
      <w:r>
        <w:t> DR161, p. 5) also noted that:</w:t>
      </w:r>
    </w:p>
    <w:p w14:paraId="4A34D9DD" w14:textId="77777777" w:rsidR="00DE1537" w:rsidRDefault="00DE1537" w:rsidP="00343F3E">
      <w:pPr>
        <w:pStyle w:val="Quote"/>
      </w:pPr>
      <w:r>
        <w:t>[w]</w:t>
      </w:r>
      <w:r w:rsidRPr="00646F15">
        <w:t>ithin SA up until a few years ago, it was standard practice for the State Government to</w:t>
      </w:r>
      <w:r>
        <w:t xml:space="preserve"> include an </w:t>
      </w:r>
      <w:r w:rsidRPr="00646F15">
        <w:t>annual appropriation in its Budget (as well as a provision in its forward estimates) for estimated eligible claims by Councils covering future natural disasters. The amounts provided were based on the average cost (to the State) of such expenditure over the previous ten years.</w:t>
      </w:r>
      <w:r>
        <w:t xml:space="preserve"> </w:t>
      </w:r>
      <w:r w:rsidRPr="00E80590">
        <w:t xml:space="preserve">In practice, it is likely that Councils ultimately would call upon the Australian and State Government to sustain them if a disaster decimated their resources and capability. The Local Government Disaster Recovery Assistance Guidelines (LGDAG) currently in place </w:t>
      </w:r>
      <w:proofErr w:type="gramStart"/>
      <w:r w:rsidRPr="00E80590">
        <w:t>provide</w:t>
      </w:r>
      <w:proofErr w:type="gramEnd"/>
      <w:r w:rsidRPr="00E80590">
        <w:t xml:space="preserve"> Councils with an expectation of the provision of resources from the State if losses were to exceed their own resource capacity.</w:t>
      </w:r>
    </w:p>
    <w:p w14:paraId="6896E1CE" w14:textId="04E58668" w:rsidR="00C82E98" w:rsidRDefault="00DE1537" w:rsidP="00343F3E">
      <w:pPr>
        <w:pStyle w:val="BodyText"/>
      </w:pPr>
      <w:r>
        <w:t>This budget approach has wider implications for how governments manage and fund natural disaster costs. If governments choose to fund disaster recovery on an entirely ex</w:t>
      </w:r>
      <w:r>
        <w:noBreakHyphen/>
        <w:t xml:space="preserve">post basis, even if there is some degree of certainty that disaster recovery costs will be incurred, this will create a bias in the types of activities governments choose to fund (chapter 1, supplementary paper 3). This is manifest in the Australian Government’s much greater </w:t>
      </w:r>
      <w:r w:rsidRPr="006808E7">
        <w:t>ex</w:t>
      </w:r>
      <w:r>
        <w:noBreakHyphen/>
      </w:r>
      <w:r w:rsidRPr="006808E7">
        <w:t>post funding for natural disaster</w:t>
      </w:r>
      <w:r>
        <w:t xml:space="preserve"> recovery</w:t>
      </w:r>
      <w:r w:rsidRPr="006808E7">
        <w:t xml:space="preserve"> relative to ex</w:t>
      </w:r>
      <w:r>
        <w:noBreakHyphen/>
      </w:r>
      <w:r w:rsidRPr="006808E7">
        <w:t xml:space="preserve">ante funding </w:t>
      </w:r>
      <w:r>
        <w:t xml:space="preserve">for mitigation </w:t>
      </w:r>
      <w:r w:rsidRPr="006808E7">
        <w:t>(</w:t>
      </w:r>
      <w:r>
        <w:t>section 2.5)</w:t>
      </w:r>
      <w:r w:rsidRPr="006808E7">
        <w:t>.</w:t>
      </w:r>
    </w:p>
    <w:p w14:paraId="7461EC04" w14:textId="77777777" w:rsidR="00C82E98" w:rsidRDefault="00C82E98">
      <w:pPr>
        <w:rPr>
          <w:szCs w:val="20"/>
        </w:rPr>
      </w:pPr>
      <w:r>
        <w:br w:type="page"/>
      </w:r>
    </w:p>
    <w:p w14:paraId="7F61899A" w14:textId="77777777" w:rsidR="00DE1537" w:rsidRDefault="00DE1537" w:rsidP="00343F3E">
      <w:pPr>
        <w:pStyle w:val="BodyText"/>
      </w:pPr>
      <w:r>
        <w:lastRenderedPageBreak/>
        <w:t>Local governments have difficulty allocating budgets to risk management due to competing interests and priorities (ALGA, sub. 52) and limited revenue raising powers.</w:t>
      </w:r>
    </w:p>
    <w:p w14:paraId="5BE8DD1E" w14:textId="77777777" w:rsidR="00DE1537" w:rsidRDefault="00DE1537" w:rsidP="00343F3E">
      <w:pPr>
        <w:pStyle w:val="Quote"/>
      </w:pPr>
      <w:r>
        <w:t>It is not feasible for local government to generally make provision for natural disaster contingent liabilities in budget frameworks given the potential size of such events relative to a council budget. (LGAQ, sub. 34, attachment </w:t>
      </w:r>
      <w:r w:rsidRPr="00645DA2">
        <w:t>A, p.</w:t>
      </w:r>
      <w:r>
        <w:t> </w:t>
      </w:r>
      <w:r w:rsidRPr="00645DA2">
        <w:t>24)</w:t>
      </w:r>
    </w:p>
    <w:p w14:paraId="0F77B1A0" w14:textId="77777777" w:rsidR="00DE1537" w:rsidRDefault="00DE1537" w:rsidP="00343F3E">
      <w:pPr>
        <w:pStyle w:val="BodyText"/>
      </w:pPr>
      <w:r>
        <w:t>Several inquiry participants commented on the difficulty for local governments to adjust rates to fund natural disaster mitigation or recovery activities. The Far North Queensland Regional Organisation of Councils (sub. 36) noted that local governments collected approximately 3 per cent of total taxation revenue in 2011</w:t>
      </w:r>
      <w:r>
        <w:noBreakHyphen/>
        <w:t>12 but were responsible for approximately 32 per cent of the total value of the asset base of all levels of government. However, local governments receive transfers from higher levels of government, and there are generally few legislative constraints on local government capacity to raise own</w:t>
      </w:r>
      <w:r>
        <w:noBreakHyphen/>
        <w:t>source revenue (supplementary paper 4).</w:t>
      </w:r>
    </w:p>
    <w:p w14:paraId="7DE605E9" w14:textId="77777777" w:rsidR="00DE1537" w:rsidRPr="00CB41DC" w:rsidRDefault="00DE1537" w:rsidP="00343F3E">
      <w:pPr>
        <w:pStyle w:val="Heading3"/>
      </w:pPr>
      <w:r>
        <w:t>Managing residual risks of natural disasters</w:t>
      </w:r>
    </w:p>
    <w:p w14:paraId="7C7DC416" w14:textId="77777777" w:rsidR="00DE1537" w:rsidRDefault="00DE1537" w:rsidP="00343F3E">
      <w:pPr>
        <w:pStyle w:val="BodyText"/>
      </w:pPr>
      <w:r>
        <w:t>The Australian, state, territory and local governmen</w:t>
      </w:r>
      <w:r w:rsidRPr="006808E7">
        <w:t xml:space="preserve">ts use insurance arrangements to manage residual risk posed by </w:t>
      </w:r>
      <w:r w:rsidRPr="00431A2B">
        <w:t xml:space="preserve">natural </w:t>
      </w:r>
      <w:r w:rsidRPr="006808E7">
        <w:t xml:space="preserve">disasters. </w:t>
      </w:r>
      <w:r>
        <w:t>Insurance is one of the few ex</w:t>
      </w:r>
      <w:r>
        <w:noBreakHyphen/>
        <w:t xml:space="preserve">ante funding mechanisms that governments use. </w:t>
      </w:r>
      <w:r w:rsidRPr="006808E7" w:rsidDel="0081762B">
        <w:t xml:space="preserve">As </w:t>
      </w:r>
      <w:r w:rsidDel="0081762B">
        <w:t>discussed in section </w:t>
      </w:r>
      <w:r>
        <w:t>2.5</w:t>
      </w:r>
      <w:r w:rsidDel="0081762B">
        <w:t>, to be eligible for NDRRA funding, state and local governments must have adequate insurance.</w:t>
      </w:r>
    </w:p>
    <w:p w14:paraId="7FD87759" w14:textId="1F017890" w:rsidR="00DE1537" w:rsidRDefault="00DE1537" w:rsidP="00343F3E">
      <w:pPr>
        <w:pStyle w:val="BodyText"/>
      </w:pPr>
      <w:r>
        <w:t xml:space="preserve">Past reviews have found that state and territory governments generally have adequate insurance coverage for most assets, with the exception of roads </w:t>
      </w:r>
      <w:r w:rsidRPr="005D171C">
        <w:rPr>
          <w:szCs w:val="24"/>
        </w:rPr>
        <w:t>(Department of Finance and Deregulation 2012)</w:t>
      </w:r>
      <w:r>
        <w:t xml:space="preserve">. The fact that a large part of NDRRA expenditure is related to the restoration of roads suggests that the insurability (or lack thereof) of essential public assets is a driver of funding arrangements like the NDRRA. </w:t>
      </w:r>
      <w:proofErr w:type="gramStart"/>
      <w:r>
        <w:t>Conversely, having funding arrangements like the NDRRA may affect the willingness of state and local governments to seek out insurance for essential public assets in the first place (chapter 2).</w:t>
      </w:r>
      <w:proofErr w:type="gramEnd"/>
    </w:p>
    <w:p w14:paraId="2E679F2C" w14:textId="503786AA" w:rsidR="00DE1537" w:rsidRDefault="00DE1537" w:rsidP="00343F3E">
      <w:pPr>
        <w:pStyle w:val="BodyText"/>
      </w:pPr>
      <w:r>
        <w:t xml:space="preserve">Governments </w:t>
      </w:r>
      <w:r w:rsidRPr="00CB41DC">
        <w:t xml:space="preserve">use </w:t>
      </w:r>
      <w:r>
        <w:t>various</w:t>
      </w:r>
      <w:r w:rsidRPr="00CB41DC">
        <w:t xml:space="preserve"> arrangements for insuring their assets</w:t>
      </w:r>
      <w:r>
        <w:t xml:space="preserve"> and</w:t>
      </w:r>
      <w:r w:rsidRPr="00CB41DC">
        <w:t xml:space="preserve"> essential public infrastructure, which vary by jurisdiction</w:t>
      </w:r>
      <w:r>
        <w:t xml:space="preserve"> and level of government</w:t>
      </w:r>
      <w:r w:rsidRPr="00CB41DC">
        <w:t xml:space="preserve">. These arrangements </w:t>
      </w:r>
      <w:r w:rsidRPr="006808E7">
        <w:t>include commercial insurance or reinsurance, self</w:t>
      </w:r>
      <w:r>
        <w:noBreakHyphen/>
      </w:r>
      <w:r w:rsidRPr="006808E7">
        <w:t>insurance through government</w:t>
      </w:r>
      <w:r w:rsidRPr="006808E7">
        <w:noBreakHyphen/>
        <w:t xml:space="preserve">owned </w:t>
      </w:r>
      <w:r>
        <w:t>captive insurers</w:t>
      </w:r>
      <w:r w:rsidRPr="006808E7">
        <w:t xml:space="preserve"> and non</w:t>
      </w:r>
      <w:r w:rsidRPr="006808E7">
        <w:noBreakHyphen/>
        <w:t xml:space="preserve">insurance </w:t>
      </w:r>
      <w:r w:rsidRPr="005D171C">
        <w:rPr>
          <w:szCs w:val="24"/>
        </w:rPr>
        <w:t>(Department of Finance and Deregulation 2012)</w:t>
      </w:r>
      <w:r w:rsidRPr="006808E7">
        <w:t xml:space="preserve"> (table </w:t>
      </w:r>
      <w:r>
        <w:t>2.2</w:t>
      </w:r>
      <w:r w:rsidRPr="006808E7">
        <w:t>).</w:t>
      </w:r>
    </w:p>
    <w:p w14:paraId="1CC23A84" w14:textId="77777777" w:rsidR="00CE306F" w:rsidRDefault="00CE306F" w:rsidP="00CE306F">
      <w:pPr>
        <w:pStyle w:val="BodyText"/>
      </w:pPr>
      <w:r w:rsidRPr="006808E7">
        <w:t xml:space="preserve">The Australian Government has a captive insurer, Comcover, which provides insurance services to Australian Government agencies, including purchasing reinsurance </w:t>
      </w:r>
      <w:r w:rsidRPr="007C5656">
        <w:rPr>
          <w:szCs w:val="24"/>
        </w:rPr>
        <w:t>(Department of Finance 2014a)</w:t>
      </w:r>
      <w:r w:rsidRPr="006808E7">
        <w:t xml:space="preserve">. Most state governments also have a </w:t>
      </w:r>
      <w:r>
        <w:t>government</w:t>
      </w:r>
      <w:r>
        <w:noBreakHyphen/>
        <w:t>owned captive insurer</w:t>
      </w:r>
      <w:r w:rsidRPr="00CB41DC">
        <w:t xml:space="preserve"> that finance</w:t>
      </w:r>
      <w:r>
        <w:t>s</w:t>
      </w:r>
      <w:r w:rsidRPr="00CB41DC">
        <w:t xml:space="preserve"> risks from public and product liability, as well as special </w:t>
      </w:r>
      <w:r w:rsidRPr="009314E4">
        <w:t>industrial risks (including natural disasters).</w:t>
      </w:r>
    </w:p>
    <w:p w14:paraId="5559D97F" w14:textId="0CEB6213" w:rsidR="00CE306F" w:rsidRDefault="00CE306F" w:rsidP="00343F3E">
      <w:pPr>
        <w:pStyle w:val="BodyText"/>
      </w:pPr>
      <w:r>
        <w:t>L</w:t>
      </w:r>
      <w:r w:rsidRPr="009314E4">
        <w:t>arger risks</w:t>
      </w:r>
      <w:r>
        <w:t>, in most jurisdictions,</w:t>
      </w:r>
      <w:r w:rsidRPr="009314E4">
        <w:t xml:space="preserve"> are covered by external reinsurance </w:t>
      </w:r>
      <w:r w:rsidRPr="009314E4">
        <w:rPr>
          <w:szCs w:val="24"/>
        </w:rPr>
        <w:t>(Department of Finance and Deregulation 2012)</w:t>
      </w:r>
      <w:r w:rsidRPr="009314E4">
        <w:t xml:space="preserve">. For example, the Victorian Government insures its assets through its state captive insurer, the Victorian Managed Insurance Authority (VMIA). The </w:t>
      </w:r>
      <w:r>
        <w:lastRenderedPageBreak/>
        <w:t>Authority</w:t>
      </w:r>
      <w:r w:rsidRPr="009314E4">
        <w:t xml:space="preserve"> manages insurance coverage for $144 billion of road and non</w:t>
      </w:r>
      <w:r w:rsidRPr="009314E4">
        <w:noBreakHyphen/>
        <w:t xml:space="preserve">road assets. It provides </w:t>
      </w:r>
      <w:r>
        <w:t>cover for losses up to</w:t>
      </w:r>
      <w:r w:rsidRPr="009314E4">
        <w:t xml:space="preserve"> $50 million and is reinsured for losses above this amount (Victorian Government, sub. 113). While all state governments insure at least some of their non</w:t>
      </w:r>
      <w:r w:rsidRPr="009314E4">
        <w:noBreakHyphen/>
        <w:t xml:space="preserve">road assets, only </w:t>
      </w:r>
      <w:r>
        <w:t xml:space="preserve">the </w:t>
      </w:r>
      <w:r w:rsidRPr="009314E4">
        <w:t>Victoria</w:t>
      </w:r>
      <w:r>
        <w:t>n</w:t>
      </w:r>
      <w:r w:rsidRPr="009314E4">
        <w:t xml:space="preserve"> and the ACT </w:t>
      </w:r>
      <w:r>
        <w:t>Governments insure roads.</w:t>
      </w:r>
    </w:p>
    <w:p w14:paraId="58522EFA"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4E588A12" w14:textId="77777777" w:rsidTr="00343F3E">
        <w:tc>
          <w:tcPr>
            <w:tcW w:w="8771" w:type="dxa"/>
            <w:tcBorders>
              <w:top w:val="single" w:sz="4" w:space="0" w:color="78A22F"/>
              <w:left w:val="nil"/>
              <w:bottom w:val="nil"/>
              <w:right w:val="nil"/>
            </w:tcBorders>
            <w:shd w:val="clear" w:color="auto" w:fill="auto"/>
          </w:tcPr>
          <w:p w14:paraId="63E11E69" w14:textId="0B2D728B" w:rsidR="00DE1537" w:rsidRPr="00573AAF" w:rsidRDefault="00DE1537" w:rsidP="00343F3E">
            <w:pPr>
              <w:pStyle w:val="TableTitle"/>
              <w:rPr>
                <w:szCs w:val="20"/>
              </w:rPr>
            </w:pPr>
            <w:r>
              <w:rPr>
                <w:b w:val="0"/>
              </w:rPr>
              <w:t xml:space="preserve">Table </w:t>
            </w:r>
            <w:bookmarkStart w:id="29" w:name="OLE_LINK18"/>
            <w:r>
              <w:rPr>
                <w:b w:val="0"/>
              </w:rPr>
              <w:t>2.</w:t>
            </w:r>
            <w:r>
              <w:rPr>
                <w:b w:val="0"/>
                <w:noProof/>
              </w:rPr>
              <w:t>2</w:t>
            </w:r>
            <w:bookmarkEnd w:id="29"/>
            <w:r>
              <w:tab/>
              <w:t>State, territory and local governments’ insurance arrangements, 2011</w:t>
            </w:r>
          </w:p>
        </w:tc>
      </w:tr>
      <w:tr w:rsidR="00DE1537" w14:paraId="19A1FF94"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70"/>
              <w:gridCol w:w="638"/>
              <w:gridCol w:w="638"/>
              <w:gridCol w:w="638"/>
              <w:gridCol w:w="640"/>
              <w:gridCol w:w="640"/>
              <w:gridCol w:w="640"/>
              <w:gridCol w:w="640"/>
              <w:gridCol w:w="643"/>
            </w:tblGrid>
            <w:tr w:rsidR="00DE1537" w14:paraId="5059F942" w14:textId="77777777" w:rsidTr="00343F3E">
              <w:tc>
                <w:tcPr>
                  <w:tcW w:w="1985" w:type="pct"/>
                  <w:tcBorders>
                    <w:top w:val="single" w:sz="6" w:space="0" w:color="BFBFBF"/>
                    <w:bottom w:val="single" w:sz="6" w:space="0" w:color="BFBFBF"/>
                  </w:tcBorders>
                  <w:shd w:val="clear" w:color="auto" w:fill="auto"/>
                  <w:tcMar>
                    <w:top w:w="28" w:type="dxa"/>
                  </w:tcMar>
                </w:tcPr>
                <w:p w14:paraId="35B5ABE8" w14:textId="77777777" w:rsidR="00DE1537" w:rsidRDefault="00DE1537" w:rsidP="00343F3E">
                  <w:pPr>
                    <w:pStyle w:val="TableColumnHeading"/>
                    <w:jc w:val="left"/>
                  </w:pPr>
                </w:p>
              </w:tc>
              <w:tc>
                <w:tcPr>
                  <w:tcW w:w="376" w:type="pct"/>
                  <w:tcBorders>
                    <w:top w:val="single" w:sz="6" w:space="0" w:color="BFBFBF"/>
                    <w:bottom w:val="single" w:sz="6" w:space="0" w:color="BFBFBF"/>
                  </w:tcBorders>
                  <w:shd w:val="clear" w:color="auto" w:fill="auto"/>
                  <w:tcMar>
                    <w:top w:w="28" w:type="dxa"/>
                  </w:tcMar>
                </w:tcPr>
                <w:p w14:paraId="1590B52E" w14:textId="77777777" w:rsidR="00DE1537" w:rsidRDefault="00DE1537" w:rsidP="00343F3E">
                  <w:pPr>
                    <w:pStyle w:val="TableColumnHeading"/>
                  </w:pPr>
                  <w:r>
                    <w:t>NSW</w:t>
                  </w:r>
                </w:p>
              </w:tc>
              <w:tc>
                <w:tcPr>
                  <w:tcW w:w="376" w:type="pct"/>
                  <w:tcBorders>
                    <w:top w:val="single" w:sz="6" w:space="0" w:color="BFBFBF"/>
                    <w:bottom w:val="single" w:sz="6" w:space="0" w:color="BFBFBF"/>
                  </w:tcBorders>
                </w:tcPr>
                <w:p w14:paraId="6B836DA4" w14:textId="77777777" w:rsidR="00DE1537" w:rsidRDefault="00DE1537" w:rsidP="00343F3E">
                  <w:pPr>
                    <w:pStyle w:val="TableColumnHeading"/>
                    <w:rPr>
                      <w:lang w:eastAsia="en-US"/>
                    </w:rPr>
                  </w:pPr>
                  <w:r>
                    <w:t>Vic</w:t>
                  </w:r>
                </w:p>
              </w:tc>
              <w:tc>
                <w:tcPr>
                  <w:tcW w:w="376" w:type="pct"/>
                  <w:tcBorders>
                    <w:top w:val="single" w:sz="6" w:space="0" w:color="BFBFBF"/>
                    <w:bottom w:val="single" w:sz="6" w:space="0" w:color="BFBFBF"/>
                  </w:tcBorders>
                </w:tcPr>
                <w:p w14:paraId="2C1214CE" w14:textId="77777777" w:rsidR="00DE1537" w:rsidRDefault="00DE1537" w:rsidP="00343F3E">
                  <w:pPr>
                    <w:pStyle w:val="TableColumnHeading"/>
                    <w:rPr>
                      <w:lang w:eastAsia="en-US"/>
                    </w:rPr>
                  </w:pPr>
                  <w:r>
                    <w:t>Qld</w:t>
                  </w:r>
                </w:p>
              </w:tc>
              <w:tc>
                <w:tcPr>
                  <w:tcW w:w="377" w:type="pct"/>
                  <w:tcBorders>
                    <w:top w:val="single" w:sz="6" w:space="0" w:color="BFBFBF"/>
                    <w:bottom w:val="single" w:sz="6" w:space="0" w:color="BFBFBF"/>
                  </w:tcBorders>
                </w:tcPr>
                <w:p w14:paraId="4CB4EFC9" w14:textId="77777777" w:rsidR="00DE1537" w:rsidRDefault="00DE1537" w:rsidP="00343F3E">
                  <w:pPr>
                    <w:pStyle w:val="TableColumnHeading"/>
                    <w:rPr>
                      <w:lang w:eastAsia="en-US"/>
                    </w:rPr>
                  </w:pPr>
                  <w:r>
                    <w:t>SA</w:t>
                  </w:r>
                </w:p>
              </w:tc>
              <w:tc>
                <w:tcPr>
                  <w:tcW w:w="377" w:type="pct"/>
                  <w:tcBorders>
                    <w:top w:val="single" w:sz="6" w:space="0" w:color="BFBFBF"/>
                    <w:bottom w:val="single" w:sz="6" w:space="0" w:color="BFBFBF"/>
                  </w:tcBorders>
                </w:tcPr>
                <w:p w14:paraId="545FE0C3" w14:textId="77777777" w:rsidR="00DE1537" w:rsidRDefault="00DE1537" w:rsidP="00343F3E">
                  <w:pPr>
                    <w:pStyle w:val="TableColumnHeading"/>
                    <w:rPr>
                      <w:lang w:eastAsia="en-US"/>
                    </w:rPr>
                  </w:pPr>
                  <w:r>
                    <w:t>WA</w:t>
                  </w:r>
                </w:p>
              </w:tc>
              <w:tc>
                <w:tcPr>
                  <w:tcW w:w="377" w:type="pct"/>
                  <w:tcBorders>
                    <w:top w:val="single" w:sz="6" w:space="0" w:color="BFBFBF"/>
                    <w:bottom w:val="single" w:sz="6" w:space="0" w:color="BFBFBF"/>
                  </w:tcBorders>
                </w:tcPr>
                <w:p w14:paraId="7D3E8482" w14:textId="77777777" w:rsidR="00DE1537" w:rsidRDefault="00DE1537" w:rsidP="00343F3E">
                  <w:pPr>
                    <w:pStyle w:val="TableColumnHeading"/>
                    <w:rPr>
                      <w:lang w:eastAsia="en-US"/>
                    </w:rPr>
                  </w:pPr>
                  <w:r>
                    <w:t>Tas</w:t>
                  </w:r>
                </w:p>
              </w:tc>
              <w:tc>
                <w:tcPr>
                  <w:tcW w:w="377" w:type="pct"/>
                  <w:tcBorders>
                    <w:top w:val="single" w:sz="6" w:space="0" w:color="BFBFBF"/>
                    <w:bottom w:val="single" w:sz="6" w:space="0" w:color="BFBFBF"/>
                  </w:tcBorders>
                </w:tcPr>
                <w:p w14:paraId="626E701A" w14:textId="77777777" w:rsidR="00DE1537" w:rsidRDefault="00DE1537" w:rsidP="00343F3E">
                  <w:pPr>
                    <w:pStyle w:val="TableColumnHeading"/>
                    <w:rPr>
                      <w:lang w:eastAsia="en-US"/>
                    </w:rPr>
                  </w:pPr>
                  <w:r>
                    <w:t>NT</w:t>
                  </w:r>
                </w:p>
              </w:tc>
              <w:tc>
                <w:tcPr>
                  <w:tcW w:w="379" w:type="pct"/>
                  <w:tcBorders>
                    <w:top w:val="single" w:sz="6" w:space="0" w:color="BFBFBF"/>
                    <w:bottom w:val="single" w:sz="6" w:space="0" w:color="BFBFBF"/>
                  </w:tcBorders>
                  <w:shd w:val="clear" w:color="auto" w:fill="auto"/>
                  <w:tcMar>
                    <w:top w:w="28" w:type="dxa"/>
                  </w:tcMar>
                </w:tcPr>
                <w:p w14:paraId="41CF7F78" w14:textId="77777777" w:rsidR="00DE1537" w:rsidRDefault="00DE1537" w:rsidP="00343F3E">
                  <w:pPr>
                    <w:pStyle w:val="TableColumnHeading"/>
                    <w:ind w:right="28"/>
                  </w:pPr>
                  <w:r>
                    <w:t>ACT</w:t>
                  </w:r>
                </w:p>
              </w:tc>
            </w:tr>
            <w:tr w:rsidR="00DE1537" w:rsidRPr="004C5099" w14:paraId="30C1AA32" w14:textId="77777777" w:rsidTr="00343F3E">
              <w:tc>
                <w:tcPr>
                  <w:tcW w:w="1985" w:type="pct"/>
                  <w:tcBorders>
                    <w:top w:val="single" w:sz="6" w:space="0" w:color="BFBFBF"/>
                  </w:tcBorders>
                </w:tcPr>
                <w:p w14:paraId="26BC2A93" w14:textId="77777777" w:rsidR="00DE1537" w:rsidRPr="006808E7" w:rsidRDefault="00DE1537" w:rsidP="00343F3E">
                  <w:pPr>
                    <w:pStyle w:val="TableUnitsRow"/>
                    <w:jc w:val="left"/>
                    <w:rPr>
                      <w:szCs w:val="22"/>
                      <w:lang w:eastAsia="en-US"/>
                    </w:rPr>
                  </w:pPr>
                  <w:r w:rsidRPr="006808E7">
                    <w:t>Total asset value ($b</w:t>
                  </w:r>
                  <w:r>
                    <w:t>illion</w:t>
                  </w:r>
                  <w:r w:rsidRPr="006808E7">
                    <w:t>)</w:t>
                  </w:r>
                  <w:r w:rsidRPr="006808E7">
                    <w:rPr>
                      <w:rStyle w:val="NoteLabel"/>
                    </w:rPr>
                    <w:t>a</w:t>
                  </w:r>
                </w:p>
              </w:tc>
              <w:tc>
                <w:tcPr>
                  <w:tcW w:w="376" w:type="pct"/>
                  <w:tcBorders>
                    <w:top w:val="single" w:sz="6" w:space="0" w:color="BFBFBF"/>
                  </w:tcBorders>
                </w:tcPr>
                <w:p w14:paraId="1BBA1BD3" w14:textId="77777777" w:rsidR="00DE1537" w:rsidRPr="006808E7" w:rsidRDefault="00DE1537" w:rsidP="00343F3E">
                  <w:pPr>
                    <w:pStyle w:val="TableUnitsRow"/>
                    <w:rPr>
                      <w:i/>
                      <w:lang w:eastAsia="en-US"/>
                    </w:rPr>
                  </w:pPr>
                  <w:r w:rsidRPr="006808E7">
                    <w:t>351</w:t>
                  </w:r>
                </w:p>
              </w:tc>
              <w:tc>
                <w:tcPr>
                  <w:tcW w:w="376" w:type="pct"/>
                  <w:tcBorders>
                    <w:top w:val="single" w:sz="6" w:space="0" w:color="BFBFBF"/>
                  </w:tcBorders>
                </w:tcPr>
                <w:p w14:paraId="4DCA3FFF" w14:textId="77777777" w:rsidR="00DE1537" w:rsidRPr="006808E7" w:rsidRDefault="00DE1537" w:rsidP="00343F3E">
                  <w:pPr>
                    <w:pStyle w:val="TableUnitsRow"/>
                    <w:rPr>
                      <w:i/>
                      <w:lang w:eastAsia="en-US"/>
                    </w:rPr>
                  </w:pPr>
                  <w:r w:rsidRPr="006808E7">
                    <w:t>170</w:t>
                  </w:r>
                </w:p>
              </w:tc>
              <w:tc>
                <w:tcPr>
                  <w:tcW w:w="376" w:type="pct"/>
                  <w:tcBorders>
                    <w:top w:val="single" w:sz="6" w:space="0" w:color="BFBFBF"/>
                  </w:tcBorders>
                </w:tcPr>
                <w:p w14:paraId="63060B60" w14:textId="77777777" w:rsidR="00DE1537" w:rsidRPr="006808E7" w:rsidRDefault="00DE1537" w:rsidP="00343F3E">
                  <w:pPr>
                    <w:pStyle w:val="TableUnitsRow"/>
                    <w:rPr>
                      <w:i/>
                      <w:lang w:eastAsia="en-US"/>
                    </w:rPr>
                  </w:pPr>
                  <w:r w:rsidRPr="006808E7">
                    <w:t>173</w:t>
                  </w:r>
                </w:p>
              </w:tc>
              <w:tc>
                <w:tcPr>
                  <w:tcW w:w="377" w:type="pct"/>
                  <w:tcBorders>
                    <w:top w:val="single" w:sz="6" w:space="0" w:color="BFBFBF"/>
                  </w:tcBorders>
                </w:tcPr>
                <w:p w14:paraId="79EF57BC" w14:textId="77777777" w:rsidR="00DE1537" w:rsidRPr="006808E7" w:rsidRDefault="00DE1537" w:rsidP="00343F3E">
                  <w:pPr>
                    <w:pStyle w:val="TableUnitsRow"/>
                    <w:rPr>
                      <w:i/>
                      <w:lang w:eastAsia="en-US"/>
                    </w:rPr>
                  </w:pPr>
                  <w:r w:rsidRPr="006808E7">
                    <w:t>102</w:t>
                  </w:r>
                </w:p>
              </w:tc>
              <w:tc>
                <w:tcPr>
                  <w:tcW w:w="377" w:type="pct"/>
                  <w:tcBorders>
                    <w:top w:val="single" w:sz="6" w:space="0" w:color="BFBFBF"/>
                  </w:tcBorders>
                </w:tcPr>
                <w:p w14:paraId="6E05BCC8" w14:textId="77777777" w:rsidR="00DE1537" w:rsidRPr="006808E7" w:rsidRDefault="00DE1537" w:rsidP="00343F3E">
                  <w:pPr>
                    <w:pStyle w:val="TableUnitsRow"/>
                    <w:rPr>
                      <w:i/>
                      <w:lang w:eastAsia="en-US"/>
                    </w:rPr>
                  </w:pPr>
                  <w:r>
                    <w:t>124</w:t>
                  </w:r>
                </w:p>
              </w:tc>
              <w:tc>
                <w:tcPr>
                  <w:tcW w:w="377" w:type="pct"/>
                  <w:tcBorders>
                    <w:top w:val="single" w:sz="6" w:space="0" w:color="BFBFBF"/>
                  </w:tcBorders>
                </w:tcPr>
                <w:p w14:paraId="6D283DAA" w14:textId="77777777" w:rsidR="00DE1537" w:rsidRPr="006808E7" w:rsidRDefault="00DE1537" w:rsidP="00343F3E">
                  <w:pPr>
                    <w:pStyle w:val="TableUnitsRow"/>
                    <w:rPr>
                      <w:i/>
                      <w:lang w:eastAsia="en-US"/>
                    </w:rPr>
                  </w:pPr>
                  <w:r w:rsidRPr="006808E7">
                    <w:t>19</w:t>
                  </w:r>
                </w:p>
              </w:tc>
              <w:tc>
                <w:tcPr>
                  <w:tcW w:w="377" w:type="pct"/>
                  <w:tcBorders>
                    <w:top w:val="single" w:sz="6" w:space="0" w:color="BFBFBF"/>
                  </w:tcBorders>
                </w:tcPr>
                <w:p w14:paraId="3BD28A16" w14:textId="77777777" w:rsidR="00DE1537" w:rsidRPr="00472DD9" w:rsidRDefault="00DE1537" w:rsidP="00343F3E">
                  <w:pPr>
                    <w:pStyle w:val="TableUnitsRow"/>
                    <w:rPr>
                      <w:lang w:eastAsia="en-US"/>
                    </w:rPr>
                  </w:pPr>
                  <w:r w:rsidRPr="00472DD9">
                    <w:rPr>
                      <w:lang w:eastAsia="en-US"/>
                    </w:rPr>
                    <w:t>15</w:t>
                  </w:r>
                </w:p>
              </w:tc>
              <w:tc>
                <w:tcPr>
                  <w:tcW w:w="379" w:type="pct"/>
                  <w:tcBorders>
                    <w:top w:val="single" w:sz="6" w:space="0" w:color="BFBFBF"/>
                  </w:tcBorders>
                </w:tcPr>
                <w:p w14:paraId="1708340E" w14:textId="77777777" w:rsidR="00DE1537" w:rsidRPr="00472DD9" w:rsidRDefault="00DE1537" w:rsidP="00343F3E">
                  <w:pPr>
                    <w:pStyle w:val="TableUnitsRow"/>
                    <w:ind w:right="28"/>
                    <w:rPr>
                      <w:lang w:eastAsia="en-US"/>
                    </w:rPr>
                  </w:pPr>
                  <w:r w:rsidRPr="00472DD9">
                    <w:rPr>
                      <w:lang w:eastAsia="en-US"/>
                    </w:rPr>
                    <w:t>21</w:t>
                  </w:r>
                </w:p>
              </w:tc>
            </w:tr>
            <w:tr w:rsidR="00DE1537" w:rsidRPr="004C5099" w14:paraId="6CA506A0" w14:textId="77777777" w:rsidTr="00343F3E">
              <w:tc>
                <w:tcPr>
                  <w:tcW w:w="1985" w:type="pct"/>
                </w:tcPr>
                <w:p w14:paraId="10AB00FB" w14:textId="77777777" w:rsidR="00DE1537" w:rsidRPr="006808E7" w:rsidRDefault="00DE1537" w:rsidP="00343F3E">
                  <w:pPr>
                    <w:pStyle w:val="TableBodyText"/>
                    <w:jc w:val="left"/>
                  </w:pPr>
                  <w:r w:rsidRPr="006808E7">
                    <w:t>Roads (% of total value)</w:t>
                  </w:r>
                  <w:r w:rsidRPr="006808E7">
                    <w:rPr>
                      <w:rStyle w:val="NoteLabel"/>
                    </w:rPr>
                    <w:t>a</w:t>
                  </w:r>
                </w:p>
              </w:tc>
              <w:tc>
                <w:tcPr>
                  <w:tcW w:w="376" w:type="pct"/>
                </w:tcPr>
                <w:p w14:paraId="0B51553C" w14:textId="77777777" w:rsidR="00DE1537" w:rsidRPr="006808E7" w:rsidRDefault="00DE1537" w:rsidP="00343F3E">
                  <w:pPr>
                    <w:pStyle w:val="TableBodyText"/>
                  </w:pPr>
                  <w:r w:rsidRPr="006808E7">
                    <w:t>28</w:t>
                  </w:r>
                </w:p>
              </w:tc>
              <w:tc>
                <w:tcPr>
                  <w:tcW w:w="376" w:type="pct"/>
                </w:tcPr>
                <w:p w14:paraId="4A3F8D2D" w14:textId="77777777" w:rsidR="00DE1537" w:rsidRPr="006808E7" w:rsidRDefault="00DE1537" w:rsidP="00343F3E">
                  <w:pPr>
                    <w:pStyle w:val="TableBodyText"/>
                    <w:rPr>
                      <w:i/>
                      <w:lang w:eastAsia="en-US"/>
                    </w:rPr>
                  </w:pPr>
                  <w:r w:rsidRPr="006808E7">
                    <w:t>39</w:t>
                  </w:r>
                </w:p>
              </w:tc>
              <w:tc>
                <w:tcPr>
                  <w:tcW w:w="376" w:type="pct"/>
                </w:tcPr>
                <w:p w14:paraId="0317E1E6" w14:textId="77777777" w:rsidR="00DE1537" w:rsidRPr="006808E7" w:rsidRDefault="00DE1537" w:rsidP="00343F3E">
                  <w:pPr>
                    <w:pStyle w:val="TableBodyText"/>
                    <w:rPr>
                      <w:i/>
                      <w:lang w:eastAsia="en-US"/>
                    </w:rPr>
                  </w:pPr>
                  <w:r w:rsidRPr="006808E7">
                    <w:t>47</w:t>
                  </w:r>
                </w:p>
              </w:tc>
              <w:tc>
                <w:tcPr>
                  <w:tcW w:w="377" w:type="pct"/>
                </w:tcPr>
                <w:p w14:paraId="4641F345" w14:textId="77777777" w:rsidR="00DE1537" w:rsidRPr="006808E7" w:rsidRDefault="00DE1537" w:rsidP="00343F3E">
                  <w:pPr>
                    <w:pStyle w:val="TableBodyText"/>
                    <w:rPr>
                      <w:i/>
                      <w:lang w:eastAsia="en-US"/>
                    </w:rPr>
                  </w:pPr>
                  <w:r w:rsidRPr="006808E7">
                    <w:t>28</w:t>
                  </w:r>
                </w:p>
              </w:tc>
              <w:tc>
                <w:tcPr>
                  <w:tcW w:w="377" w:type="pct"/>
                </w:tcPr>
                <w:p w14:paraId="6B1E792E" w14:textId="77777777" w:rsidR="00DE1537" w:rsidRPr="006808E7" w:rsidRDefault="00DE1537" w:rsidP="00343F3E">
                  <w:pPr>
                    <w:pStyle w:val="TableBodyText"/>
                    <w:rPr>
                      <w:i/>
                      <w:lang w:eastAsia="en-US"/>
                    </w:rPr>
                  </w:pPr>
                  <w:r>
                    <w:t>17</w:t>
                  </w:r>
                </w:p>
              </w:tc>
              <w:tc>
                <w:tcPr>
                  <w:tcW w:w="377" w:type="pct"/>
                </w:tcPr>
                <w:p w14:paraId="0B1BC5C3" w14:textId="77777777" w:rsidR="00DE1537" w:rsidRPr="006808E7" w:rsidRDefault="00DE1537" w:rsidP="00343F3E">
                  <w:pPr>
                    <w:pStyle w:val="TableBodyText"/>
                    <w:rPr>
                      <w:i/>
                      <w:lang w:eastAsia="en-US"/>
                    </w:rPr>
                  </w:pPr>
                  <w:r w:rsidRPr="006808E7">
                    <w:t>44</w:t>
                  </w:r>
                </w:p>
              </w:tc>
              <w:tc>
                <w:tcPr>
                  <w:tcW w:w="377" w:type="pct"/>
                </w:tcPr>
                <w:p w14:paraId="437E7A78" w14:textId="77777777" w:rsidR="00DE1537" w:rsidRPr="00472DD9" w:rsidRDefault="00DE1537" w:rsidP="00343F3E">
                  <w:pPr>
                    <w:pStyle w:val="TableBodyText"/>
                    <w:rPr>
                      <w:lang w:eastAsia="en-US"/>
                    </w:rPr>
                  </w:pPr>
                  <w:r w:rsidRPr="00472DD9">
                    <w:rPr>
                      <w:lang w:eastAsia="en-US"/>
                    </w:rPr>
                    <w:t>27</w:t>
                  </w:r>
                </w:p>
              </w:tc>
              <w:tc>
                <w:tcPr>
                  <w:tcW w:w="379" w:type="pct"/>
                </w:tcPr>
                <w:p w14:paraId="662D2303" w14:textId="77777777" w:rsidR="00DE1537" w:rsidRPr="00472DD9" w:rsidRDefault="00DE1537" w:rsidP="00343F3E">
                  <w:pPr>
                    <w:pStyle w:val="TableBodyText"/>
                    <w:ind w:right="28"/>
                  </w:pPr>
                  <w:r w:rsidRPr="00472DD9">
                    <w:t>16</w:t>
                  </w:r>
                </w:p>
              </w:tc>
            </w:tr>
            <w:tr w:rsidR="00DE1537" w:rsidRPr="004C5099" w14:paraId="099555AE" w14:textId="77777777" w:rsidTr="00343F3E">
              <w:tc>
                <w:tcPr>
                  <w:tcW w:w="1985" w:type="pct"/>
                </w:tcPr>
                <w:p w14:paraId="11FC0E7B" w14:textId="77777777" w:rsidR="00DE1537" w:rsidRPr="006808E7" w:rsidRDefault="00DE1537" w:rsidP="00343F3E">
                  <w:pPr>
                    <w:pStyle w:val="TableBodyText"/>
                    <w:jc w:val="left"/>
                  </w:pPr>
                  <w:r w:rsidRPr="006808E7">
                    <w:t>Insured (% of total value)</w:t>
                  </w:r>
                  <w:r w:rsidRPr="006808E7">
                    <w:rPr>
                      <w:rStyle w:val="NoteLabel"/>
                    </w:rPr>
                    <w:t>a</w:t>
                  </w:r>
                </w:p>
              </w:tc>
              <w:tc>
                <w:tcPr>
                  <w:tcW w:w="376" w:type="pct"/>
                </w:tcPr>
                <w:p w14:paraId="0DC43CCF" w14:textId="77777777" w:rsidR="00DE1537" w:rsidRPr="006808E7" w:rsidRDefault="00DE1537" w:rsidP="00343F3E">
                  <w:pPr>
                    <w:pStyle w:val="TableBodyText"/>
                  </w:pPr>
                  <w:r w:rsidRPr="006808E7">
                    <w:t>67</w:t>
                  </w:r>
                </w:p>
              </w:tc>
              <w:tc>
                <w:tcPr>
                  <w:tcW w:w="376" w:type="pct"/>
                </w:tcPr>
                <w:p w14:paraId="3C5D868C" w14:textId="77777777" w:rsidR="00DE1537" w:rsidRPr="006808E7" w:rsidRDefault="00DE1537" w:rsidP="00343F3E">
                  <w:pPr>
                    <w:pStyle w:val="TableBodyText"/>
                  </w:pPr>
                  <w:r w:rsidRPr="006808E7">
                    <w:t>82</w:t>
                  </w:r>
                </w:p>
              </w:tc>
              <w:tc>
                <w:tcPr>
                  <w:tcW w:w="376" w:type="pct"/>
                </w:tcPr>
                <w:p w14:paraId="6AFF8F49" w14:textId="77777777" w:rsidR="00DE1537" w:rsidRPr="006808E7" w:rsidRDefault="00DE1537" w:rsidP="00343F3E">
                  <w:pPr>
                    <w:pStyle w:val="TableBodyText"/>
                  </w:pPr>
                  <w:r w:rsidRPr="006808E7">
                    <w:t>54</w:t>
                  </w:r>
                </w:p>
              </w:tc>
              <w:tc>
                <w:tcPr>
                  <w:tcW w:w="377" w:type="pct"/>
                </w:tcPr>
                <w:p w14:paraId="6928C8F8" w14:textId="77777777" w:rsidR="00DE1537" w:rsidRPr="006808E7" w:rsidRDefault="00DE1537" w:rsidP="00343F3E">
                  <w:pPr>
                    <w:pStyle w:val="TableBodyText"/>
                  </w:pPr>
                  <w:r w:rsidRPr="006808E7">
                    <w:t>72</w:t>
                  </w:r>
                </w:p>
              </w:tc>
              <w:tc>
                <w:tcPr>
                  <w:tcW w:w="377" w:type="pct"/>
                </w:tcPr>
                <w:p w14:paraId="5CB2D00C" w14:textId="77777777" w:rsidR="00DE1537" w:rsidRPr="006808E7" w:rsidRDefault="00DE1537" w:rsidP="00343F3E">
                  <w:pPr>
                    <w:pStyle w:val="TableBodyText"/>
                  </w:pPr>
                  <w:r>
                    <w:t>50</w:t>
                  </w:r>
                </w:p>
              </w:tc>
              <w:tc>
                <w:tcPr>
                  <w:tcW w:w="377" w:type="pct"/>
                </w:tcPr>
                <w:p w14:paraId="52E44329" w14:textId="77777777" w:rsidR="00DE1537" w:rsidRPr="006808E7" w:rsidRDefault="00DE1537" w:rsidP="00343F3E">
                  <w:pPr>
                    <w:pStyle w:val="TableBodyText"/>
                  </w:pPr>
                  <w:r w:rsidRPr="006808E7">
                    <w:t>8</w:t>
                  </w:r>
                </w:p>
              </w:tc>
              <w:tc>
                <w:tcPr>
                  <w:tcW w:w="377" w:type="pct"/>
                </w:tcPr>
                <w:p w14:paraId="19F15DD4" w14:textId="77777777" w:rsidR="00DE1537" w:rsidRPr="006808E7" w:rsidRDefault="00DE1537" w:rsidP="00343F3E">
                  <w:pPr>
                    <w:pStyle w:val="TableBodyText"/>
                  </w:pPr>
                  <w:r>
                    <w:t>32</w:t>
                  </w:r>
                </w:p>
              </w:tc>
              <w:tc>
                <w:tcPr>
                  <w:tcW w:w="379" w:type="pct"/>
                </w:tcPr>
                <w:p w14:paraId="5BA95100" w14:textId="77777777" w:rsidR="00DE1537" w:rsidRPr="006808E7" w:rsidRDefault="00DE1537" w:rsidP="00343F3E">
                  <w:pPr>
                    <w:pStyle w:val="TableBodyText"/>
                    <w:ind w:right="28"/>
                  </w:pPr>
                  <w:r>
                    <w:t>100</w:t>
                  </w:r>
                </w:p>
              </w:tc>
            </w:tr>
            <w:tr w:rsidR="00DE1537" w14:paraId="6934CD08" w14:textId="77777777" w:rsidTr="00343F3E">
              <w:tc>
                <w:tcPr>
                  <w:tcW w:w="5000" w:type="pct"/>
                  <w:gridSpan w:val="9"/>
                </w:tcPr>
                <w:p w14:paraId="41049E2C" w14:textId="77777777" w:rsidR="00DE1537" w:rsidRDefault="00DE1537" w:rsidP="00343F3E">
                  <w:pPr>
                    <w:pStyle w:val="TableBodyText"/>
                    <w:ind w:right="28"/>
                    <w:jc w:val="left"/>
                    <w:rPr>
                      <w:szCs w:val="22"/>
                      <w:lang w:eastAsia="en-US"/>
                    </w:rPr>
                  </w:pPr>
                  <w:r>
                    <w:rPr>
                      <w:b/>
                    </w:rPr>
                    <w:t>Captive insurer/mutual pool arrangement</w:t>
                  </w:r>
                </w:p>
              </w:tc>
            </w:tr>
            <w:tr w:rsidR="00DE1537" w14:paraId="1993087F" w14:textId="77777777" w:rsidTr="00343F3E">
              <w:tc>
                <w:tcPr>
                  <w:tcW w:w="1985" w:type="pct"/>
                </w:tcPr>
                <w:p w14:paraId="29AA9DF3" w14:textId="77777777" w:rsidR="00DE1537" w:rsidRDefault="00DE1537" w:rsidP="00343F3E">
                  <w:pPr>
                    <w:pStyle w:val="TableBodyText"/>
                    <w:jc w:val="left"/>
                  </w:pPr>
                  <w:r>
                    <w:t>  State/territory</w:t>
                  </w:r>
                </w:p>
              </w:tc>
              <w:tc>
                <w:tcPr>
                  <w:tcW w:w="376" w:type="pct"/>
                </w:tcPr>
                <w:p w14:paraId="117A384A" w14:textId="77777777" w:rsidR="00DE1537" w:rsidRDefault="00DE1537" w:rsidP="00343F3E">
                  <w:pPr>
                    <w:pStyle w:val="TableBodyText"/>
                  </w:pPr>
                  <w:r>
                    <w:sym w:font="Wingdings" w:char="F0FC"/>
                  </w:r>
                </w:p>
              </w:tc>
              <w:tc>
                <w:tcPr>
                  <w:tcW w:w="376" w:type="pct"/>
                </w:tcPr>
                <w:p w14:paraId="18CE2D87" w14:textId="77777777" w:rsidR="00DE1537" w:rsidRDefault="00DE1537" w:rsidP="00343F3E">
                  <w:pPr>
                    <w:pStyle w:val="TableBodyText"/>
                  </w:pPr>
                  <w:r>
                    <w:sym w:font="Wingdings" w:char="F0FC"/>
                  </w:r>
                </w:p>
              </w:tc>
              <w:tc>
                <w:tcPr>
                  <w:tcW w:w="376" w:type="pct"/>
                </w:tcPr>
                <w:p w14:paraId="38B541D3" w14:textId="77777777" w:rsidR="00DE1537" w:rsidRDefault="00DE1537" w:rsidP="00343F3E">
                  <w:pPr>
                    <w:pStyle w:val="TableBodyText"/>
                  </w:pPr>
                  <w:r>
                    <w:sym w:font="Wingdings" w:char="F0FC"/>
                  </w:r>
                </w:p>
              </w:tc>
              <w:tc>
                <w:tcPr>
                  <w:tcW w:w="377" w:type="pct"/>
                </w:tcPr>
                <w:p w14:paraId="1CAB14D2" w14:textId="77777777" w:rsidR="00DE1537" w:rsidRDefault="00DE1537" w:rsidP="00343F3E">
                  <w:pPr>
                    <w:pStyle w:val="TableBodyText"/>
                  </w:pPr>
                  <w:r>
                    <w:sym w:font="Wingdings" w:char="F0FC"/>
                  </w:r>
                </w:p>
              </w:tc>
              <w:tc>
                <w:tcPr>
                  <w:tcW w:w="377" w:type="pct"/>
                </w:tcPr>
                <w:p w14:paraId="6A4A759B" w14:textId="77777777" w:rsidR="00DE1537" w:rsidRDefault="00DE1537" w:rsidP="00343F3E">
                  <w:pPr>
                    <w:pStyle w:val="TableBodyText"/>
                  </w:pPr>
                  <w:r>
                    <w:sym w:font="Wingdings" w:char="F0FC"/>
                  </w:r>
                </w:p>
              </w:tc>
              <w:tc>
                <w:tcPr>
                  <w:tcW w:w="377" w:type="pct"/>
                </w:tcPr>
                <w:p w14:paraId="458EB9CA" w14:textId="77777777" w:rsidR="00DE1537" w:rsidRDefault="00DE1537" w:rsidP="00343F3E">
                  <w:pPr>
                    <w:pStyle w:val="TableBodyText"/>
                  </w:pPr>
                  <w:r>
                    <w:sym w:font="Wingdings" w:char="F0FC"/>
                  </w:r>
                </w:p>
              </w:tc>
              <w:tc>
                <w:tcPr>
                  <w:tcW w:w="377" w:type="pct"/>
                </w:tcPr>
                <w:p w14:paraId="0F7A453D" w14:textId="77777777" w:rsidR="00DE1537" w:rsidRDefault="00DE1537" w:rsidP="00343F3E">
                  <w:pPr>
                    <w:pStyle w:val="TableBodyText"/>
                  </w:pPr>
                  <w:r>
                    <w:sym w:font="Wingdings" w:char="F0FB"/>
                  </w:r>
                </w:p>
              </w:tc>
              <w:tc>
                <w:tcPr>
                  <w:tcW w:w="379" w:type="pct"/>
                </w:tcPr>
                <w:p w14:paraId="60BEFA3E" w14:textId="77777777" w:rsidR="00DE1537" w:rsidRDefault="00DE1537" w:rsidP="00343F3E">
                  <w:pPr>
                    <w:pStyle w:val="TableBodyText"/>
                    <w:ind w:right="28"/>
                  </w:pPr>
                  <w:r>
                    <w:sym w:font="Wingdings" w:char="F0FC"/>
                  </w:r>
                </w:p>
              </w:tc>
            </w:tr>
            <w:tr w:rsidR="00DE1537" w14:paraId="2DD311BF" w14:textId="77777777" w:rsidTr="00343F3E">
              <w:tc>
                <w:tcPr>
                  <w:tcW w:w="1985" w:type="pct"/>
                  <w:shd w:val="clear" w:color="auto" w:fill="auto"/>
                </w:tcPr>
                <w:p w14:paraId="38B9C029" w14:textId="77777777" w:rsidR="00DE1537" w:rsidRDefault="00DE1537" w:rsidP="00343F3E">
                  <w:pPr>
                    <w:pStyle w:val="TableBodyText"/>
                    <w:jc w:val="left"/>
                  </w:pPr>
                  <w:r>
                    <w:t>  Local</w:t>
                  </w:r>
                  <w:r>
                    <w:rPr>
                      <w:rStyle w:val="NoteLabel"/>
                    </w:rPr>
                    <w:t>b</w:t>
                  </w:r>
                </w:p>
              </w:tc>
              <w:tc>
                <w:tcPr>
                  <w:tcW w:w="376" w:type="pct"/>
                  <w:shd w:val="clear" w:color="auto" w:fill="auto"/>
                </w:tcPr>
                <w:p w14:paraId="490DBE6F" w14:textId="77777777" w:rsidR="00DE1537" w:rsidRDefault="00DE1537" w:rsidP="00343F3E">
                  <w:pPr>
                    <w:pStyle w:val="TableBodyText"/>
                  </w:pPr>
                  <w:r>
                    <w:sym w:font="Wingdings" w:char="F0FC"/>
                  </w:r>
                </w:p>
              </w:tc>
              <w:tc>
                <w:tcPr>
                  <w:tcW w:w="376" w:type="pct"/>
                </w:tcPr>
                <w:p w14:paraId="2F4F847D" w14:textId="77777777" w:rsidR="00DE1537" w:rsidRDefault="00DE1537" w:rsidP="00343F3E">
                  <w:pPr>
                    <w:pStyle w:val="TableBodyText"/>
                    <w:rPr>
                      <w:i/>
                      <w:lang w:eastAsia="en-US"/>
                    </w:rPr>
                  </w:pPr>
                  <w:r>
                    <w:sym w:font="Wingdings" w:char="F0FC"/>
                  </w:r>
                </w:p>
              </w:tc>
              <w:tc>
                <w:tcPr>
                  <w:tcW w:w="376" w:type="pct"/>
                </w:tcPr>
                <w:p w14:paraId="189A72EC" w14:textId="77777777" w:rsidR="00DE1537" w:rsidRPr="00F71493" w:rsidRDefault="00DE1537" w:rsidP="00343F3E">
                  <w:pPr>
                    <w:pStyle w:val="TableBodyText"/>
                  </w:pPr>
                  <w:r>
                    <w:sym w:font="Wingdings" w:char="F0FB"/>
                  </w:r>
                </w:p>
              </w:tc>
              <w:tc>
                <w:tcPr>
                  <w:tcW w:w="377" w:type="pct"/>
                </w:tcPr>
                <w:p w14:paraId="78379475" w14:textId="77777777" w:rsidR="00DE1537" w:rsidRDefault="00DE1537" w:rsidP="00343F3E">
                  <w:pPr>
                    <w:pStyle w:val="TableBodyText"/>
                    <w:rPr>
                      <w:i/>
                      <w:lang w:eastAsia="en-US"/>
                    </w:rPr>
                  </w:pPr>
                  <w:r>
                    <w:sym w:font="Wingdings" w:char="F0FC"/>
                  </w:r>
                </w:p>
              </w:tc>
              <w:tc>
                <w:tcPr>
                  <w:tcW w:w="377" w:type="pct"/>
                </w:tcPr>
                <w:p w14:paraId="07474CB6" w14:textId="77777777" w:rsidR="00DE1537" w:rsidRDefault="00DE1537" w:rsidP="00343F3E">
                  <w:pPr>
                    <w:pStyle w:val="TableBodyText"/>
                    <w:rPr>
                      <w:i/>
                      <w:lang w:eastAsia="en-US"/>
                    </w:rPr>
                  </w:pPr>
                  <w:r>
                    <w:sym w:font="Wingdings" w:char="F0FC"/>
                  </w:r>
                </w:p>
              </w:tc>
              <w:tc>
                <w:tcPr>
                  <w:tcW w:w="377" w:type="pct"/>
                </w:tcPr>
                <w:p w14:paraId="55568D80" w14:textId="77777777" w:rsidR="00DE1537" w:rsidRPr="001701DA" w:rsidRDefault="00DE1537" w:rsidP="00343F3E">
                  <w:pPr>
                    <w:pStyle w:val="TableBodyText"/>
                  </w:pPr>
                  <w:r w:rsidRPr="001701DA">
                    <w:sym w:font="Wingdings" w:char="F0FB"/>
                  </w:r>
                </w:p>
              </w:tc>
              <w:tc>
                <w:tcPr>
                  <w:tcW w:w="377" w:type="pct"/>
                </w:tcPr>
                <w:p w14:paraId="747F47DB" w14:textId="77777777" w:rsidR="00DE1537" w:rsidRPr="00A72DD8" w:rsidRDefault="00DE1537" w:rsidP="00343F3E">
                  <w:pPr>
                    <w:pStyle w:val="TableBodyText"/>
                    <w:rPr>
                      <w:b/>
                      <w:lang w:eastAsia="en-US"/>
                    </w:rPr>
                  </w:pPr>
                  <w:r>
                    <w:sym w:font="Wingdings" w:char="F0FB"/>
                  </w:r>
                </w:p>
              </w:tc>
              <w:tc>
                <w:tcPr>
                  <w:tcW w:w="379" w:type="pct"/>
                  <w:shd w:val="clear" w:color="auto" w:fill="auto"/>
                </w:tcPr>
                <w:p w14:paraId="51F48D06" w14:textId="77777777" w:rsidR="00DE1537" w:rsidRDefault="00DE1537" w:rsidP="00343F3E">
                  <w:pPr>
                    <w:pStyle w:val="TableBodyText"/>
                    <w:ind w:right="28"/>
                  </w:pPr>
                  <w:r w:rsidRPr="00A72DD8">
                    <w:rPr>
                      <w:b/>
                      <w:lang w:eastAsia="en-US"/>
                    </w:rPr>
                    <w:t>..</w:t>
                  </w:r>
                </w:p>
              </w:tc>
            </w:tr>
            <w:tr w:rsidR="00DE1537" w14:paraId="1CD242B9" w14:textId="77777777" w:rsidTr="00343F3E">
              <w:tc>
                <w:tcPr>
                  <w:tcW w:w="5000" w:type="pct"/>
                  <w:gridSpan w:val="9"/>
                  <w:shd w:val="clear" w:color="auto" w:fill="auto"/>
                </w:tcPr>
                <w:p w14:paraId="155C9BD0" w14:textId="77777777" w:rsidR="00DE1537" w:rsidRDefault="00DE1537" w:rsidP="00343F3E">
                  <w:pPr>
                    <w:pStyle w:val="TableBodyText"/>
                    <w:jc w:val="left"/>
                    <w:rPr>
                      <w:szCs w:val="22"/>
                      <w:lang w:eastAsia="en-US"/>
                    </w:rPr>
                  </w:pPr>
                  <w:r>
                    <w:rPr>
                      <w:b/>
                    </w:rPr>
                    <w:t>State/territory government reinsurance arrangements</w:t>
                  </w:r>
                </w:p>
              </w:tc>
            </w:tr>
            <w:tr w:rsidR="00DE1537" w14:paraId="6FD7A0A1" w14:textId="77777777" w:rsidTr="00343F3E">
              <w:tc>
                <w:tcPr>
                  <w:tcW w:w="1985" w:type="pct"/>
                  <w:shd w:val="clear" w:color="auto" w:fill="auto"/>
                </w:tcPr>
                <w:p w14:paraId="4956639C" w14:textId="77777777" w:rsidR="00DE1537" w:rsidRDefault="00DE1537" w:rsidP="00343F3E">
                  <w:pPr>
                    <w:pStyle w:val="TableBodyText"/>
                    <w:jc w:val="left"/>
                  </w:pPr>
                  <w:r>
                    <w:t>  Has reinsurance arrangements</w:t>
                  </w:r>
                </w:p>
              </w:tc>
              <w:tc>
                <w:tcPr>
                  <w:tcW w:w="376" w:type="pct"/>
                  <w:shd w:val="clear" w:color="auto" w:fill="auto"/>
                </w:tcPr>
                <w:p w14:paraId="12383E8D" w14:textId="77777777" w:rsidR="00DE1537" w:rsidRDefault="00DE1537" w:rsidP="00343F3E">
                  <w:pPr>
                    <w:pStyle w:val="TableBodyText"/>
                  </w:pPr>
                  <w:r>
                    <w:sym w:font="Wingdings" w:char="F0FC"/>
                  </w:r>
                </w:p>
              </w:tc>
              <w:tc>
                <w:tcPr>
                  <w:tcW w:w="376" w:type="pct"/>
                </w:tcPr>
                <w:p w14:paraId="12C469C3" w14:textId="77777777" w:rsidR="00DE1537" w:rsidRDefault="00DE1537" w:rsidP="00343F3E">
                  <w:pPr>
                    <w:pStyle w:val="TableBodyText"/>
                    <w:rPr>
                      <w:lang w:eastAsia="en-US"/>
                    </w:rPr>
                  </w:pPr>
                  <w:r>
                    <w:sym w:font="Wingdings" w:char="F0FC"/>
                  </w:r>
                </w:p>
              </w:tc>
              <w:tc>
                <w:tcPr>
                  <w:tcW w:w="376" w:type="pct"/>
                </w:tcPr>
                <w:p w14:paraId="141A1CB5" w14:textId="77777777" w:rsidR="00DE1537" w:rsidRDefault="00DE1537" w:rsidP="00343F3E">
                  <w:pPr>
                    <w:pStyle w:val="TableBodyText"/>
                    <w:rPr>
                      <w:lang w:eastAsia="en-US"/>
                    </w:rPr>
                  </w:pPr>
                  <w:r>
                    <w:sym w:font="Wingdings" w:char="F0FC"/>
                  </w:r>
                </w:p>
              </w:tc>
              <w:tc>
                <w:tcPr>
                  <w:tcW w:w="377" w:type="pct"/>
                </w:tcPr>
                <w:p w14:paraId="48CC0E71" w14:textId="77777777" w:rsidR="00DE1537" w:rsidRDefault="00DE1537" w:rsidP="00343F3E">
                  <w:pPr>
                    <w:pStyle w:val="TableBodyText"/>
                    <w:rPr>
                      <w:lang w:eastAsia="en-US"/>
                    </w:rPr>
                  </w:pPr>
                  <w:r>
                    <w:sym w:font="Wingdings" w:char="F0FC"/>
                  </w:r>
                </w:p>
              </w:tc>
              <w:tc>
                <w:tcPr>
                  <w:tcW w:w="377" w:type="pct"/>
                </w:tcPr>
                <w:p w14:paraId="5752D1DA" w14:textId="77777777" w:rsidR="00DE1537" w:rsidRDefault="00DE1537" w:rsidP="00343F3E">
                  <w:pPr>
                    <w:pStyle w:val="TableBodyText"/>
                    <w:rPr>
                      <w:lang w:eastAsia="en-US"/>
                    </w:rPr>
                  </w:pPr>
                  <w:r>
                    <w:sym w:font="Wingdings" w:char="F0FC"/>
                  </w:r>
                </w:p>
              </w:tc>
              <w:tc>
                <w:tcPr>
                  <w:tcW w:w="377" w:type="pct"/>
                </w:tcPr>
                <w:p w14:paraId="1F497901" w14:textId="77777777" w:rsidR="00DE1537" w:rsidRDefault="00DE1537" w:rsidP="00343F3E">
                  <w:pPr>
                    <w:pStyle w:val="TableBodyText"/>
                    <w:rPr>
                      <w:lang w:eastAsia="en-US"/>
                    </w:rPr>
                  </w:pPr>
                  <w:r>
                    <w:sym w:font="Wingdings" w:char="F0FB"/>
                  </w:r>
                </w:p>
              </w:tc>
              <w:tc>
                <w:tcPr>
                  <w:tcW w:w="377" w:type="pct"/>
                </w:tcPr>
                <w:p w14:paraId="60B3E8EA" w14:textId="77777777" w:rsidR="00DE1537" w:rsidRDefault="00DE1537" w:rsidP="00343F3E">
                  <w:pPr>
                    <w:pStyle w:val="TableBodyText"/>
                    <w:rPr>
                      <w:lang w:eastAsia="en-US"/>
                    </w:rPr>
                  </w:pPr>
                  <w:r>
                    <w:sym w:font="Wingdings" w:char="F0FB"/>
                  </w:r>
                </w:p>
              </w:tc>
              <w:tc>
                <w:tcPr>
                  <w:tcW w:w="379" w:type="pct"/>
                  <w:shd w:val="clear" w:color="auto" w:fill="auto"/>
                </w:tcPr>
                <w:p w14:paraId="70FB32C5" w14:textId="77777777" w:rsidR="00DE1537" w:rsidRDefault="00DE1537" w:rsidP="00343F3E">
                  <w:pPr>
                    <w:pStyle w:val="TableBodyText"/>
                    <w:ind w:right="28"/>
                  </w:pPr>
                  <w:r>
                    <w:sym w:font="Wingdings" w:char="F0FC"/>
                  </w:r>
                </w:p>
              </w:tc>
            </w:tr>
            <w:tr w:rsidR="00DE1537" w14:paraId="5C605194" w14:textId="77777777" w:rsidTr="00343F3E">
              <w:tc>
                <w:tcPr>
                  <w:tcW w:w="5000" w:type="pct"/>
                  <w:gridSpan w:val="9"/>
                  <w:shd w:val="clear" w:color="auto" w:fill="auto"/>
                </w:tcPr>
                <w:p w14:paraId="3E3A4470" w14:textId="77777777" w:rsidR="00DE1537" w:rsidRDefault="00DE1537" w:rsidP="00343F3E">
                  <w:pPr>
                    <w:pStyle w:val="TableBodyText"/>
                    <w:ind w:right="28"/>
                    <w:jc w:val="left"/>
                    <w:rPr>
                      <w:szCs w:val="22"/>
                      <w:lang w:eastAsia="en-US"/>
                    </w:rPr>
                  </w:pPr>
                  <w:r w:rsidRPr="00313022">
                    <w:rPr>
                      <w:b/>
                    </w:rPr>
                    <w:t>Adequate insurance arrangements</w:t>
                  </w:r>
                  <w:r>
                    <w:rPr>
                      <w:rStyle w:val="NoteLabel"/>
                    </w:rPr>
                    <w:t>c</w:t>
                  </w:r>
                </w:p>
              </w:tc>
            </w:tr>
            <w:tr w:rsidR="00DE1537" w14:paraId="4343A7BA" w14:textId="77777777" w:rsidTr="00343F3E">
              <w:tc>
                <w:tcPr>
                  <w:tcW w:w="1985" w:type="pct"/>
                  <w:shd w:val="clear" w:color="auto" w:fill="auto"/>
                </w:tcPr>
                <w:p w14:paraId="7626933F" w14:textId="77777777" w:rsidR="00DE1537" w:rsidRDefault="00DE1537" w:rsidP="00343F3E">
                  <w:pPr>
                    <w:pStyle w:val="TableBodyText"/>
                    <w:jc w:val="left"/>
                    <w:rPr>
                      <w:b/>
                    </w:rPr>
                  </w:pPr>
                  <w:r>
                    <w:t>  State roads</w:t>
                  </w:r>
                </w:p>
              </w:tc>
              <w:tc>
                <w:tcPr>
                  <w:tcW w:w="376" w:type="pct"/>
                  <w:shd w:val="clear" w:color="auto" w:fill="auto"/>
                </w:tcPr>
                <w:p w14:paraId="40EBDB16" w14:textId="77777777" w:rsidR="00DE1537" w:rsidRDefault="00DE1537" w:rsidP="00343F3E">
                  <w:pPr>
                    <w:pStyle w:val="TableBodyText"/>
                  </w:pPr>
                  <w:r>
                    <w:sym w:font="Wingdings" w:char="F0FB"/>
                  </w:r>
                </w:p>
              </w:tc>
              <w:tc>
                <w:tcPr>
                  <w:tcW w:w="376" w:type="pct"/>
                </w:tcPr>
                <w:p w14:paraId="3340B6EE" w14:textId="77777777" w:rsidR="00DE1537" w:rsidRDefault="00DE1537" w:rsidP="00343F3E">
                  <w:pPr>
                    <w:pStyle w:val="TableBodyText"/>
                    <w:rPr>
                      <w:lang w:eastAsia="en-US"/>
                    </w:rPr>
                  </w:pPr>
                  <w:r>
                    <w:sym w:font="Wingdings" w:char="F0FC"/>
                  </w:r>
                </w:p>
              </w:tc>
              <w:tc>
                <w:tcPr>
                  <w:tcW w:w="376" w:type="pct"/>
                </w:tcPr>
                <w:p w14:paraId="54B69D6E" w14:textId="77777777" w:rsidR="00DE1537" w:rsidRDefault="00DE1537" w:rsidP="00343F3E">
                  <w:pPr>
                    <w:pStyle w:val="TableBodyText"/>
                    <w:rPr>
                      <w:lang w:eastAsia="en-US"/>
                    </w:rPr>
                  </w:pPr>
                  <w:r>
                    <w:sym w:font="Wingdings" w:char="F0FB"/>
                  </w:r>
                </w:p>
              </w:tc>
              <w:tc>
                <w:tcPr>
                  <w:tcW w:w="377" w:type="pct"/>
                </w:tcPr>
                <w:p w14:paraId="7CC25E0C" w14:textId="77777777" w:rsidR="00DE1537" w:rsidRDefault="00DE1537" w:rsidP="00343F3E">
                  <w:pPr>
                    <w:pStyle w:val="TableBodyText"/>
                    <w:rPr>
                      <w:lang w:eastAsia="en-US"/>
                    </w:rPr>
                  </w:pPr>
                  <w:r>
                    <w:sym w:font="Wingdings" w:char="F0FB"/>
                  </w:r>
                </w:p>
              </w:tc>
              <w:tc>
                <w:tcPr>
                  <w:tcW w:w="377" w:type="pct"/>
                </w:tcPr>
                <w:p w14:paraId="479EF170" w14:textId="77777777" w:rsidR="00DE1537" w:rsidRDefault="00DE1537" w:rsidP="00343F3E">
                  <w:pPr>
                    <w:pStyle w:val="TableBodyText"/>
                    <w:rPr>
                      <w:lang w:eastAsia="en-US"/>
                    </w:rPr>
                  </w:pPr>
                  <w:r>
                    <w:sym w:font="Wingdings" w:char="F0FB"/>
                  </w:r>
                </w:p>
              </w:tc>
              <w:tc>
                <w:tcPr>
                  <w:tcW w:w="377" w:type="pct"/>
                </w:tcPr>
                <w:p w14:paraId="37A131ED" w14:textId="77777777" w:rsidR="00DE1537" w:rsidRDefault="00DE1537" w:rsidP="00343F3E">
                  <w:pPr>
                    <w:pStyle w:val="TableBodyText"/>
                    <w:rPr>
                      <w:lang w:eastAsia="en-US"/>
                    </w:rPr>
                  </w:pPr>
                  <w:r>
                    <w:sym w:font="Wingdings" w:char="F0FB"/>
                  </w:r>
                </w:p>
              </w:tc>
              <w:tc>
                <w:tcPr>
                  <w:tcW w:w="377" w:type="pct"/>
                </w:tcPr>
                <w:p w14:paraId="3E051B94" w14:textId="77777777" w:rsidR="00DE1537" w:rsidRDefault="00DE1537" w:rsidP="00343F3E">
                  <w:pPr>
                    <w:pStyle w:val="TableBodyText"/>
                    <w:rPr>
                      <w:lang w:eastAsia="en-US"/>
                    </w:rPr>
                  </w:pPr>
                  <w:r>
                    <w:sym w:font="Wingdings" w:char="F0FB"/>
                  </w:r>
                </w:p>
              </w:tc>
              <w:tc>
                <w:tcPr>
                  <w:tcW w:w="379" w:type="pct"/>
                  <w:shd w:val="clear" w:color="auto" w:fill="auto"/>
                </w:tcPr>
                <w:p w14:paraId="64FFC55F" w14:textId="77777777" w:rsidR="00DE1537" w:rsidRDefault="00DE1537" w:rsidP="00343F3E">
                  <w:pPr>
                    <w:pStyle w:val="TableBodyText"/>
                    <w:ind w:right="28"/>
                  </w:pPr>
                  <w:r>
                    <w:sym w:font="Wingdings" w:char="F0FC"/>
                  </w:r>
                </w:p>
              </w:tc>
            </w:tr>
            <w:tr w:rsidR="00DE1537" w14:paraId="294EF127" w14:textId="77777777" w:rsidTr="00343F3E">
              <w:tc>
                <w:tcPr>
                  <w:tcW w:w="1985" w:type="pct"/>
                  <w:shd w:val="clear" w:color="auto" w:fill="auto"/>
                </w:tcPr>
                <w:p w14:paraId="158658B9" w14:textId="77777777" w:rsidR="00DE1537" w:rsidRDefault="00DE1537" w:rsidP="00343F3E">
                  <w:pPr>
                    <w:pStyle w:val="TableBodyText"/>
                    <w:jc w:val="left"/>
                  </w:pPr>
                  <w:r>
                    <w:t>  Local roads</w:t>
                  </w:r>
                </w:p>
              </w:tc>
              <w:tc>
                <w:tcPr>
                  <w:tcW w:w="376" w:type="pct"/>
                  <w:shd w:val="clear" w:color="auto" w:fill="auto"/>
                </w:tcPr>
                <w:p w14:paraId="5E0675FD" w14:textId="77777777" w:rsidR="00DE1537" w:rsidRDefault="00DE1537" w:rsidP="00343F3E">
                  <w:pPr>
                    <w:pStyle w:val="TableBodyText"/>
                  </w:pPr>
                  <w:r>
                    <w:sym w:font="Wingdings" w:char="F0FB"/>
                  </w:r>
                </w:p>
              </w:tc>
              <w:tc>
                <w:tcPr>
                  <w:tcW w:w="376" w:type="pct"/>
                </w:tcPr>
                <w:p w14:paraId="38E9615F" w14:textId="77777777" w:rsidR="00DE1537" w:rsidRDefault="00DE1537" w:rsidP="00343F3E">
                  <w:pPr>
                    <w:pStyle w:val="TableBodyText"/>
                  </w:pPr>
                  <w:r>
                    <w:sym w:font="Wingdings" w:char="F0FB"/>
                  </w:r>
                </w:p>
              </w:tc>
              <w:tc>
                <w:tcPr>
                  <w:tcW w:w="376" w:type="pct"/>
                </w:tcPr>
                <w:p w14:paraId="6C495A04" w14:textId="77777777" w:rsidR="00DE1537" w:rsidRDefault="00DE1537" w:rsidP="00343F3E">
                  <w:pPr>
                    <w:pStyle w:val="TableBodyText"/>
                  </w:pPr>
                  <w:r>
                    <w:sym w:font="Wingdings" w:char="F0FB"/>
                  </w:r>
                </w:p>
              </w:tc>
              <w:tc>
                <w:tcPr>
                  <w:tcW w:w="377" w:type="pct"/>
                </w:tcPr>
                <w:p w14:paraId="550F49DB" w14:textId="77777777" w:rsidR="00DE1537" w:rsidRDefault="00DE1537" w:rsidP="00343F3E">
                  <w:pPr>
                    <w:pStyle w:val="TableBodyText"/>
                  </w:pPr>
                  <w:r>
                    <w:sym w:font="Wingdings" w:char="F0FB"/>
                  </w:r>
                </w:p>
              </w:tc>
              <w:tc>
                <w:tcPr>
                  <w:tcW w:w="377" w:type="pct"/>
                </w:tcPr>
                <w:p w14:paraId="469140E2" w14:textId="77777777" w:rsidR="00DE1537" w:rsidRDefault="00DE1537" w:rsidP="00343F3E">
                  <w:pPr>
                    <w:pStyle w:val="TableBodyText"/>
                  </w:pPr>
                  <w:r>
                    <w:sym w:font="Wingdings" w:char="F0FB"/>
                  </w:r>
                </w:p>
              </w:tc>
              <w:tc>
                <w:tcPr>
                  <w:tcW w:w="377" w:type="pct"/>
                </w:tcPr>
                <w:p w14:paraId="4D72EE46" w14:textId="77777777" w:rsidR="00DE1537" w:rsidRDefault="00DE1537" w:rsidP="00343F3E">
                  <w:pPr>
                    <w:pStyle w:val="TableBodyText"/>
                  </w:pPr>
                  <w:r>
                    <w:sym w:font="Wingdings" w:char="F0FB"/>
                  </w:r>
                </w:p>
              </w:tc>
              <w:tc>
                <w:tcPr>
                  <w:tcW w:w="377" w:type="pct"/>
                </w:tcPr>
                <w:p w14:paraId="4D2BDAE8" w14:textId="77777777" w:rsidR="00DE1537" w:rsidRDefault="00DE1537" w:rsidP="00343F3E">
                  <w:pPr>
                    <w:pStyle w:val="TableBodyText"/>
                  </w:pPr>
                  <w:r>
                    <w:sym w:font="Wingdings" w:char="F0FB"/>
                  </w:r>
                </w:p>
              </w:tc>
              <w:tc>
                <w:tcPr>
                  <w:tcW w:w="379" w:type="pct"/>
                  <w:shd w:val="clear" w:color="auto" w:fill="auto"/>
                </w:tcPr>
                <w:p w14:paraId="2679CA34" w14:textId="77777777" w:rsidR="00DE1537" w:rsidRDefault="00DE1537" w:rsidP="00343F3E">
                  <w:pPr>
                    <w:pStyle w:val="TableBodyText"/>
                    <w:ind w:right="28"/>
                  </w:pPr>
                  <w:r>
                    <w:sym w:font="Wingdings" w:char="F0FB"/>
                  </w:r>
                </w:p>
              </w:tc>
            </w:tr>
            <w:tr w:rsidR="00DE1537" w14:paraId="32BE66EA" w14:textId="77777777" w:rsidTr="00343F3E">
              <w:tc>
                <w:tcPr>
                  <w:tcW w:w="1985" w:type="pct"/>
                  <w:tcBorders>
                    <w:bottom w:val="single" w:sz="6" w:space="0" w:color="BFBFBF"/>
                  </w:tcBorders>
                  <w:shd w:val="clear" w:color="auto" w:fill="auto"/>
                </w:tcPr>
                <w:p w14:paraId="54862ADA" w14:textId="77777777" w:rsidR="00DE1537" w:rsidRDefault="00DE1537" w:rsidP="00343F3E">
                  <w:pPr>
                    <w:pStyle w:val="TableBodyText"/>
                    <w:jc w:val="left"/>
                  </w:pPr>
                  <w:r>
                    <w:t>  Other state assets</w:t>
                  </w:r>
                </w:p>
              </w:tc>
              <w:tc>
                <w:tcPr>
                  <w:tcW w:w="376" w:type="pct"/>
                  <w:tcBorders>
                    <w:bottom w:val="single" w:sz="6" w:space="0" w:color="BFBFBF"/>
                  </w:tcBorders>
                  <w:shd w:val="clear" w:color="auto" w:fill="auto"/>
                </w:tcPr>
                <w:p w14:paraId="3A26C430" w14:textId="77777777" w:rsidR="00DE1537" w:rsidRDefault="00DE1537" w:rsidP="00343F3E">
                  <w:pPr>
                    <w:pStyle w:val="TableBodyText"/>
                  </w:pPr>
                  <w:r>
                    <w:sym w:font="Wingdings" w:char="F0FC"/>
                  </w:r>
                </w:p>
              </w:tc>
              <w:tc>
                <w:tcPr>
                  <w:tcW w:w="376" w:type="pct"/>
                  <w:tcBorders>
                    <w:bottom w:val="single" w:sz="6" w:space="0" w:color="BFBFBF"/>
                  </w:tcBorders>
                </w:tcPr>
                <w:p w14:paraId="7C413ADA" w14:textId="77777777" w:rsidR="00DE1537" w:rsidRDefault="00DE1537" w:rsidP="00343F3E">
                  <w:pPr>
                    <w:pStyle w:val="TableBodyText"/>
                    <w:rPr>
                      <w:lang w:eastAsia="en-US"/>
                    </w:rPr>
                  </w:pPr>
                  <w:r>
                    <w:sym w:font="Wingdings" w:char="F0FC"/>
                  </w:r>
                </w:p>
              </w:tc>
              <w:tc>
                <w:tcPr>
                  <w:tcW w:w="376" w:type="pct"/>
                  <w:tcBorders>
                    <w:bottom w:val="single" w:sz="6" w:space="0" w:color="BFBFBF"/>
                  </w:tcBorders>
                </w:tcPr>
                <w:p w14:paraId="6D7BC018" w14:textId="77777777" w:rsidR="00DE1537" w:rsidRDefault="00DE1537" w:rsidP="00343F3E">
                  <w:pPr>
                    <w:pStyle w:val="TableBodyText"/>
                    <w:rPr>
                      <w:lang w:eastAsia="en-US"/>
                    </w:rPr>
                  </w:pPr>
                  <w:r>
                    <w:sym w:font="Wingdings" w:char="F0FC"/>
                  </w:r>
                </w:p>
              </w:tc>
              <w:tc>
                <w:tcPr>
                  <w:tcW w:w="377" w:type="pct"/>
                  <w:tcBorders>
                    <w:bottom w:val="single" w:sz="6" w:space="0" w:color="BFBFBF"/>
                  </w:tcBorders>
                </w:tcPr>
                <w:p w14:paraId="3F853F25" w14:textId="77777777" w:rsidR="00DE1537" w:rsidRDefault="00DE1537" w:rsidP="00343F3E">
                  <w:pPr>
                    <w:pStyle w:val="TableBodyText"/>
                    <w:rPr>
                      <w:lang w:eastAsia="en-US"/>
                    </w:rPr>
                  </w:pPr>
                  <w:r>
                    <w:sym w:font="Wingdings" w:char="F0FC"/>
                  </w:r>
                </w:p>
              </w:tc>
              <w:tc>
                <w:tcPr>
                  <w:tcW w:w="377" w:type="pct"/>
                  <w:tcBorders>
                    <w:bottom w:val="single" w:sz="6" w:space="0" w:color="BFBFBF"/>
                  </w:tcBorders>
                </w:tcPr>
                <w:p w14:paraId="75D453F7" w14:textId="77777777" w:rsidR="00DE1537" w:rsidRDefault="00DE1537" w:rsidP="00343F3E">
                  <w:pPr>
                    <w:pStyle w:val="TableBodyText"/>
                    <w:rPr>
                      <w:lang w:eastAsia="en-US"/>
                    </w:rPr>
                  </w:pPr>
                  <w:r>
                    <w:sym w:font="Wingdings" w:char="F0FC"/>
                  </w:r>
                </w:p>
              </w:tc>
              <w:tc>
                <w:tcPr>
                  <w:tcW w:w="377" w:type="pct"/>
                  <w:tcBorders>
                    <w:bottom w:val="single" w:sz="6" w:space="0" w:color="BFBFBF"/>
                  </w:tcBorders>
                </w:tcPr>
                <w:p w14:paraId="6DA62FA7" w14:textId="77777777" w:rsidR="00DE1537" w:rsidRDefault="00DE1537" w:rsidP="00343F3E">
                  <w:pPr>
                    <w:pStyle w:val="TableBodyText"/>
                    <w:rPr>
                      <w:lang w:eastAsia="en-US"/>
                    </w:rPr>
                  </w:pPr>
                  <w:r>
                    <w:sym w:font="Wingdings" w:char="F0FB"/>
                  </w:r>
                </w:p>
              </w:tc>
              <w:tc>
                <w:tcPr>
                  <w:tcW w:w="377" w:type="pct"/>
                  <w:tcBorders>
                    <w:bottom w:val="single" w:sz="6" w:space="0" w:color="BFBFBF"/>
                  </w:tcBorders>
                </w:tcPr>
                <w:p w14:paraId="1B7EFC5A" w14:textId="77777777" w:rsidR="00DE1537" w:rsidRDefault="00DE1537" w:rsidP="00343F3E">
                  <w:pPr>
                    <w:pStyle w:val="TableBodyText"/>
                    <w:rPr>
                      <w:lang w:eastAsia="en-US"/>
                    </w:rPr>
                  </w:pPr>
                  <w:r>
                    <w:sym w:font="Wingdings" w:char="F0FB"/>
                  </w:r>
                </w:p>
              </w:tc>
              <w:tc>
                <w:tcPr>
                  <w:tcW w:w="379" w:type="pct"/>
                  <w:tcBorders>
                    <w:bottom w:val="single" w:sz="6" w:space="0" w:color="BFBFBF"/>
                  </w:tcBorders>
                  <w:shd w:val="clear" w:color="auto" w:fill="auto"/>
                </w:tcPr>
                <w:p w14:paraId="71A3C4B6" w14:textId="77777777" w:rsidR="00DE1537" w:rsidRDefault="00DE1537" w:rsidP="00343F3E">
                  <w:pPr>
                    <w:pStyle w:val="TableBodyText"/>
                    <w:ind w:right="28"/>
                  </w:pPr>
                  <w:r>
                    <w:sym w:font="Wingdings" w:char="F0FC"/>
                  </w:r>
                </w:p>
              </w:tc>
            </w:tr>
          </w:tbl>
          <w:p w14:paraId="4D7EEEF5" w14:textId="77777777" w:rsidR="00DE1537" w:rsidRDefault="00DE1537" w:rsidP="00343F3E">
            <w:pPr>
              <w:pStyle w:val="Box"/>
            </w:pPr>
          </w:p>
        </w:tc>
      </w:tr>
      <w:tr w:rsidR="00DE1537" w14:paraId="1F934513" w14:textId="77777777" w:rsidTr="00343F3E">
        <w:trPr>
          <w:cantSplit/>
        </w:trPr>
        <w:tc>
          <w:tcPr>
            <w:tcW w:w="8771" w:type="dxa"/>
            <w:tcBorders>
              <w:top w:val="nil"/>
              <w:left w:val="nil"/>
              <w:bottom w:val="nil"/>
              <w:right w:val="nil"/>
            </w:tcBorders>
            <w:shd w:val="clear" w:color="auto" w:fill="auto"/>
          </w:tcPr>
          <w:p w14:paraId="76D68AAF" w14:textId="77777777" w:rsidR="00DE1537" w:rsidRDefault="00DE1537" w:rsidP="00343F3E">
            <w:pPr>
              <w:pStyle w:val="Note"/>
              <w:rPr>
                <w:i/>
              </w:rPr>
            </w:pPr>
            <w:proofErr w:type="gramStart"/>
            <w:r w:rsidRPr="008E77FE">
              <w:rPr>
                <w:rStyle w:val="NoteLabel"/>
              </w:rPr>
              <w:t>a</w:t>
            </w:r>
            <w:proofErr w:type="gramEnd"/>
            <w:r>
              <w:t xml:space="preserve"> Includes state and local government assets. Local government data are incomplete. </w:t>
            </w:r>
            <w:r>
              <w:br/>
            </w:r>
            <w:proofErr w:type="gramStart"/>
            <w:r>
              <w:rPr>
                <w:rStyle w:val="NoteLabel"/>
              </w:rPr>
              <w:t>b</w:t>
            </w:r>
            <w:proofErr w:type="gramEnd"/>
            <w:r>
              <w:t xml:space="preserve"> In some states, not all local governments are covered by the mutual pool arrangement. These local governments generally have commercial insurance. </w:t>
            </w:r>
            <w:proofErr w:type="gramStart"/>
            <w:r>
              <w:rPr>
                <w:rStyle w:val="NoteLabel"/>
              </w:rPr>
              <w:t>c</w:t>
            </w:r>
            <w:proofErr w:type="gramEnd"/>
            <w:r>
              <w:t xml:space="preserve"> As determined by the Department of Finance Review of government insurance arrangements.</w:t>
            </w:r>
            <w:r w:rsidRPr="00A72DD8">
              <w:t xml:space="preserve"> ..</w:t>
            </w:r>
            <w:r>
              <w:t xml:space="preserve"> Not applicable.</w:t>
            </w:r>
          </w:p>
        </w:tc>
      </w:tr>
      <w:tr w:rsidR="00DE1537" w14:paraId="426B3240" w14:textId="77777777" w:rsidTr="00343F3E">
        <w:trPr>
          <w:cantSplit/>
        </w:trPr>
        <w:tc>
          <w:tcPr>
            <w:tcW w:w="8771" w:type="dxa"/>
            <w:tcBorders>
              <w:top w:val="nil"/>
              <w:left w:val="nil"/>
              <w:bottom w:val="nil"/>
              <w:right w:val="nil"/>
            </w:tcBorders>
            <w:shd w:val="clear" w:color="auto" w:fill="auto"/>
          </w:tcPr>
          <w:p w14:paraId="6FCDBA26" w14:textId="2FED6821" w:rsidR="00DE1537" w:rsidRPr="004C5E04" w:rsidRDefault="00DE1537" w:rsidP="00343F3E">
            <w:pPr>
              <w:pStyle w:val="Source"/>
              <w:rPr>
                <w:i/>
              </w:rPr>
            </w:pPr>
            <w:r w:rsidRPr="004C5E04">
              <w:rPr>
                <w:i/>
              </w:rPr>
              <w:t>Sources</w:t>
            </w:r>
            <w:r w:rsidRPr="004C5E04">
              <w:t xml:space="preserve">: Department of Finance and Deregulation </w:t>
            </w:r>
            <w:r w:rsidRPr="005D171C">
              <w:rPr>
                <w:rFonts w:cs="Arial"/>
              </w:rPr>
              <w:t>(2012)</w:t>
            </w:r>
            <w:r>
              <w:t xml:space="preserve">; </w:t>
            </w:r>
            <w:r w:rsidRPr="004C5E04">
              <w:t xml:space="preserve">KPMG Actuarial </w:t>
            </w:r>
            <w:r w:rsidRPr="005D171C">
              <w:rPr>
                <w:rFonts w:cs="Arial"/>
              </w:rPr>
              <w:t>(2012)</w:t>
            </w:r>
            <w:r w:rsidRPr="004C5E04">
              <w:t>.</w:t>
            </w:r>
          </w:p>
        </w:tc>
      </w:tr>
      <w:tr w:rsidR="00DE1537" w14:paraId="5D90645B" w14:textId="77777777" w:rsidTr="00343F3E">
        <w:trPr>
          <w:cantSplit/>
        </w:trPr>
        <w:tc>
          <w:tcPr>
            <w:tcW w:w="8771" w:type="dxa"/>
            <w:tcBorders>
              <w:top w:val="nil"/>
              <w:left w:val="nil"/>
              <w:bottom w:val="single" w:sz="4" w:space="0" w:color="78A22F"/>
              <w:right w:val="nil"/>
            </w:tcBorders>
            <w:shd w:val="clear" w:color="auto" w:fill="auto"/>
          </w:tcPr>
          <w:p w14:paraId="2573910D" w14:textId="77777777" w:rsidR="00DE1537" w:rsidRDefault="00DE1537" w:rsidP="00343F3E">
            <w:pPr>
              <w:pStyle w:val="Box"/>
              <w:spacing w:before="0" w:line="120" w:lineRule="exact"/>
            </w:pPr>
          </w:p>
        </w:tc>
      </w:tr>
      <w:tr w:rsidR="00DE1537" w:rsidRPr="000863A5" w14:paraId="109C3FE2" w14:textId="77777777" w:rsidTr="00343F3E">
        <w:tc>
          <w:tcPr>
            <w:tcW w:w="8771" w:type="dxa"/>
            <w:tcBorders>
              <w:top w:val="single" w:sz="4" w:space="0" w:color="78A22F"/>
              <w:left w:val="nil"/>
              <w:bottom w:val="nil"/>
              <w:right w:val="nil"/>
            </w:tcBorders>
          </w:tcPr>
          <w:p w14:paraId="0766DF96" w14:textId="77777777" w:rsidR="00DE1537" w:rsidRPr="00626D32" w:rsidRDefault="00DE1537" w:rsidP="00343F3E">
            <w:pPr>
              <w:pStyle w:val="BoxSpaceBelow"/>
            </w:pPr>
          </w:p>
        </w:tc>
      </w:tr>
    </w:tbl>
    <w:p w14:paraId="3C3648CC" w14:textId="77777777" w:rsidR="00DE1537" w:rsidRDefault="00DE1537" w:rsidP="00343F3E">
      <w:pPr>
        <w:pStyle w:val="BodyText"/>
      </w:pPr>
      <w:r w:rsidRPr="009314E4">
        <w:t xml:space="preserve">Some local governments insure through a mutual pool arrangement, while others use commercial insurance arrangements. For example, in Western Australia, local governments obtain insurance through Local Government Insurance Services. </w:t>
      </w:r>
      <w:r w:rsidRPr="006A63BC">
        <w:t>Local governments do not insure their roads (table </w:t>
      </w:r>
      <w:r>
        <w:t>2.2</w:t>
      </w:r>
      <w:r w:rsidRPr="009314E4">
        <w:t>). However</w:t>
      </w:r>
      <w:r>
        <w:t>, some local governments in Queensland, Western Australia and South Australia insure select bridges.</w:t>
      </w:r>
    </w:p>
    <w:p w14:paraId="09937B9A" w14:textId="3DAEC646" w:rsidR="00DE1537" w:rsidRDefault="00DE1537" w:rsidP="00343F3E">
      <w:pPr>
        <w:pStyle w:val="Heading2"/>
      </w:pPr>
      <w:bookmarkStart w:id="30" w:name="OLE_LINK10"/>
      <w:bookmarkStart w:id="31" w:name="_Toc406424318"/>
      <w:r>
        <w:t>2.</w:t>
      </w:r>
      <w:r>
        <w:rPr>
          <w:noProof/>
        </w:rPr>
        <w:t>5</w:t>
      </w:r>
      <w:bookmarkEnd w:id="27"/>
      <w:bookmarkEnd w:id="30"/>
      <w:r>
        <w:tab/>
        <w:t>Government funding</w:t>
      </w:r>
      <w:bookmarkEnd w:id="31"/>
    </w:p>
    <w:p w14:paraId="79F96CFA" w14:textId="77777777" w:rsidR="00DE1537" w:rsidRPr="001861C2" w:rsidRDefault="00DE1537" w:rsidP="00343F3E">
      <w:pPr>
        <w:pStyle w:val="BodyText"/>
      </w:pPr>
      <w:r>
        <w:t>This section describes government expenditure on natural disasters. Government funding is split into pre</w:t>
      </w:r>
      <w:r>
        <w:noBreakHyphen/>
        <w:t>disaster and post</w:t>
      </w:r>
      <w:r>
        <w:noBreakHyphen/>
        <w:t>disaster event expenditure. Pre</w:t>
      </w:r>
      <w:r>
        <w:noBreakHyphen/>
        <w:t>disaster expenditure includes funding for natural disaster mitigation activities to improve resilience. Post</w:t>
      </w:r>
      <w:r>
        <w:noBreakHyphen/>
        <w:t>disaster expenditure includes relief and recovery activities. It is important to note that there may be some overlap between the expenditure split, for example, reconstructing essential public assets after a natural disaster to newer engineering standards may inherently include some resilience measures. Table 2.3 presents an overview of government funding for natural disasters.</w:t>
      </w:r>
    </w:p>
    <w:p w14:paraId="70D6AF33" w14:textId="77777777" w:rsidR="00DE1537" w:rsidRDefault="00DE1537" w:rsidP="00343F3E">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3FC5052" w14:textId="77777777" w:rsidTr="00343F3E">
        <w:tc>
          <w:tcPr>
            <w:tcW w:w="8771" w:type="dxa"/>
            <w:tcBorders>
              <w:top w:val="single" w:sz="4" w:space="0" w:color="78A22F"/>
              <w:left w:val="nil"/>
              <w:bottom w:val="nil"/>
              <w:right w:val="nil"/>
            </w:tcBorders>
            <w:shd w:val="clear" w:color="auto" w:fill="auto"/>
          </w:tcPr>
          <w:p w14:paraId="770C2572" w14:textId="4F4FD657" w:rsidR="00DE1537" w:rsidRDefault="00DE1537" w:rsidP="00343F3E">
            <w:pPr>
              <w:pStyle w:val="TableTitle"/>
            </w:pPr>
            <w:r>
              <w:rPr>
                <w:b w:val="0"/>
              </w:rPr>
              <w:t xml:space="preserve">Table </w:t>
            </w:r>
            <w:bookmarkStart w:id="32" w:name="OLE_LINK29"/>
            <w:r>
              <w:rPr>
                <w:b w:val="0"/>
              </w:rPr>
              <w:t>2.</w:t>
            </w:r>
            <w:r>
              <w:rPr>
                <w:b w:val="0"/>
                <w:noProof/>
              </w:rPr>
              <w:t>3</w:t>
            </w:r>
            <w:bookmarkEnd w:id="32"/>
            <w:r>
              <w:tab/>
              <w:t>Overview of main natural disaster government funding activities</w:t>
            </w:r>
          </w:p>
          <w:p w14:paraId="2805723D" w14:textId="77777777" w:rsidR="00DE1537" w:rsidRPr="00EA7A7C" w:rsidRDefault="00DE1537" w:rsidP="00343F3E">
            <w:pPr>
              <w:pStyle w:val="Subtitle"/>
            </w:pPr>
            <w:r>
              <w:t>2009</w:t>
            </w:r>
            <w:r>
              <w:noBreakHyphen/>
              <w:t>10 to 2012</w:t>
            </w:r>
            <w:r>
              <w:noBreakHyphen/>
              <w:t>13</w:t>
            </w:r>
            <w:r w:rsidRPr="00153A9D">
              <w:rPr>
                <w:rStyle w:val="NoteLabel"/>
              </w:rPr>
              <w:t>a</w:t>
            </w:r>
          </w:p>
        </w:tc>
      </w:tr>
      <w:tr w:rsidR="00DE1537" w14:paraId="0D9875C4"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00"/>
              <w:gridCol w:w="2948"/>
              <w:gridCol w:w="4539"/>
            </w:tblGrid>
            <w:tr w:rsidR="00DE1537" w14:paraId="30B35E19" w14:textId="77777777" w:rsidTr="00343F3E">
              <w:tc>
                <w:tcPr>
                  <w:tcW w:w="589" w:type="pct"/>
                  <w:tcBorders>
                    <w:top w:val="single" w:sz="4" w:space="0" w:color="BFBFBF"/>
                    <w:bottom w:val="single" w:sz="4" w:space="0" w:color="BFBFBF"/>
                  </w:tcBorders>
                  <w:shd w:val="clear" w:color="auto" w:fill="auto"/>
                  <w:tcMar>
                    <w:top w:w="28" w:type="dxa"/>
                  </w:tcMar>
                  <w:vAlign w:val="center"/>
                </w:tcPr>
                <w:p w14:paraId="31A2428A" w14:textId="77777777" w:rsidR="00DE1537" w:rsidRDefault="00DE1537" w:rsidP="00343F3E">
                  <w:pPr>
                    <w:pStyle w:val="TableColumnHeading"/>
                    <w:jc w:val="left"/>
                  </w:pPr>
                  <w:r>
                    <w:t>Activity</w:t>
                  </w:r>
                </w:p>
              </w:tc>
              <w:tc>
                <w:tcPr>
                  <w:tcW w:w="1737" w:type="pct"/>
                  <w:tcBorders>
                    <w:top w:val="single" w:sz="4" w:space="0" w:color="BFBFBF"/>
                    <w:bottom w:val="single" w:sz="4" w:space="0" w:color="BFBFBF"/>
                  </w:tcBorders>
                  <w:shd w:val="clear" w:color="auto" w:fill="auto"/>
                  <w:tcMar>
                    <w:top w:w="28" w:type="dxa"/>
                  </w:tcMar>
                  <w:vAlign w:val="center"/>
                </w:tcPr>
                <w:p w14:paraId="38DF7F6D" w14:textId="77777777" w:rsidR="00DE1537" w:rsidRDefault="00DE1537" w:rsidP="00343F3E">
                  <w:pPr>
                    <w:pStyle w:val="TableColumnHeading"/>
                    <w:jc w:val="left"/>
                  </w:pPr>
                  <w:r>
                    <w:t>Australian Government</w:t>
                  </w:r>
                </w:p>
              </w:tc>
              <w:tc>
                <w:tcPr>
                  <w:tcW w:w="2675" w:type="pct"/>
                  <w:tcBorders>
                    <w:top w:val="single" w:sz="4" w:space="0" w:color="BFBFBF"/>
                    <w:bottom w:val="single" w:sz="4" w:space="0" w:color="BFBFBF"/>
                  </w:tcBorders>
                  <w:shd w:val="clear" w:color="auto" w:fill="auto"/>
                  <w:tcMar>
                    <w:top w:w="28" w:type="dxa"/>
                  </w:tcMar>
                  <w:vAlign w:val="center"/>
                </w:tcPr>
                <w:p w14:paraId="71284386" w14:textId="77777777" w:rsidR="00DE1537" w:rsidRDefault="00DE1537" w:rsidP="00343F3E">
                  <w:pPr>
                    <w:pStyle w:val="TableColumnHeading"/>
                    <w:ind w:right="28"/>
                    <w:jc w:val="left"/>
                  </w:pPr>
                  <w:r>
                    <w:t>State and territory governments</w:t>
                  </w:r>
                </w:p>
              </w:tc>
            </w:tr>
            <w:tr w:rsidR="00DE1537" w14:paraId="2AE657E1" w14:textId="77777777" w:rsidTr="00343F3E">
              <w:tc>
                <w:tcPr>
                  <w:tcW w:w="589" w:type="pct"/>
                  <w:tcBorders>
                    <w:top w:val="single" w:sz="4" w:space="0" w:color="BFBFBF"/>
                  </w:tcBorders>
                </w:tcPr>
                <w:p w14:paraId="6C2DA6A4" w14:textId="77777777" w:rsidR="00DE1537" w:rsidRDefault="00DE1537" w:rsidP="00343F3E">
                  <w:pPr>
                    <w:pStyle w:val="TableBodyText"/>
                    <w:jc w:val="left"/>
                  </w:pPr>
                  <w:r>
                    <w:t>Mitigation</w:t>
                  </w:r>
                </w:p>
              </w:tc>
              <w:tc>
                <w:tcPr>
                  <w:tcW w:w="1737" w:type="pct"/>
                  <w:tcBorders>
                    <w:top w:val="single" w:sz="4" w:space="0" w:color="BFBFBF"/>
                  </w:tcBorders>
                </w:tcPr>
                <w:p w14:paraId="2E5EDF4F" w14:textId="77777777" w:rsidR="00DE1537" w:rsidRDefault="00DE1537" w:rsidP="00343F3E">
                  <w:pPr>
                    <w:pStyle w:val="TableBodyText"/>
                    <w:jc w:val="left"/>
                  </w:pPr>
                  <w:r>
                    <w:t>$186 million — Various programs such as the NPANDR and NEMP</w:t>
                  </w:r>
                </w:p>
              </w:tc>
              <w:tc>
                <w:tcPr>
                  <w:tcW w:w="2675" w:type="pct"/>
                  <w:tcBorders>
                    <w:top w:val="single" w:sz="4" w:space="0" w:color="BFBFBF"/>
                  </w:tcBorders>
                </w:tcPr>
                <w:p w14:paraId="08A9AB99" w14:textId="77777777" w:rsidR="00DE1537" w:rsidRDefault="00DE1537" w:rsidP="00343F3E">
                  <w:pPr>
                    <w:pStyle w:val="TableBodyText"/>
                    <w:ind w:right="28"/>
                    <w:jc w:val="left"/>
                  </w:pPr>
                  <w:r>
                    <w:t>$110 million at least — in conjunction with the NPANDR</w:t>
                  </w:r>
                </w:p>
                <w:p w14:paraId="7028D483" w14:textId="77777777" w:rsidR="00DE1537" w:rsidRDefault="00DE1537" w:rsidP="00343F3E">
                  <w:pPr>
                    <w:pStyle w:val="TableBodyText"/>
                    <w:ind w:right="28"/>
                    <w:jc w:val="left"/>
                  </w:pPr>
                  <w:r>
                    <w:t>Does not include other state</w:t>
                  </w:r>
                  <w:r>
                    <w:noBreakHyphen/>
                    <w:t>run programs</w:t>
                  </w:r>
                </w:p>
                <w:p w14:paraId="696D8DD0" w14:textId="77777777" w:rsidR="00DE1537" w:rsidRDefault="00DE1537" w:rsidP="00343F3E">
                  <w:pPr>
                    <w:pStyle w:val="TableBodyText"/>
                    <w:ind w:right="28"/>
                    <w:jc w:val="left"/>
                  </w:pPr>
                  <w:r>
                    <w:t>A significant amount of mitigation is embedded in general infrastructure and other government spending</w:t>
                  </w:r>
                </w:p>
              </w:tc>
            </w:tr>
            <w:tr w:rsidR="00DE1537" w14:paraId="632A3A8C" w14:textId="77777777" w:rsidTr="00343F3E">
              <w:tc>
                <w:tcPr>
                  <w:tcW w:w="589" w:type="pct"/>
                  <w:shd w:val="clear" w:color="auto" w:fill="F2F2F2"/>
                </w:tcPr>
                <w:p w14:paraId="61C61B1E" w14:textId="77777777" w:rsidR="00DE1537" w:rsidRDefault="00DE1537" w:rsidP="00343F3E">
                  <w:pPr>
                    <w:pStyle w:val="TableBodyText"/>
                    <w:jc w:val="left"/>
                  </w:pPr>
                  <w:r>
                    <w:t>Insurance</w:t>
                  </w:r>
                </w:p>
              </w:tc>
              <w:tc>
                <w:tcPr>
                  <w:tcW w:w="1737" w:type="pct"/>
                  <w:shd w:val="clear" w:color="auto" w:fill="F2F2F2"/>
                </w:tcPr>
                <w:p w14:paraId="080B3993" w14:textId="77777777" w:rsidR="00DE1537" w:rsidRDefault="00DE1537" w:rsidP="00343F3E">
                  <w:pPr>
                    <w:pStyle w:val="TableBodyText"/>
                    <w:jc w:val="left"/>
                  </w:pPr>
                  <w:r>
                    <w:t>Self</w:t>
                  </w:r>
                  <w:r>
                    <w:noBreakHyphen/>
                    <w:t>insurance — Captive insurer</w:t>
                  </w:r>
                </w:p>
              </w:tc>
              <w:tc>
                <w:tcPr>
                  <w:tcW w:w="2675" w:type="pct"/>
                  <w:shd w:val="clear" w:color="auto" w:fill="F2F2F2"/>
                </w:tcPr>
                <w:p w14:paraId="31AC708E" w14:textId="77777777" w:rsidR="00DE1537" w:rsidRDefault="00DE1537" w:rsidP="00343F3E">
                  <w:pPr>
                    <w:pStyle w:val="TableBodyText"/>
                    <w:ind w:right="28"/>
                    <w:jc w:val="left"/>
                  </w:pPr>
                  <w:r>
                    <w:t>Combination of self</w:t>
                  </w:r>
                  <w:r>
                    <w:noBreakHyphen/>
                    <w:t>insurance, commercial insurance and non</w:t>
                  </w:r>
                  <w:r>
                    <w:noBreakHyphen/>
                    <w:t>insurance</w:t>
                  </w:r>
                </w:p>
                <w:p w14:paraId="3F66BB3F" w14:textId="77777777" w:rsidR="00DE1537" w:rsidRDefault="00DE1537" w:rsidP="00343F3E">
                  <w:pPr>
                    <w:pStyle w:val="TableBodyText"/>
                    <w:ind w:right="28"/>
                    <w:jc w:val="left"/>
                  </w:pPr>
                  <w:r>
                    <w:t>Australian Government (through the NDRRA) can be considered as insurer of last resort for certain essential public assets</w:t>
                  </w:r>
                </w:p>
              </w:tc>
            </w:tr>
            <w:tr w:rsidR="00DE1537" w14:paraId="40A8DE2C" w14:textId="77777777" w:rsidTr="00343F3E">
              <w:tc>
                <w:tcPr>
                  <w:tcW w:w="589" w:type="pct"/>
                  <w:shd w:val="clear" w:color="auto" w:fill="auto"/>
                </w:tcPr>
                <w:p w14:paraId="661504D1" w14:textId="77777777" w:rsidR="00DE1537" w:rsidRDefault="00DE1537" w:rsidP="00343F3E">
                  <w:pPr>
                    <w:pStyle w:val="TableBodyText"/>
                    <w:jc w:val="left"/>
                  </w:pPr>
                  <w:r>
                    <w:t>Response</w:t>
                  </w:r>
                </w:p>
              </w:tc>
              <w:tc>
                <w:tcPr>
                  <w:tcW w:w="1737" w:type="pct"/>
                  <w:shd w:val="clear" w:color="auto" w:fill="auto"/>
                </w:tcPr>
                <w:p w14:paraId="4F66BEB6" w14:textId="77777777" w:rsidR="00DE1537" w:rsidRDefault="00DE1537" w:rsidP="00343F3E">
                  <w:pPr>
                    <w:pStyle w:val="TableBodyText"/>
                    <w:jc w:val="left"/>
                  </w:pPr>
                  <w:r>
                    <w:t>$55 million — Grants/contributions (2012</w:t>
                  </w:r>
                  <w:r>
                    <w:noBreakHyphen/>
                    <w:t>13)</w:t>
                  </w:r>
                </w:p>
                <w:p w14:paraId="33AF1E77" w14:textId="77777777" w:rsidR="00DE1537" w:rsidRDefault="00DE1537" w:rsidP="00343F3E">
                  <w:pPr>
                    <w:pStyle w:val="TableBodyText"/>
                    <w:jc w:val="left"/>
                  </w:pPr>
                  <w:r>
                    <w:t>$6.5 million — 24/7 Crisis centre (2013</w:t>
                  </w:r>
                  <w:r>
                    <w:noBreakHyphen/>
                    <w:t>14)</w:t>
                  </w:r>
                </w:p>
              </w:tc>
              <w:tc>
                <w:tcPr>
                  <w:tcW w:w="2675" w:type="pct"/>
                  <w:shd w:val="clear" w:color="auto" w:fill="auto"/>
                </w:tcPr>
                <w:p w14:paraId="6030869B" w14:textId="77777777" w:rsidR="00DE1537" w:rsidRDefault="00DE1537" w:rsidP="00343F3E">
                  <w:pPr>
                    <w:pStyle w:val="TableBodyText"/>
                    <w:ind w:right="28"/>
                    <w:jc w:val="left"/>
                  </w:pPr>
                  <w:r>
                    <w:t>$2.9 billion — Grants for SES, ambulance and fire services (2012</w:t>
                  </w:r>
                  <w:r>
                    <w:noBreakHyphen/>
                    <w:t>13)</w:t>
                  </w:r>
                  <w:r>
                    <w:rPr>
                      <w:rStyle w:val="NoteLabel"/>
                    </w:rPr>
                    <w:t>b</w:t>
                  </w:r>
                </w:p>
              </w:tc>
            </w:tr>
            <w:tr w:rsidR="00DE1537" w14:paraId="09655932" w14:textId="77777777" w:rsidTr="00343F3E">
              <w:tc>
                <w:tcPr>
                  <w:tcW w:w="589" w:type="pct"/>
                  <w:tcBorders>
                    <w:bottom w:val="single" w:sz="6" w:space="0" w:color="C8C8C8"/>
                  </w:tcBorders>
                  <w:shd w:val="clear" w:color="auto" w:fill="F2F2F2"/>
                </w:tcPr>
                <w:p w14:paraId="29600D1C" w14:textId="77777777" w:rsidR="00DE1537" w:rsidRDefault="00DE1537" w:rsidP="00343F3E">
                  <w:pPr>
                    <w:pStyle w:val="TableBodyText"/>
                    <w:jc w:val="left"/>
                  </w:pPr>
                  <w:r>
                    <w:t>Relief and recovery</w:t>
                  </w:r>
                </w:p>
              </w:tc>
              <w:tc>
                <w:tcPr>
                  <w:tcW w:w="1737" w:type="pct"/>
                  <w:tcBorders>
                    <w:bottom w:val="single" w:sz="6" w:space="0" w:color="C8C8C8"/>
                  </w:tcBorders>
                  <w:shd w:val="clear" w:color="auto" w:fill="F2F2F2"/>
                </w:tcPr>
                <w:p w14:paraId="64E3BDD1" w14:textId="77777777" w:rsidR="00DE1537" w:rsidRDefault="00DE1537" w:rsidP="00343F3E">
                  <w:pPr>
                    <w:pStyle w:val="TableBodyText"/>
                    <w:jc w:val="left"/>
                  </w:pPr>
                  <w:r>
                    <w:t>$5.9 billion — NDRRA</w:t>
                  </w:r>
                </w:p>
                <w:p w14:paraId="0FF5E22E" w14:textId="77777777" w:rsidR="00DE1537" w:rsidRDefault="00DE1537" w:rsidP="00343F3E">
                  <w:pPr>
                    <w:pStyle w:val="TableBodyText"/>
                    <w:jc w:val="left"/>
                  </w:pPr>
                  <w:r>
                    <w:t>$1.1 billion — AGDRP</w:t>
                  </w:r>
                </w:p>
              </w:tc>
              <w:tc>
                <w:tcPr>
                  <w:tcW w:w="2675" w:type="pct"/>
                  <w:tcBorders>
                    <w:bottom w:val="single" w:sz="6" w:space="0" w:color="C8C8C8"/>
                  </w:tcBorders>
                  <w:shd w:val="clear" w:color="auto" w:fill="F2F2F2"/>
                </w:tcPr>
                <w:p w14:paraId="66F2BDB9" w14:textId="77777777" w:rsidR="00DE1537" w:rsidRDefault="00DE1537" w:rsidP="00343F3E">
                  <w:pPr>
                    <w:pStyle w:val="TableBodyText"/>
                    <w:ind w:right="28"/>
                    <w:jc w:val="left"/>
                  </w:pPr>
                  <w:r>
                    <w:t>$</w:t>
                  </w:r>
                  <w:r w:rsidRPr="00A65F8A">
                    <w:t>4.0</w:t>
                  </w:r>
                  <w:r>
                    <w:t> billion — NDRRA eligible expenditure (net of reimbursements)</w:t>
                  </w:r>
                </w:p>
              </w:tc>
            </w:tr>
          </w:tbl>
          <w:p w14:paraId="101B97BA" w14:textId="77777777" w:rsidR="00DE1537" w:rsidRDefault="00DE1537" w:rsidP="00343F3E">
            <w:pPr>
              <w:pStyle w:val="Box"/>
            </w:pPr>
          </w:p>
        </w:tc>
      </w:tr>
      <w:tr w:rsidR="00DE1537" w14:paraId="410A6B09" w14:textId="77777777" w:rsidTr="00343F3E">
        <w:trPr>
          <w:cantSplit/>
        </w:trPr>
        <w:tc>
          <w:tcPr>
            <w:tcW w:w="8771" w:type="dxa"/>
            <w:tcBorders>
              <w:top w:val="nil"/>
              <w:left w:val="nil"/>
              <w:bottom w:val="nil"/>
              <w:right w:val="nil"/>
            </w:tcBorders>
            <w:shd w:val="clear" w:color="auto" w:fill="auto"/>
          </w:tcPr>
          <w:p w14:paraId="2CEAA6B6" w14:textId="77777777" w:rsidR="00DE1537" w:rsidRDefault="00DE1537" w:rsidP="00343F3E">
            <w:pPr>
              <w:pStyle w:val="Note"/>
            </w:pPr>
            <w:proofErr w:type="gramStart"/>
            <w:r w:rsidRPr="007B790D">
              <w:rPr>
                <w:rStyle w:val="NoteLabel"/>
              </w:rPr>
              <w:t>a</w:t>
            </w:r>
            <w:proofErr w:type="gramEnd"/>
            <w:r>
              <w:t xml:space="preserve"> Unless otherwise stated. </w:t>
            </w:r>
            <w:proofErr w:type="gramStart"/>
            <w:r w:rsidRPr="00153A9D">
              <w:rPr>
                <w:rStyle w:val="NoteLabel"/>
              </w:rPr>
              <w:t>b</w:t>
            </w:r>
            <w:proofErr w:type="gramEnd"/>
            <w:r>
              <w:t xml:space="preserve"> Response expenditure is indicative. It is calculated as the proportion of total revenue sources for SES, ambulance and fire services provided by state government grants.</w:t>
            </w:r>
          </w:p>
        </w:tc>
      </w:tr>
      <w:tr w:rsidR="00DE1537" w14:paraId="2043A181" w14:textId="77777777" w:rsidTr="00343F3E">
        <w:trPr>
          <w:cantSplit/>
        </w:trPr>
        <w:tc>
          <w:tcPr>
            <w:tcW w:w="8771" w:type="dxa"/>
            <w:tcBorders>
              <w:top w:val="nil"/>
              <w:left w:val="nil"/>
              <w:bottom w:val="nil"/>
              <w:right w:val="nil"/>
            </w:tcBorders>
            <w:shd w:val="clear" w:color="auto" w:fill="auto"/>
          </w:tcPr>
          <w:p w14:paraId="47B906B8" w14:textId="6C62296C" w:rsidR="00DE1537" w:rsidRPr="004A0639" w:rsidRDefault="00DE1537" w:rsidP="00343F3E">
            <w:pPr>
              <w:pStyle w:val="Source"/>
            </w:pPr>
            <w:r>
              <w:rPr>
                <w:i/>
              </w:rPr>
              <w:t>Sources</w:t>
            </w:r>
            <w:r w:rsidRPr="00167F06">
              <w:t xml:space="preserve">: </w:t>
            </w:r>
            <w:r>
              <w:t>Attorney</w:t>
            </w:r>
            <w:r>
              <w:noBreakHyphen/>
              <w:t xml:space="preserve">General’s Department </w:t>
            </w:r>
            <w:r w:rsidRPr="003615CC">
              <w:rPr>
                <w:rFonts w:cs="Arial"/>
              </w:rPr>
              <w:t>(2014c; pers</w:t>
            </w:r>
            <w:r>
              <w:rPr>
                <w:rFonts w:cs="Arial"/>
              </w:rPr>
              <w:t>. comm., 30 July 2014; sub. 90;</w:t>
            </w:r>
            <w:r w:rsidRPr="003615CC">
              <w:rPr>
                <w:rFonts w:cs="Arial"/>
              </w:rPr>
              <w:t xml:space="preserve"> various years)</w:t>
            </w:r>
            <w:r>
              <w:t xml:space="preserve">; SCRGSP </w:t>
            </w:r>
            <w:r w:rsidRPr="00FB6E3D">
              <w:rPr>
                <w:rFonts w:cs="Arial"/>
              </w:rPr>
              <w:t>(2014)</w:t>
            </w:r>
            <w:r>
              <w:t xml:space="preserve">; Treasury </w:t>
            </w:r>
            <w:r w:rsidRPr="00FB6E3D">
              <w:rPr>
                <w:rFonts w:cs="Arial"/>
              </w:rPr>
              <w:t>(various years)</w:t>
            </w:r>
            <w:r>
              <w:t>; PC estimates based on data provided by state and territory governments.</w:t>
            </w:r>
          </w:p>
        </w:tc>
      </w:tr>
      <w:tr w:rsidR="00DE1537" w14:paraId="1AB4D754" w14:textId="77777777" w:rsidTr="00343F3E">
        <w:trPr>
          <w:cantSplit/>
        </w:trPr>
        <w:tc>
          <w:tcPr>
            <w:tcW w:w="8771" w:type="dxa"/>
            <w:tcBorders>
              <w:top w:val="nil"/>
              <w:left w:val="nil"/>
              <w:bottom w:val="single" w:sz="4" w:space="0" w:color="78A22F"/>
              <w:right w:val="nil"/>
            </w:tcBorders>
            <w:shd w:val="clear" w:color="auto" w:fill="auto"/>
          </w:tcPr>
          <w:p w14:paraId="5D97917A" w14:textId="77777777" w:rsidR="00DE1537" w:rsidRDefault="00DE1537" w:rsidP="00343F3E">
            <w:pPr>
              <w:pStyle w:val="Box"/>
              <w:spacing w:before="0" w:line="120" w:lineRule="exact"/>
            </w:pPr>
          </w:p>
        </w:tc>
      </w:tr>
      <w:tr w:rsidR="00DE1537" w:rsidRPr="000863A5" w14:paraId="1B4E8F26" w14:textId="77777777" w:rsidTr="00343F3E">
        <w:tc>
          <w:tcPr>
            <w:tcW w:w="8771" w:type="dxa"/>
            <w:tcBorders>
              <w:top w:val="single" w:sz="4" w:space="0" w:color="78A22F"/>
              <w:left w:val="nil"/>
              <w:bottom w:val="nil"/>
              <w:right w:val="nil"/>
            </w:tcBorders>
          </w:tcPr>
          <w:p w14:paraId="26B57B79" w14:textId="77777777" w:rsidR="00DE1537" w:rsidRPr="00626D32" w:rsidRDefault="00DE1537" w:rsidP="00343F3E">
            <w:pPr>
              <w:pStyle w:val="BoxSpaceBelow"/>
            </w:pPr>
          </w:p>
        </w:tc>
      </w:tr>
    </w:tbl>
    <w:p w14:paraId="2FD67581" w14:textId="77777777" w:rsidR="00DE1537" w:rsidRDefault="00DE1537" w:rsidP="00343F3E">
      <w:pPr>
        <w:pStyle w:val="BodyText"/>
      </w:pPr>
      <w:r>
        <w:t>The unpredictable nature of natural disasters and the Australian Government’s funding role due to VFI has meant that the Australian Government has typically provided significantly more post</w:t>
      </w:r>
      <w:r>
        <w:noBreakHyphen/>
        <w:t>disaster relative to pre</w:t>
      </w:r>
      <w:r>
        <w:noBreakHyphen/>
        <w:t>disaster</w:t>
      </w:r>
      <w:r w:rsidRPr="00977E5F">
        <w:t xml:space="preserve"> </w:t>
      </w:r>
      <w:r>
        <w:t>funding. Between 2002</w:t>
      </w:r>
      <w:r>
        <w:noBreakHyphen/>
        <w:t>03 and 2014</w:t>
      </w:r>
      <w:r>
        <w:noBreakHyphen/>
        <w:t>15, more than 95 per cent of Australian Government expenditure on natural disasters has occurred after a disaster event (supplementary paper 1). Australian Government pre</w:t>
      </w:r>
      <w:r>
        <w:noBreakHyphen/>
        <w:t>disaster and post</w:t>
      </w:r>
      <w:r>
        <w:noBreakHyphen/>
        <w:t>disaster funding arrangements are described further in the sections below.</w:t>
      </w:r>
    </w:p>
    <w:p w14:paraId="5166A164" w14:textId="77777777" w:rsidR="00DE1537" w:rsidRDefault="00DE1537" w:rsidP="00343F3E">
      <w:pPr>
        <w:pStyle w:val="BodyText"/>
      </w:pPr>
      <w:r>
        <w:t xml:space="preserve">States and territory governments also spend a significant amount post disaster, and in most jurisdictions and in most years, the states fund the bulk of disaster recovery costs. However, due to the presence of very destructive disasters in recent years, and the progressive nature of the Australian Government’s support, its share of disaster recovery costs has increased from approximately </w:t>
      </w:r>
      <w:r w:rsidRPr="00A65F8A">
        <w:t>25</w:t>
      </w:r>
      <w:r>
        <w:t> per cent in 2005</w:t>
      </w:r>
      <w:r>
        <w:noBreakHyphen/>
        <w:t>06 to more than 50 per cent in more recent years.</w:t>
      </w:r>
    </w:p>
    <w:p w14:paraId="694A56C3" w14:textId="77777777" w:rsidR="00DE1537" w:rsidRDefault="00DE1537" w:rsidP="00343F3E">
      <w:pPr>
        <w:pStyle w:val="BodyText"/>
      </w:pPr>
      <w:r>
        <w:t>The Australian Government has several distinct pre</w:t>
      </w:r>
      <w:r>
        <w:noBreakHyphen/>
        <w:t xml:space="preserve"> and post</w:t>
      </w:r>
      <w:r>
        <w:noBreakHyphen/>
        <w:t>disaster funding programs and has provided comprehensive information for the Commission’s analysis. State and territory governments have a range of policies related to natural disaster funding. However data on these programs are patchy and less comprehensive than Australian Government data, particularly mitigation expenditure data (box 2.8).</w:t>
      </w:r>
    </w:p>
    <w:p w14:paraId="63EF6415"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DE1537" w14:paraId="245A7D2D" w14:textId="77777777" w:rsidTr="00343F3E">
        <w:tc>
          <w:tcPr>
            <w:tcW w:w="8771" w:type="dxa"/>
            <w:tcBorders>
              <w:top w:val="single" w:sz="6" w:space="0" w:color="78A22F"/>
              <w:left w:val="nil"/>
              <w:bottom w:val="nil"/>
              <w:right w:val="nil"/>
            </w:tcBorders>
            <w:shd w:val="clear" w:color="auto" w:fill="F2F2F2" w:themeFill="background1" w:themeFillShade="F2"/>
          </w:tcPr>
          <w:p w14:paraId="71DF7362" w14:textId="053CD858" w:rsidR="00DE1537" w:rsidRDefault="00DE1537" w:rsidP="00343F3E">
            <w:pPr>
              <w:pStyle w:val="BoxTitle"/>
            </w:pPr>
            <w:r>
              <w:rPr>
                <w:b w:val="0"/>
              </w:rPr>
              <w:t xml:space="preserve">Box </w:t>
            </w:r>
            <w:bookmarkStart w:id="33" w:name="OLE_LINK17"/>
            <w:r>
              <w:rPr>
                <w:b w:val="0"/>
              </w:rPr>
              <w:t>2.</w:t>
            </w:r>
            <w:r>
              <w:rPr>
                <w:b w:val="0"/>
                <w:noProof/>
              </w:rPr>
              <w:t>8</w:t>
            </w:r>
            <w:bookmarkEnd w:id="33"/>
            <w:r>
              <w:tab/>
              <w:t>Availability and quality of data used by the Commission</w:t>
            </w:r>
          </w:p>
        </w:tc>
      </w:tr>
      <w:tr w:rsidR="00DE1537" w14:paraId="5BAB9B25" w14:textId="77777777" w:rsidTr="00343F3E">
        <w:trPr>
          <w:cantSplit/>
        </w:trPr>
        <w:tc>
          <w:tcPr>
            <w:tcW w:w="8771" w:type="dxa"/>
            <w:tcBorders>
              <w:top w:val="nil"/>
              <w:left w:val="nil"/>
              <w:bottom w:val="nil"/>
              <w:right w:val="nil"/>
            </w:tcBorders>
            <w:shd w:val="clear" w:color="auto" w:fill="F2F2F2" w:themeFill="background1" w:themeFillShade="F2"/>
          </w:tcPr>
          <w:p w14:paraId="3E80E384" w14:textId="77777777" w:rsidR="00DE1537" w:rsidRDefault="00DE1537" w:rsidP="00343F3E">
            <w:pPr>
              <w:pStyle w:val="Box"/>
            </w:pPr>
            <w:r>
              <w:t>To assess the</w:t>
            </w:r>
            <w:r w:rsidRPr="00535FC6">
              <w:t xml:space="preserve"> natural disaster funding arrangements, the Commission requested data from the Australian, state and territory governments on pre</w:t>
            </w:r>
            <w:r>
              <w:noBreakHyphen/>
              <w:t>disaster (mitigation</w:t>
            </w:r>
            <w:r w:rsidRPr="00535FC6">
              <w:t>) and post</w:t>
            </w:r>
            <w:r>
              <w:noBreakHyphen/>
            </w:r>
            <w:r w:rsidRPr="00535FC6">
              <w:t>disaster (relief and recovery)</w:t>
            </w:r>
            <w:r>
              <w:t xml:space="preserve"> expenditure. The Commission also gathered other information. The table below summarises the availability and quality of data from different levels of government and on the basis of pre</w:t>
            </w:r>
            <w:r>
              <w:noBreakHyphen/>
              <w:t xml:space="preserve"> and post</w:t>
            </w:r>
            <w:r>
              <w:noBreakHyphen/>
              <w:t>disaster expenditures.</w:t>
            </w:r>
          </w:p>
          <w:p w14:paraId="71A51352" w14:textId="77777777" w:rsidR="00DE1537" w:rsidRPr="00626644" w:rsidRDefault="00DE1537" w:rsidP="00343F3E">
            <w:pPr>
              <w:pStyle w:val="TableTitle"/>
              <w:rPr>
                <w:sz w:val="22"/>
              </w:rPr>
            </w:pPr>
            <w:r w:rsidRPr="00626644">
              <w:rPr>
                <w:sz w:val="22"/>
              </w:rPr>
              <w:t>Data quality</w:t>
            </w:r>
          </w:p>
          <w:tbl>
            <w:tblPr>
              <w:tblW w:w="5000" w:type="pct"/>
              <w:tblCellMar>
                <w:top w:w="28" w:type="dxa"/>
                <w:left w:w="0" w:type="dxa"/>
                <w:right w:w="0" w:type="dxa"/>
              </w:tblCellMar>
              <w:tblLook w:val="0000" w:firstRow="0" w:lastRow="0" w:firstColumn="0" w:lastColumn="0" w:noHBand="0" w:noVBand="0"/>
            </w:tblPr>
            <w:tblGrid>
              <w:gridCol w:w="1675"/>
              <w:gridCol w:w="3405"/>
              <w:gridCol w:w="3407"/>
            </w:tblGrid>
            <w:tr w:rsidR="00DE1537" w14:paraId="66603961" w14:textId="77777777" w:rsidTr="00343F3E">
              <w:tc>
                <w:tcPr>
                  <w:tcW w:w="987" w:type="pct"/>
                  <w:tcBorders>
                    <w:top w:val="single" w:sz="4" w:space="0" w:color="BFBFBF"/>
                    <w:bottom w:val="single" w:sz="4" w:space="0" w:color="BFBFBF"/>
                  </w:tcBorders>
                  <w:shd w:val="clear" w:color="auto" w:fill="auto"/>
                  <w:tcMar>
                    <w:top w:w="28" w:type="dxa"/>
                  </w:tcMar>
                </w:tcPr>
                <w:p w14:paraId="64E31EDB" w14:textId="77777777" w:rsidR="00DE1537" w:rsidRDefault="00DE1537" w:rsidP="00343F3E">
                  <w:pPr>
                    <w:pStyle w:val="TableColumnHeading"/>
                    <w:jc w:val="left"/>
                  </w:pPr>
                </w:p>
              </w:tc>
              <w:tc>
                <w:tcPr>
                  <w:tcW w:w="2006" w:type="pct"/>
                  <w:tcBorders>
                    <w:top w:val="single" w:sz="4" w:space="0" w:color="BFBFBF"/>
                    <w:bottom w:val="single" w:sz="4" w:space="0" w:color="BFBFBF"/>
                  </w:tcBorders>
                  <w:shd w:val="clear" w:color="auto" w:fill="auto"/>
                  <w:tcMar>
                    <w:top w:w="28" w:type="dxa"/>
                  </w:tcMar>
                </w:tcPr>
                <w:p w14:paraId="7823B150" w14:textId="77777777" w:rsidR="00DE1537" w:rsidRDefault="00DE1537" w:rsidP="00343F3E">
                  <w:pPr>
                    <w:pStyle w:val="TableColumnHeading"/>
                    <w:jc w:val="left"/>
                  </w:pPr>
                  <w:r>
                    <w:t>Australian Government</w:t>
                  </w:r>
                </w:p>
              </w:tc>
              <w:tc>
                <w:tcPr>
                  <w:tcW w:w="2007" w:type="pct"/>
                  <w:tcBorders>
                    <w:top w:val="single" w:sz="4" w:space="0" w:color="BFBFBF"/>
                    <w:bottom w:val="single" w:sz="4" w:space="0" w:color="BFBFBF"/>
                  </w:tcBorders>
                  <w:shd w:val="clear" w:color="auto" w:fill="auto"/>
                  <w:tcMar>
                    <w:top w:w="28" w:type="dxa"/>
                  </w:tcMar>
                </w:tcPr>
                <w:p w14:paraId="0C5650A3" w14:textId="77777777" w:rsidR="00DE1537" w:rsidRDefault="00DE1537" w:rsidP="00343F3E">
                  <w:pPr>
                    <w:pStyle w:val="TableColumnHeading"/>
                    <w:ind w:right="28"/>
                    <w:jc w:val="left"/>
                  </w:pPr>
                  <w:r>
                    <w:t>State and territory governments</w:t>
                  </w:r>
                </w:p>
              </w:tc>
            </w:tr>
            <w:tr w:rsidR="00DE1537" w14:paraId="6FF4DD01" w14:textId="77777777" w:rsidTr="00343F3E">
              <w:tc>
                <w:tcPr>
                  <w:tcW w:w="987" w:type="pct"/>
                  <w:tcBorders>
                    <w:top w:val="single" w:sz="4" w:space="0" w:color="BFBFBF"/>
                  </w:tcBorders>
                </w:tcPr>
                <w:p w14:paraId="148638F9" w14:textId="77777777" w:rsidR="00DE1537" w:rsidRDefault="00DE1537" w:rsidP="00343F3E">
                  <w:pPr>
                    <w:pStyle w:val="TableUnitsRow"/>
                    <w:jc w:val="left"/>
                  </w:pPr>
                  <w:r>
                    <w:t>Pre</w:t>
                  </w:r>
                  <w:r>
                    <w:noBreakHyphen/>
                    <w:t>disaster data</w:t>
                  </w:r>
                </w:p>
              </w:tc>
              <w:tc>
                <w:tcPr>
                  <w:tcW w:w="2006" w:type="pct"/>
                  <w:tcBorders>
                    <w:top w:val="single" w:sz="4" w:space="0" w:color="BFBFBF"/>
                  </w:tcBorders>
                </w:tcPr>
                <w:p w14:paraId="7C447029" w14:textId="77777777" w:rsidR="00DE1537" w:rsidRPr="00203B7E" w:rsidRDefault="00DE1537" w:rsidP="00343F3E">
                  <w:pPr>
                    <w:pStyle w:val="TableUnitsRow"/>
                    <w:jc w:val="left"/>
                  </w:pPr>
                  <w:r>
                    <w:t>Comprehensive</w:t>
                  </w:r>
                  <w:r w:rsidRPr="00203B7E">
                    <w:t>. Annual expenditure estimates available from 2002</w:t>
                  </w:r>
                  <w:r>
                    <w:noBreakHyphen/>
                  </w:r>
                  <w:r w:rsidRPr="00203B7E">
                    <w:t xml:space="preserve">03 for key programs. </w:t>
                  </w:r>
                </w:p>
              </w:tc>
              <w:tc>
                <w:tcPr>
                  <w:tcW w:w="2007" w:type="pct"/>
                  <w:tcBorders>
                    <w:top w:val="single" w:sz="4" w:space="0" w:color="BFBFBF"/>
                  </w:tcBorders>
                </w:tcPr>
                <w:p w14:paraId="688FCE93" w14:textId="77777777" w:rsidR="00DE1537" w:rsidRPr="00203B7E" w:rsidRDefault="00DE1537" w:rsidP="00343F3E">
                  <w:pPr>
                    <w:pStyle w:val="TableUnitsRow"/>
                    <w:ind w:right="28"/>
                    <w:jc w:val="left"/>
                  </w:pPr>
                  <w:r>
                    <w:t xml:space="preserve">Partial and inconsistent. </w:t>
                  </w:r>
                  <w:r w:rsidRPr="00203B7E">
                    <w:t xml:space="preserve">It is difficult to estimate </w:t>
                  </w:r>
                  <w:r>
                    <w:t xml:space="preserve">mitigation </w:t>
                  </w:r>
                  <w:r w:rsidRPr="00203B7E">
                    <w:t xml:space="preserve">expenditure as funding </w:t>
                  </w:r>
                  <w:r>
                    <w:t>is embedded in other programs and not separately identified</w:t>
                  </w:r>
                  <w:r w:rsidRPr="00203B7E">
                    <w:t>.</w:t>
                  </w:r>
                </w:p>
              </w:tc>
            </w:tr>
            <w:tr w:rsidR="00DE1537" w14:paraId="603FDC4A" w14:textId="77777777" w:rsidTr="00343F3E">
              <w:tc>
                <w:tcPr>
                  <w:tcW w:w="987" w:type="pct"/>
                  <w:tcBorders>
                    <w:bottom w:val="single" w:sz="4" w:space="0" w:color="BFBFBF"/>
                  </w:tcBorders>
                </w:tcPr>
                <w:p w14:paraId="1FCF5604" w14:textId="77777777" w:rsidR="00DE1537" w:rsidRDefault="00DE1537" w:rsidP="00343F3E">
                  <w:pPr>
                    <w:pStyle w:val="TableBodyText"/>
                    <w:jc w:val="left"/>
                  </w:pPr>
                  <w:r>
                    <w:t>Post</w:t>
                  </w:r>
                  <w:r>
                    <w:noBreakHyphen/>
                    <w:t>disaster data</w:t>
                  </w:r>
                </w:p>
              </w:tc>
              <w:tc>
                <w:tcPr>
                  <w:tcW w:w="2006" w:type="pct"/>
                  <w:tcBorders>
                    <w:bottom w:val="single" w:sz="4" w:space="0" w:color="BFBFBF"/>
                  </w:tcBorders>
                </w:tcPr>
                <w:p w14:paraId="7023AB72" w14:textId="77777777" w:rsidR="00DE1537" w:rsidRPr="00203B7E" w:rsidRDefault="00DE1537" w:rsidP="00343F3E">
                  <w:pPr>
                    <w:pStyle w:val="TableBodyText"/>
                    <w:jc w:val="left"/>
                  </w:pPr>
                  <w:r>
                    <w:t>Comprehensive</w:t>
                  </w:r>
                  <w:r w:rsidRPr="00203B7E">
                    <w:t>. Annual expenditur</w:t>
                  </w:r>
                  <w:r>
                    <w:t>e estimates available from 2002</w:t>
                  </w:r>
                  <w:r>
                    <w:noBreakHyphen/>
                  </w:r>
                  <w:r w:rsidRPr="00203B7E">
                    <w:t>03 for key programs.</w:t>
                  </w:r>
                </w:p>
              </w:tc>
              <w:tc>
                <w:tcPr>
                  <w:tcW w:w="2007" w:type="pct"/>
                  <w:tcBorders>
                    <w:bottom w:val="single" w:sz="4" w:space="0" w:color="BFBFBF"/>
                  </w:tcBorders>
                </w:tcPr>
                <w:p w14:paraId="23752602" w14:textId="77777777" w:rsidR="00DE1537" w:rsidRPr="00203B7E" w:rsidRDefault="00DE1537" w:rsidP="00343F3E">
                  <w:pPr>
                    <w:pStyle w:val="TableBodyText"/>
                    <w:ind w:right="28"/>
                    <w:jc w:val="left"/>
                  </w:pPr>
                  <w:r w:rsidRPr="00203B7E">
                    <w:t xml:space="preserve">Mostly </w:t>
                  </w:r>
                  <w:r>
                    <w:t>comprehensive</w:t>
                  </w:r>
                  <w:r w:rsidRPr="00203B7E">
                    <w:t>. Annual expenditure estimates under NDRRA are available from 2002</w:t>
                  </w:r>
                  <w:r>
                    <w:noBreakHyphen/>
                  </w:r>
                  <w:r w:rsidRPr="00203B7E">
                    <w:t xml:space="preserve">03 for most states. </w:t>
                  </w:r>
                </w:p>
              </w:tc>
            </w:tr>
          </w:tbl>
          <w:p w14:paraId="0CF2DA41" w14:textId="77777777" w:rsidR="00DE1537" w:rsidRDefault="00DE1537" w:rsidP="00343F3E">
            <w:pPr>
              <w:pStyle w:val="Box"/>
            </w:pPr>
          </w:p>
        </w:tc>
      </w:tr>
      <w:tr w:rsidR="00DE1537" w14:paraId="7F00BC85"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16BC8BC" w14:textId="77777777" w:rsidR="00DE1537" w:rsidRDefault="00DE1537" w:rsidP="00343F3E">
            <w:pPr>
              <w:pStyle w:val="Box"/>
              <w:spacing w:before="0" w:line="120" w:lineRule="exact"/>
            </w:pPr>
          </w:p>
        </w:tc>
      </w:tr>
      <w:tr w:rsidR="00DE1537" w:rsidRPr="000863A5" w14:paraId="5DD9885C" w14:textId="77777777" w:rsidTr="00343F3E">
        <w:tc>
          <w:tcPr>
            <w:tcW w:w="8771" w:type="dxa"/>
            <w:tcBorders>
              <w:top w:val="single" w:sz="6" w:space="0" w:color="78A22F"/>
              <w:left w:val="nil"/>
              <w:bottom w:val="nil"/>
              <w:right w:val="nil"/>
            </w:tcBorders>
          </w:tcPr>
          <w:p w14:paraId="5A4D2D8E" w14:textId="77777777" w:rsidR="00DE1537" w:rsidRPr="00626D32" w:rsidRDefault="00DE1537" w:rsidP="00343F3E">
            <w:pPr>
              <w:pStyle w:val="BoxSpaceBelow"/>
            </w:pPr>
          </w:p>
        </w:tc>
      </w:tr>
    </w:tbl>
    <w:p w14:paraId="7D512136" w14:textId="77777777" w:rsidR="00DE1537" w:rsidRDefault="00DE1537" w:rsidP="00343F3E">
      <w:pPr>
        <w:pStyle w:val="Heading3"/>
      </w:pPr>
      <w:r>
        <w:t>Pre</w:t>
      </w:r>
      <w:r>
        <w:noBreakHyphen/>
        <w:t>disaster government expenditure</w:t>
      </w:r>
    </w:p>
    <w:p w14:paraId="2C74151F" w14:textId="77777777" w:rsidR="00DE1537" w:rsidRDefault="00DE1537" w:rsidP="00343F3E">
      <w:pPr>
        <w:pStyle w:val="Heading4"/>
      </w:pPr>
      <w:r>
        <w:t>Australian Government mitigation funding</w:t>
      </w:r>
    </w:p>
    <w:p w14:paraId="7C5B0D84" w14:textId="77777777" w:rsidR="00DE1537" w:rsidRDefault="00DE1537" w:rsidP="00343F3E">
      <w:pPr>
        <w:pStyle w:val="BodyText"/>
      </w:pPr>
      <w:r>
        <w:t>The Australian Government provides funding to states specifically for natural disaster mitigation activities. Total funding has generally been above $40 million per year over the last four years (figure 2.6). The Australian Government’s main funding mechanism for natural disaster mitigation is the NPANDR (box 2.9). Examples of other programs include:</w:t>
      </w:r>
    </w:p>
    <w:p w14:paraId="4C227731" w14:textId="77777777" w:rsidR="00DE1537" w:rsidRDefault="00DE1537" w:rsidP="00343F3E">
      <w:pPr>
        <w:pStyle w:val="ListBullet"/>
      </w:pPr>
      <w:r>
        <w:t>the National Emergency Management Projects (NEMP)</w:t>
      </w:r>
    </w:p>
    <w:p w14:paraId="61435E67" w14:textId="77777777" w:rsidR="00DE1537" w:rsidRDefault="00DE1537" w:rsidP="00343F3E">
      <w:pPr>
        <w:pStyle w:val="ListBullet"/>
      </w:pPr>
      <w:r>
        <w:t xml:space="preserve">the </w:t>
      </w:r>
      <w:r w:rsidRPr="00236901">
        <w:t>Natio</w:t>
      </w:r>
      <w:r>
        <w:t>nal Flood Risk Information Portal</w:t>
      </w:r>
    </w:p>
    <w:p w14:paraId="708979D2" w14:textId="77777777" w:rsidR="00DE1537" w:rsidRDefault="00DE1537" w:rsidP="00343F3E">
      <w:pPr>
        <w:pStyle w:val="ListBullet"/>
      </w:pPr>
      <w:r>
        <w:t>the National Bushfire Mitigation Programme</w:t>
      </w:r>
    </w:p>
    <w:p w14:paraId="65135669" w14:textId="77777777" w:rsidR="00DE1537" w:rsidRDefault="00DE1537" w:rsidP="00343F3E">
      <w:pPr>
        <w:pStyle w:val="ListBullet"/>
      </w:pPr>
      <w:proofErr w:type="gramStart"/>
      <w:r>
        <w:t>the</w:t>
      </w:r>
      <w:proofErr w:type="gramEnd"/>
      <w:r>
        <w:t xml:space="preserve"> Betterment provisions under the NDRRA and the Queensland Betterment Fund (Attorney</w:t>
      </w:r>
      <w:r>
        <w:noBreakHyphen/>
        <w:t>General’s Department, sub. 90).</w:t>
      </w:r>
    </w:p>
    <w:p w14:paraId="31E6F45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A68BA81" w14:textId="77777777" w:rsidTr="00343F3E">
        <w:tc>
          <w:tcPr>
            <w:tcW w:w="8771" w:type="dxa"/>
            <w:tcBorders>
              <w:top w:val="single" w:sz="6" w:space="0" w:color="78A22F"/>
              <w:left w:val="nil"/>
              <w:bottom w:val="nil"/>
              <w:right w:val="nil"/>
            </w:tcBorders>
            <w:shd w:val="clear" w:color="auto" w:fill="auto"/>
          </w:tcPr>
          <w:p w14:paraId="0439045B" w14:textId="1DB59EC0" w:rsidR="00DE1537" w:rsidRPr="00D83C8E" w:rsidRDefault="00DE1537" w:rsidP="00343F3E">
            <w:pPr>
              <w:pStyle w:val="FigureTitle"/>
              <w:rPr>
                <w:position w:val="6"/>
                <w:sz w:val="18"/>
              </w:rPr>
            </w:pPr>
            <w:r w:rsidRPr="00646854">
              <w:rPr>
                <w:b w:val="0"/>
              </w:rPr>
              <w:t xml:space="preserve">Figure </w:t>
            </w:r>
            <w:bookmarkStart w:id="34" w:name="OLE_LINK15"/>
            <w:r>
              <w:rPr>
                <w:b w:val="0"/>
              </w:rPr>
              <w:t>2.</w:t>
            </w:r>
            <w:r>
              <w:rPr>
                <w:b w:val="0"/>
                <w:noProof/>
              </w:rPr>
              <w:t>6</w:t>
            </w:r>
            <w:bookmarkEnd w:id="34"/>
            <w:r>
              <w:tab/>
              <w:t xml:space="preserve">Australian Government mitigation </w:t>
            </w:r>
            <w:r w:rsidRPr="00516A82">
              <w:t>expenditure</w:t>
            </w:r>
            <w:r>
              <w:t xml:space="preserve"> </w:t>
            </w:r>
            <w:r w:rsidRPr="00516A82">
              <w:t>progra</w:t>
            </w:r>
            <w:r>
              <w:t>ms</w:t>
            </w:r>
            <w:r w:rsidRPr="00083A76">
              <w:rPr>
                <w:rStyle w:val="NoteLabel"/>
                <w:b/>
              </w:rPr>
              <w:t>a</w:t>
            </w:r>
          </w:p>
        </w:tc>
      </w:tr>
      <w:tr w:rsidR="00DE1537" w14:paraId="3C8ABE95"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DE1537" w14:paraId="09FD32D8" w14:textId="77777777" w:rsidTr="00343F3E">
              <w:tc>
                <w:tcPr>
                  <w:tcW w:w="8487" w:type="dxa"/>
                  <w:tcBorders>
                    <w:top w:val="nil"/>
                    <w:bottom w:val="nil"/>
                  </w:tcBorders>
                </w:tcPr>
                <w:p w14:paraId="3EC7971E" w14:textId="77777777" w:rsidR="00DE1537" w:rsidRDefault="00DE1537" w:rsidP="00343F3E">
                  <w:pPr>
                    <w:pStyle w:val="Figure"/>
                    <w:spacing w:before="60" w:after="60"/>
                  </w:pPr>
                  <w:r>
                    <w:rPr>
                      <w:noProof/>
                    </w:rPr>
                    <w:drawing>
                      <wp:inline distT="0" distB="0" distL="0" distR="0" wp14:anchorId="24961B86" wp14:editId="2DAAA7F1">
                        <wp:extent cx="5248275" cy="2790825"/>
                        <wp:effectExtent l="0" t="0" r="9525" b="9525"/>
                        <wp:docPr id="13" name="Picture 13" descr="The figure shows how much mitigation funding the Australian Government provided under the National Partnership Agreement on Natural Disaster Resilience, specific purpose payments, the National Emergency Management Projects and other mitigation projects between 2009-10 and 2012-13. It shows that annual mitigation spending did not vary greatly over this period, and most of the funding has been provided under the National Partnership Agreement for Natural Disaster Resilience and specific purpose payments." title="Australian Government mitigaiton expenditure pro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48275" cy="2790825"/>
                                </a:xfrm>
                                <a:prstGeom prst="rect">
                                  <a:avLst/>
                                </a:prstGeom>
                                <a:noFill/>
                                <a:ln>
                                  <a:noFill/>
                                </a:ln>
                              </pic:spPr>
                            </pic:pic>
                          </a:graphicData>
                        </a:graphic>
                      </wp:inline>
                    </w:drawing>
                  </w:r>
                </w:p>
              </w:tc>
            </w:tr>
          </w:tbl>
          <w:p w14:paraId="51942CE2" w14:textId="77777777" w:rsidR="00DE1537" w:rsidRDefault="00DE1537" w:rsidP="00343F3E">
            <w:pPr>
              <w:pStyle w:val="Figure"/>
            </w:pPr>
          </w:p>
        </w:tc>
      </w:tr>
      <w:tr w:rsidR="00DE1537" w:rsidRPr="00176D3F" w14:paraId="66727E92" w14:textId="77777777" w:rsidTr="00343F3E">
        <w:tc>
          <w:tcPr>
            <w:tcW w:w="8771" w:type="dxa"/>
            <w:tcBorders>
              <w:top w:val="nil"/>
              <w:left w:val="nil"/>
              <w:bottom w:val="nil"/>
              <w:right w:val="nil"/>
            </w:tcBorders>
            <w:shd w:val="clear" w:color="auto" w:fill="auto"/>
          </w:tcPr>
          <w:p w14:paraId="31BE23DC" w14:textId="77777777" w:rsidR="00DE1537" w:rsidRPr="00176D3F" w:rsidRDefault="00DE1537" w:rsidP="00343F3E">
            <w:pPr>
              <w:pStyle w:val="Note"/>
            </w:pPr>
            <w:proofErr w:type="gramStart"/>
            <w:r>
              <w:rPr>
                <w:rStyle w:val="NoteLabel"/>
              </w:rPr>
              <w:t>a</w:t>
            </w:r>
            <w:proofErr w:type="gramEnd"/>
            <w:r>
              <w:t xml:space="preserve"> ‘Other’ programs include National Flood Risk Information Program, National Emergency Volunteer Support Fund, Bushfire Cooperative Research Centre, Australian Emergency Management Institute education and training.</w:t>
            </w:r>
          </w:p>
        </w:tc>
      </w:tr>
      <w:tr w:rsidR="00DE1537" w:rsidRPr="00176D3F" w14:paraId="17CEA3DA" w14:textId="77777777" w:rsidTr="00343F3E">
        <w:tc>
          <w:tcPr>
            <w:tcW w:w="8771" w:type="dxa"/>
            <w:tcBorders>
              <w:top w:val="nil"/>
              <w:left w:val="nil"/>
              <w:bottom w:val="nil"/>
              <w:right w:val="nil"/>
            </w:tcBorders>
            <w:shd w:val="clear" w:color="auto" w:fill="auto"/>
          </w:tcPr>
          <w:p w14:paraId="516E8419" w14:textId="7477561B" w:rsidR="00DE1537" w:rsidRPr="00176D3F" w:rsidRDefault="00DE1537" w:rsidP="00343F3E">
            <w:pPr>
              <w:pStyle w:val="Source"/>
            </w:pPr>
            <w:r w:rsidRPr="00784A05">
              <w:rPr>
                <w:i/>
              </w:rPr>
              <w:t>Data source</w:t>
            </w:r>
            <w:r>
              <w:rPr>
                <w:i/>
              </w:rPr>
              <w:t>s</w:t>
            </w:r>
            <w:r w:rsidRPr="00176D3F">
              <w:t xml:space="preserve">: </w:t>
            </w:r>
            <w:r>
              <w:t>Attorney</w:t>
            </w:r>
            <w:r>
              <w:noBreakHyphen/>
              <w:t xml:space="preserve">General’s Department </w:t>
            </w:r>
            <w:r w:rsidRPr="00972D03">
              <w:rPr>
                <w:rFonts w:cs="Arial"/>
              </w:rPr>
              <w:t>(2014b; pers. comm., 30 July 2014; sub</w:t>
            </w:r>
            <w:r>
              <w:rPr>
                <w:rFonts w:cs="Arial"/>
              </w:rPr>
              <w:t>. 90;</w:t>
            </w:r>
            <w:r w:rsidRPr="00972D03">
              <w:rPr>
                <w:rFonts w:cs="Arial"/>
              </w:rPr>
              <w:t xml:space="preserve"> various years)</w:t>
            </w:r>
            <w:r>
              <w:t xml:space="preserve">; Treasury </w:t>
            </w:r>
            <w:r w:rsidRPr="006A63BC">
              <w:rPr>
                <w:rFonts w:cs="Arial"/>
              </w:rPr>
              <w:t>(various years)</w:t>
            </w:r>
            <w:r>
              <w:t>.</w:t>
            </w:r>
          </w:p>
        </w:tc>
      </w:tr>
      <w:tr w:rsidR="00DE1537" w14:paraId="154A00B7" w14:textId="77777777" w:rsidTr="00343F3E">
        <w:tc>
          <w:tcPr>
            <w:tcW w:w="8771" w:type="dxa"/>
            <w:tcBorders>
              <w:top w:val="nil"/>
              <w:left w:val="nil"/>
              <w:bottom w:val="single" w:sz="6" w:space="0" w:color="78A22F"/>
              <w:right w:val="nil"/>
            </w:tcBorders>
            <w:shd w:val="clear" w:color="auto" w:fill="auto"/>
          </w:tcPr>
          <w:p w14:paraId="6D70A3D4" w14:textId="77777777" w:rsidR="00DE1537" w:rsidRDefault="00DE1537" w:rsidP="00343F3E">
            <w:pPr>
              <w:pStyle w:val="Figurespace"/>
            </w:pPr>
          </w:p>
        </w:tc>
      </w:tr>
      <w:tr w:rsidR="00DE1537" w:rsidRPr="000863A5" w14:paraId="4A6C9E27" w14:textId="77777777" w:rsidTr="00343F3E">
        <w:tc>
          <w:tcPr>
            <w:tcW w:w="8771" w:type="dxa"/>
            <w:tcBorders>
              <w:top w:val="single" w:sz="6" w:space="0" w:color="78A22F"/>
              <w:left w:val="nil"/>
              <w:bottom w:val="nil"/>
              <w:right w:val="nil"/>
            </w:tcBorders>
          </w:tcPr>
          <w:p w14:paraId="530A3A55" w14:textId="77777777" w:rsidR="00DE1537" w:rsidRPr="00626D32" w:rsidRDefault="00DE1537" w:rsidP="00343F3E">
            <w:pPr>
              <w:pStyle w:val="BoxSpaceBelow"/>
            </w:pPr>
          </w:p>
        </w:tc>
      </w:tr>
    </w:tbl>
    <w:p w14:paraId="358938D8" w14:textId="77777777" w:rsidR="00CE306F" w:rsidRDefault="00CE306F" w:rsidP="00CE306F">
      <w:pPr>
        <w:pStyle w:val="Heading4"/>
      </w:pPr>
      <w:r>
        <w:t>State and territory government mitigation funding</w:t>
      </w:r>
    </w:p>
    <w:p w14:paraId="6C5683CB" w14:textId="77777777" w:rsidR="00CE306F" w:rsidRDefault="00CE306F" w:rsidP="00CE306F">
      <w:pPr>
        <w:pStyle w:val="BodyText"/>
      </w:pPr>
      <w:r w:rsidRPr="00CB41DC">
        <w:t>The Australian Governm</w:t>
      </w:r>
      <w:r>
        <w:t>ent commits funding of up to 50 per </w:t>
      </w:r>
      <w:r w:rsidRPr="00CB41DC">
        <w:t xml:space="preserve">cent of the estimated costs of activities specified in </w:t>
      </w:r>
      <w:r>
        <w:t>NPANDR</w:t>
      </w:r>
      <w:r w:rsidRPr="00CB41DC">
        <w:t xml:space="preserve"> i</w:t>
      </w:r>
      <w:r>
        <w:t>mplementation plans, with the rest funded by state governments or other bodies. There has been about $110 million of matched funding under the NPANDR, with the majority coming from state governments.</w:t>
      </w:r>
    </w:p>
    <w:p w14:paraId="4E0AEDF8" w14:textId="77777777" w:rsidR="00CE306F" w:rsidRDefault="00CE306F" w:rsidP="00CE306F">
      <w:pPr>
        <w:pStyle w:val="BodyText"/>
      </w:pPr>
      <w:r>
        <w:t>Most state and territory government natural disaster mitigation spending is likely to be embedded in the business</w:t>
      </w:r>
      <w:r>
        <w:noBreakHyphen/>
        <w:t>as</w:t>
      </w:r>
      <w:r>
        <w:noBreakHyphen/>
        <w:t>usual activities of government, and in particular general infrastructure spending. From the partial data the Commission has received, it would seem that this embedded mitigation activity significantly outweighs explicit mitigation programs (box 2.10).</w:t>
      </w:r>
    </w:p>
    <w:p w14:paraId="43FC1EC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DE1537" w14:paraId="0CBC1A9B" w14:textId="77777777" w:rsidTr="00343F3E">
        <w:tc>
          <w:tcPr>
            <w:tcW w:w="8771" w:type="dxa"/>
            <w:tcBorders>
              <w:top w:val="single" w:sz="6" w:space="0" w:color="78A22F"/>
              <w:left w:val="nil"/>
              <w:bottom w:val="nil"/>
              <w:right w:val="nil"/>
            </w:tcBorders>
            <w:shd w:val="clear" w:color="auto" w:fill="F2F2F2" w:themeFill="background1" w:themeFillShade="F2"/>
          </w:tcPr>
          <w:p w14:paraId="3A348AC2" w14:textId="336C1B84" w:rsidR="00DE1537" w:rsidRDefault="00DE1537" w:rsidP="00343F3E">
            <w:pPr>
              <w:pStyle w:val="BoxTitle"/>
            </w:pPr>
            <w:r>
              <w:rPr>
                <w:b w:val="0"/>
              </w:rPr>
              <w:t xml:space="preserve">Box </w:t>
            </w:r>
            <w:bookmarkStart w:id="35" w:name="OLE_LINK25"/>
            <w:r>
              <w:rPr>
                <w:b w:val="0"/>
              </w:rPr>
              <w:t>2.</w:t>
            </w:r>
            <w:r>
              <w:rPr>
                <w:b w:val="0"/>
                <w:noProof/>
              </w:rPr>
              <w:t>9</w:t>
            </w:r>
            <w:bookmarkEnd w:id="35"/>
            <w:r>
              <w:tab/>
              <w:t>The Australian Government’s main mitigation programs</w:t>
            </w:r>
          </w:p>
        </w:tc>
      </w:tr>
      <w:tr w:rsidR="00DE1537" w14:paraId="17DE3F54" w14:textId="77777777" w:rsidTr="00343F3E">
        <w:trPr>
          <w:cantSplit/>
        </w:trPr>
        <w:tc>
          <w:tcPr>
            <w:tcW w:w="8771" w:type="dxa"/>
            <w:tcBorders>
              <w:top w:val="nil"/>
              <w:left w:val="nil"/>
              <w:bottom w:val="nil"/>
              <w:right w:val="nil"/>
            </w:tcBorders>
            <w:shd w:val="clear" w:color="auto" w:fill="F2F2F2" w:themeFill="background1" w:themeFillShade="F2"/>
          </w:tcPr>
          <w:p w14:paraId="275575E4" w14:textId="77777777" w:rsidR="00DE1537" w:rsidRPr="00166E06" w:rsidRDefault="00DE1537" w:rsidP="00343F3E">
            <w:pPr>
              <w:pStyle w:val="BoxHeading1"/>
              <w:rPr>
                <w:b w:val="0"/>
              </w:rPr>
            </w:pPr>
            <w:r w:rsidRPr="00166E06">
              <w:t>The National Partnership Agreement on Natural Disaster Resilience (NPANDR)</w:t>
            </w:r>
          </w:p>
          <w:p w14:paraId="14986D8B" w14:textId="77777777" w:rsidR="00DE1537" w:rsidRDefault="00DE1537" w:rsidP="00343F3E">
            <w:pPr>
              <w:pStyle w:val="Box"/>
            </w:pPr>
            <w:r>
              <w:t>The NPANDR was established by the Australian, state and territory governments in 2009, replacing Specific Purpose Payments for natural disaster mitigation. The aim</w:t>
            </w:r>
            <w:r w:rsidRPr="00CB41DC">
              <w:t xml:space="preserve"> </w:t>
            </w:r>
            <w:r>
              <w:t xml:space="preserve">of the NPANDR is </w:t>
            </w:r>
            <w:r w:rsidRPr="00CB41DC">
              <w:t xml:space="preserve">to increase Australia’s resilience to natural disasters by funding mitigation projects in accordance with the </w:t>
            </w:r>
            <w:r>
              <w:t>National Strategy for Disaster Resilience (NSDR)</w:t>
            </w:r>
            <w:r w:rsidRPr="00CB41DC">
              <w:t>. Under the agreement</w:t>
            </w:r>
            <w:r>
              <w:t>,</w:t>
            </w:r>
            <w:r w:rsidRPr="00CB41DC">
              <w:t xml:space="preserve"> the Australian Government provides funding</w:t>
            </w:r>
            <w:r>
              <w:t xml:space="preserve"> through the Natural Disaster Resilience Program</w:t>
            </w:r>
            <w:r w:rsidRPr="00CB41DC">
              <w:t xml:space="preserve"> for mitigation activities </w:t>
            </w:r>
            <w:r>
              <w:t>undertaken by</w:t>
            </w:r>
            <w:r w:rsidRPr="00CB41DC">
              <w:t xml:space="preserve"> states tha</w:t>
            </w:r>
            <w:r>
              <w:t xml:space="preserve">t increase disaster resilience. </w:t>
            </w:r>
            <w:r w:rsidRPr="00CB41DC">
              <w:t xml:space="preserve">Each jurisdiction is required to agree to </w:t>
            </w:r>
            <w:r>
              <w:t>a two</w:t>
            </w:r>
            <w:r>
              <w:noBreakHyphen/>
            </w:r>
            <w:r w:rsidRPr="00CB41DC">
              <w:t>year implementation plan. The Australian Governm</w:t>
            </w:r>
            <w:r>
              <w:t>ent commits funding of up to 50 per </w:t>
            </w:r>
            <w:r w:rsidRPr="00CB41DC">
              <w:t>cent of the estimated costs of activities specified in the i</w:t>
            </w:r>
            <w:r>
              <w:t>mplementation plans. Governments agreed that e</w:t>
            </w:r>
            <w:r w:rsidRPr="00CB41DC">
              <w:t xml:space="preserve">ach jurisdiction’s funding </w:t>
            </w:r>
            <w:r>
              <w:t xml:space="preserve">allocation </w:t>
            </w:r>
            <w:r w:rsidRPr="00CB41DC">
              <w:t>is capped, based on population, costs of disasters</w:t>
            </w:r>
            <w:r>
              <w:t>,</w:t>
            </w:r>
            <w:r w:rsidRPr="00CB41DC">
              <w:t xml:space="preserve"> relative disadvantage</w:t>
            </w:r>
            <w:r>
              <w:t xml:space="preserve"> and adjusted to provide</w:t>
            </w:r>
            <w:r w:rsidRPr="00CB41DC">
              <w:t xml:space="preserve"> a minimum share fo</w:t>
            </w:r>
            <w:r>
              <w:t>r the territories and Tasmania (table below</w:t>
            </w:r>
            <w:r w:rsidRPr="00CB41DC">
              <w:t>).</w:t>
            </w:r>
          </w:p>
          <w:p w14:paraId="36AF2C70" w14:textId="60D9762C" w:rsidR="00DE1537" w:rsidRDefault="00DE1537" w:rsidP="00343F3E">
            <w:pPr>
              <w:pStyle w:val="Box"/>
            </w:pPr>
            <w:r w:rsidRPr="00CB41DC">
              <w:t xml:space="preserve">State governments have generally operated competitive grants schemes to allocate </w:t>
            </w:r>
            <w:r>
              <w:t xml:space="preserve">NPANDR </w:t>
            </w:r>
            <w:r w:rsidRPr="00CB41DC">
              <w:t xml:space="preserve">funding to applicants in accordance with NSDR objectives </w:t>
            </w:r>
            <w:r>
              <w:t>and priorities identified in state risk assessments</w:t>
            </w:r>
            <w:r w:rsidRPr="00CB41DC">
              <w:t>. Grants are generally targeted towards local governments, other state government agencies and non</w:t>
            </w:r>
            <w:r>
              <w:noBreakHyphen/>
            </w:r>
            <w:r w:rsidRPr="00CB41DC">
              <w:t>government organisations such as the priva</w:t>
            </w:r>
            <w:r>
              <w:t xml:space="preserve">te sector and volunteer groups. </w:t>
            </w:r>
            <w:r w:rsidRPr="00CB41DC">
              <w:t xml:space="preserve">Funded activities </w:t>
            </w:r>
            <w:r>
              <w:t>generally</w:t>
            </w:r>
            <w:r w:rsidRPr="00CB41DC">
              <w:t xml:space="preserve"> include ‘relatively small</w:t>
            </w:r>
            <w:r>
              <w:noBreakHyphen/>
            </w:r>
            <w:r w:rsidRPr="00CB41DC">
              <w:t>scale projects such as risk</w:t>
            </w:r>
            <w:r>
              <w:noBreakHyphen/>
            </w:r>
            <w:r w:rsidRPr="00CB41DC">
              <w:t>management programs, vulnerability assessments, volunteer support schemes and infrastructure upgrades’</w:t>
            </w:r>
            <w:r>
              <w:t xml:space="preserve"> </w:t>
            </w:r>
            <w:r w:rsidRPr="000759F1">
              <w:rPr>
                <w:rFonts w:cs="Arial"/>
                <w:szCs w:val="24"/>
              </w:rPr>
              <w:t>(PC 2012, p. 254)</w:t>
            </w:r>
            <w:r w:rsidRPr="00CB41DC">
              <w:t>.</w:t>
            </w:r>
          </w:p>
          <w:p w14:paraId="79488E57" w14:textId="77777777" w:rsidR="00DE1537" w:rsidRPr="00626644" w:rsidRDefault="00DE1537" w:rsidP="00343F3E">
            <w:pPr>
              <w:pStyle w:val="TableTitle"/>
              <w:rPr>
                <w:sz w:val="22"/>
              </w:rPr>
            </w:pPr>
            <w:r w:rsidRPr="00626644">
              <w:rPr>
                <w:sz w:val="22"/>
              </w:rPr>
              <w:t>Allocation of Australian Government NPANDR funding, 2013</w:t>
            </w:r>
            <w:r w:rsidRPr="00626644">
              <w:rPr>
                <w:sz w:val="22"/>
              </w:rPr>
              <w:noBreakHyphen/>
              <w:t>14 to 2014</w:t>
            </w:r>
            <w:r w:rsidRPr="00626644">
              <w:rPr>
                <w:sz w:val="22"/>
              </w:rPr>
              <w:noBreakHyphen/>
              <w:t>15</w:t>
            </w:r>
          </w:p>
          <w:tbl>
            <w:tblPr>
              <w:tblW w:w="5000" w:type="pct"/>
              <w:tblCellMar>
                <w:left w:w="0" w:type="dxa"/>
                <w:right w:w="0" w:type="dxa"/>
              </w:tblCellMar>
              <w:tblLook w:val="0000" w:firstRow="0" w:lastRow="0" w:firstColumn="0" w:lastColumn="0" w:noHBand="0" w:noVBand="0"/>
            </w:tblPr>
            <w:tblGrid>
              <w:gridCol w:w="2827"/>
              <w:gridCol w:w="2830"/>
              <w:gridCol w:w="2830"/>
            </w:tblGrid>
            <w:tr w:rsidR="00DE1537" w:rsidRPr="00D0413B" w14:paraId="01133416" w14:textId="77777777" w:rsidTr="00343F3E">
              <w:trPr>
                <w:trHeight w:val="289"/>
              </w:trPr>
              <w:tc>
                <w:tcPr>
                  <w:tcW w:w="1665" w:type="pct"/>
                  <w:tcBorders>
                    <w:top w:val="single" w:sz="4" w:space="0" w:color="BFBFBF"/>
                    <w:bottom w:val="single" w:sz="4" w:space="0" w:color="BFBFBF"/>
                  </w:tcBorders>
                  <w:shd w:val="clear" w:color="auto" w:fill="auto"/>
                  <w:vAlign w:val="center"/>
                </w:tcPr>
                <w:p w14:paraId="6F898EA6" w14:textId="77777777" w:rsidR="00DE1537" w:rsidRPr="00D0413B" w:rsidRDefault="00DE1537" w:rsidP="00343F3E">
                  <w:pPr>
                    <w:pStyle w:val="TableColumnHeading"/>
                    <w:jc w:val="left"/>
                  </w:pPr>
                  <w:r>
                    <w:t>Jurisdiction</w:t>
                  </w:r>
                </w:p>
              </w:tc>
              <w:tc>
                <w:tcPr>
                  <w:tcW w:w="1667" w:type="pct"/>
                  <w:tcBorders>
                    <w:top w:val="single" w:sz="4" w:space="0" w:color="BFBFBF"/>
                    <w:bottom w:val="single" w:sz="4" w:space="0" w:color="BFBFBF"/>
                  </w:tcBorders>
                  <w:shd w:val="clear" w:color="auto" w:fill="auto"/>
                  <w:vAlign w:val="center"/>
                </w:tcPr>
                <w:p w14:paraId="0B32577E" w14:textId="77777777" w:rsidR="00DE1537" w:rsidRPr="00D0413B" w:rsidRDefault="00DE1537" w:rsidP="00343F3E">
                  <w:pPr>
                    <w:pStyle w:val="TableColumnHeading"/>
                  </w:pPr>
                  <w:r w:rsidRPr="00D0413B">
                    <w:t>Allocation</w:t>
                  </w:r>
                </w:p>
              </w:tc>
              <w:tc>
                <w:tcPr>
                  <w:tcW w:w="1667" w:type="pct"/>
                  <w:tcBorders>
                    <w:top w:val="single" w:sz="4" w:space="0" w:color="BFBFBF"/>
                    <w:bottom w:val="single" w:sz="4" w:space="0" w:color="BFBFBF"/>
                  </w:tcBorders>
                  <w:shd w:val="clear" w:color="auto" w:fill="auto"/>
                  <w:vAlign w:val="center"/>
                </w:tcPr>
                <w:p w14:paraId="25532084" w14:textId="77777777" w:rsidR="00DE1537" w:rsidRPr="00D0413B" w:rsidRDefault="00DE1537" w:rsidP="00343F3E">
                  <w:pPr>
                    <w:pStyle w:val="TableColumnHeading"/>
                    <w:ind w:right="28"/>
                    <w:rPr>
                      <w:rStyle w:val="NoteLabel"/>
                      <w:b w:val="0"/>
                      <w:position w:val="0"/>
                      <w:sz w:val="20"/>
                    </w:rPr>
                  </w:pPr>
                  <w:r>
                    <w:t>T</w:t>
                  </w:r>
                  <w:r w:rsidRPr="00D0413B">
                    <w:t>otal</w:t>
                  </w:r>
                </w:p>
              </w:tc>
            </w:tr>
            <w:tr w:rsidR="00DE1537" w:rsidRPr="00CB41DC" w14:paraId="2C238A1E" w14:textId="77777777" w:rsidTr="00343F3E">
              <w:tc>
                <w:tcPr>
                  <w:tcW w:w="1665" w:type="pct"/>
                  <w:tcBorders>
                    <w:top w:val="single" w:sz="4" w:space="0" w:color="BFBFBF"/>
                  </w:tcBorders>
                </w:tcPr>
                <w:p w14:paraId="58C1D215" w14:textId="77777777" w:rsidR="00DE1537" w:rsidRPr="00CB41DC" w:rsidRDefault="00DE1537" w:rsidP="00343F3E">
                  <w:pPr>
                    <w:pStyle w:val="TableUnitsRow"/>
                    <w:jc w:val="left"/>
                  </w:pPr>
                </w:p>
              </w:tc>
              <w:tc>
                <w:tcPr>
                  <w:tcW w:w="1667" w:type="pct"/>
                  <w:tcBorders>
                    <w:top w:val="single" w:sz="4" w:space="0" w:color="BFBFBF"/>
                  </w:tcBorders>
                  <w:vAlign w:val="center"/>
                </w:tcPr>
                <w:p w14:paraId="1EA56246" w14:textId="77777777" w:rsidR="00DE1537" w:rsidRPr="00CB41DC" w:rsidRDefault="00DE1537" w:rsidP="00343F3E">
                  <w:pPr>
                    <w:pStyle w:val="TableUnitsRow"/>
                  </w:pPr>
                  <w:r w:rsidRPr="00CB41DC">
                    <w:t>%</w:t>
                  </w:r>
                </w:p>
              </w:tc>
              <w:tc>
                <w:tcPr>
                  <w:tcW w:w="1667" w:type="pct"/>
                  <w:tcBorders>
                    <w:top w:val="single" w:sz="4" w:space="0" w:color="BFBFBF"/>
                  </w:tcBorders>
                  <w:vAlign w:val="center"/>
                </w:tcPr>
                <w:p w14:paraId="49B7D2EC" w14:textId="77777777" w:rsidR="00DE1537" w:rsidRPr="00CB41DC" w:rsidRDefault="00DE1537" w:rsidP="00343F3E">
                  <w:pPr>
                    <w:pStyle w:val="TableUnitsRow"/>
                    <w:ind w:right="28"/>
                  </w:pPr>
                  <w:r w:rsidRPr="00CB41DC">
                    <w:t>$</w:t>
                  </w:r>
                  <w:r>
                    <w:t> </w:t>
                  </w:r>
                  <w:r w:rsidRPr="00CB41DC">
                    <w:t>million</w:t>
                  </w:r>
                </w:p>
              </w:tc>
            </w:tr>
            <w:tr w:rsidR="00DE1537" w:rsidRPr="00CB41DC" w14:paraId="29F324C7" w14:textId="77777777" w:rsidTr="00343F3E">
              <w:tc>
                <w:tcPr>
                  <w:tcW w:w="1665" w:type="pct"/>
                </w:tcPr>
                <w:p w14:paraId="6A766754" w14:textId="77777777" w:rsidR="00DE1537" w:rsidRPr="00CB41DC" w:rsidRDefault="00DE1537" w:rsidP="00343F3E">
                  <w:pPr>
                    <w:pStyle w:val="TableBodyText"/>
                    <w:jc w:val="left"/>
                  </w:pPr>
                  <w:r>
                    <w:t>NSW</w:t>
                  </w:r>
                </w:p>
              </w:tc>
              <w:tc>
                <w:tcPr>
                  <w:tcW w:w="1667" w:type="pct"/>
                </w:tcPr>
                <w:p w14:paraId="5B66F7D3" w14:textId="77777777" w:rsidR="00DE1537" w:rsidRPr="00CB41DC" w:rsidRDefault="00DE1537" w:rsidP="00343F3E">
                  <w:pPr>
                    <w:pStyle w:val="TableBodyText"/>
                  </w:pPr>
                  <w:r w:rsidRPr="00CB41DC">
                    <w:t>26</w:t>
                  </w:r>
                </w:p>
              </w:tc>
              <w:tc>
                <w:tcPr>
                  <w:tcW w:w="1667" w:type="pct"/>
                </w:tcPr>
                <w:p w14:paraId="183E5297" w14:textId="77777777" w:rsidR="00DE1537" w:rsidRPr="00CB41DC" w:rsidRDefault="00DE1537" w:rsidP="00343F3E">
                  <w:pPr>
                    <w:pStyle w:val="TableBodyText"/>
                    <w:ind w:right="28"/>
                  </w:pPr>
                  <w:r w:rsidRPr="00CB41DC">
                    <w:t>13.5</w:t>
                  </w:r>
                </w:p>
              </w:tc>
            </w:tr>
            <w:tr w:rsidR="00DE1537" w:rsidRPr="00CB41DC" w14:paraId="582F7EB2" w14:textId="77777777" w:rsidTr="00343F3E">
              <w:tc>
                <w:tcPr>
                  <w:tcW w:w="1665" w:type="pct"/>
                  <w:shd w:val="clear" w:color="auto" w:fill="auto"/>
                </w:tcPr>
                <w:p w14:paraId="6FD6A96D" w14:textId="77777777" w:rsidR="00DE1537" w:rsidRPr="00CB41DC" w:rsidRDefault="00DE1537" w:rsidP="00343F3E">
                  <w:pPr>
                    <w:pStyle w:val="TableBodyText"/>
                    <w:jc w:val="left"/>
                  </w:pPr>
                  <w:r>
                    <w:t>Vic</w:t>
                  </w:r>
                </w:p>
              </w:tc>
              <w:tc>
                <w:tcPr>
                  <w:tcW w:w="1667" w:type="pct"/>
                  <w:shd w:val="clear" w:color="auto" w:fill="auto"/>
                </w:tcPr>
                <w:p w14:paraId="192EB136" w14:textId="77777777" w:rsidR="00DE1537" w:rsidRPr="00CB41DC" w:rsidRDefault="00DE1537" w:rsidP="00343F3E">
                  <w:pPr>
                    <w:pStyle w:val="TableBodyText"/>
                  </w:pPr>
                  <w:r w:rsidRPr="00CB41DC">
                    <w:t>16</w:t>
                  </w:r>
                </w:p>
              </w:tc>
              <w:tc>
                <w:tcPr>
                  <w:tcW w:w="1667" w:type="pct"/>
                  <w:shd w:val="clear" w:color="auto" w:fill="auto"/>
                </w:tcPr>
                <w:p w14:paraId="2F512CC6" w14:textId="77777777" w:rsidR="00DE1537" w:rsidRPr="00CB41DC" w:rsidRDefault="00DE1537" w:rsidP="00343F3E">
                  <w:pPr>
                    <w:pStyle w:val="TableBodyText"/>
                    <w:ind w:right="28"/>
                  </w:pPr>
                  <w:r w:rsidRPr="00CB41DC">
                    <w:t>8.4</w:t>
                  </w:r>
                </w:p>
              </w:tc>
            </w:tr>
            <w:tr w:rsidR="00DE1537" w:rsidRPr="00CB41DC" w14:paraId="3FB10567" w14:textId="77777777" w:rsidTr="00343F3E">
              <w:tc>
                <w:tcPr>
                  <w:tcW w:w="1665" w:type="pct"/>
                  <w:shd w:val="clear" w:color="auto" w:fill="auto"/>
                </w:tcPr>
                <w:p w14:paraId="311C598B" w14:textId="77777777" w:rsidR="00DE1537" w:rsidRPr="00CB41DC" w:rsidRDefault="00DE1537" w:rsidP="00343F3E">
                  <w:pPr>
                    <w:pStyle w:val="TableBodyText"/>
                    <w:jc w:val="left"/>
                  </w:pPr>
                  <w:r>
                    <w:t>Qld</w:t>
                  </w:r>
                </w:p>
              </w:tc>
              <w:tc>
                <w:tcPr>
                  <w:tcW w:w="1667" w:type="pct"/>
                  <w:shd w:val="clear" w:color="auto" w:fill="auto"/>
                </w:tcPr>
                <w:p w14:paraId="27A3EC09" w14:textId="77777777" w:rsidR="00DE1537" w:rsidRPr="00CB41DC" w:rsidRDefault="00DE1537" w:rsidP="00343F3E">
                  <w:pPr>
                    <w:pStyle w:val="TableBodyText"/>
                  </w:pPr>
                  <w:r w:rsidRPr="00CB41DC">
                    <w:t>23</w:t>
                  </w:r>
                </w:p>
              </w:tc>
              <w:tc>
                <w:tcPr>
                  <w:tcW w:w="1667" w:type="pct"/>
                  <w:shd w:val="clear" w:color="auto" w:fill="auto"/>
                </w:tcPr>
                <w:p w14:paraId="56A2D422" w14:textId="77777777" w:rsidR="00DE1537" w:rsidRPr="00CB41DC" w:rsidRDefault="00DE1537" w:rsidP="00343F3E">
                  <w:pPr>
                    <w:pStyle w:val="TableBodyText"/>
                    <w:ind w:right="28"/>
                  </w:pPr>
                  <w:r w:rsidRPr="00CB41DC">
                    <w:t>12.0</w:t>
                  </w:r>
                </w:p>
              </w:tc>
            </w:tr>
            <w:tr w:rsidR="00DE1537" w:rsidRPr="00CB41DC" w14:paraId="0B05CB9D" w14:textId="77777777" w:rsidTr="00343F3E">
              <w:tc>
                <w:tcPr>
                  <w:tcW w:w="1665" w:type="pct"/>
                  <w:shd w:val="clear" w:color="auto" w:fill="auto"/>
                </w:tcPr>
                <w:p w14:paraId="05290D39" w14:textId="77777777" w:rsidR="00DE1537" w:rsidRPr="00CB41DC" w:rsidRDefault="00DE1537" w:rsidP="00343F3E">
                  <w:pPr>
                    <w:pStyle w:val="TableBodyText"/>
                    <w:jc w:val="left"/>
                  </w:pPr>
                  <w:r>
                    <w:t>SA</w:t>
                  </w:r>
                </w:p>
              </w:tc>
              <w:tc>
                <w:tcPr>
                  <w:tcW w:w="1667" w:type="pct"/>
                  <w:shd w:val="clear" w:color="auto" w:fill="auto"/>
                </w:tcPr>
                <w:p w14:paraId="12ECFE27" w14:textId="77777777" w:rsidR="00DE1537" w:rsidRPr="00CB41DC" w:rsidRDefault="00DE1537" w:rsidP="00343F3E">
                  <w:pPr>
                    <w:pStyle w:val="TableBodyText"/>
                  </w:pPr>
                  <w:r w:rsidRPr="00CB41DC">
                    <w:t>8</w:t>
                  </w:r>
                </w:p>
              </w:tc>
              <w:tc>
                <w:tcPr>
                  <w:tcW w:w="1667" w:type="pct"/>
                  <w:shd w:val="clear" w:color="auto" w:fill="auto"/>
                </w:tcPr>
                <w:p w14:paraId="28DEEBB8" w14:textId="77777777" w:rsidR="00DE1537" w:rsidRPr="00CB41DC" w:rsidRDefault="00DE1537" w:rsidP="00343F3E">
                  <w:pPr>
                    <w:pStyle w:val="TableBodyText"/>
                    <w:ind w:right="28"/>
                  </w:pPr>
                  <w:r w:rsidRPr="00CB41DC">
                    <w:t>4.2</w:t>
                  </w:r>
                </w:p>
              </w:tc>
            </w:tr>
            <w:tr w:rsidR="00DE1537" w:rsidRPr="00CB41DC" w14:paraId="23C22A34" w14:textId="77777777" w:rsidTr="00343F3E">
              <w:tc>
                <w:tcPr>
                  <w:tcW w:w="1665" w:type="pct"/>
                  <w:shd w:val="clear" w:color="auto" w:fill="auto"/>
                </w:tcPr>
                <w:p w14:paraId="7860EA5F" w14:textId="77777777" w:rsidR="00DE1537" w:rsidRDefault="00DE1537" w:rsidP="00343F3E">
                  <w:pPr>
                    <w:pStyle w:val="TableBodyText"/>
                    <w:jc w:val="left"/>
                  </w:pPr>
                  <w:r>
                    <w:t>WA</w:t>
                  </w:r>
                </w:p>
              </w:tc>
              <w:tc>
                <w:tcPr>
                  <w:tcW w:w="1667" w:type="pct"/>
                  <w:shd w:val="clear" w:color="auto" w:fill="auto"/>
                </w:tcPr>
                <w:p w14:paraId="390C4263" w14:textId="77777777" w:rsidR="00DE1537" w:rsidRPr="00CB41DC" w:rsidRDefault="00DE1537" w:rsidP="00343F3E">
                  <w:pPr>
                    <w:pStyle w:val="TableBodyText"/>
                  </w:pPr>
                  <w:r w:rsidRPr="00CB41DC">
                    <w:t>12</w:t>
                  </w:r>
                </w:p>
              </w:tc>
              <w:tc>
                <w:tcPr>
                  <w:tcW w:w="1667" w:type="pct"/>
                  <w:shd w:val="clear" w:color="auto" w:fill="auto"/>
                </w:tcPr>
                <w:p w14:paraId="265B9DD1" w14:textId="77777777" w:rsidR="00DE1537" w:rsidRPr="00CB41DC" w:rsidRDefault="00DE1537" w:rsidP="00343F3E">
                  <w:pPr>
                    <w:pStyle w:val="TableBodyText"/>
                    <w:ind w:right="28"/>
                  </w:pPr>
                  <w:r w:rsidRPr="00CB41DC">
                    <w:t>6.3</w:t>
                  </w:r>
                </w:p>
              </w:tc>
            </w:tr>
            <w:tr w:rsidR="00DE1537" w:rsidRPr="00CB41DC" w14:paraId="29059FB0" w14:textId="77777777" w:rsidTr="00343F3E">
              <w:tc>
                <w:tcPr>
                  <w:tcW w:w="1665" w:type="pct"/>
                  <w:shd w:val="clear" w:color="auto" w:fill="auto"/>
                </w:tcPr>
                <w:p w14:paraId="6AD9C71C" w14:textId="77777777" w:rsidR="00DE1537" w:rsidRPr="00CB41DC" w:rsidRDefault="00DE1537" w:rsidP="00343F3E">
                  <w:pPr>
                    <w:pStyle w:val="TableBodyText"/>
                    <w:jc w:val="left"/>
                  </w:pPr>
                  <w:r>
                    <w:t>Tas</w:t>
                  </w:r>
                </w:p>
              </w:tc>
              <w:tc>
                <w:tcPr>
                  <w:tcW w:w="1667" w:type="pct"/>
                  <w:shd w:val="clear" w:color="auto" w:fill="auto"/>
                </w:tcPr>
                <w:p w14:paraId="3FB85C2E" w14:textId="77777777" w:rsidR="00DE1537" w:rsidRPr="00CB41DC" w:rsidRDefault="00DE1537" w:rsidP="00343F3E">
                  <w:pPr>
                    <w:pStyle w:val="TableBodyText"/>
                  </w:pPr>
                  <w:r w:rsidRPr="00CB41DC">
                    <w:t>5</w:t>
                  </w:r>
                </w:p>
              </w:tc>
              <w:tc>
                <w:tcPr>
                  <w:tcW w:w="1667" w:type="pct"/>
                  <w:shd w:val="clear" w:color="auto" w:fill="auto"/>
                </w:tcPr>
                <w:p w14:paraId="1EB536D7" w14:textId="77777777" w:rsidR="00DE1537" w:rsidRPr="00CB41DC" w:rsidRDefault="00DE1537" w:rsidP="00343F3E">
                  <w:pPr>
                    <w:pStyle w:val="TableBodyText"/>
                    <w:ind w:right="28"/>
                  </w:pPr>
                  <w:r w:rsidRPr="00CB41DC">
                    <w:t>2.6</w:t>
                  </w:r>
                </w:p>
              </w:tc>
            </w:tr>
            <w:tr w:rsidR="00DE1537" w:rsidRPr="00CB41DC" w14:paraId="70ACC232" w14:textId="77777777" w:rsidTr="00343F3E">
              <w:tc>
                <w:tcPr>
                  <w:tcW w:w="1665" w:type="pct"/>
                  <w:shd w:val="clear" w:color="auto" w:fill="auto"/>
                </w:tcPr>
                <w:p w14:paraId="57CBE4A6" w14:textId="77777777" w:rsidR="00DE1537" w:rsidRPr="00CB41DC" w:rsidRDefault="00DE1537" w:rsidP="00343F3E">
                  <w:pPr>
                    <w:pStyle w:val="TableBodyText"/>
                    <w:jc w:val="left"/>
                  </w:pPr>
                  <w:r>
                    <w:t>NT</w:t>
                  </w:r>
                </w:p>
              </w:tc>
              <w:tc>
                <w:tcPr>
                  <w:tcW w:w="1667" w:type="pct"/>
                  <w:shd w:val="clear" w:color="auto" w:fill="auto"/>
                </w:tcPr>
                <w:p w14:paraId="440F999C" w14:textId="77777777" w:rsidR="00DE1537" w:rsidRPr="00CB41DC" w:rsidRDefault="00DE1537" w:rsidP="00343F3E">
                  <w:pPr>
                    <w:pStyle w:val="TableBodyText"/>
                  </w:pPr>
                  <w:r w:rsidRPr="00CB41DC">
                    <w:t>5</w:t>
                  </w:r>
                </w:p>
              </w:tc>
              <w:tc>
                <w:tcPr>
                  <w:tcW w:w="1667" w:type="pct"/>
                  <w:shd w:val="clear" w:color="auto" w:fill="auto"/>
                </w:tcPr>
                <w:p w14:paraId="2584BF54" w14:textId="77777777" w:rsidR="00DE1537" w:rsidRPr="00CB41DC" w:rsidRDefault="00DE1537" w:rsidP="00343F3E">
                  <w:pPr>
                    <w:pStyle w:val="TableBodyText"/>
                    <w:ind w:right="28"/>
                  </w:pPr>
                  <w:r w:rsidRPr="00CB41DC">
                    <w:t>2.6</w:t>
                  </w:r>
                </w:p>
              </w:tc>
            </w:tr>
            <w:tr w:rsidR="00DE1537" w:rsidRPr="00CB41DC" w14:paraId="47BC3B62" w14:textId="77777777" w:rsidTr="00343F3E">
              <w:tc>
                <w:tcPr>
                  <w:tcW w:w="1665" w:type="pct"/>
                  <w:shd w:val="clear" w:color="auto" w:fill="auto"/>
                </w:tcPr>
                <w:p w14:paraId="2EA2D959" w14:textId="77777777" w:rsidR="00DE1537" w:rsidRPr="00CB41DC" w:rsidRDefault="00DE1537" w:rsidP="00343F3E">
                  <w:pPr>
                    <w:pStyle w:val="TableBodyText"/>
                    <w:jc w:val="left"/>
                  </w:pPr>
                  <w:r>
                    <w:t>ACT</w:t>
                  </w:r>
                </w:p>
              </w:tc>
              <w:tc>
                <w:tcPr>
                  <w:tcW w:w="1667" w:type="pct"/>
                  <w:shd w:val="clear" w:color="auto" w:fill="auto"/>
                </w:tcPr>
                <w:p w14:paraId="3878F570" w14:textId="77777777" w:rsidR="00DE1537" w:rsidRPr="00CB41DC" w:rsidRDefault="00DE1537" w:rsidP="00343F3E">
                  <w:pPr>
                    <w:pStyle w:val="TableBodyText"/>
                  </w:pPr>
                  <w:r w:rsidRPr="00CB41DC">
                    <w:t>5</w:t>
                  </w:r>
                </w:p>
              </w:tc>
              <w:tc>
                <w:tcPr>
                  <w:tcW w:w="1667" w:type="pct"/>
                  <w:shd w:val="clear" w:color="auto" w:fill="auto"/>
                </w:tcPr>
                <w:p w14:paraId="136C95D1" w14:textId="77777777" w:rsidR="00DE1537" w:rsidRPr="00CB41DC" w:rsidRDefault="00DE1537" w:rsidP="00343F3E">
                  <w:pPr>
                    <w:pStyle w:val="TableBodyText"/>
                    <w:ind w:right="28"/>
                  </w:pPr>
                  <w:r w:rsidRPr="00CB41DC">
                    <w:t>2.6</w:t>
                  </w:r>
                </w:p>
              </w:tc>
            </w:tr>
            <w:tr w:rsidR="00DE1537" w:rsidRPr="00CB41DC" w14:paraId="4CAEA91B" w14:textId="77777777" w:rsidTr="00343F3E">
              <w:tc>
                <w:tcPr>
                  <w:tcW w:w="1665" w:type="pct"/>
                  <w:tcBorders>
                    <w:bottom w:val="single" w:sz="4" w:space="0" w:color="BFBFBF"/>
                  </w:tcBorders>
                  <w:shd w:val="clear" w:color="auto" w:fill="auto"/>
                </w:tcPr>
                <w:p w14:paraId="1B3EEAE2" w14:textId="77777777" w:rsidR="00DE1537" w:rsidRPr="00E87258" w:rsidRDefault="00DE1537" w:rsidP="00343F3E">
                  <w:pPr>
                    <w:pStyle w:val="TableBodyText"/>
                    <w:jc w:val="left"/>
                    <w:rPr>
                      <w:b/>
                    </w:rPr>
                  </w:pPr>
                  <w:r w:rsidRPr="00E87258">
                    <w:rPr>
                      <w:b/>
                    </w:rPr>
                    <w:t>Total</w:t>
                  </w:r>
                </w:p>
              </w:tc>
              <w:tc>
                <w:tcPr>
                  <w:tcW w:w="1667" w:type="pct"/>
                  <w:tcBorders>
                    <w:bottom w:val="single" w:sz="4" w:space="0" w:color="BFBFBF"/>
                  </w:tcBorders>
                  <w:shd w:val="clear" w:color="auto" w:fill="auto"/>
                </w:tcPr>
                <w:p w14:paraId="57C59021" w14:textId="77777777" w:rsidR="00DE1537" w:rsidRPr="00E87258" w:rsidRDefault="00DE1537" w:rsidP="00343F3E">
                  <w:pPr>
                    <w:pStyle w:val="TableBodyText"/>
                    <w:rPr>
                      <w:b/>
                    </w:rPr>
                  </w:pPr>
                  <w:r w:rsidRPr="00E87258">
                    <w:rPr>
                      <w:b/>
                    </w:rPr>
                    <w:t>100</w:t>
                  </w:r>
                </w:p>
              </w:tc>
              <w:tc>
                <w:tcPr>
                  <w:tcW w:w="1667" w:type="pct"/>
                  <w:tcBorders>
                    <w:bottom w:val="single" w:sz="4" w:space="0" w:color="BFBFBF"/>
                  </w:tcBorders>
                  <w:shd w:val="clear" w:color="auto" w:fill="auto"/>
                </w:tcPr>
                <w:p w14:paraId="51372C63" w14:textId="77777777" w:rsidR="00DE1537" w:rsidRPr="00E87258" w:rsidRDefault="00DE1537" w:rsidP="00343F3E">
                  <w:pPr>
                    <w:pStyle w:val="TableBodyText"/>
                    <w:ind w:right="28"/>
                    <w:rPr>
                      <w:b/>
                    </w:rPr>
                  </w:pPr>
                  <w:r w:rsidRPr="00E87258">
                    <w:rPr>
                      <w:b/>
                    </w:rPr>
                    <w:t>52.2</w:t>
                  </w:r>
                </w:p>
              </w:tc>
            </w:tr>
          </w:tbl>
          <w:p w14:paraId="639A5429" w14:textId="77777777" w:rsidR="00DE1537" w:rsidRDefault="00DE1537" w:rsidP="00343F3E">
            <w:pPr>
              <w:pStyle w:val="BoxHeading1"/>
            </w:pPr>
            <w:r w:rsidRPr="00166E06">
              <w:t>National Emergency Management Projects (NEMP)</w:t>
            </w:r>
          </w:p>
          <w:p w14:paraId="329BA38E" w14:textId="77777777" w:rsidR="00DE1537" w:rsidRDefault="00DE1537" w:rsidP="00343F3E">
            <w:pPr>
              <w:pStyle w:val="Box"/>
            </w:pPr>
            <w:r>
              <w:t xml:space="preserve">Established in 2009, the NEMP </w:t>
            </w:r>
            <w:r w:rsidRPr="00CB41DC">
              <w:t>grant program fund</w:t>
            </w:r>
            <w:r>
              <w:t>s</w:t>
            </w:r>
            <w:r w:rsidRPr="00CB41DC">
              <w:t xml:space="preserve"> projects of national significance that contribute to the implementation of the NSDR</w:t>
            </w:r>
            <w:r>
              <w:t xml:space="preserve"> and</w:t>
            </w:r>
            <w:r w:rsidRPr="00CB41DC">
              <w:t xml:space="preserve"> is administered by the </w:t>
            </w:r>
            <w:r>
              <w:t>Attorney</w:t>
            </w:r>
            <w:r>
              <w:noBreakHyphen/>
              <w:t>General’s</w:t>
            </w:r>
            <w:r w:rsidRPr="00CB41DC">
              <w:t xml:space="preserve"> Department.</w:t>
            </w:r>
            <w:r>
              <w:t xml:space="preserve"> R</w:t>
            </w:r>
            <w:r w:rsidRPr="00CB41DC">
              <w:t>ecipients can include government or non</w:t>
            </w:r>
            <w:r>
              <w:noBreakHyphen/>
              <w:t>government agencies, non</w:t>
            </w:r>
            <w:r w:rsidRPr="00CB41DC">
              <w:t>profi</w:t>
            </w:r>
            <w:r>
              <w:t>t organisations or</w:t>
            </w:r>
            <w:r w:rsidRPr="00CB41DC">
              <w:t xml:space="preserve"> academic bodies. Since 2009, it has provided </w:t>
            </w:r>
            <w:r>
              <w:t xml:space="preserve">approximately </w:t>
            </w:r>
            <w:r w:rsidRPr="00CB41DC">
              <w:t>$17 million for over 100</w:t>
            </w:r>
            <w:r>
              <w:t> </w:t>
            </w:r>
            <w:r w:rsidRPr="00CB41DC">
              <w:t>projects. Projects have included the development of national framewor</w:t>
            </w:r>
            <w:r>
              <w:t>ks, exercises</w:t>
            </w:r>
            <w:r w:rsidRPr="00CB41DC">
              <w:t>, research, evaluations and cap</w:t>
            </w:r>
            <w:r>
              <w:t xml:space="preserve">ability development initiatives. For example, the Bushfire and Natural Hazards Cooperative Research Centre received $350 000 to develop </w:t>
            </w:r>
            <w:r w:rsidRPr="00404993">
              <w:t>the framework for the new Fire Danger Rating System to improve the ability of fire and emergency services agencies to warn the public about fire dangers and support fire detection decision making.</w:t>
            </w:r>
          </w:p>
        </w:tc>
      </w:tr>
      <w:tr w:rsidR="00DE1537" w14:paraId="06DEE216" w14:textId="77777777" w:rsidTr="00343F3E">
        <w:trPr>
          <w:cantSplit/>
        </w:trPr>
        <w:tc>
          <w:tcPr>
            <w:tcW w:w="8771" w:type="dxa"/>
            <w:tcBorders>
              <w:top w:val="nil"/>
              <w:left w:val="nil"/>
              <w:bottom w:val="nil"/>
              <w:right w:val="nil"/>
            </w:tcBorders>
            <w:shd w:val="clear" w:color="auto" w:fill="F2F2F2" w:themeFill="background1" w:themeFillShade="F2"/>
          </w:tcPr>
          <w:p w14:paraId="44302A98" w14:textId="79FE5C50" w:rsidR="00DE1537" w:rsidRDefault="00DE1537" w:rsidP="00343F3E">
            <w:pPr>
              <w:pStyle w:val="BoxSource"/>
            </w:pPr>
            <w:r>
              <w:rPr>
                <w:i/>
              </w:rPr>
              <w:t>Sources</w:t>
            </w:r>
            <w:r w:rsidRPr="00167F06">
              <w:t>:</w:t>
            </w:r>
            <w:r>
              <w:t xml:space="preserve"> Attorney</w:t>
            </w:r>
            <w:r>
              <w:noBreakHyphen/>
              <w:t>General’s Department</w:t>
            </w:r>
            <w:r w:rsidRPr="00CB41DC">
              <w:t xml:space="preserve"> </w:t>
            </w:r>
            <w:r w:rsidRPr="00187A76">
              <w:rPr>
                <w:rFonts w:cs="Arial"/>
              </w:rPr>
              <w:t>(2014d; sub. 90)</w:t>
            </w:r>
            <w:r>
              <w:t>; COAG</w:t>
            </w:r>
            <w:r w:rsidRPr="00167F06">
              <w:t xml:space="preserve"> </w:t>
            </w:r>
            <w:r w:rsidRPr="00FB6E3D">
              <w:rPr>
                <w:rFonts w:cs="Arial"/>
              </w:rPr>
              <w:t>(2009, 2014)</w:t>
            </w:r>
            <w:r>
              <w:t xml:space="preserve">; EMA </w:t>
            </w:r>
            <w:r w:rsidRPr="000759F1">
              <w:rPr>
                <w:rFonts w:cs="Arial"/>
              </w:rPr>
              <w:t>(2014)</w:t>
            </w:r>
            <w:r>
              <w:t xml:space="preserve">; PC </w:t>
            </w:r>
            <w:r w:rsidRPr="000759F1">
              <w:rPr>
                <w:rFonts w:cs="Arial"/>
              </w:rPr>
              <w:t>(2012)</w:t>
            </w:r>
            <w:r>
              <w:t>.</w:t>
            </w:r>
          </w:p>
        </w:tc>
      </w:tr>
      <w:tr w:rsidR="00DE1537" w14:paraId="6214861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F9429CE" w14:textId="77777777" w:rsidR="00DE1537" w:rsidRDefault="00DE1537" w:rsidP="00343F3E">
            <w:pPr>
              <w:pStyle w:val="Box"/>
              <w:spacing w:before="0" w:line="120" w:lineRule="exact"/>
            </w:pPr>
          </w:p>
        </w:tc>
      </w:tr>
      <w:tr w:rsidR="00DE1537" w:rsidRPr="000863A5" w14:paraId="64DBC725" w14:textId="77777777" w:rsidTr="00343F3E">
        <w:tc>
          <w:tcPr>
            <w:tcW w:w="8771" w:type="dxa"/>
            <w:tcBorders>
              <w:top w:val="single" w:sz="6" w:space="0" w:color="78A22F"/>
              <w:left w:val="nil"/>
              <w:bottom w:val="nil"/>
              <w:right w:val="nil"/>
            </w:tcBorders>
          </w:tcPr>
          <w:p w14:paraId="48685042" w14:textId="77777777" w:rsidR="00DE1537" w:rsidRPr="00626D32" w:rsidRDefault="00DE1537" w:rsidP="00343F3E">
            <w:pPr>
              <w:pStyle w:val="BoxSpaceBelow"/>
            </w:pPr>
          </w:p>
        </w:tc>
      </w:tr>
    </w:tbl>
    <w:p w14:paraId="717FB8D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DE1537" w14:paraId="3D887065" w14:textId="77777777" w:rsidTr="00343F3E">
        <w:tc>
          <w:tcPr>
            <w:tcW w:w="8771" w:type="dxa"/>
            <w:tcBorders>
              <w:top w:val="single" w:sz="6" w:space="0" w:color="78A22F"/>
              <w:left w:val="nil"/>
              <w:bottom w:val="nil"/>
              <w:right w:val="nil"/>
            </w:tcBorders>
            <w:shd w:val="clear" w:color="auto" w:fill="F2F2F2" w:themeFill="background1" w:themeFillShade="F2"/>
          </w:tcPr>
          <w:p w14:paraId="4BE223E9" w14:textId="18699EBA" w:rsidR="00DE1537" w:rsidRDefault="00DE1537" w:rsidP="00343F3E">
            <w:pPr>
              <w:pStyle w:val="BoxTitle"/>
            </w:pPr>
            <w:r>
              <w:rPr>
                <w:b w:val="0"/>
              </w:rPr>
              <w:t xml:space="preserve">Box </w:t>
            </w:r>
            <w:bookmarkStart w:id="36" w:name="OLE_LINK19"/>
            <w:r>
              <w:rPr>
                <w:b w:val="0"/>
              </w:rPr>
              <w:t>2.</w:t>
            </w:r>
            <w:r>
              <w:rPr>
                <w:b w:val="0"/>
                <w:noProof/>
              </w:rPr>
              <w:t>10</w:t>
            </w:r>
            <w:bookmarkEnd w:id="36"/>
            <w:r>
              <w:tab/>
              <w:t>State government mitigation and resilience works</w:t>
            </w:r>
          </w:p>
        </w:tc>
      </w:tr>
      <w:tr w:rsidR="00DE1537" w14:paraId="392D99F6" w14:textId="77777777" w:rsidTr="00343F3E">
        <w:trPr>
          <w:cantSplit/>
        </w:trPr>
        <w:tc>
          <w:tcPr>
            <w:tcW w:w="8771" w:type="dxa"/>
            <w:tcBorders>
              <w:top w:val="nil"/>
              <w:left w:val="nil"/>
              <w:bottom w:val="nil"/>
              <w:right w:val="nil"/>
            </w:tcBorders>
            <w:shd w:val="clear" w:color="auto" w:fill="F2F2F2" w:themeFill="background1" w:themeFillShade="F2"/>
          </w:tcPr>
          <w:p w14:paraId="364CA8DC" w14:textId="77777777" w:rsidR="00DE1537" w:rsidRDefault="00DE1537" w:rsidP="00343F3E">
            <w:pPr>
              <w:pStyle w:val="Box"/>
              <w:tabs>
                <w:tab w:val="left" w:pos="3405"/>
              </w:tabs>
            </w:pPr>
            <w:r>
              <w:t>In addition to explicit mitigation programs, state governments undertake a significant amount of mitigation and resilience activities as part of broader infrastructure and service delivery activities. Information about state government mitigation works is not available for all jurisdictions.</w:t>
            </w:r>
          </w:p>
          <w:p w14:paraId="35F6D56A" w14:textId="77777777" w:rsidR="00DE1537" w:rsidRDefault="00DE1537" w:rsidP="00343F3E">
            <w:pPr>
              <w:pStyle w:val="Box"/>
              <w:tabs>
                <w:tab w:val="left" w:pos="3405"/>
              </w:tabs>
            </w:pPr>
            <w:r>
              <w:t xml:space="preserve"> The New South Wales Government noted that it is difficult to be comprehensive when determining how much is spent on mitigation to improve resilience:</w:t>
            </w:r>
          </w:p>
          <w:p w14:paraId="59662703" w14:textId="77777777" w:rsidR="00DE1537" w:rsidRDefault="00DE1537" w:rsidP="00343F3E">
            <w:pPr>
              <w:pStyle w:val="BoxQuote"/>
            </w:pPr>
            <w:r w:rsidRPr="00C00C6C">
              <w:t xml:space="preserve">… </w:t>
            </w:r>
            <w:proofErr w:type="gramStart"/>
            <w:r w:rsidRPr="00C00C6C">
              <w:t>a</w:t>
            </w:r>
            <w:proofErr w:type="gramEnd"/>
            <w:r w:rsidRPr="00C00C6C">
              <w:t xml:space="preserve"> significant portion of the NSW investment in resilience is incurred in compliance with engineering standards and environmental regulations and through the business as usual activities of NSW Government agencies, all these mainly funded from agency </w:t>
            </w:r>
            <w:r>
              <w:t>capital and operating budgets. (NSW Government, sub. 114, p. </w:t>
            </w:r>
            <w:r w:rsidRPr="00C00C6C">
              <w:t>37</w:t>
            </w:r>
            <w:r>
              <w:t>)</w:t>
            </w:r>
          </w:p>
          <w:p w14:paraId="3EF38052" w14:textId="77777777" w:rsidR="00DE1537" w:rsidRDefault="00DE1537" w:rsidP="00343F3E">
            <w:pPr>
              <w:pStyle w:val="Box"/>
              <w:tabs>
                <w:tab w:val="left" w:pos="3405"/>
              </w:tabs>
            </w:pPr>
            <w:r>
              <w:t>The range of mitigation and resilience works are diverse including: fire trail maintenance and fire hazard mitigation; identification of levees and infrastructure at risk; and s</w:t>
            </w:r>
            <w:r w:rsidRPr="00C412F3">
              <w:t>tudies and reviews on land planning, emergency planning and capability assessment, and flood water movements</w:t>
            </w:r>
            <w:r>
              <w:t>.</w:t>
            </w:r>
          </w:p>
          <w:p w14:paraId="1E8EA8A7" w14:textId="77777777" w:rsidR="00DE1537" w:rsidRDefault="00DE1537" w:rsidP="00343F3E">
            <w:pPr>
              <w:pStyle w:val="Box"/>
              <w:tabs>
                <w:tab w:val="left" w:pos="3405"/>
              </w:tabs>
            </w:pPr>
            <w:r>
              <w:t>Victoria provides a significant amount of funding for natural disaster mitigation programs through its core budget allocations. Investment in these programs has continued to develop following recent natural disasters in Victoria, including the 2009 Black Saturday Bushfires and 2010</w:t>
            </w:r>
            <w:r>
              <w:noBreakHyphen/>
              <w:t>11 Victorian Floods. The Victorian Government noted that ‘[a]cross its State Departments and Agencies, Victoria spent in excess of $3.583 billion over the period from 2002</w:t>
            </w:r>
            <w:r>
              <w:noBreakHyphen/>
              <w:t>03 to 2013</w:t>
            </w:r>
            <w:r>
              <w:noBreakHyphen/>
              <w:t>14 (an average of $298.6 million per year)’ (Victorian Government, sub. 113, p. 3).</w:t>
            </w:r>
          </w:p>
          <w:p w14:paraId="61E8C07E" w14:textId="77777777" w:rsidR="00DE1537" w:rsidRPr="006A63BC" w:rsidRDefault="00DE1537" w:rsidP="00343F3E">
            <w:pPr>
              <w:pStyle w:val="Box"/>
              <w:tabs>
                <w:tab w:val="left" w:pos="3405"/>
              </w:tabs>
              <w:rPr>
                <w:rStyle w:val="DraftingNote"/>
                <w:b w:val="0"/>
                <w:color w:val="auto"/>
                <w:sz w:val="20"/>
                <w:u w:val="none"/>
              </w:rPr>
            </w:pPr>
            <w:r w:rsidRPr="00AC67DE">
              <w:t>The Western Australian Government has funded a range of mitigation measures through budget all</w:t>
            </w:r>
            <w:r>
              <w:t xml:space="preserve">ocations as well as the National Partnership Agreement on Natural Disaster Resilience (WA Government, </w:t>
            </w:r>
            <w:r w:rsidRPr="00AC67DE">
              <w:t>pers. comm., 14</w:t>
            </w:r>
            <w:r>
              <w:t> </w:t>
            </w:r>
            <w:r w:rsidRPr="00AC67DE">
              <w:t>July 201</w:t>
            </w:r>
            <w:r>
              <w:t>4).</w:t>
            </w:r>
            <w:r w:rsidRPr="00AC67DE">
              <w:t xml:space="preserve"> It spent </w:t>
            </w:r>
            <w:r>
              <w:t>around</w:t>
            </w:r>
            <w:r w:rsidRPr="00AC67DE">
              <w:t xml:space="preserve"> $420</w:t>
            </w:r>
            <w:r>
              <w:t> </w:t>
            </w:r>
            <w:r w:rsidRPr="00AC67DE">
              <w:t>million on mitigation measures outside of the NPANDR in 2012</w:t>
            </w:r>
            <w:r w:rsidRPr="00AC67DE">
              <w:noBreakHyphen/>
              <w:t xml:space="preserve">13. A significant proportion of this </w:t>
            </w:r>
            <w:r>
              <w:t>(</w:t>
            </w:r>
            <w:r w:rsidRPr="00AC67DE">
              <w:t>$328</w:t>
            </w:r>
            <w:r>
              <w:t> </w:t>
            </w:r>
            <w:r w:rsidRPr="00AC67DE">
              <w:t>million</w:t>
            </w:r>
            <w:r>
              <w:t>)</w:t>
            </w:r>
            <w:r w:rsidRPr="00AC67DE">
              <w:t xml:space="preserve"> was spen</w:t>
            </w:r>
            <w:r>
              <w:t>t</w:t>
            </w:r>
            <w:r w:rsidRPr="00AC67DE">
              <w:t xml:space="preserve"> by Western Power </w:t>
            </w:r>
            <w:r>
              <w:t>on</w:t>
            </w:r>
            <w:r w:rsidRPr="00AC67DE">
              <w:t xml:space="preserve"> bushfire mitigation programs.</w:t>
            </w:r>
            <w:r>
              <w:t xml:space="preserve"> In addition</w:t>
            </w:r>
            <w:r w:rsidRPr="00AC67DE">
              <w:t>, the Depart</w:t>
            </w:r>
            <w:r>
              <w:t>ment of Parks and Wildlife spent</w:t>
            </w:r>
            <w:r w:rsidRPr="00AC67DE">
              <w:t xml:space="preserve"> $65</w:t>
            </w:r>
            <w:r>
              <w:t> </w:t>
            </w:r>
            <w:r w:rsidRPr="00AC67DE">
              <w:t>million on bushfire mitigation and suppression</w:t>
            </w:r>
            <w:r>
              <w:t>.</w:t>
            </w:r>
          </w:p>
        </w:tc>
      </w:tr>
      <w:tr w:rsidR="00DE1537" w14:paraId="0F5609DD"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5783355" w14:textId="77777777" w:rsidR="00DE1537" w:rsidRDefault="00DE1537" w:rsidP="00343F3E">
            <w:pPr>
              <w:pStyle w:val="Box"/>
              <w:spacing w:before="0" w:line="120" w:lineRule="exact"/>
            </w:pPr>
          </w:p>
        </w:tc>
      </w:tr>
      <w:tr w:rsidR="00DE1537" w:rsidRPr="000863A5" w14:paraId="11C71D52" w14:textId="77777777" w:rsidTr="00343F3E">
        <w:tc>
          <w:tcPr>
            <w:tcW w:w="8771" w:type="dxa"/>
            <w:tcBorders>
              <w:top w:val="single" w:sz="6" w:space="0" w:color="78A22F"/>
              <w:left w:val="nil"/>
              <w:bottom w:val="nil"/>
              <w:right w:val="nil"/>
            </w:tcBorders>
          </w:tcPr>
          <w:p w14:paraId="72C52FC9" w14:textId="77777777" w:rsidR="00DE1537" w:rsidRPr="00626D32" w:rsidRDefault="00DE1537" w:rsidP="00343F3E">
            <w:pPr>
              <w:pStyle w:val="BoxSpaceBelow"/>
            </w:pPr>
          </w:p>
        </w:tc>
      </w:tr>
    </w:tbl>
    <w:p w14:paraId="133ED9A3" w14:textId="77777777" w:rsidR="00CE306F" w:rsidRDefault="00CE306F" w:rsidP="00CE306F">
      <w:pPr>
        <w:pStyle w:val="BodyText"/>
      </w:pPr>
      <w:bookmarkStart w:id="37" w:name="OLE_LINK11"/>
      <w:bookmarkEnd w:id="37"/>
      <w:r>
        <w:t xml:space="preserve">State and territory governments also undertake betterment of infrastructure. Betterment entails rebuilding a destroyed asset to a more disaster resilient standard, and is essentially a form of mitigation. While betterment is allowed under the NDRRA, it has only been used once as there are a number of impediments to its use (discussed below and in more detail in supplementary paper 4). Given these difficulties, governments have sought alternative ways to fund betterment. For example, the Queensland Betterment Fund was established in 2013 to enable </w:t>
      </w:r>
      <w:r w:rsidRPr="00CA7E59">
        <w:t>local governments</w:t>
      </w:r>
      <w:r>
        <w:t xml:space="preserve"> to</w:t>
      </w:r>
      <w:r w:rsidRPr="00CA7E59">
        <w:t xml:space="preserve"> restore or replace essential public assets damaged by natural disasters to a more disaster resilient standard</w:t>
      </w:r>
      <w:r>
        <w:t>. The Queensland Government initially allocated $100 million to the fund, subject to Australian Government matching of the same amount. The Fund was ultimately allocated $80 million ($40 million each from the Queensland and Australian Governments), and was massively oversubscribed (supplementary paper 4)</w:t>
      </w:r>
      <w:r w:rsidRPr="00CA7E59">
        <w:t>.</w:t>
      </w:r>
    </w:p>
    <w:p w14:paraId="1EBC8A77" w14:textId="77777777" w:rsidR="00DE1537" w:rsidRDefault="00DE1537" w:rsidP="00343F3E">
      <w:pPr>
        <w:pStyle w:val="Heading4"/>
      </w:pPr>
      <w:r>
        <w:t>Local government mitigation funding</w:t>
      </w:r>
    </w:p>
    <w:p w14:paraId="4218A922" w14:textId="77777777" w:rsidR="00DE1537" w:rsidRDefault="00DE1537" w:rsidP="00343F3E">
      <w:pPr>
        <w:pStyle w:val="BodyText"/>
      </w:pPr>
      <w:r>
        <w:t xml:space="preserve">Local governments generally provide some expenditure on legislated emergency management responsibilities as well as mitigating natural disaster risks. </w:t>
      </w:r>
      <w:r w:rsidRPr="00CB41DC">
        <w:t xml:space="preserve">Local governments </w:t>
      </w:r>
      <w:r w:rsidRPr="00CB41DC">
        <w:lastRenderedPageBreak/>
        <w:t>have access to mitigation funding through grant programs that op</w:t>
      </w:r>
      <w:r>
        <w:t xml:space="preserve">erate under the NPANDR </w:t>
      </w:r>
      <w:r w:rsidRPr="00CB41DC">
        <w:t>as well as other state</w:t>
      </w:r>
      <w:r>
        <w:t xml:space="preserve"> government programs. However, local government expenditure is generally smaller than state and territory government expenditure. The large </w:t>
      </w:r>
      <w:proofErr w:type="gramStart"/>
      <w:r>
        <w:t>number,</w:t>
      </w:r>
      <w:proofErr w:type="gramEnd"/>
      <w:r>
        <w:t xml:space="preserve"> and diversity of, local governments means that information on mitigation funding is not easily accessible. The Commission has relied on analysis of submission material to provide an indicative picture of local government funding.</w:t>
      </w:r>
    </w:p>
    <w:p w14:paraId="471D5624" w14:textId="77777777" w:rsidR="00DE1537" w:rsidRDefault="00DE1537" w:rsidP="00343F3E">
      <w:pPr>
        <w:pStyle w:val="BodyText"/>
      </w:pPr>
      <w:r>
        <w:t>The Municipal Association of Victoria (sub. 98, p. 16) noted that:</w:t>
      </w:r>
    </w:p>
    <w:p w14:paraId="4B7E8648" w14:textId="77777777" w:rsidR="00DE1537" w:rsidRDefault="00DE1537" w:rsidP="00343F3E">
      <w:pPr>
        <w:pStyle w:val="Quote"/>
      </w:pPr>
      <w:r>
        <w:t>The mean gross expenditure on emergency management was $1.7 million per council and the mean, net of grants, was $1.5 million, this could amount to a high proportion of a small council’s revenue. There are three broad categories of expenditure from councils’ rates and charges revenue (i.e. excluding funding from staffing grants and reimbursements) that account for 86 per cent of emergency management outlays:</w:t>
      </w:r>
    </w:p>
    <w:p w14:paraId="4FF264E0" w14:textId="77777777" w:rsidR="00DE1537" w:rsidRDefault="00DE1537" w:rsidP="00343F3E">
      <w:pPr>
        <w:pStyle w:val="QuoteBullet"/>
      </w:pPr>
      <w:r>
        <w:t>mitigation activities (47 per cent),</w:t>
      </w:r>
    </w:p>
    <w:p w14:paraId="2114D4B8" w14:textId="77777777" w:rsidR="00DE1537" w:rsidRDefault="00DE1537" w:rsidP="00343F3E">
      <w:pPr>
        <w:pStyle w:val="QuoteBullet"/>
      </w:pPr>
      <w:r>
        <w:t>contributions to emergency service organisations (24 per cent), and</w:t>
      </w:r>
    </w:p>
    <w:p w14:paraId="37316D89" w14:textId="77777777" w:rsidR="00DE1537" w:rsidRDefault="00DE1537" w:rsidP="00343F3E">
      <w:pPr>
        <w:pStyle w:val="QuoteBullet"/>
      </w:pPr>
      <w:proofErr w:type="gramStart"/>
      <w:r>
        <w:t>staffing</w:t>
      </w:r>
      <w:proofErr w:type="gramEnd"/>
      <w:r>
        <w:t xml:space="preserve"> costs (15 per cent).</w:t>
      </w:r>
    </w:p>
    <w:p w14:paraId="7E4400AD" w14:textId="77777777" w:rsidR="00DE1537" w:rsidRDefault="00DE1537" w:rsidP="00343F3E">
      <w:pPr>
        <w:pStyle w:val="BodyText"/>
      </w:pPr>
      <w:r>
        <w:t>Local governments also provide natural disaster mitigation funding through the betterment of assets. For example, the Local Government Association of Queensland (sub. 34, attachment 1, p. 17) noted that:</w:t>
      </w:r>
    </w:p>
    <w:p w14:paraId="11DAD9DF" w14:textId="77777777" w:rsidR="00DE1537" w:rsidRPr="008C57DE" w:rsidRDefault="00DE1537" w:rsidP="00343F3E">
      <w:pPr>
        <w:pStyle w:val="Quote"/>
      </w:pPr>
      <w:r>
        <w:t>[f]or the 2013/14 events, Queensland councils have contributed $11.6 million towards betterment. Across all council projects, the betterment component from councils is equivalent to 13% of the overall cost of betterment (16% if Indigenous councils excluded).</w:t>
      </w:r>
    </w:p>
    <w:p w14:paraId="13E4FE94" w14:textId="77777777" w:rsidR="00DE1537" w:rsidRDefault="00DE1537" w:rsidP="00343F3E">
      <w:pPr>
        <w:pStyle w:val="Heading3"/>
      </w:pPr>
      <w:r>
        <w:t>Post</w:t>
      </w:r>
      <w:r>
        <w:noBreakHyphen/>
        <w:t>disaster government expenditure</w:t>
      </w:r>
    </w:p>
    <w:p w14:paraId="530740F1" w14:textId="77777777" w:rsidR="00DE1537" w:rsidRPr="00D846F8" w:rsidRDefault="00DE1537" w:rsidP="00343F3E">
      <w:pPr>
        <w:pStyle w:val="BodyText"/>
      </w:pPr>
      <w:bookmarkStart w:id="38" w:name="OLE_LINK27"/>
      <w:r>
        <w:t>State and local governments have primary responsibility for relief and recovery activities, and fund a large portion of the costs. The Australian Government also contributes a significant amount to state and local governments’ costs, as well as funding its own relief programs.</w:t>
      </w:r>
    </w:p>
    <w:p w14:paraId="58533AD6" w14:textId="77777777" w:rsidR="00DE1537" w:rsidRDefault="00DE1537" w:rsidP="00343F3E">
      <w:pPr>
        <w:pStyle w:val="Heading4"/>
      </w:pPr>
      <w:r>
        <w:t>Australian Government relief and recovery funding</w:t>
      </w:r>
    </w:p>
    <w:p w14:paraId="0C05030E" w14:textId="77777777" w:rsidR="00DE1537" w:rsidRDefault="00DE1537" w:rsidP="00343F3E">
      <w:pPr>
        <w:pStyle w:val="BodyText"/>
      </w:pPr>
      <w:r w:rsidRPr="00CB41DC">
        <w:t>The Australian Government provides financial assistance on a cost</w:t>
      </w:r>
      <w:r>
        <w:noBreakHyphen/>
      </w:r>
      <w:r w:rsidRPr="00CB41DC">
        <w:t>sharing basis to other levels of government for natural disaster relief and recovery.</w:t>
      </w:r>
      <w:r>
        <w:t xml:space="preserve"> The NDRRA are the Australian Government’s main mechanism for funding recovery after natural disaster events. The Australian Government also provides immediate relief assistance to households, funded through the Australian Government Disaster Recovery Payment (AGDRP). Other recovery programs represent a small share of the total (figure 2.7).</w:t>
      </w:r>
    </w:p>
    <w:p w14:paraId="3752E55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B6BB248" w14:textId="77777777" w:rsidTr="00343F3E">
        <w:tc>
          <w:tcPr>
            <w:tcW w:w="8771" w:type="dxa"/>
            <w:tcBorders>
              <w:top w:val="single" w:sz="6" w:space="0" w:color="78A22F"/>
              <w:left w:val="nil"/>
              <w:bottom w:val="nil"/>
              <w:right w:val="nil"/>
            </w:tcBorders>
            <w:shd w:val="clear" w:color="auto" w:fill="auto"/>
          </w:tcPr>
          <w:p w14:paraId="0235D9E2" w14:textId="318CC495" w:rsidR="00DE1537" w:rsidRPr="00EA7A7C" w:rsidRDefault="00DE1537" w:rsidP="00343F3E">
            <w:pPr>
              <w:pStyle w:val="FigureTitle"/>
              <w:rPr>
                <w:rStyle w:val="NoteLabel"/>
                <w:b/>
                <w:position w:val="0"/>
                <w:sz w:val="24"/>
              </w:rPr>
            </w:pPr>
            <w:r w:rsidRPr="00784A05">
              <w:rPr>
                <w:b w:val="0"/>
              </w:rPr>
              <w:t xml:space="preserve">Figure </w:t>
            </w:r>
            <w:bookmarkStart w:id="39" w:name="OLE_LINK20"/>
            <w:r>
              <w:rPr>
                <w:b w:val="0"/>
              </w:rPr>
              <w:t>2.</w:t>
            </w:r>
            <w:r>
              <w:rPr>
                <w:b w:val="0"/>
                <w:noProof/>
              </w:rPr>
              <w:t>7</w:t>
            </w:r>
            <w:bookmarkEnd w:id="39"/>
            <w:r>
              <w:tab/>
              <w:t>Australian Government relief and recovery expenditure</w:t>
            </w:r>
            <w:r w:rsidRPr="003F5E4E">
              <w:rPr>
                <w:rStyle w:val="NoteLabel"/>
                <w:b/>
              </w:rPr>
              <w:t>a</w:t>
            </w:r>
          </w:p>
          <w:p w14:paraId="66F4764F" w14:textId="77777777" w:rsidR="00DE1537" w:rsidRPr="00282351" w:rsidRDefault="00DE1537" w:rsidP="00343F3E">
            <w:pPr>
              <w:pStyle w:val="Subtitle"/>
            </w:pPr>
            <w:r>
              <w:t>2009</w:t>
            </w:r>
            <w:r>
              <w:noBreakHyphen/>
              <w:t>10 to 2012</w:t>
            </w:r>
            <w:r>
              <w:noBreakHyphen/>
              <w:t>13</w:t>
            </w:r>
          </w:p>
        </w:tc>
      </w:tr>
      <w:tr w:rsidR="00DE1537" w14:paraId="4DF58C91"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DE1537" w14:paraId="7D1F1F5E" w14:textId="77777777" w:rsidTr="00343F3E">
              <w:tc>
                <w:tcPr>
                  <w:tcW w:w="8487" w:type="dxa"/>
                  <w:tcBorders>
                    <w:top w:val="nil"/>
                    <w:bottom w:val="nil"/>
                  </w:tcBorders>
                </w:tcPr>
                <w:p w14:paraId="7DA34F1E" w14:textId="77777777" w:rsidR="00DE1537" w:rsidRDefault="00DE1537" w:rsidP="00343F3E">
                  <w:pPr>
                    <w:pStyle w:val="Figure"/>
                    <w:spacing w:before="60" w:after="60"/>
                  </w:pPr>
                  <w:r>
                    <w:rPr>
                      <w:noProof/>
                    </w:rPr>
                    <w:drawing>
                      <wp:inline distT="0" distB="0" distL="0" distR="0" wp14:anchorId="06F98E3D" wp14:editId="2ED26ACA">
                        <wp:extent cx="5248275" cy="2800350"/>
                        <wp:effectExtent l="0" t="0" r="9525" b="0"/>
                        <wp:docPr id="19" name="Picture 19" descr="The figures shows how much relief and recovery expenditure the Australian Government incurred under the Natural Disaster Relief and Recovery Arrangements, the Australian Government Disaster Recovery Payment and other arrangements from 2009-10 to 2012-13. The majority of expenditure was incurred under the Natural Disaster Relief and Recovery Arrangements." title="Australian Government relief and recovery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14:paraId="2E034186" w14:textId="77777777" w:rsidR="00DE1537" w:rsidRDefault="00DE1537" w:rsidP="00343F3E">
            <w:pPr>
              <w:pStyle w:val="Figure"/>
            </w:pPr>
          </w:p>
        </w:tc>
      </w:tr>
      <w:tr w:rsidR="00DE1537" w:rsidRPr="00176D3F" w14:paraId="0CB513C6" w14:textId="77777777" w:rsidTr="00343F3E">
        <w:tc>
          <w:tcPr>
            <w:tcW w:w="8771" w:type="dxa"/>
            <w:tcBorders>
              <w:top w:val="nil"/>
              <w:left w:val="nil"/>
              <w:bottom w:val="nil"/>
              <w:right w:val="nil"/>
            </w:tcBorders>
            <w:shd w:val="clear" w:color="auto" w:fill="auto"/>
          </w:tcPr>
          <w:p w14:paraId="601E7D2D" w14:textId="77777777" w:rsidR="00DE1537" w:rsidRPr="00176D3F" w:rsidRDefault="00DE1537" w:rsidP="00343F3E">
            <w:pPr>
              <w:pStyle w:val="Note"/>
            </w:pPr>
            <w:proofErr w:type="gramStart"/>
            <w:r>
              <w:rPr>
                <w:rStyle w:val="NoteLabel"/>
              </w:rPr>
              <w:t>a</w:t>
            </w:r>
            <w:proofErr w:type="gramEnd"/>
            <w:r>
              <w:t xml:space="preserve"> ‘Other’ programs are made up of the Disaster Recovery Allowance, Disaster Income Recovery Subsidy, ex</w:t>
            </w:r>
            <w:r>
              <w:noBreakHyphen/>
              <w:t>gratia payments to New Zealand citizens, Australian Government contributions to appeals, National Aerial Firefighting Arrangements and Emergency Alert.</w:t>
            </w:r>
          </w:p>
        </w:tc>
      </w:tr>
      <w:tr w:rsidR="00DE1537" w:rsidRPr="00176D3F" w14:paraId="18D98073" w14:textId="77777777" w:rsidTr="00343F3E">
        <w:tc>
          <w:tcPr>
            <w:tcW w:w="8771" w:type="dxa"/>
            <w:tcBorders>
              <w:top w:val="nil"/>
              <w:left w:val="nil"/>
              <w:bottom w:val="nil"/>
              <w:right w:val="nil"/>
            </w:tcBorders>
            <w:shd w:val="clear" w:color="auto" w:fill="auto"/>
          </w:tcPr>
          <w:p w14:paraId="19C4400A" w14:textId="4130A612" w:rsidR="00DE1537" w:rsidRPr="00176D3F" w:rsidRDefault="00DE1537" w:rsidP="00343F3E">
            <w:pPr>
              <w:pStyle w:val="Source"/>
            </w:pPr>
            <w:r w:rsidRPr="00784A05">
              <w:rPr>
                <w:i/>
              </w:rPr>
              <w:t>Data source</w:t>
            </w:r>
            <w:r>
              <w:rPr>
                <w:i/>
              </w:rPr>
              <w:t>s</w:t>
            </w:r>
            <w:r w:rsidRPr="00176D3F">
              <w:t>:</w:t>
            </w:r>
            <w:r>
              <w:t xml:space="preserve"> Attorney</w:t>
            </w:r>
            <w:r>
              <w:noBreakHyphen/>
              <w:t xml:space="preserve">General’s Department </w:t>
            </w:r>
            <w:r w:rsidRPr="00A63CF9">
              <w:rPr>
                <w:rFonts w:cs="Arial"/>
              </w:rPr>
              <w:t>(pers. comm., 30 July 2014; sub. 90; various years)</w:t>
            </w:r>
            <w:r>
              <w:t xml:space="preserve">; Treasury </w:t>
            </w:r>
            <w:r w:rsidRPr="00FB6E3D">
              <w:rPr>
                <w:rFonts w:cs="Arial"/>
              </w:rPr>
              <w:t>(various years)</w:t>
            </w:r>
            <w:r>
              <w:t>.</w:t>
            </w:r>
          </w:p>
        </w:tc>
      </w:tr>
      <w:tr w:rsidR="00DE1537" w14:paraId="7D653A65" w14:textId="77777777" w:rsidTr="00343F3E">
        <w:tc>
          <w:tcPr>
            <w:tcW w:w="8771" w:type="dxa"/>
            <w:tcBorders>
              <w:top w:val="nil"/>
              <w:left w:val="nil"/>
              <w:bottom w:val="single" w:sz="6" w:space="0" w:color="78A22F"/>
              <w:right w:val="nil"/>
            </w:tcBorders>
            <w:shd w:val="clear" w:color="auto" w:fill="auto"/>
          </w:tcPr>
          <w:p w14:paraId="6B2173D2" w14:textId="77777777" w:rsidR="00DE1537" w:rsidRDefault="00DE1537" w:rsidP="00343F3E">
            <w:pPr>
              <w:pStyle w:val="Figurespace"/>
            </w:pPr>
          </w:p>
        </w:tc>
      </w:tr>
      <w:tr w:rsidR="00DE1537" w:rsidRPr="000863A5" w14:paraId="14842C30" w14:textId="77777777" w:rsidTr="00343F3E">
        <w:tc>
          <w:tcPr>
            <w:tcW w:w="8771" w:type="dxa"/>
            <w:tcBorders>
              <w:top w:val="single" w:sz="6" w:space="0" w:color="78A22F"/>
              <w:left w:val="nil"/>
              <w:bottom w:val="nil"/>
              <w:right w:val="nil"/>
            </w:tcBorders>
          </w:tcPr>
          <w:p w14:paraId="2F7E1F51" w14:textId="77777777" w:rsidR="00DE1537" w:rsidRPr="00626D32" w:rsidRDefault="00DE1537" w:rsidP="00343F3E">
            <w:pPr>
              <w:pStyle w:val="BoxSpaceBelow"/>
            </w:pPr>
          </w:p>
        </w:tc>
      </w:tr>
    </w:tbl>
    <w:p w14:paraId="2D9FE509" w14:textId="77777777" w:rsidR="00DE1537" w:rsidRPr="00CB41DC" w:rsidRDefault="00DE1537" w:rsidP="00343F3E">
      <w:pPr>
        <w:pStyle w:val="Heading5"/>
      </w:pPr>
      <w:r w:rsidRPr="00CB41DC">
        <w:t>Natural Disaster Relief and Recovery Arrangements</w:t>
      </w:r>
    </w:p>
    <w:p w14:paraId="6A225B91" w14:textId="04097CC7" w:rsidR="00DE1537" w:rsidRDefault="00DE1537" w:rsidP="00343F3E">
      <w:pPr>
        <w:pStyle w:val="BodyText"/>
      </w:pPr>
      <w:r w:rsidRPr="00CB41DC">
        <w:t>The NDRRA provide a framework for Australian Government financial assistance to states following a natural disaster.</w:t>
      </w:r>
      <w:r>
        <w:t xml:space="preserve"> </w:t>
      </w:r>
      <w:r w:rsidRPr="00CB41DC">
        <w:t>The NDRRA are set by the Australian Government and can be amended unilaterally</w:t>
      </w:r>
      <w:r>
        <w:t>; t</w:t>
      </w:r>
      <w:r w:rsidRPr="00CB41DC">
        <w:t xml:space="preserve">he current terms and conditions are set out in the </w:t>
      </w:r>
      <w:r w:rsidRPr="00CB41DC">
        <w:rPr>
          <w:i/>
        </w:rPr>
        <w:t>NDRRA Determination 2012</w:t>
      </w:r>
      <w:r w:rsidRPr="00CB41DC">
        <w:t xml:space="preserve"> </w:t>
      </w:r>
      <w:r w:rsidRPr="00FB6E3D">
        <w:rPr>
          <w:szCs w:val="24"/>
        </w:rPr>
        <w:t>(Attorney-General’s Department 2012b)</w:t>
      </w:r>
      <w:r w:rsidRPr="00CB41DC">
        <w:t xml:space="preserve">. </w:t>
      </w:r>
      <w:r>
        <w:t>Successive NDRRA Determinations have been expanded in scope. For example, landslides and storm surge events became eligible for NDRRA funding in 2001 and tornado and tsunamis were included in the determination from 2004 onwards.</w:t>
      </w:r>
      <w:r w:rsidRPr="00A30E0C">
        <w:rPr>
          <w:rStyle w:val="FootnoteReference"/>
        </w:rPr>
        <w:footnoteReference w:id="9"/>
      </w:r>
      <w:r>
        <w:t xml:space="preserve"> The 2007 NDRRA Determination expanded the types of assistance that were eligible for reimbursement, for example, freight subsidies to primary producers. More recently, given the escalation of costs under the NDRRA, there has been some tightening of eligibility — for example, the definition of essential public assets has been narrowed.</w:t>
      </w:r>
    </w:p>
    <w:p w14:paraId="22275909" w14:textId="77777777" w:rsidR="00DE1537" w:rsidRPr="00CB41DC" w:rsidRDefault="00DE1537" w:rsidP="00343F3E">
      <w:pPr>
        <w:pStyle w:val="Heading6"/>
      </w:pPr>
      <w:r>
        <w:t>What is covered</w:t>
      </w:r>
    </w:p>
    <w:p w14:paraId="5A8F657E" w14:textId="77777777" w:rsidR="00DE1537" w:rsidRDefault="00DE1537" w:rsidP="00343F3E">
      <w:pPr>
        <w:pStyle w:val="BodyText"/>
      </w:pPr>
      <w:r w:rsidRPr="00CB41DC">
        <w:t>Under the NDRRA, the Australian G</w:t>
      </w:r>
      <w:r>
        <w:t xml:space="preserve">overnment reimburses states and territories </w:t>
      </w:r>
      <w:r w:rsidRPr="00CB41DC">
        <w:t xml:space="preserve">for a proportion of their expenditure after a natural disaster. This is an uncapped contingent </w:t>
      </w:r>
      <w:r w:rsidRPr="00CB41DC">
        <w:lastRenderedPageBreak/>
        <w:t xml:space="preserve">liability for the Australian Government. </w:t>
      </w:r>
      <w:r>
        <w:t xml:space="preserve">There are four categories of </w:t>
      </w:r>
      <w:r w:rsidRPr="00CB41DC">
        <w:t>NDRRA funding (</w:t>
      </w:r>
      <w:r>
        <w:t>box 2.11)</w:t>
      </w:r>
      <w:r w:rsidRPr="00CB41DC">
        <w:t>. The rate of reimbursement depends on the expenditure category and total spending on na</w:t>
      </w:r>
      <w:r>
        <w:t xml:space="preserve">tural disasters by the state </w:t>
      </w:r>
      <w:r w:rsidRPr="00CB41DC">
        <w:t>over the finan</w:t>
      </w:r>
      <w:r>
        <w:t xml:space="preserve">cial year. States </w:t>
      </w:r>
      <w:r w:rsidRPr="00CB41DC">
        <w:t>are permitted to a</w:t>
      </w:r>
      <w:r>
        <w:t>pply for reimbursement up to 24 </w:t>
      </w:r>
      <w:r w:rsidRPr="00CB41DC">
        <w:t>months after the end of the financial year in which a disaster occurs, and reimbursements are made af</w:t>
      </w:r>
      <w:r>
        <w:t>ter claims have been submitted.</w:t>
      </w:r>
    </w:p>
    <w:p w14:paraId="4A35679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DE1537" w14:paraId="48AC0678" w14:textId="77777777" w:rsidTr="00343F3E">
        <w:tc>
          <w:tcPr>
            <w:tcW w:w="8771" w:type="dxa"/>
            <w:tcBorders>
              <w:top w:val="single" w:sz="6" w:space="0" w:color="78A22F"/>
              <w:left w:val="nil"/>
              <w:bottom w:val="nil"/>
              <w:right w:val="nil"/>
            </w:tcBorders>
            <w:shd w:val="clear" w:color="auto" w:fill="F2F2F2" w:themeFill="background1" w:themeFillShade="F2"/>
          </w:tcPr>
          <w:p w14:paraId="7DD3FD5E" w14:textId="6B26B112" w:rsidR="00DE1537" w:rsidRDefault="00DE1537" w:rsidP="00343F3E">
            <w:pPr>
              <w:pStyle w:val="BoxTitle"/>
            </w:pPr>
            <w:r>
              <w:rPr>
                <w:b w:val="0"/>
              </w:rPr>
              <w:t xml:space="preserve">Box </w:t>
            </w:r>
            <w:bookmarkStart w:id="40" w:name="OLE_LINK35"/>
            <w:r>
              <w:rPr>
                <w:b w:val="0"/>
              </w:rPr>
              <w:t>2.</w:t>
            </w:r>
            <w:r>
              <w:rPr>
                <w:b w:val="0"/>
                <w:noProof/>
              </w:rPr>
              <w:t>11</w:t>
            </w:r>
            <w:bookmarkEnd w:id="40"/>
            <w:r>
              <w:tab/>
            </w:r>
            <w:r w:rsidRPr="00CB41DC">
              <w:t>Reimbursement under the Natural Disaster Relief and Recovery Arrangements</w:t>
            </w:r>
          </w:p>
        </w:tc>
      </w:tr>
      <w:tr w:rsidR="00DE1537" w14:paraId="511D90BA" w14:textId="77777777" w:rsidTr="00343F3E">
        <w:trPr>
          <w:cantSplit/>
        </w:trPr>
        <w:tc>
          <w:tcPr>
            <w:tcW w:w="8771" w:type="dxa"/>
            <w:tcBorders>
              <w:top w:val="nil"/>
              <w:left w:val="nil"/>
              <w:bottom w:val="nil"/>
              <w:right w:val="nil"/>
            </w:tcBorders>
            <w:shd w:val="clear" w:color="auto" w:fill="F2F2F2" w:themeFill="background1" w:themeFillShade="F2"/>
          </w:tcPr>
          <w:p w14:paraId="0A810516" w14:textId="77777777" w:rsidR="00DE1537" w:rsidRDefault="00DE1537" w:rsidP="00343F3E">
            <w:pPr>
              <w:pStyle w:val="Box"/>
            </w:pPr>
            <w:r>
              <w:t>There are four categories for partial reimbursement of state government disaster relief and recovery expenditure.</w:t>
            </w:r>
          </w:p>
          <w:p w14:paraId="12ACC827" w14:textId="77777777" w:rsidR="00DE1537" w:rsidRDefault="00DE1537" w:rsidP="00343F3E">
            <w:pPr>
              <w:pStyle w:val="BoxListBullet"/>
            </w:pPr>
            <w:r>
              <w:t>Category A — emergency assistance to individuals.</w:t>
            </w:r>
          </w:p>
          <w:p w14:paraId="09874BA0" w14:textId="77777777" w:rsidR="00DE1537" w:rsidRDefault="00DE1537" w:rsidP="00343F3E">
            <w:pPr>
              <w:pStyle w:val="BoxListBullet"/>
            </w:pPr>
            <w:r>
              <w:t>Category B — restoration of essential public assets; financial assistance to small businesses, primary producers, voluntary nonprofit bodies and individuals; and ‘counter disaster operations’ for public health and safety.</w:t>
            </w:r>
          </w:p>
          <w:p w14:paraId="266CE93B" w14:textId="77777777" w:rsidR="00DE1537" w:rsidRDefault="00DE1537" w:rsidP="00343F3E">
            <w:pPr>
              <w:pStyle w:val="BoxListBullet"/>
            </w:pPr>
            <w:r>
              <w:t>Category C — community recovery packages and recovery grants to small businesses and primary producers.</w:t>
            </w:r>
          </w:p>
          <w:p w14:paraId="3B3C4770" w14:textId="77777777" w:rsidR="00DE1537" w:rsidRDefault="00DE1537" w:rsidP="00343F3E">
            <w:pPr>
              <w:pStyle w:val="BoxListBullet"/>
            </w:pPr>
            <w:r>
              <w:t>Category D — acts of relief or recovery carried out in circumstances deemed to be exceptional.</w:t>
            </w:r>
          </w:p>
          <w:p w14:paraId="128D66B6" w14:textId="77777777" w:rsidR="00DE1537" w:rsidRDefault="00DE1537" w:rsidP="00343F3E">
            <w:pPr>
              <w:pStyle w:val="Box"/>
            </w:pPr>
            <w:r>
              <w:t>Reimbursement is based on the total amount that state governments spend on the above eligible measures each financial year, counting only events where state government expenditure exceeds the ‘small disaster criterion’ (currently $240 000). Reimbursement rates depend on whether annual expenditure has exceeded either of two thresholds. These are:</w:t>
            </w:r>
          </w:p>
          <w:p w14:paraId="55AA117C" w14:textId="77777777" w:rsidR="00DE1537" w:rsidRDefault="00DE1537" w:rsidP="00343F3E">
            <w:pPr>
              <w:pStyle w:val="BoxListBullet"/>
            </w:pPr>
            <w:r>
              <w:t>first threshold: 0.225 per cent of total state government revenue and grants in the financial year two years prior</w:t>
            </w:r>
          </w:p>
          <w:p w14:paraId="786D92D1" w14:textId="77777777" w:rsidR="00DE1537" w:rsidRDefault="00DE1537" w:rsidP="00343F3E">
            <w:pPr>
              <w:pStyle w:val="BoxListBullet"/>
            </w:pPr>
            <w:proofErr w:type="gramStart"/>
            <w:r>
              <w:t>second</w:t>
            </w:r>
            <w:proofErr w:type="gramEnd"/>
            <w:r>
              <w:t xml:space="preserve"> threshold: 1.75 times the first threshold.</w:t>
            </w:r>
          </w:p>
          <w:p w14:paraId="1EA654CA" w14:textId="77777777" w:rsidR="00DE1537" w:rsidRDefault="00DE1537" w:rsidP="00343F3E">
            <w:pPr>
              <w:pStyle w:val="Box"/>
            </w:pPr>
            <w:r>
              <w:t>Threshold values for 2014</w:t>
            </w:r>
            <w:r>
              <w:noBreakHyphen/>
              <w:t>15 are set out in the table below.</w:t>
            </w:r>
          </w:p>
          <w:p w14:paraId="6E0F7C68" w14:textId="77777777" w:rsidR="00DE1537" w:rsidRDefault="00DE1537" w:rsidP="00343F3E">
            <w:pPr>
              <w:pStyle w:val="BoxSpaceAbove"/>
              <w:spacing w:before="120"/>
            </w:pPr>
          </w:p>
          <w:tbl>
            <w:tblPr>
              <w:tblW w:w="8625" w:type="dxa"/>
              <w:tblCellMar>
                <w:left w:w="0" w:type="dxa"/>
                <w:right w:w="0" w:type="dxa"/>
              </w:tblCellMar>
              <w:tblLook w:val="0000" w:firstRow="0" w:lastRow="0" w:firstColumn="0" w:lastColumn="0" w:noHBand="0" w:noVBand="0"/>
            </w:tblPr>
            <w:tblGrid>
              <w:gridCol w:w="1830"/>
              <w:gridCol w:w="851"/>
              <w:gridCol w:w="850"/>
              <w:gridCol w:w="850"/>
              <w:gridCol w:w="850"/>
              <w:gridCol w:w="850"/>
              <w:gridCol w:w="850"/>
              <w:gridCol w:w="849"/>
              <w:gridCol w:w="845"/>
            </w:tblGrid>
            <w:tr w:rsidR="00DE1537" w14:paraId="2FEE3F09" w14:textId="77777777" w:rsidTr="00343F3E">
              <w:tc>
                <w:tcPr>
                  <w:tcW w:w="1060" w:type="pct"/>
                  <w:tcBorders>
                    <w:top w:val="single" w:sz="4" w:space="0" w:color="BFBFBF"/>
                    <w:bottom w:val="single" w:sz="4" w:space="0" w:color="BFBFBF"/>
                  </w:tcBorders>
                  <w:shd w:val="clear" w:color="auto" w:fill="auto"/>
                </w:tcPr>
                <w:p w14:paraId="6324965E" w14:textId="77777777" w:rsidR="00DE1537" w:rsidRDefault="00DE1537" w:rsidP="00343F3E">
                  <w:pPr>
                    <w:pStyle w:val="TableColumnHeading"/>
                    <w:jc w:val="left"/>
                  </w:pPr>
                </w:p>
              </w:tc>
              <w:tc>
                <w:tcPr>
                  <w:tcW w:w="493" w:type="pct"/>
                  <w:tcBorders>
                    <w:top w:val="single" w:sz="4" w:space="0" w:color="BFBFBF"/>
                    <w:bottom w:val="single" w:sz="4" w:space="0" w:color="BFBFBF"/>
                  </w:tcBorders>
                </w:tcPr>
                <w:p w14:paraId="0DA98645" w14:textId="77777777" w:rsidR="00DE1537" w:rsidRDefault="00DE1537" w:rsidP="00343F3E">
                  <w:pPr>
                    <w:pStyle w:val="TableColumnHeading"/>
                  </w:pPr>
                  <w:r>
                    <w:t>NSW</w:t>
                  </w:r>
                </w:p>
              </w:tc>
              <w:tc>
                <w:tcPr>
                  <w:tcW w:w="493" w:type="pct"/>
                  <w:tcBorders>
                    <w:top w:val="single" w:sz="4" w:space="0" w:color="BFBFBF"/>
                    <w:bottom w:val="single" w:sz="4" w:space="0" w:color="BFBFBF"/>
                  </w:tcBorders>
                </w:tcPr>
                <w:p w14:paraId="3B90AAAE" w14:textId="77777777" w:rsidR="00DE1537" w:rsidRDefault="00DE1537" w:rsidP="00343F3E">
                  <w:pPr>
                    <w:pStyle w:val="TableColumnHeading"/>
                  </w:pPr>
                  <w:r>
                    <w:t>Vic</w:t>
                  </w:r>
                </w:p>
              </w:tc>
              <w:tc>
                <w:tcPr>
                  <w:tcW w:w="493" w:type="pct"/>
                  <w:tcBorders>
                    <w:top w:val="single" w:sz="4" w:space="0" w:color="BFBFBF"/>
                    <w:bottom w:val="single" w:sz="4" w:space="0" w:color="BFBFBF"/>
                  </w:tcBorders>
                </w:tcPr>
                <w:p w14:paraId="37F0B618" w14:textId="77777777" w:rsidR="00DE1537" w:rsidRDefault="00DE1537" w:rsidP="00343F3E">
                  <w:pPr>
                    <w:pStyle w:val="TableColumnHeading"/>
                  </w:pPr>
                  <w:r>
                    <w:t>Qld</w:t>
                  </w:r>
                </w:p>
              </w:tc>
              <w:tc>
                <w:tcPr>
                  <w:tcW w:w="493" w:type="pct"/>
                  <w:tcBorders>
                    <w:top w:val="single" w:sz="4" w:space="0" w:color="BFBFBF"/>
                    <w:bottom w:val="single" w:sz="4" w:space="0" w:color="BFBFBF"/>
                  </w:tcBorders>
                </w:tcPr>
                <w:p w14:paraId="28868B3D" w14:textId="77777777" w:rsidR="00DE1537" w:rsidRDefault="00DE1537" w:rsidP="00343F3E">
                  <w:pPr>
                    <w:pStyle w:val="TableColumnHeading"/>
                  </w:pPr>
                  <w:r>
                    <w:t>SA</w:t>
                  </w:r>
                </w:p>
              </w:tc>
              <w:tc>
                <w:tcPr>
                  <w:tcW w:w="493" w:type="pct"/>
                  <w:tcBorders>
                    <w:top w:val="single" w:sz="4" w:space="0" w:color="BFBFBF"/>
                    <w:bottom w:val="single" w:sz="4" w:space="0" w:color="BFBFBF"/>
                  </w:tcBorders>
                </w:tcPr>
                <w:p w14:paraId="4C9878CE" w14:textId="77777777" w:rsidR="00DE1537" w:rsidRDefault="00DE1537" w:rsidP="00343F3E">
                  <w:pPr>
                    <w:pStyle w:val="TableColumnHeading"/>
                  </w:pPr>
                  <w:r>
                    <w:t>WA</w:t>
                  </w:r>
                </w:p>
              </w:tc>
              <w:tc>
                <w:tcPr>
                  <w:tcW w:w="493" w:type="pct"/>
                  <w:tcBorders>
                    <w:top w:val="single" w:sz="4" w:space="0" w:color="BFBFBF"/>
                    <w:bottom w:val="single" w:sz="4" w:space="0" w:color="BFBFBF"/>
                  </w:tcBorders>
                </w:tcPr>
                <w:p w14:paraId="105F41EB" w14:textId="77777777" w:rsidR="00DE1537" w:rsidRDefault="00DE1537" w:rsidP="00343F3E">
                  <w:pPr>
                    <w:pStyle w:val="TableColumnHeading"/>
                  </w:pPr>
                  <w:r>
                    <w:t>Tas</w:t>
                  </w:r>
                </w:p>
              </w:tc>
              <w:tc>
                <w:tcPr>
                  <w:tcW w:w="492" w:type="pct"/>
                  <w:tcBorders>
                    <w:top w:val="single" w:sz="4" w:space="0" w:color="BFBFBF"/>
                    <w:bottom w:val="single" w:sz="4" w:space="0" w:color="BFBFBF"/>
                  </w:tcBorders>
                </w:tcPr>
                <w:p w14:paraId="317087FF" w14:textId="77777777" w:rsidR="00DE1537" w:rsidRDefault="00DE1537" w:rsidP="00343F3E">
                  <w:pPr>
                    <w:pStyle w:val="TableColumnHeading"/>
                  </w:pPr>
                  <w:r>
                    <w:t>NT</w:t>
                  </w:r>
                </w:p>
              </w:tc>
              <w:tc>
                <w:tcPr>
                  <w:tcW w:w="491" w:type="pct"/>
                  <w:tcBorders>
                    <w:top w:val="single" w:sz="4" w:space="0" w:color="BFBFBF"/>
                    <w:bottom w:val="single" w:sz="4" w:space="0" w:color="BFBFBF"/>
                  </w:tcBorders>
                </w:tcPr>
                <w:p w14:paraId="451E213F" w14:textId="77777777" w:rsidR="00DE1537" w:rsidRDefault="00DE1537" w:rsidP="00343F3E">
                  <w:pPr>
                    <w:pStyle w:val="TableColumnHeading"/>
                    <w:ind w:right="11"/>
                  </w:pPr>
                  <w:r>
                    <w:t>ACT</w:t>
                  </w:r>
                </w:p>
              </w:tc>
            </w:tr>
            <w:tr w:rsidR="00DE1537" w14:paraId="7CA2CF48" w14:textId="77777777" w:rsidTr="00343F3E">
              <w:tc>
                <w:tcPr>
                  <w:tcW w:w="1060" w:type="pct"/>
                  <w:tcBorders>
                    <w:top w:val="single" w:sz="4" w:space="0" w:color="BFBFBF"/>
                  </w:tcBorders>
                </w:tcPr>
                <w:p w14:paraId="61F50B3E" w14:textId="77777777" w:rsidR="00DE1537" w:rsidRDefault="00DE1537" w:rsidP="00343F3E">
                  <w:pPr>
                    <w:pStyle w:val="TableUnitsRow"/>
                    <w:jc w:val="left"/>
                  </w:pPr>
                </w:p>
              </w:tc>
              <w:tc>
                <w:tcPr>
                  <w:tcW w:w="493" w:type="pct"/>
                  <w:tcBorders>
                    <w:top w:val="single" w:sz="4" w:space="0" w:color="BFBFBF"/>
                  </w:tcBorders>
                </w:tcPr>
                <w:p w14:paraId="10BD3499" w14:textId="77777777" w:rsidR="00DE1537" w:rsidRDefault="00DE1537" w:rsidP="00343F3E">
                  <w:pPr>
                    <w:pStyle w:val="TableUnitsRow"/>
                  </w:pPr>
                  <w:r>
                    <w:t>$m</w:t>
                  </w:r>
                </w:p>
              </w:tc>
              <w:tc>
                <w:tcPr>
                  <w:tcW w:w="493" w:type="pct"/>
                  <w:tcBorders>
                    <w:top w:val="single" w:sz="4" w:space="0" w:color="BFBFBF"/>
                  </w:tcBorders>
                </w:tcPr>
                <w:p w14:paraId="45979AB6" w14:textId="77777777" w:rsidR="00DE1537" w:rsidRDefault="00DE1537" w:rsidP="00343F3E">
                  <w:pPr>
                    <w:pStyle w:val="TableUnitsRow"/>
                  </w:pPr>
                  <w:r>
                    <w:t>$m</w:t>
                  </w:r>
                </w:p>
              </w:tc>
              <w:tc>
                <w:tcPr>
                  <w:tcW w:w="493" w:type="pct"/>
                  <w:tcBorders>
                    <w:top w:val="single" w:sz="4" w:space="0" w:color="BFBFBF"/>
                  </w:tcBorders>
                </w:tcPr>
                <w:p w14:paraId="64171CBE" w14:textId="77777777" w:rsidR="00DE1537" w:rsidRDefault="00DE1537" w:rsidP="00343F3E">
                  <w:pPr>
                    <w:pStyle w:val="TableUnitsRow"/>
                  </w:pPr>
                  <w:r>
                    <w:t>$m</w:t>
                  </w:r>
                </w:p>
              </w:tc>
              <w:tc>
                <w:tcPr>
                  <w:tcW w:w="493" w:type="pct"/>
                  <w:tcBorders>
                    <w:top w:val="single" w:sz="4" w:space="0" w:color="BFBFBF"/>
                  </w:tcBorders>
                </w:tcPr>
                <w:p w14:paraId="65B6A30D" w14:textId="77777777" w:rsidR="00DE1537" w:rsidRDefault="00DE1537" w:rsidP="00343F3E">
                  <w:pPr>
                    <w:pStyle w:val="TableUnitsRow"/>
                  </w:pPr>
                  <w:r>
                    <w:t>$m</w:t>
                  </w:r>
                </w:p>
              </w:tc>
              <w:tc>
                <w:tcPr>
                  <w:tcW w:w="493" w:type="pct"/>
                  <w:tcBorders>
                    <w:top w:val="single" w:sz="4" w:space="0" w:color="BFBFBF"/>
                  </w:tcBorders>
                </w:tcPr>
                <w:p w14:paraId="2A9A177F" w14:textId="77777777" w:rsidR="00DE1537" w:rsidRDefault="00DE1537" w:rsidP="00343F3E">
                  <w:pPr>
                    <w:pStyle w:val="TableUnitsRow"/>
                  </w:pPr>
                  <w:r>
                    <w:t>$m</w:t>
                  </w:r>
                </w:p>
              </w:tc>
              <w:tc>
                <w:tcPr>
                  <w:tcW w:w="493" w:type="pct"/>
                  <w:tcBorders>
                    <w:top w:val="single" w:sz="4" w:space="0" w:color="BFBFBF"/>
                  </w:tcBorders>
                </w:tcPr>
                <w:p w14:paraId="74841A95" w14:textId="77777777" w:rsidR="00DE1537" w:rsidRDefault="00DE1537" w:rsidP="00343F3E">
                  <w:pPr>
                    <w:pStyle w:val="TableUnitsRow"/>
                  </w:pPr>
                  <w:r>
                    <w:t>$m</w:t>
                  </w:r>
                </w:p>
              </w:tc>
              <w:tc>
                <w:tcPr>
                  <w:tcW w:w="492" w:type="pct"/>
                  <w:tcBorders>
                    <w:top w:val="single" w:sz="4" w:space="0" w:color="BFBFBF"/>
                  </w:tcBorders>
                </w:tcPr>
                <w:p w14:paraId="0AFCAFDB" w14:textId="77777777" w:rsidR="00DE1537" w:rsidRDefault="00DE1537" w:rsidP="00343F3E">
                  <w:pPr>
                    <w:pStyle w:val="TableUnitsRow"/>
                  </w:pPr>
                  <w:r>
                    <w:t>$m</w:t>
                  </w:r>
                </w:p>
              </w:tc>
              <w:tc>
                <w:tcPr>
                  <w:tcW w:w="491" w:type="pct"/>
                  <w:tcBorders>
                    <w:top w:val="single" w:sz="4" w:space="0" w:color="BFBFBF"/>
                  </w:tcBorders>
                </w:tcPr>
                <w:p w14:paraId="1AF3236D" w14:textId="77777777" w:rsidR="00DE1537" w:rsidRDefault="00DE1537" w:rsidP="00343F3E">
                  <w:pPr>
                    <w:pStyle w:val="TableUnitsRow"/>
                    <w:ind w:right="11"/>
                  </w:pPr>
                  <w:r>
                    <w:t>$m</w:t>
                  </w:r>
                </w:p>
              </w:tc>
            </w:tr>
            <w:tr w:rsidR="00DE1537" w14:paraId="461295AD" w14:textId="77777777" w:rsidTr="00343F3E">
              <w:tc>
                <w:tcPr>
                  <w:tcW w:w="1060" w:type="pct"/>
                </w:tcPr>
                <w:p w14:paraId="0CF6F053" w14:textId="77777777" w:rsidR="00DE1537" w:rsidRPr="003B174B" w:rsidRDefault="00DE1537" w:rsidP="00343F3E">
                  <w:pPr>
                    <w:pStyle w:val="TableBodyText"/>
                    <w:jc w:val="left"/>
                  </w:pPr>
                  <w:r w:rsidRPr="003B174B">
                    <w:t>First threshold</w:t>
                  </w:r>
                </w:p>
              </w:tc>
              <w:tc>
                <w:tcPr>
                  <w:tcW w:w="493" w:type="pct"/>
                </w:tcPr>
                <w:p w14:paraId="786E5AAB" w14:textId="77777777" w:rsidR="00DE1537" w:rsidRDefault="00DE1537" w:rsidP="00343F3E">
                  <w:pPr>
                    <w:pStyle w:val="TableBodyText"/>
                  </w:pPr>
                  <w:r>
                    <w:t>143</w:t>
                  </w:r>
                </w:p>
              </w:tc>
              <w:tc>
                <w:tcPr>
                  <w:tcW w:w="493" w:type="pct"/>
                  <w:vAlign w:val="bottom"/>
                </w:tcPr>
                <w:p w14:paraId="3C994D01" w14:textId="77777777" w:rsidR="00DE1537" w:rsidRPr="003B174B" w:rsidRDefault="00DE1537" w:rsidP="00343F3E">
                  <w:pPr>
                    <w:pStyle w:val="TableBodyText"/>
                  </w:pPr>
                  <w:r>
                    <w:t>110</w:t>
                  </w:r>
                </w:p>
              </w:tc>
              <w:tc>
                <w:tcPr>
                  <w:tcW w:w="493" w:type="pct"/>
                  <w:vAlign w:val="bottom"/>
                </w:tcPr>
                <w:p w14:paraId="602BF501" w14:textId="77777777" w:rsidR="00DE1537" w:rsidRPr="003B174B" w:rsidRDefault="00DE1537" w:rsidP="00343F3E">
                  <w:pPr>
                    <w:pStyle w:val="TableBodyText"/>
                  </w:pPr>
                  <w:r>
                    <w:t>94</w:t>
                  </w:r>
                </w:p>
              </w:tc>
              <w:tc>
                <w:tcPr>
                  <w:tcW w:w="493" w:type="pct"/>
                  <w:vAlign w:val="bottom"/>
                </w:tcPr>
                <w:p w14:paraId="116318CF" w14:textId="77777777" w:rsidR="00DE1537" w:rsidRPr="003B174B" w:rsidRDefault="00DE1537" w:rsidP="00343F3E">
                  <w:pPr>
                    <w:pStyle w:val="TableBodyText"/>
                  </w:pPr>
                  <w:r>
                    <w:t>34</w:t>
                  </w:r>
                </w:p>
              </w:tc>
              <w:tc>
                <w:tcPr>
                  <w:tcW w:w="493" w:type="pct"/>
                  <w:vAlign w:val="bottom"/>
                </w:tcPr>
                <w:p w14:paraId="21BB70D4" w14:textId="77777777" w:rsidR="00DE1537" w:rsidRPr="003B174B" w:rsidRDefault="00DE1537" w:rsidP="00343F3E">
                  <w:pPr>
                    <w:pStyle w:val="TableBodyText"/>
                  </w:pPr>
                  <w:r>
                    <w:t>57</w:t>
                  </w:r>
                </w:p>
              </w:tc>
              <w:tc>
                <w:tcPr>
                  <w:tcW w:w="493" w:type="pct"/>
                  <w:vAlign w:val="bottom"/>
                </w:tcPr>
                <w:p w14:paraId="2EE42E43" w14:textId="77777777" w:rsidR="00DE1537" w:rsidRPr="003B174B" w:rsidRDefault="00DE1537" w:rsidP="00343F3E">
                  <w:pPr>
                    <w:pStyle w:val="TableBodyText"/>
                  </w:pPr>
                  <w:r>
                    <w:t>11</w:t>
                  </w:r>
                </w:p>
              </w:tc>
              <w:tc>
                <w:tcPr>
                  <w:tcW w:w="492" w:type="pct"/>
                  <w:vAlign w:val="bottom"/>
                </w:tcPr>
                <w:p w14:paraId="02CF917E" w14:textId="77777777" w:rsidR="00DE1537" w:rsidRPr="003B174B" w:rsidRDefault="00DE1537" w:rsidP="00343F3E">
                  <w:pPr>
                    <w:pStyle w:val="TableBodyText"/>
                  </w:pPr>
                  <w:r>
                    <w:t>11</w:t>
                  </w:r>
                </w:p>
              </w:tc>
              <w:tc>
                <w:tcPr>
                  <w:tcW w:w="491" w:type="pct"/>
                  <w:vAlign w:val="bottom"/>
                </w:tcPr>
                <w:p w14:paraId="700D3762" w14:textId="77777777" w:rsidR="00DE1537" w:rsidRPr="003B174B" w:rsidRDefault="00DE1537" w:rsidP="00343F3E">
                  <w:pPr>
                    <w:pStyle w:val="TableBodyText"/>
                    <w:ind w:right="11"/>
                  </w:pPr>
                  <w:r>
                    <w:t>9</w:t>
                  </w:r>
                </w:p>
              </w:tc>
            </w:tr>
            <w:tr w:rsidR="00DE1537" w14:paraId="50C30D8C" w14:textId="77777777" w:rsidTr="00343F3E">
              <w:tc>
                <w:tcPr>
                  <w:tcW w:w="1060" w:type="pct"/>
                  <w:tcBorders>
                    <w:bottom w:val="single" w:sz="4" w:space="0" w:color="BFBFBF"/>
                  </w:tcBorders>
                  <w:shd w:val="clear" w:color="auto" w:fill="auto"/>
                </w:tcPr>
                <w:p w14:paraId="5204EDFB" w14:textId="77777777" w:rsidR="00DE1537" w:rsidRPr="003B174B" w:rsidRDefault="00DE1537" w:rsidP="00343F3E">
                  <w:pPr>
                    <w:pStyle w:val="TableBodyText"/>
                    <w:jc w:val="left"/>
                  </w:pPr>
                  <w:r w:rsidRPr="003B174B">
                    <w:t>Second threshold</w:t>
                  </w:r>
                </w:p>
              </w:tc>
              <w:tc>
                <w:tcPr>
                  <w:tcW w:w="493" w:type="pct"/>
                  <w:tcBorders>
                    <w:bottom w:val="single" w:sz="4" w:space="0" w:color="BFBFBF"/>
                  </w:tcBorders>
                </w:tcPr>
                <w:p w14:paraId="222A91C0" w14:textId="77777777" w:rsidR="00DE1537" w:rsidRDefault="00DE1537" w:rsidP="00343F3E">
                  <w:pPr>
                    <w:pStyle w:val="TableBodyText"/>
                  </w:pPr>
                  <w:r>
                    <w:t>250</w:t>
                  </w:r>
                </w:p>
              </w:tc>
              <w:tc>
                <w:tcPr>
                  <w:tcW w:w="493" w:type="pct"/>
                  <w:tcBorders>
                    <w:bottom w:val="single" w:sz="4" w:space="0" w:color="BFBFBF"/>
                  </w:tcBorders>
                  <w:vAlign w:val="bottom"/>
                </w:tcPr>
                <w:p w14:paraId="562624E0" w14:textId="77777777" w:rsidR="00DE1537" w:rsidRPr="003B174B" w:rsidRDefault="00DE1537" w:rsidP="00343F3E">
                  <w:pPr>
                    <w:pStyle w:val="TableBodyText"/>
                  </w:pPr>
                  <w:r>
                    <w:t>192</w:t>
                  </w:r>
                </w:p>
              </w:tc>
              <w:tc>
                <w:tcPr>
                  <w:tcW w:w="493" w:type="pct"/>
                  <w:tcBorders>
                    <w:bottom w:val="single" w:sz="4" w:space="0" w:color="BFBFBF"/>
                  </w:tcBorders>
                  <w:vAlign w:val="bottom"/>
                </w:tcPr>
                <w:p w14:paraId="10619313" w14:textId="77777777" w:rsidR="00DE1537" w:rsidRPr="003B174B" w:rsidRDefault="00DE1537" w:rsidP="00343F3E">
                  <w:pPr>
                    <w:pStyle w:val="TableBodyText"/>
                  </w:pPr>
                  <w:r>
                    <w:t>164</w:t>
                  </w:r>
                </w:p>
              </w:tc>
              <w:tc>
                <w:tcPr>
                  <w:tcW w:w="493" w:type="pct"/>
                  <w:tcBorders>
                    <w:bottom w:val="single" w:sz="4" w:space="0" w:color="BFBFBF"/>
                  </w:tcBorders>
                  <w:vAlign w:val="bottom"/>
                </w:tcPr>
                <w:p w14:paraId="0A53F062" w14:textId="77777777" w:rsidR="00DE1537" w:rsidRPr="003B174B" w:rsidRDefault="00DE1537" w:rsidP="00343F3E">
                  <w:pPr>
                    <w:pStyle w:val="TableBodyText"/>
                  </w:pPr>
                  <w:r>
                    <w:t>59</w:t>
                  </w:r>
                </w:p>
              </w:tc>
              <w:tc>
                <w:tcPr>
                  <w:tcW w:w="493" w:type="pct"/>
                  <w:tcBorders>
                    <w:bottom w:val="single" w:sz="4" w:space="0" w:color="BFBFBF"/>
                  </w:tcBorders>
                  <w:vAlign w:val="bottom"/>
                </w:tcPr>
                <w:p w14:paraId="5139A715" w14:textId="77777777" w:rsidR="00DE1537" w:rsidRPr="003B174B" w:rsidRDefault="00DE1537" w:rsidP="00343F3E">
                  <w:pPr>
                    <w:pStyle w:val="TableBodyText"/>
                  </w:pPr>
                  <w:r>
                    <w:t>100</w:t>
                  </w:r>
                </w:p>
              </w:tc>
              <w:tc>
                <w:tcPr>
                  <w:tcW w:w="493" w:type="pct"/>
                  <w:tcBorders>
                    <w:bottom w:val="single" w:sz="4" w:space="0" w:color="BFBFBF"/>
                  </w:tcBorders>
                  <w:vAlign w:val="bottom"/>
                </w:tcPr>
                <w:p w14:paraId="2BCBB569" w14:textId="77777777" w:rsidR="00DE1537" w:rsidRPr="003B174B" w:rsidRDefault="00DE1537" w:rsidP="00343F3E">
                  <w:pPr>
                    <w:pStyle w:val="TableBodyText"/>
                  </w:pPr>
                  <w:r>
                    <w:t>19</w:t>
                  </w:r>
                </w:p>
              </w:tc>
              <w:tc>
                <w:tcPr>
                  <w:tcW w:w="492" w:type="pct"/>
                  <w:tcBorders>
                    <w:bottom w:val="single" w:sz="4" w:space="0" w:color="BFBFBF"/>
                  </w:tcBorders>
                  <w:vAlign w:val="bottom"/>
                </w:tcPr>
                <w:p w14:paraId="40FB3C62" w14:textId="77777777" w:rsidR="00DE1537" w:rsidRPr="003B174B" w:rsidRDefault="00DE1537" w:rsidP="00343F3E">
                  <w:pPr>
                    <w:pStyle w:val="TableBodyText"/>
                  </w:pPr>
                  <w:r>
                    <w:t>19</w:t>
                  </w:r>
                </w:p>
              </w:tc>
              <w:tc>
                <w:tcPr>
                  <w:tcW w:w="491" w:type="pct"/>
                  <w:tcBorders>
                    <w:bottom w:val="single" w:sz="4" w:space="0" w:color="BFBFBF"/>
                  </w:tcBorders>
                  <w:vAlign w:val="bottom"/>
                </w:tcPr>
                <w:p w14:paraId="01486122" w14:textId="77777777" w:rsidR="00DE1537" w:rsidRPr="003B174B" w:rsidRDefault="00DE1537" w:rsidP="00343F3E">
                  <w:pPr>
                    <w:pStyle w:val="TableBodyText"/>
                    <w:ind w:right="11"/>
                  </w:pPr>
                  <w:r>
                    <w:t>16</w:t>
                  </w:r>
                </w:p>
              </w:tc>
            </w:tr>
          </w:tbl>
          <w:p w14:paraId="65EB968A" w14:textId="77777777" w:rsidR="00DE1537" w:rsidRDefault="00DE1537" w:rsidP="00343F3E">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19FB19E8" w14:textId="77777777" w:rsidR="00DE1537" w:rsidRDefault="00DE1537" w:rsidP="00343F3E">
            <w:pPr>
              <w:pStyle w:val="Box"/>
            </w:pPr>
            <w:r>
              <w:t>Category D (exceptional circumstances) assistance is generally determined on a case by case basis and is not bound by the above thresholds.</w:t>
            </w:r>
          </w:p>
        </w:tc>
      </w:tr>
      <w:tr w:rsidR="00DE1537" w14:paraId="7A453765" w14:textId="77777777" w:rsidTr="00343F3E">
        <w:trPr>
          <w:cantSplit/>
        </w:trPr>
        <w:tc>
          <w:tcPr>
            <w:tcW w:w="8771" w:type="dxa"/>
            <w:tcBorders>
              <w:top w:val="nil"/>
              <w:left w:val="nil"/>
              <w:bottom w:val="nil"/>
              <w:right w:val="nil"/>
            </w:tcBorders>
            <w:shd w:val="clear" w:color="auto" w:fill="F2F2F2" w:themeFill="background1" w:themeFillShade="F2"/>
          </w:tcPr>
          <w:p w14:paraId="7646194B" w14:textId="292826D1" w:rsidR="00DE1537" w:rsidRDefault="00DE1537" w:rsidP="00343F3E">
            <w:pPr>
              <w:pStyle w:val="BoxSource"/>
            </w:pPr>
            <w:r>
              <w:rPr>
                <w:i/>
              </w:rPr>
              <w:t>Sources</w:t>
            </w:r>
            <w:r w:rsidRPr="00167F06">
              <w:t xml:space="preserve">: </w:t>
            </w:r>
            <w:r>
              <w:t>Attorney</w:t>
            </w:r>
            <w:r>
              <w:noBreakHyphen/>
              <w:t>General’s</w:t>
            </w:r>
            <w:r w:rsidRPr="00CB41DC">
              <w:t xml:space="preserve"> Department </w:t>
            </w:r>
            <w:r w:rsidRPr="00187A76">
              <w:rPr>
                <w:rFonts w:cs="Arial"/>
              </w:rPr>
              <w:t>(2012b, 2014e)</w:t>
            </w:r>
            <w:r>
              <w:t>.</w:t>
            </w:r>
          </w:p>
        </w:tc>
      </w:tr>
      <w:tr w:rsidR="00DE1537" w14:paraId="45A2DDB6"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C6B2623" w14:textId="77777777" w:rsidR="00DE1537" w:rsidRDefault="00DE1537" w:rsidP="00343F3E">
            <w:pPr>
              <w:pStyle w:val="Box"/>
              <w:spacing w:before="0" w:line="120" w:lineRule="exact"/>
            </w:pPr>
          </w:p>
        </w:tc>
      </w:tr>
      <w:tr w:rsidR="00DE1537" w:rsidRPr="000863A5" w14:paraId="3C6F9945" w14:textId="77777777" w:rsidTr="00343F3E">
        <w:tc>
          <w:tcPr>
            <w:tcW w:w="8771" w:type="dxa"/>
            <w:tcBorders>
              <w:top w:val="single" w:sz="6" w:space="0" w:color="78A22F"/>
              <w:left w:val="nil"/>
              <w:bottom w:val="nil"/>
              <w:right w:val="nil"/>
            </w:tcBorders>
          </w:tcPr>
          <w:p w14:paraId="14207685" w14:textId="77777777" w:rsidR="00DE1537" w:rsidRPr="00626D32" w:rsidRDefault="00DE1537" w:rsidP="00343F3E">
            <w:pPr>
              <w:pStyle w:val="BoxSpaceBelow"/>
            </w:pPr>
          </w:p>
        </w:tc>
      </w:tr>
    </w:tbl>
    <w:p w14:paraId="2057B473" w14:textId="5C67A3A2" w:rsidR="00DE1537" w:rsidRDefault="00DE1537" w:rsidP="00343F3E">
      <w:pPr>
        <w:pStyle w:val="BodyText"/>
      </w:pPr>
      <w:r>
        <w:t>The NDRRA Determination includes a clause that specifically excludes ‘</w:t>
      </w:r>
      <w:r w:rsidRPr="004233FA">
        <w:t>amounts attributable to salaries or wages or other ongoing administrative expenditure for which the state would have been liable even though the eligible m</w:t>
      </w:r>
      <w:r>
        <w:t xml:space="preserve">easure had not been carried out’ </w:t>
      </w:r>
      <w:r w:rsidRPr="00A736EC">
        <w:rPr>
          <w:szCs w:val="24"/>
        </w:rPr>
        <w:lastRenderedPageBreak/>
        <w:t>(Attorney-General’s Department 2012b, p. 9)</w:t>
      </w:r>
      <w:r>
        <w:t>. This clause exists to ensure that state and local governments have exhausted their own resources first before claiming reimbursement through the NDRRA. Many inquiry participants submitted that this clause restricts local governments from using ordinary day labour resources for relief and recovery operations, even in cases where it may be more cost effective to do so (chapter 2).</w:t>
      </w:r>
    </w:p>
    <w:p w14:paraId="5FB26516" w14:textId="0B0931B4" w:rsidR="00DE1537" w:rsidRDefault="00DE1537" w:rsidP="00343F3E">
      <w:pPr>
        <w:pStyle w:val="BodyText"/>
      </w:pPr>
      <w:r w:rsidRPr="00CB41DC">
        <w:t>The NDRRA provide for the restoration or replacement of essential public assets</w:t>
      </w:r>
      <w:r>
        <w:t xml:space="preserve"> (category B)</w:t>
      </w:r>
      <w:r w:rsidRPr="00CB41DC">
        <w:t xml:space="preserve"> to their pre</w:t>
      </w:r>
      <w:r>
        <w:noBreakHyphen/>
      </w:r>
      <w:r w:rsidRPr="00CB41DC">
        <w:t xml:space="preserve">disaster standard, in accordance with current building and engineering standards. </w:t>
      </w:r>
      <w:r>
        <w:t>In addition, the ‘B</w:t>
      </w:r>
      <w:r w:rsidRPr="00CB41DC">
        <w:t xml:space="preserve">etterment’ clause in the </w:t>
      </w:r>
      <w:r>
        <w:t xml:space="preserve">NDRRA </w:t>
      </w:r>
      <w:r w:rsidRPr="00CB41DC">
        <w:t>determination allows for restoration to a more disaster</w:t>
      </w:r>
      <w:r w:rsidRPr="00CB41DC">
        <w:noBreakHyphen/>
        <w:t>resilient standard whe</w:t>
      </w:r>
      <w:r>
        <w:t xml:space="preserve">n it is cost effective to do so </w:t>
      </w:r>
      <w:r w:rsidRPr="00A736EC">
        <w:rPr>
          <w:szCs w:val="24"/>
        </w:rPr>
        <w:t>(Attorney-General’s Department 2012b)</w:t>
      </w:r>
      <w:r>
        <w:t>.</w:t>
      </w:r>
      <w:r w:rsidRPr="00A30E0C">
        <w:rPr>
          <w:rStyle w:val="FootnoteReference"/>
        </w:rPr>
        <w:footnoteReference w:id="10"/>
      </w:r>
      <w:r>
        <w:t xml:space="preserve"> However, the Betterment provision has only been used once — </w:t>
      </w:r>
      <w:r w:rsidRPr="00CB41DC">
        <w:t>Tumut Shire Council (</w:t>
      </w:r>
      <w:r>
        <w:t>NSW</w:t>
      </w:r>
      <w:r w:rsidRPr="00CB41DC">
        <w:t>) received funding to relocate the Adelong swimming pool that was damaged during a flood in 2010</w:t>
      </w:r>
      <w:r>
        <w:t>.</w:t>
      </w:r>
    </w:p>
    <w:p w14:paraId="59DCD781" w14:textId="4B6D2F7D" w:rsidR="00DE1537" w:rsidRDefault="00DE1537" w:rsidP="00343F3E">
      <w:pPr>
        <w:pStyle w:val="BodyText"/>
      </w:pPr>
      <w:r>
        <w:t>Funding for Betterment provides a lower level of reimbursement than like</w:t>
      </w:r>
      <w:r>
        <w:noBreakHyphen/>
        <w:t>for</w:t>
      </w:r>
      <w:r>
        <w:noBreakHyphen/>
        <w:t>like restoration — the Australian Government can reimburse up to one third of betterment costs for local government assets and 50 per cent for state assets compared to 75 per cent to reconstruct assets to their pre</w:t>
      </w:r>
      <w:r>
        <w:noBreakHyphen/>
        <w:t xml:space="preserve">disaster standard </w:t>
      </w:r>
      <w:r w:rsidRPr="00A736EC">
        <w:rPr>
          <w:szCs w:val="24"/>
        </w:rPr>
        <w:t>(Attorney-General’s Department 2012a)</w:t>
      </w:r>
      <w:r>
        <w:t>. Moreover, there is no budget allocation for Betterment, meaning it must be funded by savings elsewhere. Furthermore, t</w:t>
      </w:r>
      <w:r w:rsidRPr="00CB41DC">
        <w:t>he Australian Government Re</w:t>
      </w:r>
      <w:r>
        <w:t>construction Inspectorate (sub. </w:t>
      </w:r>
      <w:r w:rsidRPr="00CB41DC">
        <w:t xml:space="preserve">39) noted that the approval process for </w:t>
      </w:r>
      <w:r>
        <w:t>B</w:t>
      </w:r>
      <w:r w:rsidRPr="00CB41DC">
        <w:t>etterment is considered complex and resource intensive</w:t>
      </w:r>
      <w:r>
        <w:t>.</w:t>
      </w:r>
    </w:p>
    <w:p w14:paraId="084459E4" w14:textId="77777777" w:rsidR="00DE1537" w:rsidRDefault="00DE1537" w:rsidP="00343F3E">
      <w:pPr>
        <w:pStyle w:val="Heading6"/>
      </w:pPr>
      <w:r>
        <w:t>Eligibility criteria</w:t>
      </w:r>
    </w:p>
    <w:p w14:paraId="41393421" w14:textId="77777777" w:rsidR="00DE1537" w:rsidRPr="00CB41DC" w:rsidRDefault="00DE1537" w:rsidP="00343F3E">
      <w:pPr>
        <w:pStyle w:val="BodyText"/>
      </w:pPr>
      <w:r>
        <w:t>Eligibility c</w:t>
      </w:r>
      <w:r w:rsidRPr="00CB41DC">
        <w:t xml:space="preserve">onditions for NDRRA </w:t>
      </w:r>
      <w:r>
        <w:t>funding</w:t>
      </w:r>
      <w:r w:rsidRPr="00CB41DC">
        <w:t xml:space="preserve"> </w:t>
      </w:r>
      <w:r>
        <w:t>have also evolved over time. The conditions require states to:</w:t>
      </w:r>
    </w:p>
    <w:p w14:paraId="4A91A796" w14:textId="77777777" w:rsidR="00DE1537" w:rsidRPr="00CB41DC" w:rsidRDefault="00DE1537" w:rsidP="00343F3E">
      <w:pPr>
        <w:pStyle w:val="ListBullet"/>
      </w:pPr>
      <w:r w:rsidRPr="00CB41DC">
        <w:t xml:space="preserve">have adequate access to capital to </w:t>
      </w:r>
      <w:r>
        <w:t xml:space="preserve">fund infrastructure losses (for example, </w:t>
      </w:r>
      <w:r w:rsidRPr="00CB41DC">
        <w:t>insurance)</w:t>
      </w:r>
    </w:p>
    <w:p w14:paraId="50D6F7EA" w14:textId="77777777" w:rsidR="00DE1537" w:rsidRPr="00CB41DC" w:rsidRDefault="00DE1537" w:rsidP="00343F3E">
      <w:pPr>
        <w:pStyle w:val="ListBullet"/>
      </w:pPr>
      <w:r w:rsidRPr="00CB41DC">
        <w:t>submit independent assessments of their insurance arrangements to the Australian Government and respond appropriately to recommended changes (otherwise funds may be reduced)</w:t>
      </w:r>
    </w:p>
    <w:p w14:paraId="61F19E5A" w14:textId="77777777" w:rsidR="00DE1537" w:rsidRPr="00CB41DC" w:rsidRDefault="00DE1537" w:rsidP="00343F3E">
      <w:pPr>
        <w:pStyle w:val="ListBullet"/>
      </w:pPr>
      <w:proofErr w:type="gramStart"/>
      <w:r w:rsidRPr="00CB41DC">
        <w:t>develop</w:t>
      </w:r>
      <w:proofErr w:type="gramEnd"/>
      <w:r w:rsidRPr="00CB41DC">
        <w:t xml:space="preserve"> and implement disaster mitigation strategies and encourage their local governments to do likewise (states must reduce assistance to a local government by 10 per cent if it has not done this).</w:t>
      </w:r>
    </w:p>
    <w:p w14:paraId="0D54D471" w14:textId="0BF0EE07" w:rsidR="00DE1537" w:rsidRDefault="00DE1537" w:rsidP="00343F3E">
      <w:pPr>
        <w:pStyle w:val="BodyText"/>
      </w:pPr>
      <w:r>
        <w:t xml:space="preserve">Under the NDRRA, states’ insurance arrangements must be reviewed every three years by the Australian Government. If the review recommends changes to a state’s insurance arrangements and the state does not take appropriate and timely action, the reimbursement amount will be reduced in accordance with specific principles under the determination </w:t>
      </w:r>
      <w:r w:rsidRPr="00A736EC">
        <w:rPr>
          <w:szCs w:val="24"/>
        </w:rPr>
        <w:t>(Attorney-General’s Department 2012b)</w:t>
      </w:r>
      <w:r>
        <w:t xml:space="preserve">. However, the extent to which NDRRA funding conditions are currently monitored is unclear. No states appear to have been subject to any </w:t>
      </w:r>
      <w:r>
        <w:lastRenderedPageBreak/>
        <w:t>diminution of NDRRA entitlement as a result of failing to meet the above eligibility conditions.</w:t>
      </w:r>
    </w:p>
    <w:p w14:paraId="0A669C31" w14:textId="691B998C" w:rsidR="00DE1537" w:rsidRDefault="00DE1537" w:rsidP="00343F3E">
      <w:pPr>
        <w:pStyle w:val="BodyText"/>
      </w:pPr>
      <w:r w:rsidRPr="00CB41DC">
        <w:t xml:space="preserve">Following the </w:t>
      </w:r>
      <w:r>
        <w:t xml:space="preserve">Queensland </w:t>
      </w:r>
      <w:r w:rsidRPr="00CB41DC">
        <w:t xml:space="preserve">cyclones and </w:t>
      </w:r>
      <w:r>
        <w:t xml:space="preserve">Victorian </w:t>
      </w:r>
      <w:r w:rsidRPr="00CB41DC">
        <w:t>floods in 2010</w:t>
      </w:r>
      <w:r w:rsidRPr="00CB41DC">
        <w:noBreakHyphen/>
        <w:t xml:space="preserve">11, </w:t>
      </w:r>
      <w:r>
        <w:t xml:space="preserve">and concerns about increasing costs of natural disasters, </w:t>
      </w:r>
      <w:r w:rsidRPr="00CB41DC">
        <w:t>the Australian Government signed two separate national partnership agreements with Queensland and Victoria</w:t>
      </w:r>
      <w:r>
        <w:t>. These agreements provided greater oversight of</w:t>
      </w:r>
      <w:r w:rsidRPr="00CB41DC">
        <w:t xml:space="preserve"> reconstruction activity and assurance that the Australian, Queensland and Victorian Governments get value for money for their recovery expenditure </w:t>
      </w:r>
      <w:r w:rsidRPr="00A736EC">
        <w:rPr>
          <w:szCs w:val="24"/>
        </w:rPr>
        <w:t>(AGRI 2013)</w:t>
      </w:r>
      <w:r w:rsidRPr="00CB41DC">
        <w:t>.</w:t>
      </w:r>
      <w:r>
        <w:t xml:space="preserve"> The oversight is performed by the</w:t>
      </w:r>
      <w:r w:rsidRPr="00CB41DC">
        <w:t xml:space="preserve"> Australian Government Reconstruction Inspectorate</w:t>
      </w:r>
      <w:r>
        <w:t xml:space="preserve">, supported by the </w:t>
      </w:r>
      <w:r w:rsidRPr="00CB41DC">
        <w:t>National Disaster Recovery Taskforce</w:t>
      </w:r>
      <w:r>
        <w:t>. The additional oversight has generated savings, by identifying significant ineligible expenditure, but has also created additional layers of bureaucracy and regulatory costs (chapter 2).</w:t>
      </w:r>
    </w:p>
    <w:p w14:paraId="1D82AC90" w14:textId="77777777" w:rsidR="00DE1537" w:rsidRDefault="00DE1537" w:rsidP="00343F3E">
      <w:pPr>
        <w:pStyle w:val="Heading6"/>
      </w:pPr>
      <w:r>
        <w:t>Expenditure trends</w:t>
      </w:r>
    </w:p>
    <w:p w14:paraId="3922E2F6" w14:textId="77777777" w:rsidR="00DE1537" w:rsidRDefault="00DE1537" w:rsidP="00343F3E">
      <w:pPr>
        <w:pStyle w:val="BodyText"/>
      </w:pPr>
      <w:r w:rsidRPr="00CB41DC">
        <w:t>Australian Gover</w:t>
      </w:r>
      <w:r>
        <w:t xml:space="preserve">nment funding to the states </w:t>
      </w:r>
      <w:r w:rsidRPr="00CB41DC">
        <w:t>for disaster relief has inc</w:t>
      </w:r>
      <w:r>
        <w:t>reased significantly in recent years (figure 2.8</w:t>
      </w:r>
      <w:r w:rsidRPr="00CB41DC">
        <w:t xml:space="preserve">). The large </w:t>
      </w:r>
      <w:r>
        <w:t>expenditures</w:t>
      </w:r>
      <w:r w:rsidRPr="00CB41DC">
        <w:t xml:space="preserve"> in recent years are </w:t>
      </w:r>
      <w:r>
        <w:t>mainly due</w:t>
      </w:r>
      <w:r w:rsidRPr="00CB41DC">
        <w:t xml:space="preserve"> to flooding and cyclones in Queensland and bushfires in Victoria</w:t>
      </w:r>
      <w:r>
        <w:t>, and the progressive nature of the NDRRA formula</w:t>
      </w:r>
      <w:r w:rsidRPr="00CB41DC">
        <w:t xml:space="preserve">. </w:t>
      </w:r>
      <w:r>
        <w:t>Given the long time required to undertake reconstruction, the fiscal impact of these natural disasters spreads over many years, including the forward estimates.</w:t>
      </w:r>
    </w:p>
    <w:p w14:paraId="14CE7AFF" w14:textId="77777777" w:rsidR="00DE1537" w:rsidRDefault="00DE1537" w:rsidP="00343F3E">
      <w:pPr>
        <w:pStyle w:val="BoxSpaceAbove"/>
        <w:tabs>
          <w:tab w:val="left" w:pos="6540"/>
        </w:tab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61A661D" w14:textId="77777777" w:rsidTr="00343F3E">
        <w:tc>
          <w:tcPr>
            <w:tcW w:w="8771" w:type="dxa"/>
            <w:tcBorders>
              <w:top w:val="single" w:sz="6" w:space="0" w:color="78A22F"/>
              <w:left w:val="nil"/>
              <w:bottom w:val="nil"/>
              <w:right w:val="nil"/>
            </w:tcBorders>
            <w:shd w:val="clear" w:color="auto" w:fill="auto"/>
          </w:tcPr>
          <w:p w14:paraId="505132E5" w14:textId="01D7CFEF" w:rsidR="00DE1537" w:rsidRPr="00176D3F" w:rsidRDefault="00DE1537" w:rsidP="00343F3E">
            <w:pPr>
              <w:pStyle w:val="FigureTitle"/>
              <w:tabs>
                <w:tab w:val="left" w:pos="720"/>
                <w:tab w:val="left" w:pos="1440"/>
                <w:tab w:val="left" w:pos="2160"/>
                <w:tab w:val="left" w:pos="2880"/>
                <w:tab w:val="left" w:pos="3600"/>
                <w:tab w:val="left" w:pos="4320"/>
                <w:tab w:val="left" w:pos="5040"/>
                <w:tab w:val="left" w:pos="5760"/>
                <w:tab w:val="left" w:pos="6480"/>
              </w:tabs>
            </w:pPr>
            <w:r w:rsidRPr="00784A05">
              <w:rPr>
                <w:b w:val="0"/>
              </w:rPr>
              <w:t xml:space="preserve">Figure </w:t>
            </w:r>
            <w:bookmarkStart w:id="41" w:name="OLE_LINK22"/>
            <w:r>
              <w:rPr>
                <w:b w:val="0"/>
              </w:rPr>
              <w:t>2.</w:t>
            </w:r>
            <w:r>
              <w:rPr>
                <w:b w:val="0"/>
                <w:noProof/>
              </w:rPr>
              <w:t>8</w:t>
            </w:r>
            <w:bookmarkEnd w:id="41"/>
            <w:r>
              <w:tab/>
            </w:r>
            <w:r w:rsidRPr="00AC1AA4">
              <w:t>Australian Gove</w:t>
            </w:r>
            <w:r>
              <w:t>rnment NDRRA payments</w:t>
            </w:r>
            <w:r w:rsidRPr="00597587">
              <w:rPr>
                <w:rStyle w:val="NoteLabel"/>
                <w:b/>
              </w:rPr>
              <w:t>a</w:t>
            </w:r>
          </w:p>
        </w:tc>
      </w:tr>
      <w:tr w:rsidR="00DE1537" w14:paraId="5049C25C"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0F6873A" w14:textId="77777777" w:rsidTr="00343F3E">
              <w:tc>
                <w:tcPr>
                  <w:tcW w:w="5000" w:type="pct"/>
                  <w:tcBorders>
                    <w:top w:val="nil"/>
                    <w:bottom w:val="nil"/>
                  </w:tcBorders>
                </w:tcPr>
                <w:p w14:paraId="4DCC4817" w14:textId="77777777" w:rsidR="00DE1537" w:rsidRDefault="00DE1537" w:rsidP="00343F3E">
                  <w:pPr>
                    <w:pStyle w:val="Figure"/>
                    <w:spacing w:before="60" w:after="60"/>
                  </w:pPr>
                  <w:r>
                    <w:rPr>
                      <w:noProof/>
                    </w:rPr>
                    <w:drawing>
                      <wp:inline distT="0" distB="0" distL="0" distR="0" wp14:anchorId="59579CCD" wp14:editId="11274103">
                        <wp:extent cx="5353050" cy="2876550"/>
                        <wp:effectExtent l="0" t="0" r="0" b="0"/>
                        <wp:docPr id="15" name="Picture 15" descr="The figure has actual Australian Government NDRRA payments over the period 1999 to 2013, and estimated payments for 2015-2016. It shows that NDRRA payments are much higher later in the period, with the majority going to Queensland." title="Australian Government NDRRA payment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353050" cy="2876550"/>
                                </a:xfrm>
                                <a:prstGeom prst="rect">
                                  <a:avLst/>
                                </a:prstGeom>
                                <a:noFill/>
                                <a:ln>
                                  <a:noFill/>
                                </a:ln>
                              </pic:spPr>
                            </pic:pic>
                          </a:graphicData>
                        </a:graphic>
                      </wp:inline>
                    </w:drawing>
                  </w:r>
                </w:p>
              </w:tc>
            </w:tr>
          </w:tbl>
          <w:p w14:paraId="7CAE92FC" w14:textId="77777777" w:rsidR="00DE1537" w:rsidRDefault="00DE1537" w:rsidP="00343F3E">
            <w:pPr>
              <w:pStyle w:val="Figure"/>
            </w:pPr>
          </w:p>
        </w:tc>
      </w:tr>
      <w:tr w:rsidR="00DE1537" w:rsidRPr="00176D3F" w14:paraId="2521D91E" w14:textId="77777777" w:rsidTr="00343F3E">
        <w:tc>
          <w:tcPr>
            <w:tcW w:w="8771" w:type="dxa"/>
            <w:tcBorders>
              <w:top w:val="nil"/>
              <w:left w:val="nil"/>
              <w:bottom w:val="nil"/>
              <w:right w:val="nil"/>
            </w:tcBorders>
            <w:shd w:val="clear" w:color="auto" w:fill="auto"/>
          </w:tcPr>
          <w:p w14:paraId="38B22428" w14:textId="77777777" w:rsidR="00DE1537" w:rsidRPr="00176D3F" w:rsidRDefault="00DE1537" w:rsidP="00343F3E">
            <w:pPr>
              <w:pStyle w:val="Note"/>
            </w:pPr>
            <w:proofErr w:type="gramStart"/>
            <w:r>
              <w:rPr>
                <w:rStyle w:val="NoteLabel"/>
              </w:rPr>
              <w:t>a</w:t>
            </w:r>
            <w:proofErr w:type="gramEnd"/>
            <w:r>
              <w:t xml:space="preserve"> </w:t>
            </w:r>
            <w:r w:rsidRPr="00AC1AA4">
              <w:t>Actual cash payments to the states and territories. Some payments may relate to natural disasters that occurred in previous years. Figures for 201</w:t>
            </w:r>
            <w:r>
              <w:t>5</w:t>
            </w:r>
            <w:r w:rsidRPr="00AC1AA4">
              <w:t>–2016 are forward estimates from the 2014</w:t>
            </w:r>
            <w:r>
              <w:noBreakHyphen/>
            </w:r>
            <w:r w:rsidRPr="00AC1AA4">
              <w:t>15 Budget.</w:t>
            </w:r>
          </w:p>
        </w:tc>
      </w:tr>
      <w:tr w:rsidR="00DE1537" w:rsidRPr="00176D3F" w14:paraId="0A29F891" w14:textId="77777777" w:rsidTr="00343F3E">
        <w:tc>
          <w:tcPr>
            <w:tcW w:w="8771" w:type="dxa"/>
            <w:tcBorders>
              <w:top w:val="nil"/>
              <w:left w:val="nil"/>
              <w:bottom w:val="nil"/>
              <w:right w:val="nil"/>
            </w:tcBorders>
            <w:shd w:val="clear" w:color="auto" w:fill="auto"/>
          </w:tcPr>
          <w:p w14:paraId="1E930B6C" w14:textId="4A900F4F" w:rsidR="00DE1537" w:rsidRPr="00176D3F" w:rsidRDefault="00DE1537" w:rsidP="00343F3E">
            <w:pPr>
              <w:pStyle w:val="Source"/>
            </w:pPr>
            <w:r w:rsidRPr="00784A05">
              <w:rPr>
                <w:i/>
              </w:rPr>
              <w:t>Data source</w:t>
            </w:r>
            <w:r>
              <w:rPr>
                <w:i/>
              </w:rPr>
              <w:t>s</w:t>
            </w:r>
            <w:r w:rsidRPr="00176D3F">
              <w:t>:</w:t>
            </w:r>
            <w:r w:rsidRPr="00AC1AA4">
              <w:t xml:space="preserve"> </w:t>
            </w:r>
            <w:r>
              <w:t xml:space="preserve">Treasury </w:t>
            </w:r>
            <w:r w:rsidRPr="00A736EC">
              <w:rPr>
                <w:rFonts w:cs="Arial"/>
              </w:rPr>
              <w:t>(various years)</w:t>
            </w:r>
            <w:r>
              <w:t>.</w:t>
            </w:r>
          </w:p>
        </w:tc>
      </w:tr>
      <w:tr w:rsidR="00DE1537" w14:paraId="13084B6D" w14:textId="77777777" w:rsidTr="00343F3E">
        <w:tc>
          <w:tcPr>
            <w:tcW w:w="8771" w:type="dxa"/>
            <w:tcBorders>
              <w:top w:val="nil"/>
              <w:left w:val="nil"/>
              <w:bottom w:val="single" w:sz="6" w:space="0" w:color="78A22F"/>
              <w:right w:val="nil"/>
            </w:tcBorders>
            <w:shd w:val="clear" w:color="auto" w:fill="auto"/>
          </w:tcPr>
          <w:p w14:paraId="07318D59" w14:textId="77777777" w:rsidR="00DE1537" w:rsidRDefault="00DE1537" w:rsidP="00343F3E">
            <w:pPr>
              <w:pStyle w:val="Figurespace"/>
            </w:pPr>
          </w:p>
        </w:tc>
      </w:tr>
      <w:tr w:rsidR="00DE1537" w:rsidRPr="000863A5" w14:paraId="4DB665D4" w14:textId="77777777" w:rsidTr="00343F3E">
        <w:tc>
          <w:tcPr>
            <w:tcW w:w="8771" w:type="dxa"/>
            <w:tcBorders>
              <w:top w:val="single" w:sz="6" w:space="0" w:color="78A22F"/>
              <w:left w:val="nil"/>
              <w:bottom w:val="nil"/>
              <w:right w:val="nil"/>
            </w:tcBorders>
          </w:tcPr>
          <w:p w14:paraId="40426200" w14:textId="77777777" w:rsidR="00DE1537" w:rsidRPr="00626D32" w:rsidRDefault="00DE1537" w:rsidP="00343F3E">
            <w:pPr>
              <w:pStyle w:val="BoxSpaceBelow"/>
            </w:pPr>
          </w:p>
        </w:tc>
      </w:tr>
    </w:tbl>
    <w:p w14:paraId="5B6436FF" w14:textId="77777777" w:rsidR="00B004A2" w:rsidRDefault="00B004A2" w:rsidP="00B004A2">
      <w:pPr>
        <w:pStyle w:val="BodyText"/>
      </w:pPr>
      <w:r w:rsidRPr="00CB41DC">
        <w:lastRenderedPageBreak/>
        <w:t xml:space="preserve">Most </w:t>
      </w:r>
      <w:r>
        <w:t xml:space="preserve">NDRRA </w:t>
      </w:r>
      <w:r w:rsidRPr="00CB41DC">
        <w:t xml:space="preserve">expenditure </w:t>
      </w:r>
      <w:r>
        <w:t>has been attributed to</w:t>
      </w:r>
      <w:r w:rsidRPr="00CB41DC">
        <w:t xml:space="preserve"> the restoration or replacement of essential public assets</w:t>
      </w:r>
      <w:r>
        <w:t xml:space="preserve"> (figure 2.9)</w:t>
      </w:r>
      <w:r w:rsidRPr="00CB41DC">
        <w:t>.</w:t>
      </w:r>
      <w:r>
        <w:t xml:space="preserve"> The Attorney</w:t>
      </w:r>
      <w:r>
        <w:noBreakHyphen/>
        <w:t>General’s Department (sub. 90) stated that restoring roads makes up the majority of essential public asset expenditure.</w:t>
      </w:r>
    </w:p>
    <w:p w14:paraId="696D48F6"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DE1537" w14:paraId="31C71039" w14:textId="77777777" w:rsidTr="00343F3E">
        <w:tc>
          <w:tcPr>
            <w:tcW w:w="8909" w:type="dxa"/>
            <w:tcBorders>
              <w:top w:val="single" w:sz="6" w:space="0" w:color="78A22F"/>
              <w:left w:val="nil"/>
              <w:bottom w:val="nil"/>
              <w:right w:val="nil"/>
            </w:tcBorders>
            <w:shd w:val="clear" w:color="auto" w:fill="auto"/>
          </w:tcPr>
          <w:p w14:paraId="2094E221" w14:textId="1279D00F" w:rsidR="00DE1537" w:rsidRPr="008D7D49" w:rsidRDefault="00DE1537" w:rsidP="00343F3E">
            <w:pPr>
              <w:pStyle w:val="FigureTitle"/>
            </w:pPr>
            <w:r w:rsidRPr="00784A05">
              <w:rPr>
                <w:b w:val="0"/>
              </w:rPr>
              <w:t xml:space="preserve">Figure </w:t>
            </w:r>
            <w:bookmarkStart w:id="42" w:name="OLE_LINK23"/>
            <w:r>
              <w:rPr>
                <w:b w:val="0"/>
              </w:rPr>
              <w:t>2.</w:t>
            </w:r>
            <w:r>
              <w:rPr>
                <w:b w:val="0"/>
                <w:noProof/>
              </w:rPr>
              <w:t>9</w:t>
            </w:r>
            <w:bookmarkEnd w:id="42"/>
            <w:r>
              <w:tab/>
              <w:t>Essential public assets as a proportion of total NDRRA expenditure</w:t>
            </w:r>
          </w:p>
          <w:p w14:paraId="0AB3E0E3" w14:textId="77777777" w:rsidR="00DE1537" w:rsidRPr="00176D3F" w:rsidRDefault="00DE1537" w:rsidP="00343F3E">
            <w:pPr>
              <w:pStyle w:val="Subtitle"/>
            </w:pPr>
            <w:r>
              <w:t>2009</w:t>
            </w:r>
            <w:r>
              <w:noBreakHyphen/>
              <w:t>10 to 2012–13</w:t>
            </w:r>
          </w:p>
        </w:tc>
      </w:tr>
      <w:tr w:rsidR="00DE1537" w14:paraId="426A2A72" w14:textId="77777777" w:rsidTr="00343F3E">
        <w:tc>
          <w:tcPr>
            <w:tcW w:w="890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Pr>
            <w:tblGrid>
              <w:gridCol w:w="8625"/>
            </w:tblGrid>
            <w:tr w:rsidR="00DE1537" w14:paraId="1B4DAB5C" w14:textId="77777777" w:rsidTr="00343F3E">
              <w:tc>
                <w:tcPr>
                  <w:tcW w:w="5000" w:type="pct"/>
                  <w:tcBorders>
                    <w:top w:val="nil"/>
                    <w:bottom w:val="nil"/>
                  </w:tcBorders>
                </w:tcPr>
                <w:p w14:paraId="3CC6378B" w14:textId="77777777" w:rsidR="00DE1537" w:rsidRDefault="00DE1537" w:rsidP="00343F3E">
                  <w:pPr>
                    <w:pStyle w:val="Figure"/>
                    <w:spacing w:before="60" w:after="60"/>
                  </w:pPr>
                  <w:r>
                    <w:rPr>
                      <w:noProof/>
                    </w:rPr>
                    <w:drawing>
                      <wp:inline distT="0" distB="0" distL="0" distR="0" wp14:anchorId="29F5D015" wp14:editId="563C6DC0">
                        <wp:extent cx="5398770" cy="2878455"/>
                        <wp:effectExtent l="0" t="0" r="0" b="0"/>
                        <wp:docPr id="17" name="Picture 17" descr="This figure shows the proportion of NDRRA expenditure that has been spent on essential public assets by jurisdiction over the period 2009-10 to 2012-13. For all jurisdictions, except Tasmania, spending on essential public assets has made up a higher proportion of NDRRA expenditure than other items." title="Essential public assets as a proportion of total NDRRA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0DB3B66D" w14:textId="77777777" w:rsidR="00DE1537" w:rsidRDefault="00DE1537" w:rsidP="00343F3E">
            <w:pPr>
              <w:pStyle w:val="Figure"/>
            </w:pPr>
          </w:p>
        </w:tc>
      </w:tr>
      <w:tr w:rsidR="00DE1537" w:rsidRPr="00176D3F" w14:paraId="4293DEDF" w14:textId="77777777" w:rsidTr="00343F3E">
        <w:tc>
          <w:tcPr>
            <w:tcW w:w="8909" w:type="dxa"/>
            <w:tcBorders>
              <w:top w:val="nil"/>
              <w:left w:val="nil"/>
              <w:bottom w:val="nil"/>
              <w:right w:val="nil"/>
            </w:tcBorders>
            <w:shd w:val="clear" w:color="auto" w:fill="auto"/>
          </w:tcPr>
          <w:p w14:paraId="7DEB2FC0" w14:textId="77777777" w:rsidR="00DE1537" w:rsidRPr="00176D3F" w:rsidRDefault="00DE1537" w:rsidP="00343F3E">
            <w:pPr>
              <w:pStyle w:val="Source"/>
            </w:pPr>
            <w:r w:rsidRPr="00784A05">
              <w:rPr>
                <w:i/>
              </w:rPr>
              <w:t>Data source</w:t>
            </w:r>
            <w:r w:rsidRPr="00176D3F">
              <w:t xml:space="preserve">: </w:t>
            </w:r>
            <w:r w:rsidRPr="00080124">
              <w:t>Attorney</w:t>
            </w:r>
            <w:r>
              <w:noBreakHyphen/>
            </w:r>
            <w:r w:rsidRPr="00080124">
              <w:t>General’s Department (pers. comm., 2</w:t>
            </w:r>
            <w:r>
              <w:t> </w:t>
            </w:r>
            <w:r w:rsidRPr="00080124">
              <w:t>June 2014).</w:t>
            </w:r>
          </w:p>
        </w:tc>
      </w:tr>
      <w:tr w:rsidR="00DE1537" w14:paraId="6CDCB5D0" w14:textId="77777777" w:rsidTr="00343F3E">
        <w:tc>
          <w:tcPr>
            <w:tcW w:w="8909" w:type="dxa"/>
            <w:tcBorders>
              <w:top w:val="nil"/>
              <w:left w:val="nil"/>
              <w:bottom w:val="single" w:sz="6" w:space="0" w:color="78A22F"/>
              <w:right w:val="nil"/>
            </w:tcBorders>
            <w:shd w:val="clear" w:color="auto" w:fill="auto"/>
          </w:tcPr>
          <w:p w14:paraId="3DD9F019" w14:textId="77777777" w:rsidR="00DE1537" w:rsidRDefault="00DE1537" w:rsidP="00343F3E">
            <w:pPr>
              <w:pStyle w:val="Figurespace"/>
            </w:pPr>
          </w:p>
        </w:tc>
      </w:tr>
      <w:tr w:rsidR="00DE1537" w:rsidRPr="000863A5" w14:paraId="7B751020" w14:textId="77777777" w:rsidTr="00343F3E">
        <w:tc>
          <w:tcPr>
            <w:tcW w:w="8909" w:type="dxa"/>
            <w:tcBorders>
              <w:top w:val="single" w:sz="6" w:space="0" w:color="78A22F"/>
              <w:left w:val="nil"/>
              <w:bottom w:val="nil"/>
              <w:right w:val="nil"/>
            </w:tcBorders>
          </w:tcPr>
          <w:p w14:paraId="6A37D862" w14:textId="77777777" w:rsidR="00DE1537" w:rsidRPr="00626D32" w:rsidRDefault="00DE1537" w:rsidP="00343F3E">
            <w:pPr>
              <w:pStyle w:val="BoxSpaceBelow"/>
            </w:pPr>
          </w:p>
        </w:tc>
      </w:tr>
    </w:tbl>
    <w:p w14:paraId="54F88460" w14:textId="77777777" w:rsidR="00DE1537" w:rsidRDefault="00DE1537" w:rsidP="00343F3E">
      <w:pPr>
        <w:pStyle w:val="Heading5"/>
      </w:pPr>
      <w:r w:rsidRPr="00CB41DC">
        <w:t>Australian Government Disaster Recovery Payment</w:t>
      </w:r>
    </w:p>
    <w:p w14:paraId="5CFB2E2A" w14:textId="6109608E" w:rsidR="00DE1537" w:rsidRPr="00804472" w:rsidRDefault="00DE1537" w:rsidP="00343F3E">
      <w:pPr>
        <w:pStyle w:val="BodyText"/>
      </w:pPr>
      <w:r w:rsidRPr="00CB41DC">
        <w:t>The Australian Government Disaster Recovery Payment (AGDRP) is a one</w:t>
      </w:r>
      <w:r>
        <w:noBreakHyphen/>
      </w:r>
      <w:r w:rsidRPr="00CB41DC">
        <w:t>off, non</w:t>
      </w:r>
      <w:r>
        <w:noBreakHyphen/>
      </w:r>
      <w:r w:rsidRPr="00CB41DC">
        <w:t>means</w:t>
      </w:r>
      <w:r>
        <w:noBreakHyphen/>
      </w:r>
      <w:r w:rsidRPr="00CB41DC">
        <w:t xml:space="preserve">tested payment of $1000 for adults and $400 for children who are adversely affected by a major disaster (as determined by the </w:t>
      </w:r>
      <w:r>
        <w:t>Minister for Justice</w:t>
      </w:r>
      <w:r w:rsidRPr="00CB41DC">
        <w:t>). The pay</w:t>
      </w:r>
      <w:r>
        <w:t>ment was introduced in December </w:t>
      </w:r>
      <w:r w:rsidRPr="00CB41DC">
        <w:t>2006 to replace the use of ex</w:t>
      </w:r>
      <w:r>
        <w:noBreakHyphen/>
      </w:r>
      <w:r w:rsidRPr="00CB41DC">
        <w:t xml:space="preserve">gratia payments to disaster victims </w:t>
      </w:r>
      <w:r w:rsidRPr="00A736EC">
        <w:rPr>
          <w:szCs w:val="24"/>
        </w:rPr>
        <w:t>(FaHCSIA 2008)</w:t>
      </w:r>
      <w:r w:rsidRPr="00CB41DC">
        <w:t>. The payment can be activated for natural and man</w:t>
      </w:r>
      <w:r w:rsidRPr="00CB41DC">
        <w:noBreakHyphen/>
        <w:t xml:space="preserve">made disasters (including terrorism) that </w:t>
      </w:r>
      <w:r>
        <w:t xml:space="preserve">occur in Australia or offshore. </w:t>
      </w:r>
      <w:r w:rsidRPr="00804472">
        <w:t>Activating the AGDRP involves the Minister for Justice</w:t>
      </w:r>
      <w:r>
        <w:t xml:space="preserve"> making a ministerial determination of</w:t>
      </w:r>
      <w:r w:rsidRPr="00804472">
        <w:t>:</w:t>
      </w:r>
    </w:p>
    <w:p w14:paraId="2B26F28D" w14:textId="77777777" w:rsidR="00DE1537" w:rsidRPr="00804472" w:rsidRDefault="00DE1537" w:rsidP="00343F3E">
      <w:pPr>
        <w:pStyle w:val="ListBullet"/>
      </w:pPr>
      <w:r w:rsidRPr="00804472">
        <w:t>the event as a major disaster for the purpose of the payment; and</w:t>
      </w:r>
    </w:p>
    <w:p w14:paraId="1033D747" w14:textId="702B7F5D" w:rsidR="00DE1537" w:rsidRDefault="00DE1537" w:rsidP="00343F3E">
      <w:pPr>
        <w:pStyle w:val="ListBullet"/>
      </w:pPr>
      <w:proofErr w:type="gramStart"/>
      <w:r w:rsidRPr="00804472">
        <w:t>the</w:t>
      </w:r>
      <w:proofErr w:type="gramEnd"/>
      <w:r w:rsidRPr="00804472">
        <w:t xml:space="preserve"> circumstances of what it means to be ‘adversely affected’ by the disaster.</w:t>
      </w:r>
      <w:r w:rsidRPr="00C73A46">
        <w:t xml:space="preserve"> </w:t>
      </w:r>
      <w:r w:rsidRPr="00A736EC">
        <w:rPr>
          <w:szCs w:val="24"/>
        </w:rPr>
        <w:t>(FaHCSIA 2014)</w:t>
      </w:r>
    </w:p>
    <w:p w14:paraId="2FD68048" w14:textId="77777777" w:rsidR="00DE1537" w:rsidRPr="006C169D" w:rsidRDefault="00DE1537" w:rsidP="00343F3E">
      <w:pPr>
        <w:pStyle w:val="BodyText"/>
      </w:pPr>
      <w:r w:rsidRPr="00804472">
        <w:t xml:space="preserve">Expenditure on the AGDRP has varied significantly from year to year </w:t>
      </w:r>
      <w:r>
        <w:t>due to the size and frequency of events and changes in eligibility criteria (table 2.4</w:t>
      </w:r>
      <w:r w:rsidRPr="00804472">
        <w:t>)</w:t>
      </w:r>
      <w:r>
        <w:t>.</w:t>
      </w:r>
    </w:p>
    <w:p w14:paraId="53041A8E"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08"/>
      </w:tblGrid>
      <w:tr w:rsidR="00DE1537" w14:paraId="2240F4DE" w14:textId="77777777" w:rsidTr="00343F3E">
        <w:tc>
          <w:tcPr>
            <w:tcW w:w="8808" w:type="dxa"/>
            <w:tcBorders>
              <w:top w:val="single" w:sz="6" w:space="0" w:color="78A22F"/>
              <w:left w:val="nil"/>
              <w:bottom w:val="nil"/>
              <w:right w:val="nil"/>
            </w:tcBorders>
            <w:shd w:val="clear" w:color="auto" w:fill="auto"/>
          </w:tcPr>
          <w:p w14:paraId="5F7B8F9A" w14:textId="0870EE9E" w:rsidR="00DE1537" w:rsidRPr="00784A05" w:rsidRDefault="00DE1537" w:rsidP="00343F3E">
            <w:pPr>
              <w:pStyle w:val="TableTitle"/>
            </w:pPr>
            <w:r>
              <w:rPr>
                <w:b w:val="0"/>
              </w:rPr>
              <w:t>Table 2.</w:t>
            </w:r>
            <w:r>
              <w:rPr>
                <w:b w:val="0"/>
                <w:noProof/>
              </w:rPr>
              <w:t>4</w:t>
            </w:r>
            <w:r>
              <w:tab/>
              <w:t>Expenditure on the AGDRP</w:t>
            </w:r>
          </w:p>
        </w:tc>
      </w:tr>
      <w:tr w:rsidR="00DE1537" w14:paraId="222A421C" w14:textId="77777777" w:rsidTr="00343F3E">
        <w:trPr>
          <w:cantSplit/>
        </w:trPr>
        <w:tc>
          <w:tcPr>
            <w:tcW w:w="8808" w:type="dxa"/>
            <w:tcBorders>
              <w:top w:val="nil"/>
              <w:left w:val="nil"/>
              <w:bottom w:val="nil"/>
              <w:right w:val="nil"/>
            </w:tcBorders>
            <w:shd w:val="clear" w:color="auto" w:fill="auto"/>
          </w:tcPr>
          <w:tbl>
            <w:tblPr>
              <w:tblW w:w="8524" w:type="dxa"/>
              <w:tblCellMar>
                <w:top w:w="28" w:type="dxa"/>
                <w:left w:w="0" w:type="dxa"/>
                <w:right w:w="0" w:type="dxa"/>
              </w:tblCellMar>
              <w:tblLook w:val="0000" w:firstRow="0" w:lastRow="0" w:firstColumn="0" w:lastColumn="0" w:noHBand="0" w:noVBand="0"/>
            </w:tblPr>
            <w:tblGrid>
              <w:gridCol w:w="824"/>
              <w:gridCol w:w="698"/>
              <w:gridCol w:w="1131"/>
              <w:gridCol w:w="1125"/>
              <w:gridCol w:w="907"/>
              <w:gridCol w:w="3839"/>
            </w:tblGrid>
            <w:tr w:rsidR="00DE1537" w14:paraId="5889AC49" w14:textId="77777777" w:rsidTr="00343F3E">
              <w:tc>
                <w:tcPr>
                  <w:tcW w:w="483" w:type="pct"/>
                  <w:tcBorders>
                    <w:top w:val="single" w:sz="6" w:space="0" w:color="BFBFBF"/>
                    <w:bottom w:val="single" w:sz="6" w:space="0" w:color="BFBFBF"/>
                  </w:tcBorders>
                  <w:shd w:val="clear" w:color="auto" w:fill="auto"/>
                  <w:tcMar>
                    <w:top w:w="28" w:type="dxa"/>
                  </w:tcMar>
                </w:tcPr>
                <w:p w14:paraId="30FEAE09" w14:textId="77777777" w:rsidR="00DE1537" w:rsidRDefault="00DE1537" w:rsidP="00343F3E">
                  <w:pPr>
                    <w:pStyle w:val="TableColumnHeading"/>
                    <w:jc w:val="left"/>
                  </w:pPr>
                  <w:r>
                    <w:t>Year</w:t>
                  </w:r>
                </w:p>
              </w:tc>
              <w:tc>
                <w:tcPr>
                  <w:tcW w:w="409" w:type="pct"/>
                  <w:tcBorders>
                    <w:top w:val="single" w:sz="6" w:space="0" w:color="BFBFBF"/>
                    <w:bottom w:val="single" w:sz="6" w:space="0" w:color="BFBFBF"/>
                  </w:tcBorders>
                </w:tcPr>
                <w:p w14:paraId="35674A64" w14:textId="77777777" w:rsidR="00DE1537" w:rsidRDefault="00DE1537" w:rsidP="00343F3E">
                  <w:pPr>
                    <w:pStyle w:val="TableColumnHeading"/>
                  </w:pPr>
                  <w:r>
                    <w:t>No. of events</w:t>
                  </w:r>
                </w:p>
              </w:tc>
              <w:tc>
                <w:tcPr>
                  <w:tcW w:w="663" w:type="pct"/>
                  <w:tcBorders>
                    <w:top w:val="single" w:sz="6" w:space="0" w:color="BFBFBF"/>
                    <w:bottom w:val="single" w:sz="6" w:space="0" w:color="BFBFBF"/>
                  </w:tcBorders>
                </w:tcPr>
                <w:p w14:paraId="569D9DDE" w14:textId="77777777" w:rsidR="00DE1537" w:rsidRDefault="00DE1537" w:rsidP="00343F3E">
                  <w:pPr>
                    <w:pStyle w:val="TableColumnHeading"/>
                  </w:pPr>
                  <w:r>
                    <w:t>Approximate number of claimants</w:t>
                  </w:r>
                </w:p>
              </w:tc>
              <w:tc>
                <w:tcPr>
                  <w:tcW w:w="660" w:type="pct"/>
                  <w:tcBorders>
                    <w:top w:val="single" w:sz="6" w:space="0" w:color="BFBFBF"/>
                    <w:bottom w:val="single" w:sz="6" w:space="0" w:color="BFBFBF"/>
                  </w:tcBorders>
                </w:tcPr>
                <w:p w14:paraId="77BE28AF" w14:textId="77777777" w:rsidR="00DE1537" w:rsidRDefault="00DE1537" w:rsidP="00343F3E">
                  <w:pPr>
                    <w:pStyle w:val="TableColumnHeading"/>
                    <w:ind w:right="0"/>
                  </w:pPr>
                  <w:r>
                    <w:t>Accrual</w:t>
                  </w:r>
                  <w:r w:rsidRPr="00103B26">
                    <w:rPr>
                      <w:rStyle w:val="NoteLabel"/>
                      <w:i w:val="0"/>
                    </w:rPr>
                    <w:t>a</w:t>
                  </w:r>
                  <w:r>
                    <w:t xml:space="preserve"> ($ million)  </w:t>
                  </w:r>
                </w:p>
              </w:tc>
              <w:tc>
                <w:tcPr>
                  <w:tcW w:w="532" w:type="pct"/>
                  <w:tcBorders>
                    <w:top w:val="single" w:sz="6" w:space="0" w:color="BFBFBF"/>
                    <w:bottom w:val="single" w:sz="6" w:space="0" w:color="BFBFBF"/>
                  </w:tcBorders>
                </w:tcPr>
                <w:p w14:paraId="552BB603" w14:textId="77777777" w:rsidR="00DE1537" w:rsidRDefault="00DE1537" w:rsidP="00343F3E">
                  <w:pPr>
                    <w:pStyle w:val="TableColumnHeading"/>
                    <w:ind w:right="0"/>
                  </w:pPr>
                  <w:r>
                    <w:t>Cash</w:t>
                  </w:r>
                  <w:r w:rsidRPr="00103B26">
                    <w:rPr>
                      <w:rStyle w:val="NoteLabel"/>
                      <w:i w:val="0"/>
                    </w:rPr>
                    <w:t>b</w:t>
                  </w:r>
                  <w:r>
                    <w:t xml:space="preserve"> ($ million)  </w:t>
                  </w:r>
                </w:p>
              </w:tc>
              <w:tc>
                <w:tcPr>
                  <w:tcW w:w="2252" w:type="pct"/>
                  <w:tcBorders>
                    <w:top w:val="single" w:sz="6" w:space="0" w:color="BFBFBF"/>
                    <w:bottom w:val="single" w:sz="6" w:space="0" w:color="BFBFBF"/>
                  </w:tcBorders>
                  <w:shd w:val="clear" w:color="auto" w:fill="auto"/>
                  <w:tcMar>
                    <w:top w:w="28" w:type="dxa"/>
                  </w:tcMar>
                </w:tcPr>
                <w:p w14:paraId="08F27546" w14:textId="77777777" w:rsidR="00DE1537" w:rsidRDefault="00DE1537" w:rsidP="00343F3E">
                  <w:pPr>
                    <w:pStyle w:val="TableColumnHeading"/>
                    <w:ind w:right="28"/>
                  </w:pPr>
                  <w:r>
                    <w:t>Example natural disaster events</w:t>
                  </w:r>
                </w:p>
              </w:tc>
            </w:tr>
            <w:tr w:rsidR="00DE1537" w14:paraId="3CD70468" w14:textId="77777777" w:rsidTr="00343F3E">
              <w:tc>
                <w:tcPr>
                  <w:tcW w:w="483" w:type="pct"/>
                  <w:tcBorders>
                    <w:top w:val="single" w:sz="6" w:space="0" w:color="BFBFBF"/>
                  </w:tcBorders>
                </w:tcPr>
                <w:p w14:paraId="34A34CA7" w14:textId="77777777" w:rsidR="00DE1537" w:rsidRDefault="00DE1537" w:rsidP="00343F3E">
                  <w:pPr>
                    <w:pStyle w:val="TableUnitsRow"/>
                    <w:jc w:val="left"/>
                  </w:pPr>
                  <w:r>
                    <w:t>2006</w:t>
                  </w:r>
                  <w:r>
                    <w:noBreakHyphen/>
                    <w:t>07</w:t>
                  </w:r>
                </w:p>
              </w:tc>
              <w:tc>
                <w:tcPr>
                  <w:tcW w:w="409" w:type="pct"/>
                  <w:tcBorders>
                    <w:top w:val="single" w:sz="6" w:space="0" w:color="BFBFBF"/>
                  </w:tcBorders>
                </w:tcPr>
                <w:p w14:paraId="77C07E3A" w14:textId="77777777" w:rsidR="00DE1537" w:rsidRDefault="00DE1537" w:rsidP="00343F3E">
                  <w:pPr>
                    <w:pStyle w:val="TableUnitsRow"/>
                  </w:pPr>
                  <w:r>
                    <w:t>6</w:t>
                  </w:r>
                </w:p>
              </w:tc>
              <w:tc>
                <w:tcPr>
                  <w:tcW w:w="663" w:type="pct"/>
                  <w:tcBorders>
                    <w:top w:val="single" w:sz="6" w:space="0" w:color="BFBFBF"/>
                  </w:tcBorders>
                </w:tcPr>
                <w:p w14:paraId="2EB775ED" w14:textId="77777777" w:rsidR="00DE1537" w:rsidRPr="007550B9" w:rsidRDefault="00DE1537" w:rsidP="00343F3E">
                  <w:pPr>
                    <w:pStyle w:val="TableUnitsRow"/>
                  </w:pPr>
                  <w:r w:rsidRPr="007550B9">
                    <w:t>na</w:t>
                  </w:r>
                </w:p>
              </w:tc>
              <w:tc>
                <w:tcPr>
                  <w:tcW w:w="660" w:type="pct"/>
                  <w:tcBorders>
                    <w:top w:val="single" w:sz="6" w:space="0" w:color="BFBFBF"/>
                  </w:tcBorders>
                </w:tcPr>
                <w:p w14:paraId="4F33CC81" w14:textId="77777777" w:rsidR="00DE1537" w:rsidRDefault="00DE1537" w:rsidP="00343F3E">
                  <w:pPr>
                    <w:pStyle w:val="TableUnitsRow"/>
                  </w:pPr>
                  <w:r>
                    <w:t>29</w:t>
                  </w:r>
                </w:p>
              </w:tc>
              <w:tc>
                <w:tcPr>
                  <w:tcW w:w="532" w:type="pct"/>
                  <w:tcBorders>
                    <w:top w:val="single" w:sz="6" w:space="0" w:color="BFBFBF"/>
                  </w:tcBorders>
                </w:tcPr>
                <w:p w14:paraId="11394EAD" w14:textId="77777777" w:rsidR="00DE1537" w:rsidRDefault="00DE1537" w:rsidP="00343F3E">
                  <w:pPr>
                    <w:pStyle w:val="TableUnitsRow"/>
                    <w:ind w:right="28"/>
                  </w:pPr>
                  <w:r>
                    <w:t>–</w:t>
                  </w:r>
                  <w:r w:rsidRPr="0012388F">
                    <w:rPr>
                      <w:rStyle w:val="NoteLabel"/>
                    </w:rPr>
                    <w:t>c</w:t>
                  </w:r>
                </w:p>
              </w:tc>
              <w:tc>
                <w:tcPr>
                  <w:tcW w:w="2252" w:type="pct"/>
                  <w:tcBorders>
                    <w:top w:val="single" w:sz="6" w:space="0" w:color="BFBFBF"/>
                  </w:tcBorders>
                </w:tcPr>
                <w:p w14:paraId="5E8C0635" w14:textId="77777777" w:rsidR="00DE1537" w:rsidRDefault="00DE1537" w:rsidP="00343F3E">
                  <w:pPr>
                    <w:pStyle w:val="TableUnitsRow"/>
                    <w:ind w:right="28"/>
                    <w:jc w:val="left"/>
                  </w:pPr>
                  <w:r>
                    <w:t>New South Wales storms; Gippsland floods; Tropical Cyclone George</w:t>
                  </w:r>
                </w:p>
              </w:tc>
            </w:tr>
            <w:tr w:rsidR="00DE1537" w14:paraId="58B003C3" w14:textId="77777777" w:rsidTr="00343F3E">
              <w:tc>
                <w:tcPr>
                  <w:tcW w:w="483" w:type="pct"/>
                </w:tcPr>
                <w:p w14:paraId="1FD0EBDD" w14:textId="77777777" w:rsidR="00DE1537" w:rsidRDefault="00DE1537" w:rsidP="00343F3E">
                  <w:pPr>
                    <w:pStyle w:val="TableBodyText"/>
                    <w:jc w:val="left"/>
                  </w:pPr>
                  <w:r>
                    <w:t>2007</w:t>
                  </w:r>
                  <w:r>
                    <w:noBreakHyphen/>
                    <w:t>08</w:t>
                  </w:r>
                </w:p>
              </w:tc>
              <w:tc>
                <w:tcPr>
                  <w:tcW w:w="409" w:type="pct"/>
                </w:tcPr>
                <w:p w14:paraId="2CF54E36" w14:textId="77777777" w:rsidR="00DE1537" w:rsidRDefault="00DE1537" w:rsidP="00343F3E">
                  <w:pPr>
                    <w:pStyle w:val="TableBodyText"/>
                  </w:pPr>
                  <w:r>
                    <w:t>2</w:t>
                  </w:r>
                </w:p>
              </w:tc>
              <w:tc>
                <w:tcPr>
                  <w:tcW w:w="663" w:type="pct"/>
                </w:tcPr>
                <w:p w14:paraId="59C627AF" w14:textId="77777777" w:rsidR="00DE1537" w:rsidRDefault="00DE1537" w:rsidP="00343F3E">
                  <w:pPr>
                    <w:pStyle w:val="TableBodyText"/>
                  </w:pPr>
                  <w:r>
                    <w:t>41 000</w:t>
                  </w:r>
                </w:p>
              </w:tc>
              <w:tc>
                <w:tcPr>
                  <w:tcW w:w="660" w:type="pct"/>
                </w:tcPr>
                <w:p w14:paraId="21ED5C03" w14:textId="77777777" w:rsidR="00DE1537" w:rsidRDefault="00DE1537" w:rsidP="00343F3E">
                  <w:pPr>
                    <w:pStyle w:val="TableBodyText"/>
                  </w:pPr>
                  <w:r>
                    <w:t>11</w:t>
                  </w:r>
                </w:p>
              </w:tc>
              <w:tc>
                <w:tcPr>
                  <w:tcW w:w="532" w:type="pct"/>
                </w:tcPr>
                <w:p w14:paraId="29EFA719" w14:textId="77777777" w:rsidR="00DE1537" w:rsidRDefault="00DE1537" w:rsidP="00343F3E">
                  <w:pPr>
                    <w:pStyle w:val="TableBodyText"/>
                  </w:pPr>
                  <w:r>
                    <w:t>39</w:t>
                  </w:r>
                </w:p>
              </w:tc>
              <w:tc>
                <w:tcPr>
                  <w:tcW w:w="2252" w:type="pct"/>
                </w:tcPr>
                <w:p w14:paraId="69EA32E9" w14:textId="77777777" w:rsidR="00DE1537" w:rsidRDefault="00DE1537" w:rsidP="00343F3E">
                  <w:pPr>
                    <w:pStyle w:val="TableBodyText"/>
                    <w:ind w:right="28"/>
                    <w:jc w:val="left"/>
                  </w:pPr>
                  <w:r>
                    <w:t>Queensland floods</w:t>
                  </w:r>
                </w:p>
              </w:tc>
            </w:tr>
            <w:tr w:rsidR="00DE1537" w14:paraId="50FBAF1B" w14:textId="77777777" w:rsidTr="00343F3E">
              <w:tc>
                <w:tcPr>
                  <w:tcW w:w="483" w:type="pct"/>
                </w:tcPr>
                <w:p w14:paraId="738D37FD" w14:textId="77777777" w:rsidR="00DE1537" w:rsidRDefault="00DE1537" w:rsidP="00343F3E">
                  <w:pPr>
                    <w:pStyle w:val="TableBodyText"/>
                    <w:jc w:val="left"/>
                  </w:pPr>
                  <w:r>
                    <w:t>2008</w:t>
                  </w:r>
                  <w:r>
                    <w:noBreakHyphen/>
                    <w:t>09</w:t>
                  </w:r>
                </w:p>
              </w:tc>
              <w:tc>
                <w:tcPr>
                  <w:tcW w:w="409" w:type="pct"/>
                </w:tcPr>
                <w:p w14:paraId="0BA9D12F" w14:textId="77777777" w:rsidR="00DE1537" w:rsidRDefault="00DE1537" w:rsidP="00343F3E">
                  <w:pPr>
                    <w:pStyle w:val="TableBodyText"/>
                  </w:pPr>
                  <w:r>
                    <w:t>5</w:t>
                  </w:r>
                </w:p>
              </w:tc>
              <w:tc>
                <w:tcPr>
                  <w:tcW w:w="663" w:type="pct"/>
                </w:tcPr>
                <w:p w14:paraId="0CCABDB0" w14:textId="77777777" w:rsidR="00DE1537" w:rsidRDefault="00DE1537" w:rsidP="00343F3E">
                  <w:pPr>
                    <w:pStyle w:val="TableBodyText"/>
                  </w:pPr>
                  <w:r>
                    <w:t>114 000</w:t>
                  </w:r>
                </w:p>
              </w:tc>
              <w:tc>
                <w:tcPr>
                  <w:tcW w:w="660" w:type="pct"/>
                </w:tcPr>
                <w:p w14:paraId="58DBB299" w14:textId="77777777" w:rsidR="00DE1537" w:rsidRDefault="00DE1537" w:rsidP="00343F3E">
                  <w:pPr>
                    <w:pStyle w:val="TableBodyText"/>
                  </w:pPr>
                  <w:r>
                    <w:t>150</w:t>
                  </w:r>
                </w:p>
              </w:tc>
              <w:tc>
                <w:tcPr>
                  <w:tcW w:w="532" w:type="pct"/>
                </w:tcPr>
                <w:p w14:paraId="7F5F711E" w14:textId="77777777" w:rsidR="00DE1537" w:rsidRDefault="00DE1537" w:rsidP="00343F3E">
                  <w:pPr>
                    <w:pStyle w:val="TableBodyText"/>
                  </w:pPr>
                  <w:r>
                    <w:t>133</w:t>
                  </w:r>
                </w:p>
              </w:tc>
              <w:tc>
                <w:tcPr>
                  <w:tcW w:w="2252" w:type="pct"/>
                </w:tcPr>
                <w:p w14:paraId="0B838E6D" w14:textId="77777777" w:rsidR="00DE1537" w:rsidRDefault="00DE1537" w:rsidP="00343F3E">
                  <w:pPr>
                    <w:pStyle w:val="TableBodyText"/>
                    <w:ind w:right="28"/>
                    <w:jc w:val="left"/>
                  </w:pPr>
                  <w:r>
                    <w:t>Victorian Black Saturday bushfires</w:t>
                  </w:r>
                </w:p>
              </w:tc>
            </w:tr>
            <w:tr w:rsidR="00DE1537" w14:paraId="7845A481" w14:textId="77777777" w:rsidTr="00343F3E">
              <w:tc>
                <w:tcPr>
                  <w:tcW w:w="483" w:type="pct"/>
                </w:tcPr>
                <w:p w14:paraId="627991E6" w14:textId="77777777" w:rsidR="00DE1537" w:rsidRDefault="00DE1537" w:rsidP="00343F3E">
                  <w:pPr>
                    <w:pStyle w:val="TableBodyText"/>
                    <w:jc w:val="left"/>
                  </w:pPr>
                  <w:r>
                    <w:t>2009</w:t>
                  </w:r>
                  <w:r>
                    <w:noBreakHyphen/>
                    <w:t>10</w:t>
                  </w:r>
                </w:p>
              </w:tc>
              <w:tc>
                <w:tcPr>
                  <w:tcW w:w="409" w:type="pct"/>
                </w:tcPr>
                <w:p w14:paraId="6CDEFE64" w14:textId="77777777" w:rsidR="00DE1537" w:rsidRDefault="00DE1537" w:rsidP="00343F3E">
                  <w:pPr>
                    <w:pStyle w:val="TableBodyText"/>
                  </w:pPr>
                  <w:r>
                    <w:t>6</w:t>
                  </w:r>
                </w:p>
              </w:tc>
              <w:tc>
                <w:tcPr>
                  <w:tcW w:w="663" w:type="pct"/>
                </w:tcPr>
                <w:p w14:paraId="41D23A5D" w14:textId="77777777" w:rsidR="00DE1537" w:rsidRDefault="00DE1537" w:rsidP="00343F3E">
                  <w:pPr>
                    <w:pStyle w:val="TableBodyText"/>
                  </w:pPr>
                  <w:r>
                    <w:t>35 071</w:t>
                  </w:r>
                </w:p>
              </w:tc>
              <w:tc>
                <w:tcPr>
                  <w:tcW w:w="660" w:type="pct"/>
                </w:tcPr>
                <w:p w14:paraId="3915DB2D" w14:textId="77777777" w:rsidR="00DE1537" w:rsidRDefault="00DE1537" w:rsidP="00343F3E">
                  <w:pPr>
                    <w:pStyle w:val="TableBodyText"/>
                  </w:pPr>
                  <w:r>
                    <w:t>27</w:t>
                  </w:r>
                </w:p>
              </w:tc>
              <w:tc>
                <w:tcPr>
                  <w:tcW w:w="532" w:type="pct"/>
                </w:tcPr>
                <w:p w14:paraId="16861B93" w14:textId="77777777" w:rsidR="00DE1537" w:rsidRDefault="00DE1537" w:rsidP="00343F3E">
                  <w:pPr>
                    <w:pStyle w:val="TableBodyText"/>
                  </w:pPr>
                  <w:r>
                    <w:t>43</w:t>
                  </w:r>
                </w:p>
              </w:tc>
              <w:tc>
                <w:tcPr>
                  <w:tcW w:w="2252" w:type="pct"/>
                </w:tcPr>
                <w:p w14:paraId="31DCA228" w14:textId="77777777" w:rsidR="00DE1537" w:rsidRDefault="00DE1537" w:rsidP="00343F3E">
                  <w:pPr>
                    <w:pStyle w:val="TableBodyText"/>
                    <w:ind w:right="28"/>
                    <w:jc w:val="left"/>
                  </w:pPr>
                  <w:r>
                    <w:t>New South Wales Mid</w:t>
                  </w:r>
                  <w:r>
                    <w:noBreakHyphen/>
                    <w:t>North Coast floods</w:t>
                  </w:r>
                </w:p>
              </w:tc>
            </w:tr>
            <w:tr w:rsidR="00DE1537" w14:paraId="2A456C68" w14:textId="77777777" w:rsidTr="00343F3E">
              <w:tc>
                <w:tcPr>
                  <w:tcW w:w="483" w:type="pct"/>
                </w:tcPr>
                <w:p w14:paraId="22C4F01C" w14:textId="77777777" w:rsidR="00DE1537" w:rsidRDefault="00DE1537" w:rsidP="00343F3E">
                  <w:pPr>
                    <w:pStyle w:val="TableBodyText"/>
                    <w:jc w:val="left"/>
                  </w:pPr>
                  <w:r>
                    <w:t>2010</w:t>
                  </w:r>
                  <w:r>
                    <w:noBreakHyphen/>
                    <w:t>11</w:t>
                  </w:r>
                </w:p>
              </w:tc>
              <w:tc>
                <w:tcPr>
                  <w:tcW w:w="409" w:type="pct"/>
                </w:tcPr>
                <w:p w14:paraId="783C36C3" w14:textId="77777777" w:rsidR="00DE1537" w:rsidRDefault="00DE1537" w:rsidP="00343F3E">
                  <w:pPr>
                    <w:pStyle w:val="TableBodyText"/>
                  </w:pPr>
                  <w:r>
                    <w:t>6</w:t>
                  </w:r>
                </w:p>
              </w:tc>
              <w:tc>
                <w:tcPr>
                  <w:tcW w:w="663" w:type="pct"/>
                </w:tcPr>
                <w:p w14:paraId="390DD9D1" w14:textId="77777777" w:rsidR="00DE1537" w:rsidRDefault="00DE1537" w:rsidP="00343F3E">
                  <w:pPr>
                    <w:pStyle w:val="TableBodyText"/>
                  </w:pPr>
                  <w:r>
                    <w:t>715 000</w:t>
                  </w:r>
                </w:p>
              </w:tc>
              <w:tc>
                <w:tcPr>
                  <w:tcW w:w="660" w:type="pct"/>
                </w:tcPr>
                <w:p w14:paraId="6369EDE2" w14:textId="77777777" w:rsidR="00DE1537" w:rsidRDefault="00DE1537" w:rsidP="00343F3E">
                  <w:pPr>
                    <w:pStyle w:val="TableBodyText"/>
                  </w:pPr>
                  <w:r>
                    <w:t>855</w:t>
                  </w:r>
                </w:p>
              </w:tc>
              <w:tc>
                <w:tcPr>
                  <w:tcW w:w="532" w:type="pct"/>
                </w:tcPr>
                <w:p w14:paraId="71D7D176" w14:textId="77777777" w:rsidR="00DE1537" w:rsidRDefault="00DE1537" w:rsidP="00343F3E">
                  <w:pPr>
                    <w:pStyle w:val="TableBodyText"/>
                  </w:pPr>
                  <w:r>
                    <w:t>845</w:t>
                  </w:r>
                </w:p>
              </w:tc>
              <w:tc>
                <w:tcPr>
                  <w:tcW w:w="2252" w:type="pct"/>
                </w:tcPr>
                <w:p w14:paraId="7F8B9E50" w14:textId="77777777" w:rsidR="00DE1537" w:rsidRDefault="00DE1537" w:rsidP="00343F3E">
                  <w:pPr>
                    <w:pStyle w:val="TableBodyText"/>
                    <w:ind w:right="28"/>
                    <w:jc w:val="left"/>
                  </w:pPr>
                  <w:r>
                    <w:t>Queensland floods; Tropical Cyclone Yasi; Victorian floods</w:t>
                  </w:r>
                </w:p>
              </w:tc>
            </w:tr>
            <w:tr w:rsidR="00DE1537" w14:paraId="01D076C3" w14:textId="77777777" w:rsidTr="00343F3E">
              <w:tc>
                <w:tcPr>
                  <w:tcW w:w="483" w:type="pct"/>
                  <w:shd w:val="clear" w:color="auto" w:fill="auto"/>
                </w:tcPr>
                <w:p w14:paraId="445CA9AC" w14:textId="77777777" w:rsidR="00DE1537" w:rsidRDefault="00DE1537" w:rsidP="00343F3E">
                  <w:pPr>
                    <w:pStyle w:val="TableBodyText"/>
                    <w:jc w:val="left"/>
                  </w:pPr>
                  <w:r>
                    <w:t>2011</w:t>
                  </w:r>
                  <w:r>
                    <w:noBreakHyphen/>
                    <w:t>12</w:t>
                  </w:r>
                </w:p>
              </w:tc>
              <w:tc>
                <w:tcPr>
                  <w:tcW w:w="409" w:type="pct"/>
                </w:tcPr>
                <w:p w14:paraId="31E607CC" w14:textId="77777777" w:rsidR="00DE1537" w:rsidRDefault="00DE1537" w:rsidP="00343F3E">
                  <w:pPr>
                    <w:pStyle w:val="TableBodyText"/>
                  </w:pPr>
                  <w:r>
                    <w:t>4</w:t>
                  </w:r>
                </w:p>
              </w:tc>
              <w:tc>
                <w:tcPr>
                  <w:tcW w:w="663" w:type="pct"/>
                </w:tcPr>
                <w:p w14:paraId="60C5EE8E" w14:textId="77777777" w:rsidR="00DE1537" w:rsidRDefault="00DE1537" w:rsidP="00343F3E">
                  <w:pPr>
                    <w:pStyle w:val="TableBodyText"/>
                  </w:pPr>
                  <w:r>
                    <w:t>64 000</w:t>
                  </w:r>
                </w:p>
              </w:tc>
              <w:tc>
                <w:tcPr>
                  <w:tcW w:w="660" w:type="pct"/>
                </w:tcPr>
                <w:p w14:paraId="245DA870" w14:textId="77777777" w:rsidR="00DE1537" w:rsidRDefault="00DE1537" w:rsidP="00343F3E">
                  <w:pPr>
                    <w:pStyle w:val="TableBodyText"/>
                  </w:pPr>
                  <w:r>
                    <w:t>73</w:t>
                  </w:r>
                </w:p>
              </w:tc>
              <w:tc>
                <w:tcPr>
                  <w:tcW w:w="532" w:type="pct"/>
                </w:tcPr>
                <w:p w14:paraId="381384EA" w14:textId="77777777" w:rsidR="00DE1537" w:rsidRDefault="00DE1537" w:rsidP="00343F3E">
                  <w:pPr>
                    <w:pStyle w:val="TableBodyText"/>
                  </w:pPr>
                  <w:r>
                    <w:t>80</w:t>
                  </w:r>
                </w:p>
              </w:tc>
              <w:tc>
                <w:tcPr>
                  <w:tcW w:w="2252" w:type="pct"/>
                  <w:shd w:val="clear" w:color="auto" w:fill="auto"/>
                </w:tcPr>
                <w:p w14:paraId="5FDECFA3" w14:textId="77777777" w:rsidR="00DE1537" w:rsidRDefault="00DE1537" w:rsidP="00343F3E">
                  <w:pPr>
                    <w:pStyle w:val="TableBodyText"/>
                    <w:ind w:right="28"/>
                    <w:jc w:val="left"/>
                  </w:pPr>
                  <w:r>
                    <w:t>Queensland floods; Victorian floods</w:t>
                  </w:r>
                </w:p>
              </w:tc>
            </w:tr>
            <w:tr w:rsidR="00DE1537" w14:paraId="26E7F02B" w14:textId="77777777" w:rsidTr="00343F3E">
              <w:tc>
                <w:tcPr>
                  <w:tcW w:w="483" w:type="pct"/>
                  <w:tcBorders>
                    <w:bottom w:val="single" w:sz="6" w:space="0" w:color="BFBFBF"/>
                  </w:tcBorders>
                  <w:shd w:val="clear" w:color="auto" w:fill="auto"/>
                </w:tcPr>
                <w:p w14:paraId="3568C273" w14:textId="77777777" w:rsidR="00DE1537" w:rsidRDefault="00DE1537" w:rsidP="00343F3E">
                  <w:pPr>
                    <w:pStyle w:val="TableBodyText"/>
                    <w:jc w:val="left"/>
                  </w:pPr>
                  <w:r>
                    <w:t>2012</w:t>
                  </w:r>
                  <w:r>
                    <w:noBreakHyphen/>
                    <w:t>13</w:t>
                  </w:r>
                </w:p>
              </w:tc>
              <w:tc>
                <w:tcPr>
                  <w:tcW w:w="409" w:type="pct"/>
                  <w:tcBorders>
                    <w:bottom w:val="single" w:sz="6" w:space="0" w:color="BFBFBF"/>
                  </w:tcBorders>
                </w:tcPr>
                <w:p w14:paraId="0EF884AF" w14:textId="77777777" w:rsidR="00DE1537" w:rsidRDefault="00DE1537" w:rsidP="00343F3E">
                  <w:pPr>
                    <w:pStyle w:val="TableBodyText"/>
                  </w:pPr>
                  <w:r>
                    <w:t>4</w:t>
                  </w:r>
                </w:p>
              </w:tc>
              <w:tc>
                <w:tcPr>
                  <w:tcW w:w="663" w:type="pct"/>
                  <w:tcBorders>
                    <w:bottom w:val="single" w:sz="6" w:space="0" w:color="BFBFBF"/>
                  </w:tcBorders>
                </w:tcPr>
                <w:p w14:paraId="6F06DBF4" w14:textId="77777777" w:rsidR="00DE1537" w:rsidRDefault="00DE1537" w:rsidP="00343F3E">
                  <w:pPr>
                    <w:pStyle w:val="TableBodyText"/>
                  </w:pPr>
                  <w:r>
                    <w:t>142 000</w:t>
                  </w:r>
                </w:p>
              </w:tc>
              <w:tc>
                <w:tcPr>
                  <w:tcW w:w="660" w:type="pct"/>
                  <w:tcBorders>
                    <w:bottom w:val="single" w:sz="6" w:space="0" w:color="BFBFBF"/>
                  </w:tcBorders>
                </w:tcPr>
                <w:p w14:paraId="75310A30" w14:textId="77777777" w:rsidR="00DE1537" w:rsidRDefault="00DE1537" w:rsidP="00343F3E">
                  <w:pPr>
                    <w:pStyle w:val="TableBodyText"/>
                  </w:pPr>
                  <w:r>
                    <w:t>168</w:t>
                  </w:r>
                </w:p>
              </w:tc>
              <w:tc>
                <w:tcPr>
                  <w:tcW w:w="532" w:type="pct"/>
                  <w:tcBorders>
                    <w:bottom w:val="single" w:sz="6" w:space="0" w:color="BFBFBF"/>
                  </w:tcBorders>
                </w:tcPr>
                <w:p w14:paraId="7560B883" w14:textId="77777777" w:rsidR="00DE1537" w:rsidRDefault="00DE1537" w:rsidP="00343F3E">
                  <w:pPr>
                    <w:pStyle w:val="TableBodyText"/>
                  </w:pPr>
                  <w:r>
                    <w:t>171</w:t>
                  </w:r>
                </w:p>
              </w:tc>
              <w:tc>
                <w:tcPr>
                  <w:tcW w:w="2252" w:type="pct"/>
                  <w:tcBorders>
                    <w:bottom w:val="single" w:sz="6" w:space="0" w:color="BFBFBF"/>
                  </w:tcBorders>
                  <w:shd w:val="clear" w:color="auto" w:fill="auto"/>
                </w:tcPr>
                <w:p w14:paraId="1A937B25" w14:textId="77777777" w:rsidR="00DE1537" w:rsidRDefault="00DE1537" w:rsidP="00343F3E">
                  <w:pPr>
                    <w:pStyle w:val="TableBodyText"/>
                    <w:ind w:right="28"/>
                    <w:jc w:val="left"/>
                  </w:pPr>
                  <w:r>
                    <w:t>Tasmanian bushfires; Queensland floods</w:t>
                  </w:r>
                </w:p>
              </w:tc>
            </w:tr>
          </w:tbl>
          <w:p w14:paraId="2AF55E2A" w14:textId="77777777" w:rsidR="00DE1537" w:rsidRDefault="00DE1537" w:rsidP="00343F3E">
            <w:pPr>
              <w:pStyle w:val="Box"/>
            </w:pPr>
          </w:p>
        </w:tc>
      </w:tr>
      <w:tr w:rsidR="00DE1537" w14:paraId="362055A0" w14:textId="77777777" w:rsidTr="00343F3E">
        <w:trPr>
          <w:cantSplit/>
        </w:trPr>
        <w:tc>
          <w:tcPr>
            <w:tcW w:w="8808" w:type="dxa"/>
            <w:tcBorders>
              <w:top w:val="nil"/>
              <w:left w:val="nil"/>
              <w:bottom w:val="nil"/>
              <w:right w:val="nil"/>
            </w:tcBorders>
            <w:shd w:val="clear" w:color="auto" w:fill="auto"/>
          </w:tcPr>
          <w:p w14:paraId="4A36DF46" w14:textId="77777777" w:rsidR="00DE1537" w:rsidRDefault="00DE1537" w:rsidP="00343F3E">
            <w:pPr>
              <w:pStyle w:val="Note"/>
              <w:rPr>
                <w:i/>
              </w:rPr>
            </w:pPr>
            <w:proofErr w:type="gramStart"/>
            <w:r w:rsidRPr="00CB41DC">
              <w:rPr>
                <w:b/>
                <w:position w:val="6"/>
              </w:rPr>
              <w:t>a</w:t>
            </w:r>
            <w:proofErr w:type="gramEnd"/>
            <w:r w:rsidRPr="007A08E7">
              <w:t xml:space="preserve"> </w:t>
            </w:r>
            <w:r>
              <w:t xml:space="preserve">Expenditure determined on per event basis. </w:t>
            </w:r>
            <w:proofErr w:type="gramStart"/>
            <w:r>
              <w:rPr>
                <w:rStyle w:val="NoteLabel"/>
              </w:rPr>
              <w:t>b</w:t>
            </w:r>
            <w:proofErr w:type="gramEnd"/>
            <w:r>
              <w:t xml:space="preserve"> Expenditure determined on an annual cash basis. </w:t>
            </w:r>
            <w:r>
              <w:br/>
            </w:r>
            <w:proofErr w:type="gramStart"/>
            <w:r w:rsidRPr="0012388F">
              <w:rPr>
                <w:rStyle w:val="NoteLabel"/>
              </w:rPr>
              <w:t>c</w:t>
            </w:r>
            <w:proofErr w:type="gramEnd"/>
            <w:r>
              <w:t xml:space="preserve"> Payments related to events in 2006</w:t>
            </w:r>
            <w:r>
              <w:noBreakHyphen/>
              <w:t>07 were paid out in 2007</w:t>
            </w:r>
            <w:r>
              <w:noBreakHyphen/>
              <w:t xml:space="preserve">08. – Nil. </w:t>
            </w:r>
            <w:proofErr w:type="gramStart"/>
            <w:r w:rsidRPr="0093021F">
              <w:rPr>
                <w:b/>
              </w:rPr>
              <w:t>na</w:t>
            </w:r>
            <w:proofErr w:type="gramEnd"/>
            <w:r>
              <w:t xml:space="preserve"> Not available.</w:t>
            </w:r>
          </w:p>
        </w:tc>
      </w:tr>
      <w:tr w:rsidR="00DE1537" w14:paraId="354DB8D4" w14:textId="77777777" w:rsidTr="00343F3E">
        <w:trPr>
          <w:cantSplit/>
        </w:trPr>
        <w:tc>
          <w:tcPr>
            <w:tcW w:w="8808" w:type="dxa"/>
            <w:tcBorders>
              <w:top w:val="nil"/>
              <w:left w:val="nil"/>
              <w:bottom w:val="nil"/>
              <w:right w:val="nil"/>
            </w:tcBorders>
            <w:shd w:val="clear" w:color="auto" w:fill="auto"/>
          </w:tcPr>
          <w:p w14:paraId="1181A2C2" w14:textId="1C98E674" w:rsidR="00DE1537" w:rsidRDefault="00DE1537" w:rsidP="00343F3E">
            <w:pPr>
              <w:pStyle w:val="Source"/>
            </w:pPr>
            <w:r>
              <w:rPr>
                <w:i/>
              </w:rPr>
              <w:t>Sources</w:t>
            </w:r>
            <w:r w:rsidRPr="00167F06">
              <w:t xml:space="preserve">: </w:t>
            </w:r>
            <w:r>
              <w:t>Attorney</w:t>
            </w:r>
            <w:r>
              <w:noBreakHyphen/>
              <w:t>General’s</w:t>
            </w:r>
            <w:r w:rsidRPr="00CB41DC">
              <w:t xml:space="preserve"> Department </w:t>
            </w:r>
            <w:r w:rsidRPr="000417C5">
              <w:rPr>
                <w:rFonts w:cs="Arial"/>
              </w:rPr>
              <w:t>(pers. comm., 30 July 2014; various years)</w:t>
            </w:r>
            <w:r w:rsidRPr="00CB41DC">
              <w:t xml:space="preserve">; FaHCSIA </w:t>
            </w:r>
            <w:r w:rsidRPr="0021534F">
              <w:rPr>
                <w:rFonts w:cs="Arial"/>
              </w:rPr>
              <w:t>(various years)</w:t>
            </w:r>
            <w:r w:rsidRPr="00CB41DC">
              <w:t>.</w:t>
            </w:r>
          </w:p>
        </w:tc>
      </w:tr>
      <w:tr w:rsidR="00DE1537" w14:paraId="1D3B9B28" w14:textId="77777777" w:rsidTr="00343F3E">
        <w:trPr>
          <w:cantSplit/>
        </w:trPr>
        <w:tc>
          <w:tcPr>
            <w:tcW w:w="8808" w:type="dxa"/>
            <w:tcBorders>
              <w:top w:val="nil"/>
              <w:left w:val="nil"/>
              <w:bottom w:val="single" w:sz="6" w:space="0" w:color="78A22F"/>
              <w:right w:val="nil"/>
            </w:tcBorders>
            <w:shd w:val="clear" w:color="auto" w:fill="auto"/>
          </w:tcPr>
          <w:p w14:paraId="01B87A61" w14:textId="77777777" w:rsidR="00DE1537" w:rsidRDefault="00DE1537" w:rsidP="00343F3E">
            <w:pPr>
              <w:pStyle w:val="Box"/>
              <w:spacing w:before="0" w:line="120" w:lineRule="exact"/>
            </w:pPr>
          </w:p>
        </w:tc>
      </w:tr>
      <w:tr w:rsidR="00DE1537" w:rsidRPr="000863A5" w14:paraId="51267669" w14:textId="77777777" w:rsidTr="00343F3E">
        <w:tc>
          <w:tcPr>
            <w:tcW w:w="8808" w:type="dxa"/>
            <w:tcBorders>
              <w:top w:val="single" w:sz="6" w:space="0" w:color="78A22F"/>
              <w:left w:val="nil"/>
              <w:bottom w:val="nil"/>
              <w:right w:val="nil"/>
            </w:tcBorders>
          </w:tcPr>
          <w:p w14:paraId="12BBFEB1" w14:textId="77777777" w:rsidR="00DE1537" w:rsidRPr="00626D32" w:rsidRDefault="00DE1537" w:rsidP="00343F3E">
            <w:pPr>
              <w:pStyle w:val="BoxSpaceBelow"/>
            </w:pPr>
          </w:p>
        </w:tc>
      </w:tr>
    </w:tbl>
    <w:p w14:paraId="4B997721" w14:textId="77777777" w:rsidR="00DE1537" w:rsidRDefault="00DE1537" w:rsidP="00343F3E">
      <w:pPr>
        <w:pStyle w:val="BodyText"/>
      </w:pPr>
      <w:r w:rsidRPr="006C169D">
        <w:t xml:space="preserve">Eligibility criteria for AGDRP assistance have changed between different natural </w:t>
      </w:r>
      <w:proofErr w:type="gramStart"/>
      <w:r w:rsidRPr="006C169D">
        <w:t>disaster</w:t>
      </w:r>
      <w:proofErr w:type="gramEnd"/>
      <w:r w:rsidRPr="006C169D">
        <w:t xml:space="preserve"> events, and the definition of adversely affected has become broader over time. Originally, after </w:t>
      </w:r>
      <w:r>
        <w:t xml:space="preserve">the 2006 </w:t>
      </w:r>
      <w:r w:rsidRPr="006C169D">
        <w:t xml:space="preserve">Tasmanian bushfires, the first activation of the AGDRP in December 2006 was available for people whose principle place of residence was destroyed or rendered uninhabitable. However, eligibility was extended to people who were seriously injured after </w:t>
      </w:r>
      <w:r>
        <w:t xml:space="preserve">the </w:t>
      </w:r>
      <w:r w:rsidRPr="006C169D">
        <w:t xml:space="preserve">WA cyclones in 2007. Eligibility was further broadened during the 2009 Victorian bushfires to people who had to leave their homes for 24 hours, or lost a utility for 48 hours (chapter 2). This trend has been reversed more recently — after bushfires in the Blue Mountains in October 2013, the payment was not available to people who had to leave their homes, unless </w:t>
      </w:r>
      <w:r>
        <w:t>their homes</w:t>
      </w:r>
      <w:r w:rsidRPr="006C169D">
        <w:t xml:space="preserve"> were destroyed or sustained major damage (Senator Doug Cameron, sub. 69).</w:t>
      </w:r>
    </w:p>
    <w:p w14:paraId="597C16C9" w14:textId="77777777" w:rsidR="00DE1537" w:rsidRDefault="00DE1537" w:rsidP="00343F3E">
      <w:pPr>
        <w:pStyle w:val="BodyText"/>
      </w:pPr>
      <w:r>
        <w:t>Along with inconsistent eligibility criteria, t</w:t>
      </w:r>
      <w:r w:rsidRPr="00CB41DC">
        <w:t>here is concern that AGDRP funding appears to be poorly targeted</w:t>
      </w:r>
      <w:r>
        <w:t xml:space="preserve">. For example, </w:t>
      </w:r>
      <w:r w:rsidRPr="00CB41DC">
        <w:t>some AGDRP funding overlaps with</w:t>
      </w:r>
      <w:r>
        <w:t xml:space="preserve"> personal hardship payments under category A of the</w:t>
      </w:r>
      <w:r w:rsidRPr="00CB41DC">
        <w:t xml:space="preserve"> NDRRA </w:t>
      </w:r>
      <w:r>
        <w:t>and other state personal hardship programs</w:t>
      </w:r>
      <w:r w:rsidRPr="00CB41DC">
        <w:t>.</w:t>
      </w:r>
    </w:p>
    <w:p w14:paraId="08830925" w14:textId="77777777" w:rsidR="00DE1537" w:rsidRPr="00CB41DC" w:rsidRDefault="00DE1537" w:rsidP="00343F3E">
      <w:pPr>
        <w:pStyle w:val="Heading5"/>
      </w:pPr>
      <w:r w:rsidRPr="00CB41DC">
        <w:t>Other relief and recovery policies</w:t>
      </w:r>
    </w:p>
    <w:p w14:paraId="2602880A" w14:textId="77777777" w:rsidR="00DE1537" w:rsidRDefault="00DE1537" w:rsidP="00343F3E">
      <w:pPr>
        <w:pStyle w:val="BodyText"/>
      </w:pPr>
      <w:r w:rsidRPr="00CB41DC">
        <w:t>The Australian Government has several other emergency management policies, generally aimed at providing financial support to people affected by na</w:t>
      </w:r>
      <w:r>
        <w:t>tural disasters (table 2.5).</w:t>
      </w:r>
    </w:p>
    <w:p w14:paraId="4A29B8EE"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DE1537" w14:paraId="7F5FA257" w14:textId="77777777" w:rsidTr="00343F3E">
        <w:tc>
          <w:tcPr>
            <w:tcW w:w="8909" w:type="dxa"/>
            <w:tcBorders>
              <w:top w:val="single" w:sz="4" w:space="0" w:color="78A22F"/>
              <w:left w:val="nil"/>
              <w:bottom w:val="nil"/>
              <w:right w:val="nil"/>
            </w:tcBorders>
            <w:shd w:val="clear" w:color="auto" w:fill="auto"/>
          </w:tcPr>
          <w:p w14:paraId="3DA85F5F" w14:textId="67191A33" w:rsidR="00DE1537" w:rsidRPr="00784A05" w:rsidRDefault="00DE1537" w:rsidP="00343F3E">
            <w:pPr>
              <w:pStyle w:val="TableTitle"/>
            </w:pPr>
            <w:r>
              <w:rPr>
                <w:b w:val="0"/>
              </w:rPr>
              <w:t xml:space="preserve">Table </w:t>
            </w:r>
            <w:bookmarkStart w:id="43" w:name="OLE_LINK37"/>
            <w:r>
              <w:rPr>
                <w:b w:val="0"/>
              </w:rPr>
              <w:t>2.</w:t>
            </w:r>
            <w:r>
              <w:rPr>
                <w:b w:val="0"/>
                <w:noProof/>
              </w:rPr>
              <w:t>5</w:t>
            </w:r>
            <w:bookmarkEnd w:id="43"/>
            <w:r>
              <w:tab/>
            </w:r>
            <w:r w:rsidRPr="00CB41DC">
              <w:t xml:space="preserve">Other Australian Government relief and recovery </w:t>
            </w:r>
            <w:r>
              <w:t xml:space="preserve">responsibilities and </w:t>
            </w:r>
            <w:r w:rsidRPr="00CB41DC">
              <w:t>policies</w:t>
            </w:r>
          </w:p>
        </w:tc>
      </w:tr>
      <w:tr w:rsidR="00DE1537" w14:paraId="6A0FB1CD" w14:textId="77777777" w:rsidTr="00343F3E">
        <w:trPr>
          <w:cantSplit/>
        </w:trPr>
        <w:tc>
          <w:tcPr>
            <w:tcW w:w="8909"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198"/>
              <w:gridCol w:w="5406"/>
              <w:gridCol w:w="1021"/>
            </w:tblGrid>
            <w:tr w:rsidR="00DE1537" w:rsidRPr="00A736EC" w14:paraId="77B8AB73" w14:textId="77777777" w:rsidTr="00343F3E">
              <w:tc>
                <w:tcPr>
                  <w:tcW w:w="1274" w:type="pct"/>
                  <w:tcBorders>
                    <w:top w:val="single" w:sz="6" w:space="0" w:color="BFBFBF"/>
                    <w:bottom w:val="single" w:sz="6" w:space="0" w:color="BFBFBF"/>
                  </w:tcBorders>
                  <w:shd w:val="clear" w:color="auto" w:fill="auto"/>
                </w:tcPr>
                <w:p w14:paraId="12E3D3DA" w14:textId="77777777" w:rsidR="00DE1537" w:rsidRPr="00C73A46" w:rsidRDefault="00DE1537" w:rsidP="00343F3E">
                  <w:pPr>
                    <w:pStyle w:val="TableColumnHeading"/>
                    <w:jc w:val="left"/>
                    <w:rPr>
                      <w:rStyle w:val="NoteLabel"/>
                      <w:b w:val="0"/>
                    </w:rPr>
                  </w:pPr>
                  <w:r w:rsidRPr="00C73A46">
                    <w:rPr>
                      <w:rStyle w:val="NoteLabel"/>
                      <w:b w:val="0"/>
                    </w:rPr>
                    <w:t>Policy</w:t>
                  </w:r>
                </w:p>
              </w:tc>
              <w:tc>
                <w:tcPr>
                  <w:tcW w:w="3134" w:type="pct"/>
                  <w:tcBorders>
                    <w:top w:val="single" w:sz="6" w:space="0" w:color="BFBFBF"/>
                    <w:bottom w:val="single" w:sz="6" w:space="0" w:color="BFBFBF"/>
                  </w:tcBorders>
                  <w:shd w:val="clear" w:color="auto" w:fill="auto"/>
                </w:tcPr>
                <w:p w14:paraId="4943096B" w14:textId="77777777" w:rsidR="00DE1537" w:rsidRPr="00C73A46" w:rsidRDefault="00DE1537" w:rsidP="00343F3E">
                  <w:pPr>
                    <w:pStyle w:val="TableColumnHeading"/>
                    <w:ind w:right="6"/>
                    <w:jc w:val="left"/>
                    <w:rPr>
                      <w:rStyle w:val="NoteLabel"/>
                      <w:b w:val="0"/>
                    </w:rPr>
                  </w:pPr>
                  <w:r w:rsidRPr="00C73A46">
                    <w:rPr>
                      <w:rStyle w:val="NoteLabel"/>
                      <w:b w:val="0"/>
                    </w:rPr>
                    <w:t>Details</w:t>
                  </w:r>
                </w:p>
              </w:tc>
              <w:tc>
                <w:tcPr>
                  <w:tcW w:w="592" w:type="pct"/>
                  <w:tcBorders>
                    <w:top w:val="single" w:sz="6" w:space="0" w:color="BFBFBF"/>
                    <w:bottom w:val="single" w:sz="6" w:space="0" w:color="BFBFBF"/>
                  </w:tcBorders>
                </w:tcPr>
                <w:p w14:paraId="2BCD22B1" w14:textId="77777777" w:rsidR="00DE1537" w:rsidRPr="00A736EC" w:rsidRDefault="00DE1537" w:rsidP="00343F3E">
                  <w:pPr>
                    <w:pStyle w:val="TableColumnHeading"/>
                    <w:ind w:right="0"/>
                    <w:rPr>
                      <w:rStyle w:val="NoteLabel"/>
                      <w:b w:val="0"/>
                      <w:i w:val="0"/>
                    </w:rPr>
                  </w:pPr>
                  <w:r w:rsidRPr="00A736EC">
                    <w:rPr>
                      <w:rStyle w:val="NoteLabel"/>
                      <w:b w:val="0"/>
                    </w:rPr>
                    <w:t>($ million)</w:t>
                  </w:r>
                  <w:r w:rsidRPr="00A736EC">
                    <w:rPr>
                      <w:rStyle w:val="NoteLabel"/>
                      <w:i w:val="0"/>
                    </w:rPr>
                    <w:t>a</w:t>
                  </w:r>
                </w:p>
              </w:tc>
            </w:tr>
            <w:tr w:rsidR="00DE1537" w14:paraId="5463F4C4" w14:textId="77777777" w:rsidTr="00343F3E">
              <w:tc>
                <w:tcPr>
                  <w:tcW w:w="1274" w:type="pct"/>
                  <w:tcBorders>
                    <w:top w:val="single" w:sz="6" w:space="0" w:color="BFBFBF"/>
                  </w:tcBorders>
                </w:tcPr>
                <w:p w14:paraId="0296621A" w14:textId="77777777" w:rsidR="00DE1537" w:rsidRPr="00C73A46" w:rsidRDefault="00DE1537" w:rsidP="00343F3E">
                  <w:pPr>
                    <w:pStyle w:val="TableBodyText"/>
                    <w:spacing w:before="40"/>
                    <w:jc w:val="left"/>
                    <w:rPr>
                      <w:rStyle w:val="NoteLabel"/>
                      <w:b w:val="0"/>
                      <w:position w:val="0"/>
                    </w:rPr>
                  </w:pPr>
                  <w:r w:rsidRPr="00C73A46">
                    <w:rPr>
                      <w:rStyle w:val="NoteLabel"/>
                      <w:b w:val="0"/>
                      <w:position w:val="0"/>
                    </w:rPr>
                    <w:t>Queensland Flood Levy</w:t>
                  </w:r>
                </w:p>
              </w:tc>
              <w:tc>
                <w:tcPr>
                  <w:tcW w:w="3134" w:type="pct"/>
                  <w:tcBorders>
                    <w:top w:val="single" w:sz="6" w:space="0" w:color="BFBFBF"/>
                  </w:tcBorders>
                </w:tcPr>
                <w:p w14:paraId="5E3E3491" w14:textId="77777777" w:rsidR="00DE1537" w:rsidRPr="00C73A46" w:rsidRDefault="00DE1537" w:rsidP="00343F3E">
                  <w:pPr>
                    <w:pStyle w:val="TableBodyText"/>
                    <w:spacing w:before="40"/>
                    <w:jc w:val="left"/>
                    <w:rPr>
                      <w:rStyle w:val="NoteLabel"/>
                      <w:b w:val="0"/>
                      <w:position w:val="0"/>
                    </w:rPr>
                  </w:pPr>
                  <w:r>
                    <w:t xml:space="preserve">After </w:t>
                  </w:r>
                  <w:r w:rsidRPr="00C73A46">
                    <w:t>f</w:t>
                  </w:r>
                  <w:r>
                    <w:t>l</w:t>
                  </w:r>
                  <w:r w:rsidRPr="00C73A46">
                    <w:t>oods</w:t>
                  </w:r>
                  <w:r>
                    <w:t xml:space="preserve"> in Queensland in 2010 and 2011, the Australian Government introduced a levy to fund reconstruction works.</w:t>
                  </w:r>
                </w:p>
              </w:tc>
              <w:tc>
                <w:tcPr>
                  <w:tcW w:w="592" w:type="pct"/>
                  <w:tcBorders>
                    <w:top w:val="single" w:sz="6" w:space="0" w:color="BFBFBF"/>
                  </w:tcBorders>
                </w:tcPr>
                <w:p w14:paraId="13739691" w14:textId="77777777" w:rsidR="00DE1537" w:rsidRPr="00C73A46" w:rsidRDefault="00DE1537" w:rsidP="00343F3E">
                  <w:pPr>
                    <w:pStyle w:val="TableBodyText"/>
                    <w:spacing w:before="40"/>
                    <w:ind w:right="0"/>
                    <w:rPr>
                      <w:rStyle w:val="NoteLabel"/>
                      <w:b w:val="0"/>
                      <w:position w:val="0"/>
                    </w:rPr>
                  </w:pPr>
                  <w:r>
                    <w:t>1 </w:t>
                  </w:r>
                  <w:r w:rsidRPr="009A64D5">
                    <w:t>7</w:t>
                  </w:r>
                  <w:r>
                    <w:t>00</w:t>
                  </w:r>
                  <w:r w:rsidRPr="009A64D5">
                    <w:rPr>
                      <w:rStyle w:val="NoteLabel"/>
                    </w:rPr>
                    <w:t>b</w:t>
                  </w:r>
                </w:p>
              </w:tc>
            </w:tr>
            <w:tr w:rsidR="00DE1537" w14:paraId="748C8AF8" w14:textId="77777777" w:rsidTr="00343F3E">
              <w:tc>
                <w:tcPr>
                  <w:tcW w:w="1274" w:type="pct"/>
                </w:tcPr>
                <w:p w14:paraId="19B1F6F8" w14:textId="77777777" w:rsidR="00DE1537" w:rsidRPr="00C73A46" w:rsidRDefault="00DE1537" w:rsidP="00343F3E">
                  <w:pPr>
                    <w:pStyle w:val="TableBodyText"/>
                    <w:jc w:val="left"/>
                    <w:rPr>
                      <w:rStyle w:val="NoteLabel"/>
                      <w:b w:val="0"/>
                      <w:position w:val="0"/>
                    </w:rPr>
                  </w:pPr>
                  <w:r w:rsidRPr="00C73A46">
                    <w:rPr>
                      <w:rStyle w:val="NoteLabel"/>
                      <w:b w:val="0"/>
                      <w:position w:val="0"/>
                    </w:rPr>
                    <w:t>Disaster Income Recovery Subsidy</w:t>
                  </w:r>
                </w:p>
              </w:tc>
              <w:tc>
                <w:tcPr>
                  <w:tcW w:w="3134" w:type="pct"/>
                </w:tcPr>
                <w:p w14:paraId="5B5C53EB" w14:textId="77777777" w:rsidR="00DE1537" w:rsidRPr="00C73A46" w:rsidRDefault="00DE1537" w:rsidP="00343F3E">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payments to people who demonstrate loss of income as a direct result of a disaster. Payments made for up to 13 weeks equivalent to the maximum Newstart/Youth allowance rate.</w:t>
                  </w:r>
                </w:p>
              </w:tc>
              <w:tc>
                <w:tcPr>
                  <w:tcW w:w="592" w:type="pct"/>
                </w:tcPr>
                <w:p w14:paraId="000C57AF" w14:textId="77777777" w:rsidR="00DE1537" w:rsidRPr="00C73A46" w:rsidRDefault="00DE1537" w:rsidP="00343F3E">
                  <w:pPr>
                    <w:pStyle w:val="TableBodyText"/>
                    <w:rPr>
                      <w:rStyle w:val="NoteLabel"/>
                      <w:b w:val="0"/>
                      <w:position w:val="0"/>
                    </w:rPr>
                  </w:pPr>
                  <w:r>
                    <w:t>100</w:t>
                  </w:r>
                </w:p>
              </w:tc>
            </w:tr>
            <w:tr w:rsidR="00DE1537" w14:paraId="68C31DB1" w14:textId="77777777" w:rsidTr="00343F3E">
              <w:tc>
                <w:tcPr>
                  <w:tcW w:w="1274" w:type="pct"/>
                </w:tcPr>
                <w:p w14:paraId="4EBC475A" w14:textId="77777777" w:rsidR="00DE1537" w:rsidRPr="00C73A46" w:rsidRDefault="00DE1537" w:rsidP="00343F3E">
                  <w:pPr>
                    <w:pStyle w:val="TableBodyText"/>
                    <w:jc w:val="left"/>
                    <w:rPr>
                      <w:rStyle w:val="NoteLabel"/>
                      <w:b w:val="0"/>
                      <w:position w:val="0"/>
                    </w:rPr>
                  </w:pPr>
                  <w:r w:rsidRPr="00C73A46">
                    <w:rPr>
                      <w:rStyle w:val="NoteLabel"/>
                      <w:b w:val="0"/>
                      <w:position w:val="0"/>
                    </w:rPr>
                    <w:t>Disaster Recovery Allowance</w:t>
                  </w:r>
                </w:p>
              </w:tc>
              <w:tc>
                <w:tcPr>
                  <w:tcW w:w="3134" w:type="pct"/>
                </w:tcPr>
                <w:p w14:paraId="280A2788" w14:textId="77777777" w:rsidR="00DE1537" w:rsidRPr="00C73A46" w:rsidRDefault="00DE1537" w:rsidP="00343F3E">
                  <w:pPr>
                    <w:pStyle w:val="TableBodyText"/>
                    <w:jc w:val="left"/>
                    <w:rPr>
                      <w:rStyle w:val="NoteLabel"/>
                      <w:b w:val="0"/>
                      <w:position w:val="0"/>
                    </w:rPr>
                  </w:pPr>
                  <w:r w:rsidRPr="00C73A46">
                    <w:rPr>
                      <w:rStyle w:val="NoteLabel"/>
                      <w:b w:val="0"/>
                      <w:position w:val="0"/>
                    </w:rPr>
                    <w:t>The Disaster Recovery Allowance came into effect on 1</w:t>
                  </w:r>
                  <w:r>
                    <w:rPr>
                      <w:rStyle w:val="NoteLabel"/>
                      <w:b w:val="0"/>
                      <w:position w:val="0"/>
                    </w:rPr>
                    <w:t> </w:t>
                  </w:r>
                  <w:r w:rsidRPr="00C73A46">
                    <w:rPr>
                      <w:rStyle w:val="NoteLabel"/>
                      <w:b w:val="0"/>
                      <w:position w:val="0"/>
                    </w:rPr>
                    <w:t xml:space="preserve">October 2013 and replaced the </w:t>
                  </w:r>
                  <w:r>
                    <w:rPr>
                      <w:rStyle w:val="NoteLabel"/>
                      <w:b w:val="0"/>
                      <w:position w:val="0"/>
                    </w:rPr>
                    <w:t>Disaster Income Recovery Subsidy</w:t>
                  </w:r>
                  <w:r w:rsidRPr="00C73A46">
                    <w:rPr>
                      <w:rStyle w:val="NoteLabel"/>
                      <w:b w:val="0"/>
                      <w:position w:val="0"/>
                    </w:rPr>
                    <w:t xml:space="preserve">. Only two events have activated the </w:t>
                  </w:r>
                  <w:r>
                    <w:rPr>
                      <w:rStyle w:val="NoteLabel"/>
                      <w:b w:val="0"/>
                      <w:position w:val="0"/>
                    </w:rPr>
                    <w:t>Disaster Recovery Allowance</w:t>
                  </w:r>
                  <w:r w:rsidRPr="00C73A46">
                    <w:rPr>
                      <w:rStyle w:val="NoteLabel"/>
                      <w:b w:val="0"/>
                      <w:position w:val="0"/>
                    </w:rPr>
                    <w:t xml:space="preserve"> — N</w:t>
                  </w:r>
                  <w:r>
                    <w:rPr>
                      <w:rStyle w:val="NoteLabel"/>
                      <w:b w:val="0"/>
                      <w:position w:val="0"/>
                    </w:rPr>
                    <w:t xml:space="preserve">ew </w:t>
                  </w:r>
                  <w:r w:rsidRPr="00C73A46">
                    <w:rPr>
                      <w:rStyle w:val="NoteLabel"/>
                      <w:b w:val="0"/>
                      <w:position w:val="0"/>
                    </w:rPr>
                    <w:t>S</w:t>
                  </w:r>
                  <w:r>
                    <w:rPr>
                      <w:rStyle w:val="NoteLabel"/>
                      <w:b w:val="0"/>
                      <w:position w:val="0"/>
                    </w:rPr>
                    <w:t xml:space="preserve">outh </w:t>
                  </w:r>
                  <w:r w:rsidRPr="00C73A46">
                    <w:rPr>
                      <w:rStyle w:val="NoteLabel"/>
                      <w:b w:val="0"/>
                      <w:position w:val="0"/>
                    </w:rPr>
                    <w:t>W</w:t>
                  </w:r>
                  <w:r>
                    <w:rPr>
                      <w:rStyle w:val="NoteLabel"/>
                      <w:b w:val="0"/>
                      <w:position w:val="0"/>
                    </w:rPr>
                    <w:t>ales</w:t>
                  </w:r>
                  <w:r w:rsidRPr="00C73A46">
                    <w:rPr>
                      <w:rStyle w:val="NoteLabel"/>
                      <w:b w:val="0"/>
                      <w:position w:val="0"/>
                    </w:rPr>
                    <w:t xml:space="preserve"> bushfires and Cyclone Ita.</w:t>
                  </w:r>
                </w:p>
              </w:tc>
              <w:tc>
                <w:tcPr>
                  <w:tcW w:w="592" w:type="pct"/>
                </w:tcPr>
                <w:p w14:paraId="289B4C19" w14:textId="77777777" w:rsidR="00DE1537" w:rsidRPr="00C73A46" w:rsidRDefault="00DE1537" w:rsidP="00343F3E">
                  <w:pPr>
                    <w:pStyle w:val="TableBodyText"/>
                    <w:rPr>
                      <w:rStyle w:val="NoteLabel"/>
                      <w:b w:val="0"/>
                      <w:position w:val="0"/>
                    </w:rPr>
                  </w:pPr>
                  <w:r>
                    <w:t>–</w:t>
                  </w:r>
                </w:p>
              </w:tc>
            </w:tr>
            <w:tr w:rsidR="00DE1537" w:rsidRPr="00CB41DC" w14:paraId="5EB8AAFB" w14:textId="77777777" w:rsidTr="00343F3E">
              <w:tc>
                <w:tcPr>
                  <w:tcW w:w="1274" w:type="pct"/>
                </w:tcPr>
                <w:p w14:paraId="2056FB80" w14:textId="77777777" w:rsidR="00DE1537" w:rsidRPr="00C73A46" w:rsidRDefault="00DE1537" w:rsidP="00343F3E">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assistance to New Zealand citizens</w:t>
                  </w:r>
                </w:p>
              </w:tc>
              <w:tc>
                <w:tcPr>
                  <w:tcW w:w="3134" w:type="pct"/>
                </w:tcPr>
                <w:p w14:paraId="43FB1C11" w14:textId="77777777" w:rsidR="00DE1537" w:rsidRPr="00C73A46" w:rsidRDefault="00DE1537" w:rsidP="00343F3E">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payments to eligible New Zealand visa holders affected by disaster.</w:t>
                  </w:r>
                </w:p>
              </w:tc>
              <w:tc>
                <w:tcPr>
                  <w:tcW w:w="592" w:type="pct"/>
                </w:tcPr>
                <w:p w14:paraId="1370855B" w14:textId="77777777" w:rsidR="00DE1537" w:rsidRPr="00E67C97" w:rsidRDefault="00DE1537" w:rsidP="00343F3E">
                  <w:pPr>
                    <w:pStyle w:val="TableBodyText"/>
                    <w:rPr>
                      <w:rStyle w:val="NoteLabel"/>
                      <w:b w:val="0"/>
                      <w:position w:val="0"/>
                    </w:rPr>
                  </w:pPr>
                  <w:r w:rsidRPr="00E67C97">
                    <w:rPr>
                      <w:rStyle w:val="NoteLabel"/>
                      <w:b w:val="0"/>
                      <w:position w:val="0"/>
                    </w:rPr>
                    <w:t>5</w:t>
                  </w:r>
                </w:p>
              </w:tc>
            </w:tr>
            <w:tr w:rsidR="00DE1537" w:rsidRPr="00CB41DC" w14:paraId="7F06C763" w14:textId="77777777" w:rsidTr="00343F3E">
              <w:tc>
                <w:tcPr>
                  <w:tcW w:w="1274" w:type="pct"/>
                  <w:shd w:val="clear" w:color="auto" w:fill="auto"/>
                </w:tcPr>
                <w:p w14:paraId="6D843E7D" w14:textId="77777777" w:rsidR="00DE1537" w:rsidRPr="00C73A46" w:rsidRDefault="00DE1537" w:rsidP="00343F3E">
                  <w:pPr>
                    <w:pStyle w:val="TableBodyText"/>
                    <w:jc w:val="left"/>
                    <w:rPr>
                      <w:rStyle w:val="NoteLabel"/>
                      <w:b w:val="0"/>
                      <w:position w:val="0"/>
                    </w:rPr>
                  </w:pPr>
                  <w:r w:rsidRPr="00C73A46">
                    <w:rPr>
                      <w:rStyle w:val="NoteLabel"/>
                      <w:b w:val="0"/>
                      <w:position w:val="0"/>
                    </w:rPr>
                    <w:t>Donations to disaster appeals</w:t>
                  </w:r>
                </w:p>
              </w:tc>
              <w:tc>
                <w:tcPr>
                  <w:tcW w:w="3134" w:type="pct"/>
                  <w:shd w:val="clear" w:color="auto" w:fill="auto"/>
                </w:tcPr>
                <w:p w14:paraId="055E436A" w14:textId="77777777" w:rsidR="00DE1537" w:rsidRPr="00C73A46" w:rsidRDefault="00DE1537" w:rsidP="00343F3E">
                  <w:pPr>
                    <w:pStyle w:val="TableBodyText"/>
                    <w:jc w:val="left"/>
                    <w:rPr>
                      <w:rStyle w:val="NoteLabel"/>
                      <w:b w:val="0"/>
                      <w:position w:val="0"/>
                    </w:rPr>
                  </w:pPr>
                  <w:r w:rsidRPr="00C73A46">
                    <w:rPr>
                      <w:rStyle w:val="NoteLabel"/>
                      <w:b w:val="0"/>
                      <w:position w:val="0"/>
                    </w:rPr>
                    <w:t>The Australian Government has provided funds to disaster appeals at different times (typically charitable funds set up with assistance of state governments).</w:t>
                  </w:r>
                </w:p>
              </w:tc>
              <w:tc>
                <w:tcPr>
                  <w:tcW w:w="592" w:type="pct"/>
                </w:tcPr>
                <w:p w14:paraId="0C4CF2AE" w14:textId="77777777" w:rsidR="00DE1537" w:rsidRPr="00C73A46" w:rsidRDefault="00DE1537" w:rsidP="00343F3E">
                  <w:pPr>
                    <w:pStyle w:val="TableBodyText"/>
                    <w:rPr>
                      <w:rStyle w:val="NoteLabel"/>
                      <w:b w:val="0"/>
                      <w:position w:val="0"/>
                    </w:rPr>
                  </w:pPr>
                  <w:r w:rsidRPr="00C73A46">
                    <w:rPr>
                      <w:rStyle w:val="NoteLabel"/>
                      <w:b w:val="0"/>
                      <w:position w:val="0"/>
                    </w:rPr>
                    <w:t>20</w:t>
                  </w:r>
                </w:p>
              </w:tc>
            </w:tr>
            <w:tr w:rsidR="00DE1537" w:rsidRPr="00CB41DC" w14:paraId="3A86B115" w14:textId="77777777" w:rsidTr="00343F3E">
              <w:tc>
                <w:tcPr>
                  <w:tcW w:w="1274" w:type="pct"/>
                  <w:shd w:val="clear" w:color="auto" w:fill="auto"/>
                </w:tcPr>
                <w:p w14:paraId="421C1A6C" w14:textId="77777777" w:rsidR="00DE1537" w:rsidRPr="00C73A46" w:rsidRDefault="00DE1537" w:rsidP="00343F3E">
                  <w:pPr>
                    <w:pStyle w:val="TableBodyText"/>
                    <w:jc w:val="left"/>
                    <w:rPr>
                      <w:rStyle w:val="NoteLabel"/>
                      <w:b w:val="0"/>
                      <w:position w:val="0"/>
                    </w:rPr>
                  </w:pPr>
                  <w:r w:rsidRPr="00C73A46">
                    <w:rPr>
                      <w:rStyle w:val="NoteLabel"/>
                      <w:b w:val="0"/>
                      <w:position w:val="0"/>
                    </w:rPr>
                    <w:t>National Aerial Firefighting Arrangements</w:t>
                  </w:r>
                </w:p>
              </w:tc>
              <w:tc>
                <w:tcPr>
                  <w:tcW w:w="3134" w:type="pct"/>
                  <w:shd w:val="clear" w:color="auto" w:fill="auto"/>
                </w:tcPr>
                <w:p w14:paraId="4B2E8C02" w14:textId="77777777" w:rsidR="00DE1537" w:rsidRPr="00C73A46" w:rsidRDefault="00DE1537" w:rsidP="00343F3E">
                  <w:pPr>
                    <w:pStyle w:val="TableBodyText"/>
                    <w:jc w:val="left"/>
                    <w:rPr>
                      <w:rStyle w:val="NoteLabel"/>
                      <w:b w:val="0"/>
                      <w:position w:val="0"/>
                    </w:rPr>
                  </w:pPr>
                  <w:r>
                    <w:rPr>
                      <w:rStyle w:val="NoteLabel"/>
                      <w:b w:val="0"/>
                      <w:position w:val="0"/>
                    </w:rPr>
                    <w:t>T</w:t>
                  </w:r>
                  <w:r w:rsidRPr="00C73A46">
                    <w:rPr>
                      <w:rStyle w:val="NoteLabel"/>
                      <w:b w:val="0"/>
                      <w:position w:val="0"/>
                    </w:rPr>
                    <w:t>he Australian Government contributes to leasing, standing and positioning of aircraft.</w:t>
                  </w:r>
                </w:p>
              </w:tc>
              <w:tc>
                <w:tcPr>
                  <w:tcW w:w="592" w:type="pct"/>
                </w:tcPr>
                <w:p w14:paraId="53BDFC58" w14:textId="77777777" w:rsidR="00DE1537" w:rsidRPr="00C73A46" w:rsidRDefault="00DE1537" w:rsidP="00343F3E">
                  <w:pPr>
                    <w:pStyle w:val="TableBodyText"/>
                    <w:rPr>
                      <w:rStyle w:val="NoteLabel"/>
                      <w:b w:val="0"/>
                      <w:position w:val="0"/>
                    </w:rPr>
                  </w:pPr>
                  <w:r>
                    <w:rPr>
                      <w:rStyle w:val="NoteLabel"/>
                      <w:b w:val="0"/>
                      <w:position w:val="0"/>
                    </w:rPr>
                    <w:t>80</w:t>
                  </w:r>
                </w:p>
              </w:tc>
            </w:tr>
            <w:tr w:rsidR="00DE1537" w14:paraId="048D2003" w14:textId="77777777" w:rsidTr="00343F3E">
              <w:tc>
                <w:tcPr>
                  <w:tcW w:w="1274" w:type="pct"/>
                  <w:shd w:val="clear" w:color="auto" w:fill="auto"/>
                </w:tcPr>
                <w:p w14:paraId="5C4448CC" w14:textId="77777777" w:rsidR="00DE1537" w:rsidRPr="00C73A46" w:rsidRDefault="00DE1537" w:rsidP="00343F3E">
                  <w:pPr>
                    <w:pStyle w:val="TableBodyText"/>
                    <w:jc w:val="left"/>
                    <w:rPr>
                      <w:rStyle w:val="NoteLabel"/>
                      <w:b w:val="0"/>
                      <w:position w:val="0"/>
                    </w:rPr>
                  </w:pPr>
                  <w:r w:rsidRPr="00C73A46">
                    <w:rPr>
                      <w:rStyle w:val="NoteLabel"/>
                      <w:b w:val="0"/>
                      <w:position w:val="0"/>
                    </w:rPr>
                    <w:t>Jobs and Skills Package</w:t>
                  </w:r>
                </w:p>
              </w:tc>
              <w:tc>
                <w:tcPr>
                  <w:tcW w:w="3134" w:type="pct"/>
                  <w:shd w:val="clear" w:color="auto" w:fill="auto"/>
                </w:tcPr>
                <w:p w14:paraId="42A98F9A" w14:textId="77777777" w:rsidR="00DE1537" w:rsidRPr="00C73A46" w:rsidRDefault="00DE1537" w:rsidP="00343F3E">
                  <w:pPr>
                    <w:pStyle w:val="TableBodyText"/>
                    <w:jc w:val="left"/>
                    <w:rPr>
                      <w:rStyle w:val="NoteLabel"/>
                      <w:b w:val="0"/>
                      <w:position w:val="0"/>
                    </w:rPr>
                  </w:pPr>
                  <w:r w:rsidRPr="00C73A46">
                    <w:rPr>
                      <w:rStyle w:val="NoteLabel"/>
                      <w:b w:val="0"/>
                      <w:position w:val="0"/>
                    </w:rPr>
                    <w:t xml:space="preserve">Australian and Queensland </w:t>
                  </w:r>
                  <w:r>
                    <w:rPr>
                      <w:rStyle w:val="NoteLabel"/>
                      <w:b w:val="0"/>
                      <w:position w:val="0"/>
                    </w:rPr>
                    <w:t>G</w:t>
                  </w:r>
                  <w:r w:rsidRPr="00C73A46">
                    <w:rPr>
                      <w:rStyle w:val="NoteLabel"/>
                      <w:b w:val="0"/>
                      <w:position w:val="0"/>
                    </w:rPr>
                    <w:t>overnment investment to mitigate skills and job losses, support retention of skilled workers and address skills shortages in communities impacted by natural disasters in Queensland.</w:t>
                  </w:r>
                </w:p>
              </w:tc>
              <w:tc>
                <w:tcPr>
                  <w:tcW w:w="592" w:type="pct"/>
                </w:tcPr>
                <w:p w14:paraId="7DF6EA72" w14:textId="77777777" w:rsidR="00DE1537" w:rsidRPr="009A64D5" w:rsidRDefault="00DE1537" w:rsidP="00343F3E">
                  <w:pPr>
                    <w:pStyle w:val="TableBodyText"/>
                    <w:rPr>
                      <w:rStyle w:val="NoteLabel"/>
                      <w:b w:val="0"/>
                      <w:position w:val="0"/>
                    </w:rPr>
                  </w:pPr>
                  <w:r w:rsidRPr="009A64D5">
                    <w:rPr>
                      <w:rStyle w:val="NoteLabel"/>
                      <w:b w:val="0"/>
                      <w:position w:val="0"/>
                    </w:rPr>
                    <w:t>83</w:t>
                  </w:r>
                </w:p>
              </w:tc>
            </w:tr>
            <w:tr w:rsidR="00DE1537" w14:paraId="186FB239" w14:textId="77777777" w:rsidTr="00343F3E">
              <w:tc>
                <w:tcPr>
                  <w:tcW w:w="1274" w:type="pct"/>
                  <w:shd w:val="clear" w:color="auto" w:fill="auto"/>
                </w:tcPr>
                <w:p w14:paraId="3511CBA9" w14:textId="77777777" w:rsidR="00DE1537" w:rsidRPr="00C73A46" w:rsidRDefault="00DE1537" w:rsidP="00343F3E">
                  <w:pPr>
                    <w:pStyle w:val="TableBodyText"/>
                    <w:jc w:val="left"/>
                    <w:rPr>
                      <w:rStyle w:val="NoteLabel"/>
                      <w:b w:val="0"/>
                      <w:position w:val="0"/>
                    </w:rPr>
                  </w:pPr>
                  <w:r w:rsidRPr="00C73A46">
                    <w:rPr>
                      <w:rStyle w:val="NoteLabel"/>
                      <w:b w:val="0"/>
                      <w:position w:val="0"/>
                    </w:rPr>
                    <w:t>Crisis payment</w:t>
                  </w:r>
                </w:p>
              </w:tc>
              <w:tc>
                <w:tcPr>
                  <w:tcW w:w="3134" w:type="pct"/>
                  <w:shd w:val="clear" w:color="auto" w:fill="auto"/>
                </w:tcPr>
                <w:p w14:paraId="06BEF18F" w14:textId="77777777" w:rsidR="00DE1537" w:rsidRPr="00C73A46" w:rsidRDefault="00DE1537" w:rsidP="00343F3E">
                  <w:pPr>
                    <w:pStyle w:val="TableBodyText"/>
                    <w:jc w:val="left"/>
                    <w:rPr>
                      <w:rStyle w:val="NoteLabel"/>
                      <w:b w:val="0"/>
                      <w:position w:val="0"/>
                    </w:rPr>
                  </w:pPr>
                  <w:r w:rsidRPr="00C73A46">
                    <w:rPr>
                      <w:rStyle w:val="NoteLabel"/>
                      <w:b w:val="0"/>
                      <w:position w:val="0"/>
                    </w:rPr>
                    <w:t>One</w:t>
                  </w:r>
                  <w:r>
                    <w:rPr>
                      <w:rStyle w:val="NoteLabel"/>
                      <w:b w:val="0"/>
                      <w:position w:val="0"/>
                    </w:rPr>
                    <w:noBreakHyphen/>
                  </w:r>
                  <w:r w:rsidRPr="00C73A46">
                    <w:rPr>
                      <w:rStyle w:val="NoteLabel"/>
                      <w:b w:val="0"/>
                      <w:position w:val="0"/>
                    </w:rPr>
                    <w:t xml:space="preserve">off </w:t>
                  </w:r>
                  <w:r>
                    <w:rPr>
                      <w:rStyle w:val="NoteLabel"/>
                      <w:b w:val="0"/>
                      <w:position w:val="0"/>
                    </w:rPr>
                    <w:t xml:space="preserve">Centrelink </w:t>
                  </w:r>
                  <w:r w:rsidRPr="00C73A46">
                    <w:rPr>
                      <w:rStyle w:val="NoteLabel"/>
                      <w:b w:val="0"/>
                      <w:position w:val="0"/>
                    </w:rPr>
                    <w:t xml:space="preserve">payment equal to one week’s payment at </w:t>
                  </w:r>
                  <w:r>
                    <w:rPr>
                      <w:rStyle w:val="NoteLabel"/>
                      <w:b w:val="0"/>
                      <w:position w:val="0"/>
                    </w:rPr>
                    <w:t xml:space="preserve">the </w:t>
                  </w:r>
                  <w:r w:rsidRPr="00C73A46">
                    <w:rPr>
                      <w:rStyle w:val="NoteLabel"/>
                      <w:b w:val="0"/>
                      <w:position w:val="0"/>
                    </w:rPr>
                    <w:t>existing income</w:t>
                  </w:r>
                  <w:r>
                    <w:rPr>
                      <w:rStyle w:val="NoteLabel"/>
                      <w:b w:val="0"/>
                      <w:position w:val="0"/>
                    </w:rPr>
                    <w:noBreakHyphen/>
                  </w:r>
                  <w:r w:rsidRPr="00C73A46">
                    <w:rPr>
                      <w:rStyle w:val="NoteLabel"/>
                      <w:b w:val="0"/>
                      <w:position w:val="0"/>
                    </w:rPr>
                    <w:t>support payment rate to those affected by natural disasters but not covered by AGDRP</w:t>
                  </w:r>
                  <w:r>
                    <w:rPr>
                      <w:rStyle w:val="NoteLabel"/>
                      <w:b w:val="0"/>
                      <w:position w:val="0"/>
                    </w:rPr>
                    <w:t xml:space="preserve"> or other extreme circumstances</w:t>
                  </w:r>
                  <w:r w:rsidRPr="00C73A46">
                    <w:rPr>
                      <w:rStyle w:val="NoteLabel"/>
                      <w:b w:val="0"/>
                      <w:position w:val="0"/>
                    </w:rPr>
                    <w:t>.</w:t>
                  </w:r>
                </w:p>
              </w:tc>
              <w:tc>
                <w:tcPr>
                  <w:tcW w:w="592" w:type="pct"/>
                </w:tcPr>
                <w:p w14:paraId="6645A249" w14:textId="77777777" w:rsidR="00DE1537" w:rsidRPr="00CC044D" w:rsidRDefault="00DE1537" w:rsidP="00343F3E">
                  <w:pPr>
                    <w:pStyle w:val="TableBodyText"/>
                    <w:rPr>
                      <w:rStyle w:val="NoteLabel"/>
                      <w:position w:val="0"/>
                    </w:rPr>
                  </w:pPr>
                  <w:r w:rsidRPr="00CC044D">
                    <w:t>na</w:t>
                  </w:r>
                </w:p>
              </w:tc>
            </w:tr>
            <w:tr w:rsidR="00DE1537" w14:paraId="22562513" w14:textId="77777777" w:rsidTr="00343F3E">
              <w:tc>
                <w:tcPr>
                  <w:tcW w:w="1274" w:type="pct"/>
                  <w:tcBorders>
                    <w:bottom w:val="single" w:sz="4" w:space="0" w:color="BFBFBF"/>
                  </w:tcBorders>
                  <w:shd w:val="clear" w:color="auto" w:fill="auto"/>
                </w:tcPr>
                <w:p w14:paraId="1014F72C" w14:textId="77777777" w:rsidR="00DE1537" w:rsidRPr="00C73A46" w:rsidRDefault="00DE1537" w:rsidP="00343F3E">
                  <w:pPr>
                    <w:pStyle w:val="TableBodyText"/>
                    <w:jc w:val="left"/>
                    <w:rPr>
                      <w:rStyle w:val="NoteLabel"/>
                      <w:b w:val="0"/>
                      <w:position w:val="0"/>
                    </w:rPr>
                  </w:pPr>
                  <w:r w:rsidRPr="00086B5F">
                    <w:t>Cyclone Yasi Wage Assistance</w:t>
                  </w:r>
                </w:p>
              </w:tc>
              <w:tc>
                <w:tcPr>
                  <w:tcW w:w="3134" w:type="pct"/>
                  <w:tcBorders>
                    <w:bottom w:val="single" w:sz="4" w:space="0" w:color="BFBFBF"/>
                  </w:tcBorders>
                  <w:shd w:val="clear" w:color="auto" w:fill="auto"/>
                </w:tcPr>
                <w:p w14:paraId="0F5B0AE2" w14:textId="77777777" w:rsidR="00DE1537" w:rsidRPr="00C73A46" w:rsidRDefault="00DE1537" w:rsidP="00343F3E">
                  <w:pPr>
                    <w:pStyle w:val="TableBodyText"/>
                    <w:jc w:val="left"/>
                    <w:rPr>
                      <w:rStyle w:val="NoteLabel"/>
                      <w:b w:val="0"/>
                      <w:position w:val="0"/>
                    </w:rPr>
                  </w:pPr>
                  <w:r w:rsidRPr="00086B5F">
                    <w:rPr>
                      <w:rStyle w:val="NoteLabel"/>
                      <w:b w:val="0"/>
                      <w:position w:val="0"/>
                    </w:rPr>
                    <w:t>Centrelink assistance ($469.70 per fortnight for each full</w:t>
                  </w:r>
                  <w:r>
                    <w:rPr>
                      <w:rStyle w:val="NoteLabel"/>
                      <w:b w:val="0"/>
                      <w:position w:val="0"/>
                    </w:rPr>
                    <w:noBreakHyphen/>
                  </w:r>
                  <w:r w:rsidRPr="00086B5F">
                    <w:rPr>
                      <w:rStyle w:val="NoteLabel"/>
                      <w:b w:val="0"/>
                      <w:position w:val="0"/>
                    </w:rPr>
                    <w:t>time equivalent employee) for employers whose business was affected by Cyclone Yasi.</w:t>
                  </w:r>
                </w:p>
              </w:tc>
              <w:tc>
                <w:tcPr>
                  <w:tcW w:w="592" w:type="pct"/>
                  <w:tcBorders>
                    <w:bottom w:val="single" w:sz="4" w:space="0" w:color="BFBFBF"/>
                  </w:tcBorders>
                </w:tcPr>
                <w:p w14:paraId="32BD46E9" w14:textId="77777777" w:rsidR="00DE1537" w:rsidRPr="00CC044D" w:rsidRDefault="00DE1537" w:rsidP="00343F3E">
                  <w:pPr>
                    <w:pStyle w:val="TableBodyText"/>
                    <w:rPr>
                      <w:rStyle w:val="NoteLabel"/>
                      <w:position w:val="0"/>
                    </w:rPr>
                  </w:pPr>
                  <w:r w:rsidRPr="00CC044D">
                    <w:t>na</w:t>
                  </w:r>
                </w:p>
              </w:tc>
            </w:tr>
          </w:tbl>
          <w:p w14:paraId="5DD907DE" w14:textId="77777777" w:rsidR="00DE1537" w:rsidRDefault="00DE1537" w:rsidP="00343F3E">
            <w:pPr>
              <w:pStyle w:val="Box"/>
            </w:pPr>
          </w:p>
        </w:tc>
      </w:tr>
      <w:tr w:rsidR="00DE1537" w14:paraId="620CD2E1" w14:textId="77777777" w:rsidTr="00343F3E">
        <w:trPr>
          <w:cantSplit/>
        </w:trPr>
        <w:tc>
          <w:tcPr>
            <w:tcW w:w="8909" w:type="dxa"/>
            <w:tcBorders>
              <w:top w:val="nil"/>
              <w:left w:val="nil"/>
              <w:bottom w:val="nil"/>
              <w:right w:val="nil"/>
            </w:tcBorders>
            <w:shd w:val="clear" w:color="auto" w:fill="auto"/>
          </w:tcPr>
          <w:p w14:paraId="772503B9" w14:textId="77777777" w:rsidR="00DE1537" w:rsidRDefault="00DE1537" w:rsidP="00343F3E">
            <w:pPr>
              <w:pStyle w:val="Note"/>
              <w:rPr>
                <w:i/>
              </w:rPr>
            </w:pPr>
            <w:proofErr w:type="gramStart"/>
            <w:r w:rsidRPr="008E77FE">
              <w:rPr>
                <w:rStyle w:val="NoteLabel"/>
              </w:rPr>
              <w:t>a</w:t>
            </w:r>
            <w:proofErr w:type="gramEnd"/>
            <w:r>
              <w:t xml:space="preserve"> </w:t>
            </w:r>
            <w:r w:rsidRPr="00C73A46">
              <w:t xml:space="preserve">Total funding over </w:t>
            </w:r>
            <w:r>
              <w:t xml:space="preserve">the life of the programs to date. </w:t>
            </w:r>
            <w:proofErr w:type="gramStart"/>
            <w:r w:rsidRPr="009A64D5">
              <w:rPr>
                <w:rStyle w:val="NoteLabel"/>
              </w:rPr>
              <w:t>b</w:t>
            </w:r>
            <w:proofErr w:type="gramEnd"/>
            <w:r>
              <w:t xml:space="preserve"> Expected amount to be raised by levy. – Nil or rounded to zero. </w:t>
            </w:r>
            <w:proofErr w:type="gramStart"/>
            <w:r w:rsidRPr="00E45CA9">
              <w:rPr>
                <w:b/>
              </w:rPr>
              <w:t>na</w:t>
            </w:r>
            <w:proofErr w:type="gramEnd"/>
            <w:r>
              <w:t xml:space="preserve"> Not available.</w:t>
            </w:r>
          </w:p>
        </w:tc>
      </w:tr>
      <w:tr w:rsidR="00DE1537" w14:paraId="0A2C5AB6" w14:textId="77777777" w:rsidTr="00343F3E">
        <w:trPr>
          <w:cantSplit/>
        </w:trPr>
        <w:tc>
          <w:tcPr>
            <w:tcW w:w="8909" w:type="dxa"/>
            <w:tcBorders>
              <w:top w:val="nil"/>
              <w:left w:val="nil"/>
              <w:bottom w:val="nil"/>
              <w:right w:val="nil"/>
            </w:tcBorders>
            <w:shd w:val="clear" w:color="auto" w:fill="auto"/>
          </w:tcPr>
          <w:p w14:paraId="2102F98D" w14:textId="2BCA7E74" w:rsidR="00DE1537" w:rsidRDefault="00DE1537" w:rsidP="00343F3E">
            <w:pPr>
              <w:pStyle w:val="Source"/>
            </w:pPr>
            <w:r>
              <w:rPr>
                <w:i/>
              </w:rPr>
              <w:t>Sources</w:t>
            </w:r>
            <w:r w:rsidRPr="00167F06">
              <w:t xml:space="preserve">: </w:t>
            </w:r>
            <w:r>
              <w:t>Attorney</w:t>
            </w:r>
            <w:r>
              <w:noBreakHyphen/>
              <w:t xml:space="preserve">General’s Department </w:t>
            </w:r>
            <w:r w:rsidRPr="000417C5">
              <w:rPr>
                <w:rFonts w:cs="Arial"/>
              </w:rPr>
              <w:t>(pers. comm., 30 July 2014; sub. 90; various years)</w:t>
            </w:r>
            <w:r>
              <w:t xml:space="preserve">; Treasury </w:t>
            </w:r>
            <w:r w:rsidRPr="00A736EC">
              <w:rPr>
                <w:rFonts w:cs="Arial"/>
              </w:rPr>
              <w:t>(2012)</w:t>
            </w:r>
            <w:r>
              <w:t>.</w:t>
            </w:r>
          </w:p>
        </w:tc>
      </w:tr>
      <w:tr w:rsidR="00DE1537" w14:paraId="49007699" w14:textId="77777777" w:rsidTr="00343F3E">
        <w:trPr>
          <w:cantSplit/>
        </w:trPr>
        <w:tc>
          <w:tcPr>
            <w:tcW w:w="8909" w:type="dxa"/>
            <w:tcBorders>
              <w:top w:val="nil"/>
              <w:left w:val="nil"/>
              <w:bottom w:val="single" w:sz="4" w:space="0" w:color="78A22F"/>
              <w:right w:val="nil"/>
            </w:tcBorders>
            <w:shd w:val="clear" w:color="auto" w:fill="auto"/>
          </w:tcPr>
          <w:p w14:paraId="62A0AC57" w14:textId="77777777" w:rsidR="00DE1537" w:rsidRDefault="00DE1537" w:rsidP="00343F3E">
            <w:pPr>
              <w:pStyle w:val="Box"/>
              <w:spacing w:before="0" w:line="120" w:lineRule="exact"/>
            </w:pPr>
          </w:p>
        </w:tc>
      </w:tr>
      <w:tr w:rsidR="00DE1537" w:rsidRPr="000863A5" w14:paraId="78A27798" w14:textId="77777777" w:rsidTr="00343F3E">
        <w:tc>
          <w:tcPr>
            <w:tcW w:w="8909" w:type="dxa"/>
            <w:tcBorders>
              <w:top w:val="single" w:sz="4" w:space="0" w:color="78A22F"/>
              <w:left w:val="nil"/>
              <w:bottom w:val="nil"/>
              <w:right w:val="nil"/>
            </w:tcBorders>
          </w:tcPr>
          <w:p w14:paraId="31D2A220" w14:textId="77777777" w:rsidR="00DE1537" w:rsidRPr="00626D32" w:rsidRDefault="00DE1537" w:rsidP="00343F3E">
            <w:pPr>
              <w:pStyle w:val="BoxSpaceBelow"/>
            </w:pPr>
          </w:p>
        </w:tc>
      </w:tr>
    </w:tbl>
    <w:p w14:paraId="0BD2F77C" w14:textId="77777777" w:rsidR="00DE1537" w:rsidRPr="00CB41DC" w:rsidRDefault="00DE1537" w:rsidP="00343F3E">
      <w:pPr>
        <w:pStyle w:val="Heading4"/>
      </w:pPr>
      <w:r>
        <w:t>State and territory government re</w:t>
      </w:r>
      <w:r w:rsidRPr="00CB41DC">
        <w:t>lief and recovery</w:t>
      </w:r>
      <w:r>
        <w:t xml:space="preserve"> arrangements</w:t>
      </w:r>
    </w:p>
    <w:p w14:paraId="376D0DDD" w14:textId="16EDA347" w:rsidR="00DE1537" w:rsidRDefault="00DE1537" w:rsidP="00343F3E">
      <w:pPr>
        <w:pStyle w:val="BodyText"/>
      </w:pPr>
      <w:r w:rsidRPr="00CB41DC">
        <w:t xml:space="preserve">State </w:t>
      </w:r>
      <w:r>
        <w:t xml:space="preserve">and territory </w:t>
      </w:r>
      <w:r w:rsidRPr="00CB41DC">
        <w:t xml:space="preserve">governments are responsible for </w:t>
      </w:r>
      <w:r>
        <w:t xml:space="preserve">upfront </w:t>
      </w:r>
      <w:r w:rsidRPr="00CB41DC">
        <w:t xml:space="preserve">recovery </w:t>
      </w:r>
      <w:r>
        <w:t>financing</w:t>
      </w:r>
      <w:r w:rsidRPr="00CB41DC">
        <w:t xml:space="preserve"> in the wake of natural disasters</w:t>
      </w:r>
      <w:r>
        <w:t>, and provide a significant proportion of the funding</w:t>
      </w:r>
      <w:r w:rsidRPr="00CB41DC">
        <w:t xml:space="preserve">. </w:t>
      </w:r>
      <w:r>
        <w:t>Finance is</w:t>
      </w:r>
      <w:r w:rsidRPr="00CB41DC">
        <w:t xml:space="preserve"> usually provide</w:t>
      </w:r>
      <w:r>
        <w:t>d in the form of grants to state</w:t>
      </w:r>
      <w:r w:rsidRPr="00CB41DC">
        <w:t xml:space="preserve"> departments, local government</w:t>
      </w:r>
      <w:r>
        <w:t>s</w:t>
      </w:r>
      <w:r w:rsidRPr="00CB41DC">
        <w:t xml:space="preserve">, </w:t>
      </w:r>
      <w:r>
        <w:t>households</w:t>
      </w:r>
      <w:r w:rsidRPr="00CB41DC">
        <w:t xml:space="preserve"> and small businesses that have been adversely affected by natural disasters. The type</w:t>
      </w:r>
      <w:r>
        <w:t>,</w:t>
      </w:r>
      <w:r w:rsidRPr="00CB41DC">
        <w:t xml:space="preserve"> amount </w:t>
      </w:r>
      <w:r>
        <w:t>and conditions of</w:t>
      </w:r>
      <w:r w:rsidRPr="00CB41DC">
        <w:t xml:space="preserve"> funding provided vary between jurisdictions. </w:t>
      </w:r>
      <w:r>
        <w:t>Some</w:t>
      </w:r>
      <w:r w:rsidRPr="00CB41DC">
        <w:t xml:space="preserve"> of this expenditure</w:t>
      </w:r>
      <w:r>
        <w:t xml:space="preserve"> may be eligible for reimbursement</w:t>
      </w:r>
      <w:r w:rsidRPr="00CB41DC">
        <w:t xml:space="preserve"> by the Australian Government through </w:t>
      </w:r>
      <w:r>
        <w:t>the</w:t>
      </w:r>
      <w:r w:rsidRPr="00CB41DC">
        <w:t xml:space="preserve"> NDRRA </w:t>
      </w:r>
      <w:r w:rsidR="007C5656" w:rsidRPr="007C5656">
        <w:rPr>
          <w:szCs w:val="24"/>
        </w:rPr>
        <w:t>(Australian Government 2014a)</w:t>
      </w:r>
      <w:r>
        <w:t>.</w:t>
      </w:r>
    </w:p>
    <w:p w14:paraId="6DB9AB81" w14:textId="77777777" w:rsidR="00DE1537" w:rsidRDefault="00DE1537" w:rsidP="00343F3E">
      <w:pPr>
        <w:pStyle w:val="BodyText"/>
      </w:pPr>
      <w:r>
        <w:t>Figure 2.10 shows the states’ total natural disaster recovery expenditure above what was reimbursed under the NDRRA. The total expenditure by all states was approximately $4 billion over the 2009</w:t>
      </w:r>
      <w:r>
        <w:noBreakHyphen/>
        <w:t>10 to 2012</w:t>
      </w:r>
      <w:r>
        <w:noBreakHyphen/>
        <w:t xml:space="preserve">13 period. This was primarily made up by New South </w:t>
      </w:r>
      <w:r>
        <w:lastRenderedPageBreak/>
        <w:t xml:space="preserve">Wales, Victoria and Queensland which had significantly higher expenditure than the other states. Most states did not identify relief and recovery activities outside the NDRRA. </w:t>
      </w:r>
    </w:p>
    <w:p w14:paraId="06F55400" w14:textId="39A474B4" w:rsidR="00DE1537" w:rsidRDefault="00DE1537" w:rsidP="00343F3E">
      <w:pPr>
        <w:pStyle w:val="BodyText"/>
      </w:pPr>
      <w:r w:rsidRPr="00CB41DC">
        <w:t xml:space="preserve">State governments </w:t>
      </w:r>
      <w:r>
        <w:t xml:space="preserve">are responsible for coordinating relief and recovery funding and have in some cases established specific agencies to perform this role, such as the Queensland Reconstruction Authority (box 2.12). </w:t>
      </w:r>
      <w:r w:rsidRPr="00CB41DC">
        <w:t>State governments also provide funding through relief appeals</w:t>
      </w:r>
      <w:r>
        <w:t>, f</w:t>
      </w:r>
      <w:r w:rsidRPr="00CB41DC">
        <w:t xml:space="preserve">or example, the Queensland Government provided funds to the Premier’s Disaster Relief Appeal, which was set up to obtain donations for </w:t>
      </w:r>
      <w:r>
        <w:t>households</w:t>
      </w:r>
      <w:r w:rsidRPr="00CB41DC">
        <w:t xml:space="preserve"> affected by the 20</w:t>
      </w:r>
      <w:r>
        <w:t>1</w:t>
      </w:r>
      <w:r w:rsidRPr="00CB41DC">
        <w:t xml:space="preserve">1 floods and Cyclone Yasi </w:t>
      </w:r>
      <w:r w:rsidR="007C5656" w:rsidRPr="007C5656">
        <w:rPr>
          <w:szCs w:val="24"/>
        </w:rPr>
        <w:t>(Queensland Government 2011a)</w:t>
      </w:r>
      <w:r w:rsidRPr="00CB41DC">
        <w:t>.</w:t>
      </w:r>
    </w:p>
    <w:p w14:paraId="0CA4394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DE1537" w14:paraId="216F25DA" w14:textId="77777777" w:rsidTr="00343F3E">
        <w:tc>
          <w:tcPr>
            <w:tcW w:w="8909" w:type="dxa"/>
            <w:tcBorders>
              <w:top w:val="single" w:sz="6" w:space="0" w:color="78A22F"/>
              <w:left w:val="nil"/>
              <w:bottom w:val="nil"/>
              <w:right w:val="nil"/>
            </w:tcBorders>
            <w:shd w:val="clear" w:color="auto" w:fill="auto"/>
          </w:tcPr>
          <w:p w14:paraId="133611E4" w14:textId="7D127D7B" w:rsidR="00DE1537" w:rsidRDefault="00DE1537" w:rsidP="00343F3E">
            <w:pPr>
              <w:pStyle w:val="FigureTitle"/>
              <w:rPr>
                <w:rStyle w:val="NoteLabel"/>
              </w:rPr>
            </w:pPr>
            <w:r w:rsidRPr="00784A05">
              <w:rPr>
                <w:b w:val="0"/>
              </w:rPr>
              <w:t xml:space="preserve">Figure </w:t>
            </w:r>
            <w:bookmarkStart w:id="44" w:name="OLE_LINK28"/>
            <w:r>
              <w:rPr>
                <w:b w:val="0"/>
              </w:rPr>
              <w:t>2.</w:t>
            </w:r>
            <w:r>
              <w:rPr>
                <w:b w:val="0"/>
                <w:noProof/>
              </w:rPr>
              <w:t>10</w:t>
            </w:r>
            <w:bookmarkEnd w:id="44"/>
            <w:r>
              <w:tab/>
              <w:t>Net state government NDRRA eligible expenditure</w:t>
            </w:r>
            <w:r w:rsidRPr="00512DC5">
              <w:rPr>
                <w:rStyle w:val="NoteLabel"/>
                <w:b/>
              </w:rPr>
              <w:t>a</w:t>
            </w:r>
            <w:r>
              <w:rPr>
                <w:rStyle w:val="NoteLabel"/>
                <w:b/>
              </w:rPr>
              <w:t>,b</w:t>
            </w:r>
          </w:p>
          <w:p w14:paraId="1C591B0B" w14:textId="77777777" w:rsidR="00DE1537" w:rsidRPr="00270AE9" w:rsidRDefault="00DE1537" w:rsidP="00343F3E">
            <w:pPr>
              <w:pStyle w:val="Subtitle"/>
            </w:pPr>
            <w:r>
              <w:t>2009</w:t>
            </w:r>
            <w:r>
              <w:noBreakHyphen/>
              <w:t>10 to 2012</w:t>
            </w:r>
            <w:r>
              <w:noBreakHyphen/>
              <w:t>13</w:t>
            </w:r>
          </w:p>
        </w:tc>
      </w:tr>
      <w:tr w:rsidR="00DE1537" w14:paraId="60FF9691" w14:textId="77777777" w:rsidTr="00343F3E">
        <w:tc>
          <w:tcPr>
            <w:tcW w:w="890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Pr>
            <w:tblGrid>
              <w:gridCol w:w="8625"/>
            </w:tblGrid>
            <w:tr w:rsidR="00DE1537" w14:paraId="22A32EB5" w14:textId="77777777" w:rsidTr="00343F3E">
              <w:tc>
                <w:tcPr>
                  <w:tcW w:w="5000" w:type="pct"/>
                  <w:tcBorders>
                    <w:top w:val="nil"/>
                    <w:bottom w:val="nil"/>
                  </w:tcBorders>
                </w:tcPr>
                <w:p w14:paraId="400BE028" w14:textId="77777777" w:rsidR="00DE1537" w:rsidRDefault="00DE1537" w:rsidP="00343F3E">
                  <w:pPr>
                    <w:pStyle w:val="Figure"/>
                    <w:spacing w:before="60" w:after="60"/>
                  </w:pPr>
                  <w:r>
                    <w:rPr>
                      <w:noProof/>
                    </w:rPr>
                    <w:drawing>
                      <wp:inline distT="0" distB="0" distL="0" distR="0" wp14:anchorId="674B3A76" wp14:editId="4C0EA74B">
                        <wp:extent cx="5400675" cy="2886075"/>
                        <wp:effectExtent l="0" t="0" r="9525" b="9525"/>
                        <wp:docPr id="18" name="Picture 18" descr="This figure shows states and territories NDRRA eligible expenditure less amounts reimbursed by the Australian Government over the period 2009-10 to 2012-13. It shows that Queensland spent significantly more than other jurisdictions over the period." title="Net state government NDRRA eligible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675" cy="2886075"/>
                                </a:xfrm>
                                <a:prstGeom prst="rect">
                                  <a:avLst/>
                                </a:prstGeom>
                                <a:noFill/>
                                <a:ln>
                                  <a:noFill/>
                                </a:ln>
                              </pic:spPr>
                            </pic:pic>
                          </a:graphicData>
                        </a:graphic>
                      </wp:inline>
                    </w:drawing>
                  </w:r>
                </w:p>
              </w:tc>
            </w:tr>
          </w:tbl>
          <w:p w14:paraId="694396DD" w14:textId="77777777" w:rsidR="00DE1537" w:rsidRDefault="00DE1537" w:rsidP="00343F3E">
            <w:pPr>
              <w:pStyle w:val="Figure"/>
            </w:pPr>
          </w:p>
        </w:tc>
      </w:tr>
      <w:tr w:rsidR="00DE1537" w:rsidRPr="00176D3F" w14:paraId="5F9706A8" w14:textId="77777777" w:rsidTr="00343F3E">
        <w:tc>
          <w:tcPr>
            <w:tcW w:w="8909" w:type="dxa"/>
            <w:tcBorders>
              <w:top w:val="nil"/>
              <w:left w:val="nil"/>
              <w:bottom w:val="nil"/>
              <w:right w:val="nil"/>
            </w:tcBorders>
            <w:shd w:val="clear" w:color="auto" w:fill="auto"/>
          </w:tcPr>
          <w:p w14:paraId="4840234C" w14:textId="77777777" w:rsidR="00DE1537" w:rsidRPr="00B708C7" w:rsidRDefault="00DE1537" w:rsidP="00343F3E">
            <w:pPr>
              <w:pStyle w:val="Note"/>
              <w:rPr>
                <w:rStyle w:val="DraftingNote"/>
                <w:b w:val="0"/>
                <w:color w:val="auto"/>
                <w:sz w:val="18"/>
                <w:u w:val="none"/>
              </w:rPr>
            </w:pPr>
            <w:proofErr w:type="gramStart"/>
            <w:r>
              <w:rPr>
                <w:rStyle w:val="NoteLabel"/>
              </w:rPr>
              <w:t>a</w:t>
            </w:r>
            <w:proofErr w:type="gramEnd"/>
            <w:r>
              <w:t xml:space="preserve"> </w:t>
            </w:r>
            <w:r w:rsidRPr="00896F11">
              <w:t xml:space="preserve">Total expenditure </w:t>
            </w:r>
            <w:r>
              <w:t>less amount</w:t>
            </w:r>
            <w:r w:rsidRPr="00896F11">
              <w:t xml:space="preserve"> reimburse</w:t>
            </w:r>
            <w:r>
              <w:t>d</w:t>
            </w:r>
            <w:r w:rsidRPr="00896F11">
              <w:t xml:space="preserve"> by the Australian Government</w:t>
            </w:r>
            <w:r>
              <w:t xml:space="preserve">. </w:t>
            </w:r>
            <w:proofErr w:type="gramStart"/>
            <w:r w:rsidRPr="00F669A3">
              <w:rPr>
                <w:rStyle w:val="NoteLabel"/>
              </w:rPr>
              <w:t>b</w:t>
            </w:r>
            <w:proofErr w:type="gramEnd"/>
            <w:r w:rsidRPr="00D63EA7">
              <w:t xml:space="preserve"> </w:t>
            </w:r>
            <w:r>
              <w:t>T</w:t>
            </w:r>
            <w:r w:rsidRPr="00815229">
              <w:t xml:space="preserve">he Commission estimated Australian Government reimbursements to Queensland </w:t>
            </w:r>
            <w:r>
              <w:t xml:space="preserve">using data provided </w:t>
            </w:r>
            <w:r w:rsidRPr="00815229">
              <w:t>by the Queensland Government.</w:t>
            </w:r>
            <w:r>
              <w:t xml:space="preserve"> </w:t>
            </w:r>
            <w:r w:rsidRPr="006B216E">
              <w:t>Data for some states and territories have not been finalised or audited</w:t>
            </w:r>
            <w:r>
              <w:t>.</w:t>
            </w:r>
          </w:p>
        </w:tc>
      </w:tr>
      <w:tr w:rsidR="00DE1537" w:rsidRPr="00176D3F" w14:paraId="2376E59A" w14:textId="77777777" w:rsidTr="00343F3E">
        <w:tc>
          <w:tcPr>
            <w:tcW w:w="8909" w:type="dxa"/>
            <w:tcBorders>
              <w:top w:val="nil"/>
              <w:left w:val="nil"/>
              <w:bottom w:val="single" w:sz="4" w:space="0" w:color="78A22F"/>
              <w:right w:val="nil"/>
            </w:tcBorders>
            <w:shd w:val="clear" w:color="auto" w:fill="auto"/>
          </w:tcPr>
          <w:p w14:paraId="3FE73206" w14:textId="77777777" w:rsidR="00DE1537" w:rsidRPr="00176D3F" w:rsidRDefault="00DE1537" w:rsidP="00343F3E">
            <w:pPr>
              <w:pStyle w:val="Source"/>
              <w:spacing w:after="60"/>
            </w:pPr>
            <w:r w:rsidRPr="00784A05">
              <w:rPr>
                <w:i/>
              </w:rPr>
              <w:t>Data source</w:t>
            </w:r>
            <w:r w:rsidRPr="00176D3F">
              <w:t xml:space="preserve">: </w:t>
            </w:r>
            <w:r>
              <w:t>PC estimates based on data provided by state and territory governments.</w:t>
            </w:r>
          </w:p>
        </w:tc>
      </w:tr>
    </w:tbl>
    <w:p w14:paraId="2352FB1F"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9DC39BC" w14:textId="77777777" w:rsidTr="00343F3E">
        <w:tc>
          <w:tcPr>
            <w:tcW w:w="8771" w:type="dxa"/>
            <w:tcBorders>
              <w:top w:val="single" w:sz="6" w:space="0" w:color="78A22F"/>
              <w:left w:val="nil"/>
              <w:bottom w:val="nil"/>
              <w:right w:val="nil"/>
            </w:tcBorders>
            <w:shd w:val="clear" w:color="auto" w:fill="F2F2F2" w:themeFill="background1" w:themeFillShade="F2"/>
          </w:tcPr>
          <w:p w14:paraId="41789440" w14:textId="7A380743" w:rsidR="00DE1537" w:rsidRDefault="00DE1537" w:rsidP="00343F3E">
            <w:pPr>
              <w:pStyle w:val="BoxTitle"/>
            </w:pPr>
            <w:r>
              <w:rPr>
                <w:b w:val="0"/>
              </w:rPr>
              <w:t xml:space="preserve">Box </w:t>
            </w:r>
            <w:bookmarkStart w:id="45" w:name="OLE_LINK24"/>
            <w:r>
              <w:rPr>
                <w:b w:val="0"/>
              </w:rPr>
              <w:t>2.</w:t>
            </w:r>
            <w:r>
              <w:rPr>
                <w:b w:val="0"/>
                <w:noProof/>
              </w:rPr>
              <w:t>12</w:t>
            </w:r>
            <w:bookmarkEnd w:id="45"/>
            <w:r>
              <w:tab/>
              <w:t>Queensland Reconstruction Authority</w:t>
            </w:r>
          </w:p>
        </w:tc>
      </w:tr>
      <w:tr w:rsidR="00DE1537" w14:paraId="6F8F95F3" w14:textId="77777777" w:rsidTr="00343F3E">
        <w:trPr>
          <w:cantSplit/>
        </w:trPr>
        <w:tc>
          <w:tcPr>
            <w:tcW w:w="8771" w:type="dxa"/>
            <w:tcBorders>
              <w:top w:val="nil"/>
              <w:left w:val="nil"/>
              <w:bottom w:val="nil"/>
              <w:right w:val="nil"/>
            </w:tcBorders>
            <w:shd w:val="clear" w:color="auto" w:fill="F2F2F2" w:themeFill="background1" w:themeFillShade="F2"/>
          </w:tcPr>
          <w:p w14:paraId="209FBD03" w14:textId="77777777" w:rsidR="00DE1537" w:rsidRPr="00CB41DC" w:rsidRDefault="00DE1537" w:rsidP="00343F3E">
            <w:pPr>
              <w:pStyle w:val="Box"/>
            </w:pPr>
            <w:r>
              <w:t xml:space="preserve">The Queensland Government established a separate entity to oversee relief and recovery. </w:t>
            </w:r>
            <w:r w:rsidRPr="00CB41DC">
              <w:t>The Queensland Reconstruction Authority is a statutory authority established in 2011 originally to coordinate reconstruction projects across the state following the 2010</w:t>
            </w:r>
            <w:r w:rsidRPr="00CB41DC">
              <w:noBreakHyphen/>
              <w:t xml:space="preserve">11 floods and cyclones. Its role has since been expanded to cover historical and future disaster events. </w:t>
            </w:r>
            <w:r w:rsidRPr="008D596E">
              <w:t>The state act establishing the Queensland Reconstruction Authority expires on 30 June 2015.</w:t>
            </w:r>
          </w:p>
          <w:p w14:paraId="2B22DC28" w14:textId="73113DAF" w:rsidR="00DE1537" w:rsidRPr="00CB41DC" w:rsidRDefault="00DE1537" w:rsidP="00343F3E">
            <w:pPr>
              <w:pStyle w:val="Box"/>
            </w:pPr>
            <w:r w:rsidRPr="00CB41DC">
              <w:t xml:space="preserve">The </w:t>
            </w:r>
            <w:r>
              <w:t>Queensland Reconstruction Authority’s</w:t>
            </w:r>
            <w:r w:rsidRPr="00CB41DC">
              <w:t xml:space="preserve"> primary role is to coordinate and monitor the implementation of the state plan — </w:t>
            </w:r>
            <w:r w:rsidRPr="00CB41DC">
              <w:rPr>
                <w:i/>
              </w:rPr>
              <w:t>Operation Queenslander – The State Community, Economic and Environmental Recovery and Reconstruction Plan 2011–2013</w:t>
            </w:r>
            <w:r w:rsidRPr="00CB41DC">
              <w:t>. Other tasks include:</w:t>
            </w:r>
          </w:p>
          <w:p w14:paraId="7364A99E" w14:textId="77777777" w:rsidR="00DE1537" w:rsidRPr="00CB41DC" w:rsidRDefault="00DE1537" w:rsidP="00343F3E">
            <w:pPr>
              <w:pStyle w:val="BoxListBullet"/>
            </w:pPr>
            <w:r w:rsidRPr="00CB41DC">
              <w:t>liaising with government and non</w:t>
            </w:r>
            <w:r>
              <w:noBreakHyphen/>
            </w:r>
            <w:r w:rsidRPr="00CB41DC">
              <w:t>government stakeholders, such as Emergency Management Queensland, Queensland Police Service and Queensland Fire and Rescue Service</w:t>
            </w:r>
          </w:p>
          <w:p w14:paraId="77CC105A" w14:textId="77777777" w:rsidR="00DE1537" w:rsidRPr="00CB41DC" w:rsidRDefault="00DE1537" w:rsidP="00343F3E">
            <w:pPr>
              <w:pStyle w:val="BoxListBullet"/>
            </w:pPr>
            <w:r w:rsidRPr="00CB41DC">
              <w:t xml:space="preserve">assessing compliance for funding applications with relevant </w:t>
            </w:r>
            <w:r>
              <w:t xml:space="preserve">Natural Disaster Relief and Recovery Arrangements </w:t>
            </w:r>
            <w:r w:rsidRPr="00CB41DC">
              <w:t>and other criteria</w:t>
            </w:r>
          </w:p>
          <w:p w14:paraId="6A9C3392" w14:textId="77777777" w:rsidR="00DE1537" w:rsidRPr="00CB41DC" w:rsidRDefault="00DE1537" w:rsidP="00343F3E">
            <w:pPr>
              <w:pStyle w:val="BoxListBullet"/>
            </w:pPr>
            <w:r w:rsidRPr="00CB41DC">
              <w:t xml:space="preserve">distributing funds for eligible </w:t>
            </w:r>
            <w:r>
              <w:t>Natural Disaster Relief and Recovery Arrangements</w:t>
            </w:r>
            <w:r w:rsidRPr="00CB41DC">
              <w:t xml:space="preserve"> projects to local governments and state agencies</w:t>
            </w:r>
          </w:p>
          <w:p w14:paraId="05735104" w14:textId="77777777" w:rsidR="00DE1537" w:rsidRPr="00CB41DC" w:rsidRDefault="00DE1537" w:rsidP="00343F3E">
            <w:pPr>
              <w:pStyle w:val="BoxListBullet"/>
            </w:pPr>
            <w:r w:rsidRPr="00CB41DC">
              <w:t>managing specific programs, projects and initiatives</w:t>
            </w:r>
          </w:p>
          <w:p w14:paraId="33F7CC4A" w14:textId="77777777" w:rsidR="00DE1537" w:rsidRPr="00CB41DC" w:rsidRDefault="00DE1537" w:rsidP="00343F3E">
            <w:pPr>
              <w:pStyle w:val="BoxListBullet"/>
            </w:pPr>
            <w:r>
              <w:t xml:space="preserve">providing guidance on land </w:t>
            </w:r>
            <w:r w:rsidRPr="00CB41DC">
              <w:t>use planning</w:t>
            </w:r>
          </w:p>
          <w:p w14:paraId="4464F173" w14:textId="77777777" w:rsidR="00DE1537" w:rsidRDefault="00DE1537" w:rsidP="00343F3E">
            <w:pPr>
              <w:pStyle w:val="BoxListBullet"/>
              <w:rPr>
                <w:szCs w:val="24"/>
              </w:rPr>
            </w:pPr>
            <w:proofErr w:type="gramStart"/>
            <w:r w:rsidRPr="00CB41DC">
              <w:t>reviewing</w:t>
            </w:r>
            <w:proofErr w:type="gramEnd"/>
            <w:r w:rsidRPr="00CB41DC">
              <w:t xml:space="preserve"> and assessing offers from international donors.</w:t>
            </w:r>
          </w:p>
        </w:tc>
      </w:tr>
      <w:tr w:rsidR="00DE1537" w14:paraId="160FF97C" w14:textId="77777777" w:rsidTr="00343F3E">
        <w:trPr>
          <w:cantSplit/>
        </w:trPr>
        <w:tc>
          <w:tcPr>
            <w:tcW w:w="8771" w:type="dxa"/>
            <w:tcBorders>
              <w:top w:val="nil"/>
              <w:left w:val="nil"/>
              <w:bottom w:val="nil"/>
              <w:right w:val="nil"/>
            </w:tcBorders>
            <w:shd w:val="clear" w:color="auto" w:fill="F2F2F2" w:themeFill="background1" w:themeFillShade="F2"/>
          </w:tcPr>
          <w:p w14:paraId="72788EEC" w14:textId="0023A8D9" w:rsidR="00DE1537" w:rsidRDefault="00DE1537" w:rsidP="00343F3E">
            <w:pPr>
              <w:pStyle w:val="BoxSource"/>
            </w:pPr>
            <w:r>
              <w:rPr>
                <w:i/>
              </w:rPr>
              <w:t>Sources</w:t>
            </w:r>
            <w:r w:rsidRPr="00167F06">
              <w:t xml:space="preserve">: </w:t>
            </w:r>
            <w:r>
              <w:t xml:space="preserve">QRA </w:t>
            </w:r>
            <w:r w:rsidR="007C5656" w:rsidRPr="007C5656">
              <w:rPr>
                <w:rFonts w:cs="Arial"/>
              </w:rPr>
              <w:t>(2011, 2014a)</w:t>
            </w:r>
            <w:r>
              <w:t>.</w:t>
            </w:r>
          </w:p>
        </w:tc>
      </w:tr>
      <w:tr w:rsidR="00DE1537" w14:paraId="7FE0C016"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7DE2C65C" w14:textId="77777777" w:rsidR="00DE1537" w:rsidRDefault="00DE1537" w:rsidP="00343F3E">
            <w:pPr>
              <w:pStyle w:val="Box"/>
              <w:spacing w:before="0" w:line="120" w:lineRule="exact"/>
            </w:pPr>
          </w:p>
        </w:tc>
      </w:tr>
      <w:tr w:rsidR="00DE1537" w:rsidRPr="000863A5" w14:paraId="724A9737" w14:textId="77777777" w:rsidTr="00343F3E">
        <w:tc>
          <w:tcPr>
            <w:tcW w:w="8771" w:type="dxa"/>
            <w:tcBorders>
              <w:top w:val="single" w:sz="6" w:space="0" w:color="78A22F"/>
              <w:left w:val="nil"/>
              <w:bottom w:val="nil"/>
              <w:right w:val="nil"/>
            </w:tcBorders>
          </w:tcPr>
          <w:p w14:paraId="6C36182E" w14:textId="77777777" w:rsidR="00DE1537" w:rsidRPr="00626D32" w:rsidRDefault="00DE1537" w:rsidP="00343F3E">
            <w:pPr>
              <w:pStyle w:val="BoxSpaceBelow"/>
            </w:pPr>
          </w:p>
        </w:tc>
      </w:tr>
    </w:tbl>
    <w:p w14:paraId="32981896" w14:textId="77777777" w:rsidR="00DE1537" w:rsidRDefault="00DE1537" w:rsidP="00343F3E">
      <w:pPr>
        <w:pStyle w:val="Heading4"/>
      </w:pPr>
      <w:r>
        <w:t>Local government relief and recovery arrangements</w:t>
      </w:r>
    </w:p>
    <w:p w14:paraId="0FF3F2DC" w14:textId="77777777" w:rsidR="00DE1537" w:rsidRPr="00CB41DC" w:rsidRDefault="00DE1537" w:rsidP="00343F3E">
      <w:pPr>
        <w:pStyle w:val="BodyText"/>
      </w:pPr>
      <w:r>
        <w:t xml:space="preserve">Local governments provide some funding for natural disaster relief and recovery. A large amount of local government funding comes from other levels of government. </w:t>
      </w:r>
      <w:r w:rsidRPr="00CB41DC">
        <w:t>Local governments do not receive NDRRA funding directly from the Australian Government.</w:t>
      </w:r>
      <w:r>
        <w:t xml:space="preserve"> </w:t>
      </w:r>
      <w:r w:rsidRPr="00CB41DC">
        <w:t xml:space="preserve">State </w:t>
      </w:r>
      <w:r>
        <w:t xml:space="preserve">and territory </w:t>
      </w:r>
      <w:r w:rsidRPr="00CB41DC">
        <w:t xml:space="preserve">governments are responsible for delivering </w:t>
      </w:r>
      <w:r>
        <w:t>relief and recovery</w:t>
      </w:r>
      <w:r w:rsidRPr="00CB41DC">
        <w:t xml:space="preserve"> assistance in their own </w:t>
      </w:r>
      <w:r>
        <w:t xml:space="preserve">jurisdiction under arrangements that typically replicate the NDRRA </w:t>
      </w:r>
      <w:r w:rsidRPr="00CB41DC">
        <w:t>(ALGA, sub. 52)</w:t>
      </w:r>
      <w:r w:rsidRPr="00220DE2">
        <w:t xml:space="preserve"> </w:t>
      </w:r>
      <w:r>
        <w:t>(table 2.6)</w:t>
      </w:r>
      <w:r w:rsidRPr="00CB41DC">
        <w:t>. While arrangements vary between states</w:t>
      </w:r>
      <w:r>
        <w:t>,</w:t>
      </w:r>
      <w:r w:rsidRPr="00CB41DC">
        <w:t xml:space="preserve"> the criteria are generally based on:</w:t>
      </w:r>
    </w:p>
    <w:p w14:paraId="1CB89686" w14:textId="77777777" w:rsidR="00DE1537" w:rsidRPr="00CB41DC" w:rsidRDefault="00DE1537" w:rsidP="00343F3E">
      <w:pPr>
        <w:pStyle w:val="ListBullet"/>
      </w:pPr>
      <w:r>
        <w:t xml:space="preserve">a </w:t>
      </w:r>
      <w:r w:rsidRPr="00CB41DC">
        <w:t>trigger point above which funding assistance for expenditure on disaster recovery will be provided to affected local governments</w:t>
      </w:r>
    </w:p>
    <w:p w14:paraId="707359C9" w14:textId="77777777" w:rsidR="00DE1537" w:rsidRDefault="00DE1537" w:rsidP="00343F3E">
      <w:pPr>
        <w:pStyle w:val="ListBullet"/>
      </w:pPr>
      <w:proofErr w:type="gramStart"/>
      <w:r w:rsidRPr="00CB41DC">
        <w:t>an</w:t>
      </w:r>
      <w:proofErr w:type="gramEnd"/>
      <w:r w:rsidRPr="00CB41DC">
        <w:t xml:space="preserve"> expect</w:t>
      </w:r>
      <w:r>
        <w:t>ed</w:t>
      </w:r>
      <w:r w:rsidRPr="00CB41DC">
        <w:t xml:space="preserve"> contribution level from local government</w:t>
      </w:r>
      <w:r>
        <w:t>s</w:t>
      </w:r>
      <w:r w:rsidRPr="00CB41DC">
        <w:t>, generally expressed as a percentage of the</w:t>
      </w:r>
      <w:r>
        <w:t>ir</w:t>
      </w:r>
      <w:r w:rsidRPr="00CB41DC">
        <w:t xml:space="preserve"> expenditure on recovery (ALGA, sub. 52).</w:t>
      </w:r>
    </w:p>
    <w:p w14:paraId="14485C53" w14:textId="77777777" w:rsidR="00DE1537" w:rsidRDefault="00DE1537" w:rsidP="00343F3E">
      <w:pPr>
        <w:pStyle w:val="BodyText"/>
      </w:pPr>
      <w:r w:rsidRPr="00CB41DC">
        <w:t xml:space="preserve">NDRRA funding </w:t>
      </w:r>
      <w:r>
        <w:t>generally reimburses the cost of returning assets to their pre</w:t>
      </w:r>
      <w:r>
        <w:noBreakHyphen/>
      </w:r>
      <w:r w:rsidRPr="00CB41DC">
        <w:t>disaster standard. Some local governments</w:t>
      </w:r>
      <w:r>
        <w:t xml:space="preserve"> </w:t>
      </w:r>
      <w:r w:rsidRPr="00CB41DC">
        <w:t>cont</w:t>
      </w:r>
      <w:r>
        <w:t xml:space="preserve">ribute additional funds to various </w:t>
      </w:r>
      <w:r w:rsidRPr="00CB41DC">
        <w:t>projects to improve the resilience of assets.</w:t>
      </w:r>
      <w:r>
        <w:t xml:space="preserve"> For example, t</w:t>
      </w:r>
      <w:r w:rsidRPr="00CB41DC">
        <w:t>he Institute of Public Works Engineering Australasia (sub.</w:t>
      </w:r>
      <w:r>
        <w:t> </w:t>
      </w:r>
      <w:r w:rsidRPr="00CB41DC">
        <w:t>30, p.</w:t>
      </w:r>
      <w:r>
        <w:t> </w:t>
      </w:r>
      <w:r w:rsidRPr="00CB41DC">
        <w:t>2) noted ‘that many [local governments] make a significant contribution using their own funds to undertake additional works to improve the resilienc</w:t>
      </w:r>
      <w:r>
        <w:t>e and functionality of assets’.</w:t>
      </w:r>
    </w:p>
    <w:p w14:paraId="370A89A2"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31471808" w14:textId="77777777" w:rsidTr="00343F3E">
        <w:tc>
          <w:tcPr>
            <w:tcW w:w="8771" w:type="dxa"/>
            <w:tcBorders>
              <w:top w:val="single" w:sz="4" w:space="0" w:color="78A22F"/>
              <w:left w:val="nil"/>
              <w:bottom w:val="nil"/>
              <w:right w:val="nil"/>
            </w:tcBorders>
            <w:shd w:val="clear" w:color="auto" w:fill="auto"/>
          </w:tcPr>
          <w:p w14:paraId="2A4EEF82" w14:textId="7B0727A3" w:rsidR="00DE1537" w:rsidRPr="009B5C75" w:rsidRDefault="00DE1537" w:rsidP="00343F3E">
            <w:pPr>
              <w:pStyle w:val="TableTitle"/>
            </w:pPr>
            <w:r w:rsidRPr="009B5C75">
              <w:rPr>
                <w:b w:val="0"/>
              </w:rPr>
              <w:t xml:space="preserve">Table </w:t>
            </w:r>
            <w:bookmarkStart w:id="46" w:name="OLE_LINK38"/>
            <w:r>
              <w:rPr>
                <w:b w:val="0"/>
              </w:rPr>
              <w:t>2.</w:t>
            </w:r>
            <w:r>
              <w:rPr>
                <w:b w:val="0"/>
                <w:noProof/>
              </w:rPr>
              <w:t>6</w:t>
            </w:r>
            <w:bookmarkEnd w:id="46"/>
            <w:r w:rsidRPr="009B5C75">
              <w:tab/>
              <w:t>State government reimbursement to local governments for essential public assets</w:t>
            </w:r>
          </w:p>
        </w:tc>
      </w:tr>
      <w:tr w:rsidR="00DE1537" w14:paraId="57CFF3F4"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22"/>
              <w:gridCol w:w="2500"/>
              <w:gridCol w:w="4965"/>
            </w:tblGrid>
            <w:tr w:rsidR="00DE1537" w:rsidRPr="009B5C75" w14:paraId="14B6D29D" w14:textId="77777777" w:rsidTr="00343F3E">
              <w:tc>
                <w:tcPr>
                  <w:tcW w:w="602" w:type="pct"/>
                  <w:tcBorders>
                    <w:top w:val="single" w:sz="6" w:space="0" w:color="BFBFBF"/>
                    <w:bottom w:val="single" w:sz="6" w:space="0" w:color="BFBFBF"/>
                  </w:tcBorders>
                  <w:shd w:val="clear" w:color="auto" w:fill="auto"/>
                  <w:tcMar>
                    <w:top w:w="28" w:type="dxa"/>
                  </w:tcMar>
                </w:tcPr>
                <w:p w14:paraId="0F71C187" w14:textId="77777777" w:rsidR="00DE1537" w:rsidRPr="009B5C75" w:rsidRDefault="00DE1537" w:rsidP="00343F3E">
                  <w:pPr>
                    <w:pStyle w:val="TableColumnHeading"/>
                    <w:jc w:val="left"/>
                  </w:pPr>
                  <w:r w:rsidRPr="009B5C75">
                    <w:t>Jurisdiction</w:t>
                  </w:r>
                </w:p>
              </w:tc>
              <w:tc>
                <w:tcPr>
                  <w:tcW w:w="1473" w:type="pct"/>
                  <w:tcBorders>
                    <w:top w:val="single" w:sz="6" w:space="0" w:color="BFBFBF"/>
                    <w:bottom w:val="single" w:sz="6" w:space="0" w:color="BFBFBF"/>
                  </w:tcBorders>
                  <w:shd w:val="clear" w:color="auto" w:fill="auto"/>
                  <w:tcMar>
                    <w:top w:w="28" w:type="dxa"/>
                  </w:tcMar>
                </w:tcPr>
                <w:p w14:paraId="1A1A0A9F" w14:textId="77777777" w:rsidR="00DE1537" w:rsidRPr="009B5C75" w:rsidRDefault="00DE1537" w:rsidP="00343F3E">
                  <w:pPr>
                    <w:pStyle w:val="TableColumnHeading"/>
                    <w:jc w:val="left"/>
                  </w:pPr>
                  <w:r w:rsidRPr="009B5C75">
                    <w:t>Program</w:t>
                  </w:r>
                </w:p>
              </w:tc>
              <w:tc>
                <w:tcPr>
                  <w:tcW w:w="2925" w:type="pct"/>
                  <w:tcBorders>
                    <w:top w:val="single" w:sz="6" w:space="0" w:color="BFBFBF"/>
                    <w:bottom w:val="single" w:sz="6" w:space="0" w:color="BFBFBF"/>
                  </w:tcBorders>
                  <w:shd w:val="clear" w:color="auto" w:fill="auto"/>
                  <w:tcMar>
                    <w:top w:w="28" w:type="dxa"/>
                  </w:tcMar>
                </w:tcPr>
                <w:p w14:paraId="7416408A" w14:textId="77777777" w:rsidR="00DE1537" w:rsidRPr="009B5C75" w:rsidRDefault="00DE1537" w:rsidP="00343F3E">
                  <w:pPr>
                    <w:pStyle w:val="TableColumnHeading"/>
                    <w:ind w:right="28"/>
                    <w:jc w:val="left"/>
                  </w:pPr>
                  <w:r>
                    <w:t>Trigger points and reimbursement levels</w:t>
                  </w:r>
                </w:p>
              </w:tc>
            </w:tr>
            <w:tr w:rsidR="00DE1537" w:rsidRPr="009B5C75" w14:paraId="18268696" w14:textId="77777777" w:rsidTr="00343F3E">
              <w:tc>
                <w:tcPr>
                  <w:tcW w:w="602" w:type="pct"/>
                  <w:tcBorders>
                    <w:top w:val="single" w:sz="6" w:space="0" w:color="BFBFBF"/>
                  </w:tcBorders>
                </w:tcPr>
                <w:p w14:paraId="44BA9AD7" w14:textId="77777777" w:rsidR="00DE1537" w:rsidRPr="009B5C75" w:rsidRDefault="00DE1537" w:rsidP="00343F3E">
                  <w:pPr>
                    <w:pStyle w:val="TableUnitsRow"/>
                    <w:jc w:val="left"/>
                  </w:pPr>
                  <w:r w:rsidRPr="009B5C75">
                    <w:t>NSW</w:t>
                  </w:r>
                </w:p>
              </w:tc>
              <w:tc>
                <w:tcPr>
                  <w:tcW w:w="1473" w:type="pct"/>
                  <w:tcBorders>
                    <w:top w:val="single" w:sz="6" w:space="0" w:color="BFBFBF"/>
                  </w:tcBorders>
                </w:tcPr>
                <w:p w14:paraId="45D300B9" w14:textId="77777777" w:rsidR="00DE1537" w:rsidRPr="009B5C75" w:rsidRDefault="00DE1537" w:rsidP="00343F3E">
                  <w:pPr>
                    <w:pStyle w:val="TableUnitsRow"/>
                    <w:jc w:val="left"/>
                  </w:pPr>
                  <w:r>
                    <w:t>NSW Disaster Assistance Guidelines</w:t>
                  </w:r>
                </w:p>
              </w:tc>
              <w:tc>
                <w:tcPr>
                  <w:tcW w:w="2925" w:type="pct"/>
                  <w:tcBorders>
                    <w:top w:val="single" w:sz="6" w:space="0" w:color="BFBFBF"/>
                  </w:tcBorders>
                </w:tcPr>
                <w:p w14:paraId="4ACF9226" w14:textId="77777777" w:rsidR="00DE1537" w:rsidRPr="009B5C75" w:rsidRDefault="00DE1537" w:rsidP="00343F3E">
                  <w:pPr>
                    <w:pStyle w:val="TableUnitsRow"/>
                    <w:ind w:right="28"/>
                    <w:jc w:val="left"/>
                  </w:pPr>
                  <w:r>
                    <w:t>For road assets, the state government reimburses 75 per cent up to $116 000 and 100 per cent beyond that level. For non</w:t>
                  </w:r>
                  <w:r>
                    <w:noBreakHyphen/>
                    <w:t>road assets, the trigger point and reimbursement levels are the same, but the small disaster criterion is required to be met. Local governments’ contributions are capped where multiple disasters occur in a single year.</w:t>
                  </w:r>
                </w:p>
              </w:tc>
            </w:tr>
            <w:tr w:rsidR="00DE1537" w:rsidRPr="009B5C75" w14:paraId="28E0C43D" w14:textId="77777777" w:rsidTr="00343F3E">
              <w:tc>
                <w:tcPr>
                  <w:tcW w:w="602" w:type="pct"/>
                  <w:shd w:val="clear" w:color="auto" w:fill="F2F2F2"/>
                </w:tcPr>
                <w:p w14:paraId="1905E69C" w14:textId="77777777" w:rsidR="00DE1537" w:rsidRPr="009B5C75" w:rsidRDefault="00DE1537" w:rsidP="00343F3E">
                  <w:pPr>
                    <w:pStyle w:val="TableBodyText"/>
                    <w:jc w:val="left"/>
                  </w:pPr>
                  <w:r w:rsidRPr="009B5C75">
                    <w:t>Vic</w:t>
                  </w:r>
                </w:p>
              </w:tc>
              <w:tc>
                <w:tcPr>
                  <w:tcW w:w="1473" w:type="pct"/>
                  <w:shd w:val="clear" w:color="auto" w:fill="F2F2F2"/>
                </w:tcPr>
                <w:p w14:paraId="126CB868" w14:textId="77777777" w:rsidR="00DE1537" w:rsidRPr="009B5C75" w:rsidRDefault="00DE1537" w:rsidP="00343F3E">
                  <w:pPr>
                    <w:pStyle w:val="TableBodyText"/>
                    <w:jc w:val="left"/>
                  </w:pPr>
                  <w:r w:rsidRPr="009B5C75">
                    <w:t>Natural Disaster Financial Assistance</w:t>
                  </w:r>
                </w:p>
              </w:tc>
              <w:tc>
                <w:tcPr>
                  <w:tcW w:w="2925" w:type="pct"/>
                  <w:shd w:val="clear" w:color="auto" w:fill="F2F2F2"/>
                </w:tcPr>
                <w:p w14:paraId="6FEB1710" w14:textId="77777777" w:rsidR="00DE1537" w:rsidRPr="009B5C75" w:rsidRDefault="00DE1537" w:rsidP="00343F3E">
                  <w:pPr>
                    <w:pStyle w:val="TableBodyText"/>
                    <w:ind w:right="28"/>
                    <w:jc w:val="left"/>
                  </w:pPr>
                  <w:r w:rsidRPr="009B5C75">
                    <w:t>Funding is provided for 75</w:t>
                  </w:r>
                  <w:r>
                    <w:t> </w:t>
                  </w:r>
                  <w:r w:rsidRPr="009B5C75">
                    <w:t>per cent of approve</w:t>
                  </w:r>
                  <w:r>
                    <w:t>d restoration costs between $10 000 and $110 000, and 100 </w:t>
                  </w:r>
                  <w:r w:rsidRPr="009B5C75">
                    <w:t>per cent of the</w:t>
                  </w:r>
                  <w:r>
                    <w:t xml:space="preserve"> proportion of costs above $110 </w:t>
                  </w:r>
                  <w:r w:rsidRPr="009B5C75">
                    <w:t xml:space="preserve">000. </w:t>
                  </w:r>
                </w:p>
              </w:tc>
            </w:tr>
            <w:tr w:rsidR="00DE1537" w:rsidRPr="009B5C75" w14:paraId="0CFEABE9" w14:textId="77777777" w:rsidTr="00343F3E">
              <w:tc>
                <w:tcPr>
                  <w:tcW w:w="602" w:type="pct"/>
                </w:tcPr>
                <w:p w14:paraId="51D52290" w14:textId="77777777" w:rsidR="00DE1537" w:rsidRPr="009B5C75" w:rsidRDefault="00DE1537" w:rsidP="00343F3E">
                  <w:pPr>
                    <w:pStyle w:val="TableBodyText"/>
                    <w:jc w:val="left"/>
                  </w:pPr>
                  <w:r w:rsidRPr="009B5C75">
                    <w:t>Qld</w:t>
                  </w:r>
                </w:p>
              </w:tc>
              <w:tc>
                <w:tcPr>
                  <w:tcW w:w="1473" w:type="pct"/>
                </w:tcPr>
                <w:p w14:paraId="789BD64F" w14:textId="77777777" w:rsidR="00DE1537" w:rsidRPr="009B5C75" w:rsidRDefault="00DE1537" w:rsidP="00343F3E">
                  <w:pPr>
                    <w:pStyle w:val="TableBodyText"/>
                    <w:jc w:val="left"/>
                  </w:pPr>
                  <w:r w:rsidRPr="009B5C75">
                    <w:t>Queensland Disaster Relief and Recovery Arrangements</w:t>
                  </w:r>
                </w:p>
              </w:tc>
              <w:tc>
                <w:tcPr>
                  <w:tcW w:w="2925" w:type="pct"/>
                </w:tcPr>
                <w:p w14:paraId="0D799967" w14:textId="77777777" w:rsidR="00DE1537" w:rsidRPr="009B5C75" w:rsidRDefault="00DE1537" w:rsidP="00343F3E">
                  <w:pPr>
                    <w:pStyle w:val="TableBodyText"/>
                    <w:ind w:right="28"/>
                    <w:jc w:val="left"/>
                  </w:pPr>
                  <w:r w:rsidRPr="009B5C75">
                    <w:t xml:space="preserve">Funding is provided above a trigger point which is generally calculated </w:t>
                  </w:r>
                  <w:r>
                    <w:t>at 0.75 </w:t>
                  </w:r>
                  <w:r w:rsidRPr="009B5C75">
                    <w:t xml:space="preserve">per cent of net general rates </w:t>
                  </w:r>
                  <w:r>
                    <w:t xml:space="preserve">revenue </w:t>
                  </w:r>
                  <w:r w:rsidRPr="009B5C75">
                    <w:t xml:space="preserve">and capped at $2.2 million. Indigenous councils and Torres Shire Council </w:t>
                  </w:r>
                  <w:r>
                    <w:t xml:space="preserve">(Qld) </w:t>
                  </w:r>
                  <w:r w:rsidRPr="009B5C75">
                    <w:t xml:space="preserve">have </w:t>
                  </w:r>
                  <w:r>
                    <w:t>no</w:t>
                  </w:r>
                  <w:r w:rsidRPr="009B5C75">
                    <w:t xml:space="preserve"> trigger point. </w:t>
                  </w:r>
                </w:p>
              </w:tc>
            </w:tr>
            <w:tr w:rsidR="00DE1537" w:rsidRPr="009B5C75" w14:paraId="7ADEF89D" w14:textId="77777777" w:rsidTr="00343F3E">
              <w:tc>
                <w:tcPr>
                  <w:tcW w:w="602" w:type="pct"/>
                  <w:shd w:val="clear" w:color="auto" w:fill="F2F2F2"/>
                </w:tcPr>
                <w:p w14:paraId="2115B28F" w14:textId="77777777" w:rsidR="00DE1537" w:rsidRPr="009B5C75" w:rsidRDefault="00DE1537" w:rsidP="00343F3E">
                  <w:pPr>
                    <w:pStyle w:val="TableBodyText"/>
                    <w:jc w:val="left"/>
                  </w:pPr>
                  <w:r w:rsidRPr="009B5C75">
                    <w:t>SA</w:t>
                  </w:r>
                </w:p>
              </w:tc>
              <w:tc>
                <w:tcPr>
                  <w:tcW w:w="1473" w:type="pct"/>
                  <w:shd w:val="clear" w:color="auto" w:fill="F2F2F2"/>
                </w:tcPr>
                <w:p w14:paraId="586FD22B" w14:textId="77777777" w:rsidR="00DE1537" w:rsidRPr="009B5C75" w:rsidRDefault="00DE1537" w:rsidP="00343F3E">
                  <w:pPr>
                    <w:pStyle w:val="TableBodyText"/>
                    <w:jc w:val="left"/>
                  </w:pPr>
                  <w:r w:rsidRPr="009B5C75">
                    <w:t>South Australian Government disaster assistance arrangements</w:t>
                  </w:r>
                </w:p>
              </w:tc>
              <w:tc>
                <w:tcPr>
                  <w:tcW w:w="2925" w:type="pct"/>
                  <w:shd w:val="clear" w:color="auto" w:fill="F2F2F2"/>
                </w:tcPr>
                <w:p w14:paraId="54DE9AA1" w14:textId="77777777" w:rsidR="00DE1537" w:rsidRPr="009B5C75" w:rsidRDefault="00DE1537" w:rsidP="00343F3E">
                  <w:pPr>
                    <w:pStyle w:val="TableBodyText"/>
                    <w:ind w:right="28"/>
                    <w:jc w:val="left"/>
                  </w:pPr>
                  <w:r w:rsidRPr="009B5C75">
                    <w:t>Funding provided is based on two thresholds. The</w:t>
                  </w:r>
                  <w:r>
                    <w:t xml:space="preserve"> state government reimburses 50 </w:t>
                  </w:r>
                  <w:r w:rsidRPr="009B5C75">
                    <w:t xml:space="preserve">per cent of claimable expenditure above the first threshold </w:t>
                  </w:r>
                  <w:r>
                    <w:t>of the greater of $150 000 or 2 </w:t>
                  </w:r>
                  <w:r w:rsidRPr="009B5C75">
                    <w:t>per cent of the local government’s average rate</w:t>
                  </w:r>
                  <w:r>
                    <w:t>s</w:t>
                  </w:r>
                  <w:r w:rsidRPr="009B5C75">
                    <w:t xml:space="preserve"> revenue. Above the second threshold, which is 1.75</w:t>
                  </w:r>
                  <w:r>
                    <w:t> </w:t>
                  </w:r>
                  <w:r w:rsidRPr="009B5C75">
                    <w:t>times the first threshold, the</w:t>
                  </w:r>
                  <w:r>
                    <w:t xml:space="preserve"> state government reimburses 75 </w:t>
                  </w:r>
                  <w:r w:rsidRPr="009B5C75">
                    <w:t>per cent of claimable expenditure.</w:t>
                  </w:r>
                </w:p>
              </w:tc>
            </w:tr>
            <w:tr w:rsidR="00DE1537" w:rsidRPr="009B5C75" w14:paraId="74F303CA" w14:textId="77777777" w:rsidTr="00343F3E">
              <w:tc>
                <w:tcPr>
                  <w:tcW w:w="602" w:type="pct"/>
                </w:tcPr>
                <w:p w14:paraId="56F48EFA" w14:textId="77777777" w:rsidR="00DE1537" w:rsidRPr="009B5C75" w:rsidRDefault="00DE1537" w:rsidP="00343F3E">
                  <w:pPr>
                    <w:pStyle w:val="TableBodyText"/>
                    <w:jc w:val="left"/>
                  </w:pPr>
                  <w:r w:rsidRPr="009B5C75">
                    <w:t>WA</w:t>
                  </w:r>
                </w:p>
              </w:tc>
              <w:tc>
                <w:tcPr>
                  <w:tcW w:w="1473" w:type="pct"/>
                </w:tcPr>
                <w:p w14:paraId="7F1DF4E4" w14:textId="77777777" w:rsidR="00DE1537" w:rsidRPr="009B5C75" w:rsidRDefault="00DE1537" w:rsidP="00343F3E">
                  <w:pPr>
                    <w:pStyle w:val="TableBodyText"/>
                    <w:jc w:val="left"/>
                  </w:pPr>
                  <w:r w:rsidRPr="009B5C75">
                    <w:t>Western Australian Natural Disaster Relief and Recovery Arrangements</w:t>
                  </w:r>
                </w:p>
              </w:tc>
              <w:tc>
                <w:tcPr>
                  <w:tcW w:w="2925" w:type="pct"/>
                </w:tcPr>
                <w:p w14:paraId="3B48DA7F" w14:textId="77777777" w:rsidR="00DE1537" w:rsidRPr="009B5C75" w:rsidRDefault="00DE1537" w:rsidP="00343F3E">
                  <w:pPr>
                    <w:pStyle w:val="TableBodyText"/>
                    <w:ind w:right="28"/>
                    <w:jc w:val="left"/>
                  </w:pPr>
                  <w:r w:rsidRPr="009B5C75">
                    <w:t>Funding is provided for a minimum of 75</w:t>
                  </w:r>
                  <w:r>
                    <w:t xml:space="preserve"> per cent of eligible expenditure </w:t>
                  </w:r>
                  <w:r w:rsidRPr="009B5C75">
                    <w:t>where the small disaster criterion is met. Local governments’ contribution is capped at the greater of 1</w:t>
                  </w:r>
                  <w:r>
                    <w:t> </w:t>
                  </w:r>
                  <w:r w:rsidRPr="009B5C75">
                    <w:t>per cen</w:t>
                  </w:r>
                  <w:r>
                    <w:t>t of total rates levied or 0.25 </w:t>
                  </w:r>
                  <w:r w:rsidRPr="009B5C75">
                    <w:t xml:space="preserve">per cent of Western Australia’s </w:t>
                  </w:r>
                  <w:r>
                    <w:t xml:space="preserve">first </w:t>
                  </w:r>
                  <w:r w:rsidRPr="009B5C75">
                    <w:t>threshold under the NDRRA.</w:t>
                  </w:r>
                </w:p>
              </w:tc>
            </w:tr>
            <w:tr w:rsidR="00DE1537" w:rsidRPr="009B5C75" w14:paraId="3C5B7C19" w14:textId="77777777" w:rsidTr="00343F3E">
              <w:tc>
                <w:tcPr>
                  <w:tcW w:w="602" w:type="pct"/>
                  <w:shd w:val="clear" w:color="auto" w:fill="F2F2F2"/>
                </w:tcPr>
                <w:p w14:paraId="29E54B6E" w14:textId="77777777" w:rsidR="00DE1537" w:rsidRPr="009B5C75" w:rsidRDefault="00DE1537" w:rsidP="00343F3E">
                  <w:pPr>
                    <w:pStyle w:val="TableBodyText"/>
                    <w:jc w:val="left"/>
                  </w:pPr>
                  <w:r w:rsidRPr="009B5C75">
                    <w:t>Tas</w:t>
                  </w:r>
                </w:p>
              </w:tc>
              <w:tc>
                <w:tcPr>
                  <w:tcW w:w="1473" w:type="pct"/>
                  <w:shd w:val="clear" w:color="auto" w:fill="F2F2F2"/>
                </w:tcPr>
                <w:p w14:paraId="5C8B75C7" w14:textId="77777777" w:rsidR="00DE1537" w:rsidRPr="009B5C75" w:rsidRDefault="00DE1537" w:rsidP="00343F3E">
                  <w:pPr>
                    <w:pStyle w:val="TableBodyText"/>
                    <w:jc w:val="left"/>
                  </w:pPr>
                  <w:r w:rsidRPr="009B5C75">
                    <w:t>Tasmanian Local Government Relief and Recovery Arrangements</w:t>
                  </w:r>
                </w:p>
              </w:tc>
              <w:tc>
                <w:tcPr>
                  <w:tcW w:w="2925" w:type="pct"/>
                  <w:shd w:val="clear" w:color="auto" w:fill="F2F2F2"/>
                </w:tcPr>
                <w:p w14:paraId="6D3243AF" w14:textId="77777777" w:rsidR="00DE1537" w:rsidRPr="009B5C75" w:rsidRDefault="00DE1537" w:rsidP="00343F3E">
                  <w:pPr>
                    <w:pStyle w:val="TableBodyText"/>
                    <w:ind w:right="28"/>
                    <w:jc w:val="left"/>
                  </w:pPr>
                  <w:r>
                    <w:t>Funding provided and thresholds are calculated the same way as under the NDRRA.</w:t>
                  </w:r>
                </w:p>
              </w:tc>
            </w:tr>
            <w:tr w:rsidR="00DE1537" w:rsidRPr="009B5C75" w14:paraId="4099B086" w14:textId="77777777" w:rsidTr="00343F3E">
              <w:tc>
                <w:tcPr>
                  <w:tcW w:w="602" w:type="pct"/>
                  <w:tcBorders>
                    <w:bottom w:val="single" w:sz="6" w:space="0" w:color="BFBFBF"/>
                  </w:tcBorders>
                  <w:shd w:val="clear" w:color="auto" w:fill="auto"/>
                </w:tcPr>
                <w:p w14:paraId="1CB497BC" w14:textId="77777777" w:rsidR="00DE1537" w:rsidRPr="009B5C75" w:rsidRDefault="00DE1537" w:rsidP="00343F3E">
                  <w:pPr>
                    <w:pStyle w:val="TableBodyText"/>
                    <w:jc w:val="left"/>
                  </w:pPr>
                  <w:r w:rsidRPr="009B5C75">
                    <w:t>NT</w:t>
                  </w:r>
                </w:p>
              </w:tc>
              <w:tc>
                <w:tcPr>
                  <w:tcW w:w="1473" w:type="pct"/>
                  <w:tcBorders>
                    <w:bottom w:val="single" w:sz="6" w:space="0" w:color="BFBFBF"/>
                  </w:tcBorders>
                  <w:shd w:val="clear" w:color="auto" w:fill="auto"/>
                </w:tcPr>
                <w:p w14:paraId="572DDA2B" w14:textId="77777777" w:rsidR="00DE1537" w:rsidRPr="009B5C75" w:rsidRDefault="00DE1537" w:rsidP="00343F3E">
                  <w:pPr>
                    <w:pStyle w:val="TableBodyText"/>
                    <w:jc w:val="left"/>
                  </w:pPr>
                  <w:r w:rsidRPr="009B5C75">
                    <w:t>Natural Disaster Relief and Recovery Arrangements (Northern Territory)</w:t>
                  </w:r>
                </w:p>
              </w:tc>
              <w:tc>
                <w:tcPr>
                  <w:tcW w:w="2925" w:type="pct"/>
                  <w:tcBorders>
                    <w:bottom w:val="single" w:sz="6" w:space="0" w:color="BFBFBF"/>
                  </w:tcBorders>
                  <w:shd w:val="clear" w:color="auto" w:fill="auto"/>
                </w:tcPr>
                <w:p w14:paraId="1517796B" w14:textId="77777777" w:rsidR="00DE1537" w:rsidRPr="009B5C75" w:rsidRDefault="00DE1537" w:rsidP="00343F3E">
                  <w:pPr>
                    <w:pStyle w:val="TableBodyText"/>
                    <w:ind w:right="28"/>
                    <w:jc w:val="left"/>
                  </w:pPr>
                  <w:r w:rsidRPr="009B5C75">
                    <w:t>Funding is provided for events above the small disaster criterion.</w:t>
                  </w:r>
                </w:p>
              </w:tc>
            </w:tr>
          </w:tbl>
          <w:p w14:paraId="6315D66D" w14:textId="77777777" w:rsidR="00DE1537" w:rsidRPr="009B5C75" w:rsidRDefault="00DE1537" w:rsidP="00343F3E">
            <w:pPr>
              <w:pStyle w:val="Box"/>
              <w:jc w:val="left"/>
            </w:pPr>
          </w:p>
        </w:tc>
      </w:tr>
      <w:tr w:rsidR="00DE1537" w14:paraId="1ADFA64D" w14:textId="77777777" w:rsidTr="00343F3E">
        <w:trPr>
          <w:cantSplit/>
        </w:trPr>
        <w:tc>
          <w:tcPr>
            <w:tcW w:w="8771" w:type="dxa"/>
            <w:tcBorders>
              <w:top w:val="nil"/>
              <w:left w:val="nil"/>
              <w:bottom w:val="nil"/>
              <w:right w:val="nil"/>
            </w:tcBorders>
            <w:shd w:val="clear" w:color="auto" w:fill="auto"/>
          </w:tcPr>
          <w:p w14:paraId="5FCEC81B" w14:textId="2136765C" w:rsidR="00DE1537" w:rsidRDefault="00DE1537" w:rsidP="00343F3E">
            <w:pPr>
              <w:pStyle w:val="Source"/>
            </w:pPr>
            <w:r>
              <w:rPr>
                <w:i/>
              </w:rPr>
              <w:t>Sources</w:t>
            </w:r>
            <w:r w:rsidRPr="00167F06">
              <w:t xml:space="preserve">: </w:t>
            </w:r>
            <w:r>
              <w:t xml:space="preserve">ALGA (sub. 52); Emergency Management NSW </w:t>
            </w:r>
            <w:r w:rsidRPr="00A736EC">
              <w:rPr>
                <w:rFonts w:cs="Arial"/>
              </w:rPr>
              <w:t>(2010)</w:t>
            </w:r>
            <w:r>
              <w:t xml:space="preserve">; LGAT (sub. 65); QRA </w:t>
            </w:r>
            <w:r w:rsidRPr="00A736EC">
              <w:rPr>
                <w:rFonts w:cs="Arial"/>
              </w:rPr>
              <w:t>(2013)</w:t>
            </w:r>
            <w:r>
              <w:t xml:space="preserve">; Queensland Government </w:t>
            </w:r>
            <w:r w:rsidRPr="00A736EC">
              <w:rPr>
                <w:rFonts w:cs="Arial"/>
              </w:rPr>
              <w:t>(2013)</w:t>
            </w:r>
            <w:r>
              <w:t xml:space="preserve">; SADTF </w:t>
            </w:r>
            <w:r w:rsidRPr="000F5C14">
              <w:rPr>
                <w:rFonts w:cs="Arial"/>
              </w:rPr>
              <w:t>(2014)</w:t>
            </w:r>
            <w:r>
              <w:t xml:space="preserve">; VDTF </w:t>
            </w:r>
            <w:r w:rsidRPr="00A736EC">
              <w:rPr>
                <w:rFonts w:cs="Arial"/>
              </w:rPr>
              <w:t>(2014)</w:t>
            </w:r>
            <w:r>
              <w:t xml:space="preserve">; WADFES </w:t>
            </w:r>
            <w:r w:rsidRPr="00A736EC">
              <w:rPr>
                <w:rFonts w:cs="Arial"/>
              </w:rPr>
              <w:t>(2014)</w:t>
            </w:r>
            <w:r>
              <w:t>.</w:t>
            </w:r>
          </w:p>
        </w:tc>
      </w:tr>
      <w:tr w:rsidR="00DE1537" w14:paraId="2046683D" w14:textId="77777777" w:rsidTr="00343F3E">
        <w:trPr>
          <w:cantSplit/>
        </w:trPr>
        <w:tc>
          <w:tcPr>
            <w:tcW w:w="8771" w:type="dxa"/>
            <w:tcBorders>
              <w:top w:val="nil"/>
              <w:left w:val="nil"/>
              <w:bottom w:val="single" w:sz="4" w:space="0" w:color="78A22F"/>
              <w:right w:val="nil"/>
            </w:tcBorders>
            <w:shd w:val="clear" w:color="auto" w:fill="auto"/>
          </w:tcPr>
          <w:p w14:paraId="10FBA06E" w14:textId="77777777" w:rsidR="00DE1537" w:rsidRDefault="00DE1537" w:rsidP="00343F3E">
            <w:pPr>
              <w:pStyle w:val="Box"/>
              <w:spacing w:before="0" w:line="120" w:lineRule="exact"/>
            </w:pPr>
          </w:p>
        </w:tc>
      </w:tr>
      <w:tr w:rsidR="00DE1537" w:rsidRPr="000863A5" w14:paraId="1F4985A0" w14:textId="77777777" w:rsidTr="00343F3E">
        <w:tc>
          <w:tcPr>
            <w:tcW w:w="8771" w:type="dxa"/>
            <w:tcBorders>
              <w:top w:val="single" w:sz="4" w:space="0" w:color="78A22F"/>
              <w:left w:val="nil"/>
              <w:bottom w:val="nil"/>
              <w:right w:val="nil"/>
            </w:tcBorders>
          </w:tcPr>
          <w:p w14:paraId="4819C28D" w14:textId="77777777" w:rsidR="00DE1537" w:rsidRPr="00626D32" w:rsidRDefault="00DE1537" w:rsidP="00343F3E">
            <w:pPr>
              <w:pStyle w:val="BoxSpaceBelow"/>
            </w:pPr>
          </w:p>
        </w:tc>
      </w:tr>
    </w:tbl>
    <w:p w14:paraId="6297FBE7" w14:textId="68439954" w:rsidR="00DE1537" w:rsidRDefault="00DE1537" w:rsidP="00343F3E">
      <w:pPr>
        <w:pStyle w:val="Heading2"/>
      </w:pPr>
      <w:bookmarkStart w:id="47" w:name="OLE_LINK12"/>
      <w:bookmarkStart w:id="48" w:name="_Toc406424319"/>
      <w:r>
        <w:t>2.</w:t>
      </w:r>
      <w:r>
        <w:rPr>
          <w:noProof/>
        </w:rPr>
        <w:t>6</w:t>
      </w:r>
      <w:bookmarkEnd w:id="38"/>
      <w:bookmarkEnd w:id="47"/>
      <w:r>
        <w:tab/>
        <w:t>Private funding</w:t>
      </w:r>
      <w:bookmarkEnd w:id="48"/>
    </w:p>
    <w:p w14:paraId="7BA7B045" w14:textId="77777777" w:rsidR="00DE1537" w:rsidRDefault="00DE1537" w:rsidP="00343F3E">
      <w:pPr>
        <w:pStyle w:val="BodyText"/>
      </w:pPr>
      <w:r>
        <w:t>Households and businesses are responsible for managing risks to their assets. To treat risks, households and businesses can undertake pre</w:t>
      </w:r>
      <w:r>
        <w:noBreakHyphen/>
        <w:t>disaster measures such as mitigation, and transfer risk through insurance arrangements. Alternatively, they may choose to bear residual risks and fund natural disaster recovery through ex–post measures, such as reallocating the household budget from other competing priorities or borrowing (supplementary paper 3).</w:t>
      </w:r>
    </w:p>
    <w:p w14:paraId="6B2241B9" w14:textId="77777777" w:rsidR="00DE1537" w:rsidRDefault="00DE1537" w:rsidP="00343F3E">
      <w:pPr>
        <w:pStyle w:val="BodyText"/>
      </w:pPr>
      <w:r>
        <w:t xml:space="preserve">Insurance is one of the most common measures households and businesses use to manage natural disaster risk. Available estimates indicate that the vast majority of households and businesses have some form of building and/or contents insurance, though the extent to </w:t>
      </w:r>
      <w:r>
        <w:lastRenderedPageBreak/>
        <w:t>which the insurance coverage is adequate is difficult to ascertain (supplementary paper 5). The insurance market for home and contents policies was valued at about $6 billion in 2012</w:t>
      </w:r>
      <w:r>
        <w:noBreakHyphen/>
        <w:t>13 as measured by gross premiums (figure 2.11). About half of all insurance payouts are for weather</w:t>
      </w:r>
      <w:r>
        <w:noBreakHyphen/>
        <w:t>related events. Premiums paid to Australian insurers have increased in recent years. This could be due to the cost of insurance increasing, more private assets having insurance coverage, the scope of the insurance coverage increasing (for example, the introduction of flood cover) and the value of assets increasing leading to increases in the sum insured.</w:t>
      </w:r>
    </w:p>
    <w:p w14:paraId="1C403D63"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99FA2B5" w14:textId="77777777" w:rsidTr="00343F3E">
        <w:tc>
          <w:tcPr>
            <w:tcW w:w="8771" w:type="dxa"/>
            <w:tcBorders>
              <w:top w:val="single" w:sz="6" w:space="0" w:color="78A22F"/>
              <w:left w:val="nil"/>
              <w:bottom w:val="nil"/>
              <w:right w:val="nil"/>
            </w:tcBorders>
            <w:shd w:val="clear" w:color="auto" w:fill="auto"/>
          </w:tcPr>
          <w:p w14:paraId="677FB716" w14:textId="49BD94AB" w:rsidR="00DE1537" w:rsidRPr="00176D3F" w:rsidRDefault="00DE1537" w:rsidP="00343F3E">
            <w:pPr>
              <w:pStyle w:val="FigureTitle"/>
            </w:pPr>
            <w:r w:rsidRPr="00784A05">
              <w:rPr>
                <w:b w:val="0"/>
              </w:rPr>
              <w:t xml:space="preserve">Figure </w:t>
            </w:r>
            <w:bookmarkStart w:id="49" w:name="OLE_LINK16"/>
            <w:r>
              <w:rPr>
                <w:b w:val="0"/>
              </w:rPr>
              <w:t>2.</w:t>
            </w:r>
            <w:r>
              <w:rPr>
                <w:b w:val="0"/>
                <w:noProof/>
              </w:rPr>
              <w:t>11</w:t>
            </w:r>
            <w:bookmarkEnd w:id="49"/>
            <w:r>
              <w:tab/>
              <w:t>Insurers’ gross earned premiums and incurred claims on home and contents insurance</w:t>
            </w:r>
          </w:p>
        </w:tc>
      </w:tr>
      <w:tr w:rsidR="00DE1537" w14:paraId="783157D0"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DE1537" w14:paraId="4AB26C61" w14:textId="77777777" w:rsidTr="00343F3E">
              <w:tc>
                <w:tcPr>
                  <w:tcW w:w="8487" w:type="dxa"/>
                  <w:tcBorders>
                    <w:top w:val="nil"/>
                    <w:bottom w:val="nil"/>
                  </w:tcBorders>
                </w:tcPr>
                <w:p w14:paraId="6C31B9D1" w14:textId="77777777" w:rsidR="00DE1537" w:rsidRDefault="00DE1537" w:rsidP="00343F3E">
                  <w:pPr>
                    <w:pStyle w:val="Figure"/>
                    <w:spacing w:before="60" w:after="60"/>
                  </w:pPr>
                  <w:r>
                    <w:rPr>
                      <w:noProof/>
                    </w:rPr>
                    <w:drawing>
                      <wp:inline distT="0" distB="0" distL="0" distR="0" wp14:anchorId="6934CDB2" wp14:editId="29C4239F">
                        <wp:extent cx="5248275" cy="2800350"/>
                        <wp:effectExtent l="0" t="0" r="9525" b="0"/>
                        <wp:docPr id="20" name="Picture 20" descr="This figure shows Australian insurers total gross earned premiums and incurred claims on home and contents insurance over the period 2005 to 2013. Insurers gross earned premiums have risen substantially over the period, while gross incurred claims have varied." title="Insurers gross earned premiums and incurred claims on home and contents ins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14:paraId="39F49CD5" w14:textId="77777777" w:rsidR="00DE1537" w:rsidRDefault="00DE1537" w:rsidP="00343F3E">
            <w:pPr>
              <w:pStyle w:val="Figure"/>
            </w:pPr>
          </w:p>
        </w:tc>
      </w:tr>
      <w:tr w:rsidR="00DE1537" w:rsidRPr="00176D3F" w14:paraId="3EC690FC" w14:textId="77777777" w:rsidTr="00343F3E">
        <w:tc>
          <w:tcPr>
            <w:tcW w:w="8771" w:type="dxa"/>
            <w:tcBorders>
              <w:top w:val="nil"/>
              <w:left w:val="nil"/>
              <w:bottom w:val="nil"/>
              <w:right w:val="nil"/>
            </w:tcBorders>
            <w:shd w:val="clear" w:color="auto" w:fill="auto"/>
          </w:tcPr>
          <w:p w14:paraId="1802CEDC" w14:textId="03AB46E9" w:rsidR="00DE1537" w:rsidRPr="00176D3F" w:rsidRDefault="00DE1537" w:rsidP="00343F3E">
            <w:pPr>
              <w:pStyle w:val="Source"/>
            </w:pPr>
            <w:r w:rsidRPr="00784A05">
              <w:rPr>
                <w:i/>
              </w:rPr>
              <w:t>Data source</w:t>
            </w:r>
            <w:r w:rsidRPr="00176D3F">
              <w:t>:</w:t>
            </w:r>
            <w:r>
              <w:t xml:space="preserve"> APRA </w:t>
            </w:r>
            <w:r w:rsidR="007C5656" w:rsidRPr="007C5656">
              <w:rPr>
                <w:rFonts w:cs="Arial"/>
              </w:rPr>
              <w:t>(2013a)</w:t>
            </w:r>
            <w:r>
              <w:t>.</w:t>
            </w:r>
          </w:p>
        </w:tc>
      </w:tr>
      <w:tr w:rsidR="00DE1537" w14:paraId="4F887D38" w14:textId="77777777" w:rsidTr="00343F3E">
        <w:tc>
          <w:tcPr>
            <w:tcW w:w="8771" w:type="dxa"/>
            <w:tcBorders>
              <w:top w:val="nil"/>
              <w:left w:val="nil"/>
              <w:bottom w:val="single" w:sz="6" w:space="0" w:color="78A22F"/>
              <w:right w:val="nil"/>
            </w:tcBorders>
            <w:shd w:val="clear" w:color="auto" w:fill="auto"/>
          </w:tcPr>
          <w:p w14:paraId="62B4DCD3" w14:textId="77777777" w:rsidR="00DE1537" w:rsidRDefault="00DE1537" w:rsidP="00343F3E">
            <w:pPr>
              <w:pStyle w:val="Figurespace"/>
            </w:pPr>
          </w:p>
        </w:tc>
      </w:tr>
      <w:tr w:rsidR="00DE1537" w:rsidRPr="000863A5" w14:paraId="10E2F9BA" w14:textId="77777777" w:rsidTr="00343F3E">
        <w:tc>
          <w:tcPr>
            <w:tcW w:w="8771" w:type="dxa"/>
            <w:tcBorders>
              <w:top w:val="single" w:sz="6" w:space="0" w:color="78A22F"/>
              <w:left w:val="nil"/>
              <w:bottom w:val="nil"/>
              <w:right w:val="nil"/>
            </w:tcBorders>
          </w:tcPr>
          <w:p w14:paraId="42389CC5" w14:textId="77777777" w:rsidR="00DE1537" w:rsidRPr="00626D32" w:rsidRDefault="00DE1537" w:rsidP="00343F3E">
            <w:pPr>
              <w:pStyle w:val="BoxSpaceBelow"/>
            </w:pPr>
          </w:p>
        </w:tc>
      </w:tr>
    </w:tbl>
    <w:p w14:paraId="6E9304F9" w14:textId="17A21C88" w:rsidR="00DE1537" w:rsidRDefault="00DE1537" w:rsidP="00343F3E">
      <w:pPr>
        <w:pStyle w:val="BodyText"/>
      </w:pPr>
      <w:r>
        <w:t xml:space="preserve">Households and businesses can also receive donations from relief appeals after natural disasters to help fund recovery. Relief appeals have been set up after a number of disasters including for Cyclone Larry in 2006, the 2006 Tasmanian bushfires, the 2009 Victorian Black Saturday bushfires and the 2011 Queensland Floods </w:t>
      </w:r>
      <w:r w:rsidRPr="00405C01">
        <w:rPr>
          <w:szCs w:val="24"/>
        </w:rPr>
        <w:t>(Latham, McCourt and Larkin 2010; Australian Red Cross, sub. 56)</w:t>
      </w:r>
      <w:r>
        <w:t>.</w:t>
      </w:r>
    </w:p>
    <w:p w14:paraId="1932AB56" w14:textId="49529102" w:rsidR="00DE1537" w:rsidRDefault="00DE1537">
      <w:pPr>
        <w:pStyle w:val="BodyText"/>
      </w:pPr>
      <w:r>
        <w:t xml:space="preserve">Not all natural disasters have relief appeals and the amount of money raised varies between natural </w:t>
      </w:r>
      <w:proofErr w:type="gramStart"/>
      <w:r>
        <w:t>disaster</w:t>
      </w:r>
      <w:proofErr w:type="gramEnd"/>
      <w:r>
        <w:t xml:space="preserve"> events </w:t>
      </w:r>
      <w:r w:rsidRPr="00FF2D95">
        <w:rPr>
          <w:szCs w:val="24"/>
        </w:rPr>
        <w:t>(Latham, McCourt and Larkin 2010; Australian Red Cross, sub. 56)</w:t>
      </w:r>
      <w:r>
        <w:t xml:space="preserve">. For example, the Cyclone Larry appeal raised about $20 million compared with the Black Saturday appeal which raised about $400 million </w:t>
      </w:r>
      <w:r w:rsidRPr="003C268B">
        <w:rPr>
          <w:szCs w:val="24"/>
        </w:rPr>
        <w:t>(Latham, McCourt and Larkin 2010)</w:t>
      </w:r>
      <w:r>
        <w:t>. The amount raised in different appeals varies for a number of reasons including the level of media attention, the scale of the tragedy and the type of disaster. There are no consistent estimates available for other types of private funding of natural disasters by households and businesses.</w:t>
      </w:r>
    </w:p>
    <w:p w14:paraId="47E3C4DA" w14:textId="77777777" w:rsidR="00DE1537" w:rsidRDefault="00DE1537" w:rsidP="00DE1537">
      <w:pPr>
        <w:sectPr w:rsidR="00DE1537" w:rsidSect="001117AC">
          <w:headerReference w:type="even" r:id="rId54"/>
          <w:headerReference w:type="default" r:id="rId55"/>
          <w:footerReference w:type="even" r:id="rId56"/>
          <w:footerReference w:type="default" r:id="rId57"/>
          <w:pgSz w:w="11907" w:h="16840" w:code="9"/>
          <w:pgMar w:top="1985" w:right="1304" w:bottom="1247" w:left="1814" w:header="1701" w:footer="397" w:gutter="0"/>
          <w:pgNumType w:chapSep="period"/>
          <w:cols w:space="720"/>
          <w:docGrid w:linePitch="326"/>
        </w:sectPr>
      </w:pPr>
    </w:p>
    <w:p w14:paraId="0803CB65" w14:textId="77777777" w:rsidR="00DE1537" w:rsidRDefault="00DE1537" w:rsidP="00343F3E">
      <w:pPr>
        <w:pStyle w:val="Heading1"/>
        <w:spacing w:before="0"/>
      </w:pPr>
      <w:bookmarkStart w:id="50" w:name="_Toc406424320"/>
      <w:r>
        <w:lastRenderedPageBreak/>
        <w:t>3</w:t>
      </w:r>
      <w:r>
        <w:tab/>
        <w:t>Effective natural disaster risk management</w:t>
      </w:r>
      <w:bookmarkEnd w:id="50"/>
    </w:p>
    <w:p w14:paraId="149EA042" w14:textId="629F1004" w:rsidR="00DE1537" w:rsidRDefault="00DE1537" w:rsidP="00343F3E">
      <w:pPr>
        <w:pStyle w:val="Heading2"/>
      </w:pPr>
      <w:bookmarkStart w:id="51" w:name="_Toc406424321"/>
      <w:r>
        <w:t>3.</w:t>
      </w:r>
      <w:r>
        <w:rPr>
          <w:noProof/>
        </w:rPr>
        <w:t>1</w:t>
      </w:r>
      <w:r>
        <w:tab/>
        <w:t xml:space="preserve">Introduction and key </w:t>
      </w:r>
      <w:bookmarkEnd w:id="51"/>
      <w:r w:rsidR="00DE46F5">
        <w:t>points</w:t>
      </w:r>
    </w:p>
    <w:p w14:paraId="2476D128" w14:textId="77777777" w:rsidR="00DE1537" w:rsidRDefault="00DE1537" w:rsidP="00343F3E">
      <w:pPr>
        <w:pStyle w:val="BodyText"/>
      </w:pPr>
      <w:r>
        <w:t>Natural disasters have significantly affected Australian communities in the past, and continue to pose risks to community wellbeing. These risks include death, injury, trauma, displacement, interruption, and property and financial losses. There can also be adverse impacts on social activity and natural environments. However, such impacts are not inevitable — a variety of actions taken by households, businesses and governments both before and after natural hazards occur can reduce the risks to individual health and wellbeing, economic activity and the environment.</w:t>
      </w:r>
    </w:p>
    <w:p w14:paraId="7D42A273" w14:textId="77777777" w:rsidR="00DE1537" w:rsidRPr="00A90011" w:rsidRDefault="00DE1537" w:rsidP="00343F3E">
      <w:pPr>
        <w:pStyle w:val="BodyText"/>
      </w:pPr>
      <w:r w:rsidRPr="00A90011">
        <w:t>This supplementary paper examines the process of risk management. Section </w:t>
      </w:r>
      <w:r>
        <w:t>3.2</w:t>
      </w:r>
      <w:r w:rsidRPr="00A90011">
        <w:t xml:space="preserve"> describes what risk management involves in the context of natural disasters and what makes it effective. Section </w:t>
      </w:r>
      <w:r>
        <w:t>3.3 examines the</w:t>
      </w:r>
      <w:r w:rsidRPr="00A90011">
        <w:t xml:space="preserve"> role of households and businesses, and the impediments they may face, in effectively managing</w:t>
      </w:r>
      <w:r>
        <w:t xml:space="preserve"> natural disaster</w:t>
      </w:r>
      <w:r w:rsidRPr="00A90011">
        <w:t xml:space="preserve"> risks. </w:t>
      </w:r>
      <w:r>
        <w:t>Section 3.4</w:t>
      </w:r>
      <w:r w:rsidRPr="00A90011">
        <w:t xml:space="preserve"> then outlines </w:t>
      </w:r>
      <w:r>
        <w:t>how</w:t>
      </w:r>
      <w:r w:rsidRPr="00A90011">
        <w:t xml:space="preserve"> governments can support effective natural disaster risk management. This is followed by discussion of the frameworks required for governments to effectively manage </w:t>
      </w:r>
      <w:r>
        <w:t xml:space="preserve">natural disaster </w:t>
      </w:r>
      <w:r w:rsidRPr="00A90011">
        <w:t>risks to their own assets, liabilities and services (section </w:t>
      </w:r>
      <w:r>
        <w:t>3.5</w:t>
      </w:r>
      <w:r w:rsidRPr="00A90011">
        <w:t xml:space="preserve">), how government policy can </w:t>
      </w:r>
      <w:r>
        <w:t>reduce impediments to effective natural disaster risk management by households and businesses</w:t>
      </w:r>
      <w:r w:rsidRPr="00A90011">
        <w:t xml:space="preserve"> (section </w:t>
      </w:r>
      <w:r>
        <w:t>3.6</w:t>
      </w:r>
      <w:r w:rsidRPr="00A90011">
        <w:t xml:space="preserve">), and how governments can support management of ‘shared’ </w:t>
      </w:r>
      <w:r>
        <w:t xml:space="preserve">natural disaster </w:t>
      </w:r>
      <w:r w:rsidRPr="00A90011">
        <w:t>risks (section </w:t>
      </w:r>
      <w:r>
        <w:t>3.7</w:t>
      </w:r>
      <w:r w:rsidRPr="00A90011">
        <w:t>).</w:t>
      </w:r>
    </w:p>
    <w:p w14:paraId="005F1B74" w14:textId="77777777" w:rsidR="00DE1537" w:rsidRDefault="00DE1537" w:rsidP="00343F3E">
      <w:pPr>
        <w:pStyle w:val="BodyText"/>
      </w:pPr>
      <w:r>
        <w:t>This supplementary paper makes several key points.</w:t>
      </w:r>
    </w:p>
    <w:p w14:paraId="5BACE66A" w14:textId="77777777" w:rsidR="00DE1537" w:rsidRDefault="00DE1537" w:rsidP="00343F3E">
      <w:pPr>
        <w:pStyle w:val="ListBullet"/>
      </w:pPr>
      <w:r>
        <w:t>Natural disaster risk management is a process involving owning, understanding and treating risks.</w:t>
      </w:r>
    </w:p>
    <w:p w14:paraId="13104FF9" w14:textId="77777777" w:rsidR="00DE1537" w:rsidRDefault="00DE1537" w:rsidP="00343F3E">
      <w:pPr>
        <w:pStyle w:val="ListBullet2"/>
      </w:pPr>
      <w:r>
        <w:t>It requires trade</w:t>
      </w:r>
      <w:r>
        <w:noBreakHyphen/>
        <w:t>offs to be made between risk management and other objectives, between different risk management tools, between specific projects, and between current and future outcomes. The right trade</w:t>
      </w:r>
      <w:r>
        <w:noBreakHyphen/>
        <w:t>offs will depend on the level of risk that households, businesses and governments are willing to bear (their risk appetite).</w:t>
      </w:r>
    </w:p>
    <w:p w14:paraId="73D8AEB0" w14:textId="77777777" w:rsidR="00DE1537" w:rsidRDefault="00DE1537" w:rsidP="00343F3E">
      <w:pPr>
        <w:pStyle w:val="ListBullet2"/>
      </w:pPr>
      <w:r>
        <w:t>Effective risk management occurs where trade</w:t>
      </w:r>
      <w:r>
        <w:noBreakHyphen/>
        <w:t>offs are made and resources are allocated in a way that maximises the wellbeing of the community as a whole.</w:t>
      </w:r>
    </w:p>
    <w:p w14:paraId="5AB28EB8" w14:textId="77777777" w:rsidR="00DE1537" w:rsidRDefault="00DE1537" w:rsidP="00343F3E">
      <w:pPr>
        <w:pStyle w:val="ListBullet"/>
      </w:pPr>
      <w:r>
        <w:t>Households and businesses are usually best placed to manage natural disaster risks to the assets they own. However, they may face impediments to effectively managing these risks.</w:t>
      </w:r>
    </w:p>
    <w:p w14:paraId="0F1A218E" w14:textId="77777777" w:rsidR="00DE1537" w:rsidRDefault="00DE1537" w:rsidP="00343F3E">
      <w:pPr>
        <w:pStyle w:val="ListBullet2"/>
      </w:pPr>
      <w:r>
        <w:lastRenderedPageBreak/>
        <w:t>They may lack good information on natural disasters.</w:t>
      </w:r>
    </w:p>
    <w:p w14:paraId="78860FF6" w14:textId="77777777" w:rsidR="00DE1537" w:rsidRDefault="00DE1537" w:rsidP="00343F3E">
      <w:pPr>
        <w:pStyle w:val="ListBullet2"/>
      </w:pPr>
      <w:r>
        <w:t>They may face difficulties understanding or treating natural disaster risks.</w:t>
      </w:r>
    </w:p>
    <w:p w14:paraId="4A1F463B" w14:textId="77777777" w:rsidR="00DE1537" w:rsidRDefault="00DE1537" w:rsidP="00343F3E">
      <w:pPr>
        <w:pStyle w:val="ListBullet2"/>
      </w:pPr>
      <w:r>
        <w:t>Market failures (such as externalities or asymmetric information) can mean that markets function inefficiently or do not provide some goods and services required to effectively manage natural disaster risks.</w:t>
      </w:r>
    </w:p>
    <w:p w14:paraId="2CD614A2" w14:textId="77777777" w:rsidR="00DE1537" w:rsidRDefault="00DE1537" w:rsidP="00343F3E">
      <w:pPr>
        <w:pStyle w:val="ListBullet2"/>
      </w:pPr>
      <w:r w:rsidRPr="00947FAB">
        <w:t>Regulatory barriers can limit the choices available</w:t>
      </w:r>
      <w:r>
        <w:t xml:space="preserve"> for natural disaster risk management.</w:t>
      </w:r>
    </w:p>
    <w:p w14:paraId="2BE26478" w14:textId="77777777" w:rsidR="00DE1537" w:rsidRDefault="00DE1537" w:rsidP="00343F3E">
      <w:pPr>
        <w:pStyle w:val="ListBullet"/>
      </w:pPr>
      <w:r>
        <w:t>Households, businesses and markets can often overcome these impediments. Where they cannot, there can be a role for government intervention provided the benefits to the community exceed the costs (broadly defined).</w:t>
      </w:r>
    </w:p>
    <w:p w14:paraId="27350C5D" w14:textId="77777777" w:rsidR="00DE1537" w:rsidRDefault="00DE1537" w:rsidP="00343F3E">
      <w:pPr>
        <w:pStyle w:val="ListBullet"/>
      </w:pPr>
      <w:r>
        <w:t>Governments have three core roles in effective risk management. The first is to manage natural disaster risks to the assets and services they provide for the community.</w:t>
      </w:r>
    </w:p>
    <w:p w14:paraId="39280B2D" w14:textId="77777777" w:rsidR="00DE1537" w:rsidRDefault="00DE1537" w:rsidP="00343F3E">
      <w:pPr>
        <w:pStyle w:val="ListBullet2"/>
      </w:pPr>
      <w:r>
        <w:t>In many cases, responsibility for risk management should be allocated to the lowest level of government capable of influencing and managing the risk.</w:t>
      </w:r>
    </w:p>
    <w:p w14:paraId="50418A73" w14:textId="77777777" w:rsidR="00DE1537" w:rsidRDefault="00DE1537" w:rsidP="00343F3E">
      <w:pPr>
        <w:pStyle w:val="ListBullet2"/>
      </w:pPr>
      <w:r>
        <w:t>Effective risk management requires governments to holistically manage natural disaster risks to their balance sheets, including through a robust budgeting framework and by integrating these risks into asset and liability management and asset management plans.</w:t>
      </w:r>
    </w:p>
    <w:p w14:paraId="7D693417" w14:textId="77777777" w:rsidR="00DE1537" w:rsidRDefault="00DE1537" w:rsidP="00343F3E">
      <w:pPr>
        <w:pStyle w:val="ListBullet"/>
      </w:pPr>
      <w:r>
        <w:t>The second role is to set policy to reduce impediments to effective natural disaster risk management by households and businesses. This should be done carefully.</w:t>
      </w:r>
    </w:p>
    <w:p w14:paraId="48006026" w14:textId="77777777" w:rsidR="00DE1537" w:rsidRDefault="00DE1537" w:rsidP="00343F3E">
      <w:pPr>
        <w:pStyle w:val="ListBullet2"/>
      </w:pPr>
      <w:r>
        <w:t>Intervention to reallocate responsibilities for funding risk management can reduce the incentives people have to effectively manage risks (moral hazard).</w:t>
      </w:r>
    </w:p>
    <w:p w14:paraId="51756D24" w14:textId="77777777" w:rsidR="00DE1537" w:rsidRDefault="00DE1537" w:rsidP="00343F3E">
      <w:pPr>
        <w:pStyle w:val="ListBullet2"/>
      </w:pPr>
      <w:r>
        <w:t>Governments should only provide risk</w:t>
      </w:r>
      <w:r>
        <w:noBreakHyphen/>
        <w:t>related information where there are significant public benefits that exceed the costs involved.</w:t>
      </w:r>
    </w:p>
    <w:p w14:paraId="20E8E807" w14:textId="77777777" w:rsidR="00DE1537" w:rsidRDefault="00DE1537" w:rsidP="00343F3E">
      <w:pPr>
        <w:pStyle w:val="ListBullet2"/>
      </w:pPr>
      <w:r>
        <w:t>Supporting a resilient community and economy can help to reduce the impact of all kinds of risk.</w:t>
      </w:r>
    </w:p>
    <w:p w14:paraId="221A283D" w14:textId="77777777" w:rsidR="00DE1537" w:rsidRDefault="00DE1537" w:rsidP="00343F3E">
      <w:pPr>
        <w:pStyle w:val="ListBullet"/>
      </w:pPr>
      <w:r>
        <w:t>The third role involves governments supporting management of natural disaster risks that are shared, such as by helping communities to respond to and recover from natural disasters. This should be done in conjunction with volunteers, charities and other community initiatives.</w:t>
      </w:r>
    </w:p>
    <w:p w14:paraId="608681E0" w14:textId="77777777" w:rsidR="00DE1537" w:rsidRDefault="00DE1537" w:rsidP="00343F3E">
      <w:pPr>
        <w:pStyle w:val="BodyText"/>
      </w:pPr>
      <w:r>
        <w:t>From a policy perspective, natural disaster risk management is different to other services that governments provide. While many government activities — such as healthcare, education and law and order — can have impacts over long time horizons and span multiple generations, there can be considerably greater uncertainty about the future costs and benefits of natural disaster risk management. This is because it is not possible to accurately forecast the severity, timing or location of natural disasters.</w:t>
      </w:r>
    </w:p>
    <w:p w14:paraId="233166C9" w14:textId="77777777" w:rsidR="00DE1537" w:rsidRDefault="00DE1537" w:rsidP="00343F3E">
      <w:pPr>
        <w:pStyle w:val="BodyText"/>
      </w:pPr>
      <w:r>
        <w:t>In addition, the long</w:t>
      </w:r>
      <w:r>
        <w:noBreakHyphen/>
        <w:t>term nature of natural disaster risk management means that intertemporal trade</w:t>
      </w:r>
      <w:r>
        <w:noBreakHyphen/>
        <w:t xml:space="preserve">offs must be made. Poor decisions today can embed unavoidable and </w:t>
      </w:r>
      <w:r>
        <w:lastRenderedPageBreak/>
        <w:t>compounded costs in the future. The challenges are amplified where government decision makers do not give full weight to long</w:t>
      </w:r>
      <w:r>
        <w:noBreakHyphen/>
        <w:t>term risks, potentially as a result of political pressures to achieve more visible outcomes in the short term.</w:t>
      </w:r>
    </w:p>
    <w:p w14:paraId="394102E3" w14:textId="77777777" w:rsidR="00DE1537" w:rsidRPr="002A2BF1" w:rsidRDefault="00DE1537" w:rsidP="00343F3E">
      <w:pPr>
        <w:pStyle w:val="Heading2"/>
      </w:pPr>
      <w:bookmarkStart w:id="52" w:name="_Toc406424322"/>
      <w:r>
        <w:t>3.</w:t>
      </w:r>
      <w:r>
        <w:rPr>
          <w:noProof/>
        </w:rPr>
        <w:t>2</w:t>
      </w:r>
      <w:r>
        <w:tab/>
        <w:t xml:space="preserve">What is natural disaster </w:t>
      </w:r>
      <w:r w:rsidRPr="006F521F">
        <w:t>risk management?</w:t>
      </w:r>
      <w:bookmarkEnd w:id="52"/>
    </w:p>
    <w:p w14:paraId="0E189E74" w14:textId="77777777" w:rsidR="00DE1537" w:rsidRDefault="00DE1537" w:rsidP="00343F3E">
      <w:pPr>
        <w:pStyle w:val="BodyText"/>
      </w:pPr>
      <w:r>
        <w:t>Risks are an inherent part of life. People take risks to pursue their objectives, such as increasing their quality of life or earning income. For example, it can be risky for a business to introduce a new product, but the benefits of success mean that many businesses are prepared to take the risk — effectively an assessment of the risk</w:t>
      </w:r>
      <w:r>
        <w:noBreakHyphen/>
        <w:t>adjusted returns. And many households are willing to live in coastal locations that they know are exposed to cyclones or storm surge because they place a high value on the amenity of living near the sea. This is because they see benefits in living in these locations, even after taking the risks into account.</w:t>
      </w:r>
    </w:p>
    <w:p w14:paraId="61836F67" w14:textId="77777777" w:rsidR="00DE1537" w:rsidRPr="00A60223" w:rsidRDefault="00DE1537" w:rsidP="00343F3E">
      <w:pPr>
        <w:pStyle w:val="BodyText"/>
      </w:pPr>
      <w:r>
        <w:t xml:space="preserve">While risk taking can be beneficial, things can also go wrong. Natural disasters can compromise the objectives people pursue, as well as the living standards and wellbeing of society as a whole. There is uncertainty about when and where natural hazards will occur (such as bushfires, floods, cyclones or earthquakes), as well as their intensity and impacts. Some </w:t>
      </w:r>
      <w:r>
        <w:rPr>
          <w:i/>
        </w:rPr>
        <w:t>hazards</w:t>
      </w:r>
      <w:r>
        <w:t xml:space="preserve"> may cause minimal impacts, whereas others could cause significant damage to the wellbeing and functioning of the community, and thus become </w:t>
      </w:r>
      <w:r>
        <w:rPr>
          <w:i/>
        </w:rPr>
        <w:t>disasters</w:t>
      </w:r>
      <w:r>
        <w:t>.</w:t>
      </w:r>
    </w:p>
    <w:p w14:paraId="0A55A327" w14:textId="34DE4C51" w:rsidR="00DE1537" w:rsidRDefault="00DE1537" w:rsidP="00343F3E">
      <w:pPr>
        <w:pStyle w:val="BodyText"/>
      </w:pPr>
      <w:r>
        <w:t xml:space="preserve">Risk can be defined as the effect of uncertainty on objectives </w:t>
      </w:r>
      <w:r w:rsidRPr="00DD5FA9">
        <w:rPr>
          <w:rFonts w:cs="Arial"/>
          <w:szCs w:val="24"/>
        </w:rPr>
        <w:t>(ISO 2009)</w:t>
      </w:r>
      <w:r>
        <w:t xml:space="preserve">. The level of risk faced depends on the probability of an event occurring and the consequences if it does occur </w:t>
      </w:r>
      <w:r w:rsidRPr="00C6397D">
        <w:rPr>
          <w:rFonts w:cs="Arial"/>
          <w:szCs w:val="24"/>
        </w:rPr>
        <w:t>(OECD 2014)</w:t>
      </w:r>
      <w:r>
        <w:t>. For natural disasters, this is sometimes broken down into three interrelated parts: the probability of a natural hazard occurring; the exposure of people, property and the environment to that hazard; and their vulnerability to its impacts (box 3.1).</w:t>
      </w:r>
    </w:p>
    <w:p w14:paraId="1260D5C1" w14:textId="77777777" w:rsidR="00DE1537" w:rsidRDefault="00DE1537" w:rsidP="00343F3E">
      <w:pPr>
        <w:pStyle w:val="BodyText"/>
      </w:pPr>
      <w:r>
        <w:t>Risk management is a process that can be used to reduce the impact of risks, and to be in a position to manage the consequences when they occur. Even where there is little that can be done to reduce the probability of natural hazards, it is possible to reduce the exposure and vulnerability of the community, and hence ultimately the level of risk. Risk management involves:</w:t>
      </w:r>
    </w:p>
    <w:p w14:paraId="27F504A3" w14:textId="77777777" w:rsidR="00DE1537" w:rsidRPr="002069E3" w:rsidRDefault="00DE1537" w:rsidP="00343F3E">
      <w:pPr>
        <w:pStyle w:val="ListBullet"/>
      </w:pPr>
      <w:r w:rsidRPr="002069E3">
        <w:t>owning risk — determining who is responsible for managing risks to which assets</w:t>
      </w:r>
    </w:p>
    <w:p w14:paraId="7DBFAB8A" w14:textId="77777777" w:rsidR="00DE1537" w:rsidRPr="002069E3" w:rsidRDefault="00DE1537" w:rsidP="00343F3E">
      <w:pPr>
        <w:pStyle w:val="ListBullet"/>
      </w:pPr>
      <w:r w:rsidRPr="002069E3">
        <w:t>understanding risk — identifying which risks are faced and their likely consequences, including further research where necessary</w:t>
      </w:r>
    </w:p>
    <w:p w14:paraId="3D24D487" w14:textId="77777777" w:rsidR="00DE1537" w:rsidRDefault="00DE1537" w:rsidP="00343F3E">
      <w:pPr>
        <w:pStyle w:val="ListBullet"/>
      </w:pPr>
      <w:r w:rsidRPr="002069E3">
        <w:t xml:space="preserve">treating risk — making decisions on how to best manage the risk, such as </w:t>
      </w:r>
      <w:r>
        <w:t xml:space="preserve">reducing risk </w:t>
      </w:r>
      <w:r w:rsidRPr="002069E3">
        <w:t xml:space="preserve">through mitigation or </w:t>
      </w:r>
      <w:r>
        <w:t xml:space="preserve">funding risk transfer through </w:t>
      </w:r>
      <w:r w:rsidRPr="002069E3">
        <w:t>insurance (sectio</w:t>
      </w:r>
      <w:r>
        <w:t>n 3.3</w:t>
      </w:r>
      <w:r w:rsidRPr="002069E3">
        <w:t>).</w:t>
      </w:r>
    </w:p>
    <w:p w14:paraId="3EE6D8C6" w14:textId="77777777" w:rsidR="00DE1537" w:rsidRDefault="00DE1537" w:rsidP="00343F3E">
      <w:pPr>
        <w:pStyle w:val="BodyText"/>
      </w:pPr>
      <w:r>
        <w:t>These three steps are captured in greater detail in the formal process of good</w:t>
      </w:r>
      <w:r>
        <w:noBreakHyphen/>
        <w:t xml:space="preserve">practice risk management defined in the Australian and international standard </w:t>
      </w:r>
      <w:r>
        <w:rPr>
          <w:i/>
        </w:rPr>
        <w:t xml:space="preserve">AS/NZS ISO 31000:2009 — Risk management — Principles and guidelines </w:t>
      </w:r>
      <w:r w:rsidRPr="005A35A1">
        <w:t>(b</w:t>
      </w:r>
      <w:r w:rsidRPr="00AE6EF5">
        <w:t>ox</w:t>
      </w:r>
      <w:r>
        <w:t> 3.2</w:t>
      </w:r>
      <w:r w:rsidRPr="00AE6EF5">
        <w:t>)</w:t>
      </w:r>
      <w:r w:rsidRPr="00BD3AE6">
        <w:t>.</w:t>
      </w:r>
      <w:r>
        <w:t xml:space="preserve"> </w:t>
      </w:r>
      <w:proofErr w:type="gramStart"/>
      <w:r>
        <w:t xml:space="preserve">While some risks may be </w:t>
      </w:r>
      <w:r>
        <w:lastRenderedPageBreak/>
        <w:t>easier to manage than others (such as those that are more predictable or have lower impacts), the broad risk management framework can be used to guide management of all kinds of risk.</w:t>
      </w:r>
      <w:proofErr w:type="gramEnd"/>
    </w:p>
    <w:p w14:paraId="3916EBA3"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12A72403" w14:textId="77777777" w:rsidTr="00343F3E">
        <w:tc>
          <w:tcPr>
            <w:tcW w:w="8771" w:type="dxa"/>
            <w:tcBorders>
              <w:top w:val="single" w:sz="6" w:space="0" w:color="78A22F"/>
              <w:left w:val="nil"/>
              <w:bottom w:val="nil"/>
              <w:right w:val="nil"/>
            </w:tcBorders>
            <w:shd w:val="clear" w:color="auto" w:fill="F2F2F2" w:themeFill="background1" w:themeFillShade="F2"/>
          </w:tcPr>
          <w:p w14:paraId="3F5A9F89" w14:textId="77777777" w:rsidR="00DE1537" w:rsidRPr="00DB4A5F" w:rsidRDefault="00DE1537" w:rsidP="00343F3E">
            <w:pPr>
              <w:pStyle w:val="BoxTitle"/>
            </w:pPr>
            <w:r w:rsidRPr="00DB4A5F">
              <w:rPr>
                <w:b w:val="0"/>
              </w:rPr>
              <w:t>Box 3.</w:t>
            </w:r>
            <w:r w:rsidRPr="00DB4A5F">
              <w:rPr>
                <w:b w:val="0"/>
                <w:noProof/>
              </w:rPr>
              <w:t>1</w:t>
            </w:r>
            <w:r w:rsidRPr="00DB4A5F">
              <w:tab/>
              <w:t>The natural disaster risk triangle</w:t>
            </w:r>
          </w:p>
        </w:tc>
      </w:tr>
      <w:tr w:rsidR="00DE1537" w14:paraId="0B613C28" w14:textId="77777777" w:rsidTr="00343F3E">
        <w:trPr>
          <w:cantSplit/>
        </w:trPr>
        <w:tc>
          <w:tcPr>
            <w:tcW w:w="8771" w:type="dxa"/>
            <w:tcBorders>
              <w:top w:val="nil"/>
              <w:left w:val="nil"/>
              <w:bottom w:val="nil"/>
              <w:right w:val="nil"/>
            </w:tcBorders>
            <w:shd w:val="clear" w:color="auto" w:fill="F2F2F2" w:themeFill="background1" w:themeFillShade="F2"/>
          </w:tcPr>
          <w:p w14:paraId="311D4761" w14:textId="77777777" w:rsidR="00DE1537" w:rsidRDefault="00DE1537" w:rsidP="00343F3E">
            <w:pPr>
              <w:pStyle w:val="Box"/>
              <w:jc w:val="center"/>
              <w:rPr>
                <w:szCs w:val="24"/>
              </w:rPr>
            </w:pPr>
            <w:r>
              <w:rPr>
                <w:noProof/>
                <w:szCs w:val="24"/>
              </w:rPr>
              <w:drawing>
                <wp:inline distT="0" distB="0" distL="0" distR="0" wp14:anchorId="64974B33" wp14:editId="1B2CC576">
                  <wp:extent cx="2569695" cy="1549021"/>
                  <wp:effectExtent l="0" t="0" r="0" b="0"/>
                  <wp:docPr id="21" name="Picture 21" descr="Natural disaster risk comprises hazard, exposure and vulner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77393" cy="1553661"/>
                          </a:xfrm>
                          <a:prstGeom prst="rect">
                            <a:avLst/>
                          </a:prstGeom>
                          <a:noFill/>
                          <a:ln>
                            <a:noFill/>
                          </a:ln>
                        </pic:spPr>
                      </pic:pic>
                    </a:graphicData>
                  </a:graphic>
                </wp:inline>
              </w:drawing>
            </w:r>
          </w:p>
          <w:p w14:paraId="4B48283C" w14:textId="77777777" w:rsidR="00DE1537" w:rsidRDefault="00DE1537" w:rsidP="00343F3E">
            <w:pPr>
              <w:pStyle w:val="Box"/>
            </w:pPr>
            <w:r>
              <w:t xml:space="preserve">Natural disaster risk can be considered a function of hazard, exposure and vulnerability. These three components are specific to a given location. </w:t>
            </w:r>
          </w:p>
          <w:p w14:paraId="2A3C5107" w14:textId="77777777" w:rsidR="00DE1537" w:rsidRDefault="00DE1537" w:rsidP="00343F3E">
            <w:pPr>
              <w:pStyle w:val="BoxListBullet"/>
              <w:rPr>
                <w:szCs w:val="24"/>
              </w:rPr>
            </w:pPr>
            <w:r>
              <w:t>Hazard — the type of hazard and probability of it occurring, as well as its severity, extent and frequency.</w:t>
            </w:r>
          </w:p>
          <w:p w14:paraId="66FD3B1A" w14:textId="77777777" w:rsidR="00DE1537" w:rsidRDefault="00DE1537" w:rsidP="00343F3E">
            <w:pPr>
              <w:pStyle w:val="BoxListBullet"/>
              <w:rPr>
                <w:szCs w:val="24"/>
              </w:rPr>
            </w:pPr>
            <w:r>
              <w:t>Exposure — the people and assets exposed to the hazard (such as buildings, roads, water infrastructure and telecommunications equipment), and the activities they support.</w:t>
            </w:r>
          </w:p>
          <w:p w14:paraId="1BD1522D" w14:textId="77777777" w:rsidR="00DE1537" w:rsidRDefault="00DE1537" w:rsidP="00343F3E">
            <w:pPr>
              <w:pStyle w:val="BoxListBullet"/>
              <w:rPr>
                <w:szCs w:val="24"/>
              </w:rPr>
            </w:pPr>
            <w:r>
              <w:t>Vulnerability — the susceptibility of the exposed people, assets and activities to the impact of the hazard.</w:t>
            </w:r>
          </w:p>
          <w:p w14:paraId="484A5A3E" w14:textId="77777777" w:rsidR="00DE1537" w:rsidRDefault="00DE1537" w:rsidP="00343F3E">
            <w:pPr>
              <w:pStyle w:val="Box"/>
            </w:pPr>
            <w:r>
              <w:t>An increase in any of these three components would, all else equal, increase the total level of risk. Conversely, reducing risk involves reducing one or more of the three components. Since many natural hazards are ‘acts of nature’, much mitigation focuses on reducing exposure (such as through flood</w:t>
            </w:r>
            <w:r>
              <w:noBreakHyphen/>
              <w:t>mitigation infrastructure or land use planning) and reducing vulnerability (such as through building codes and measures to improve the community’s awareness of hazards and ability to respond).</w:t>
            </w:r>
          </w:p>
          <w:p w14:paraId="6774EAD1" w14:textId="77777777" w:rsidR="00DE1537" w:rsidRDefault="00DE1537" w:rsidP="00343F3E">
            <w:pPr>
              <w:pStyle w:val="Box"/>
            </w:pPr>
            <w:r>
              <w:t>Several techniques are available for measuring hazard, exposure and vulnerability to quantify the total level of risk. For example, indexes of exposure and vulnerability can be used to provide an indication of the relative risks faced across a number of locations. When undertaking a more detailed assessment of the risk faced in a single location, a more robust approach would be to quantify the overall losses or consequences of a hazard and weight this by the probabilities of hazards of different intensities occurring (known as the ‘value at risk’ method).</w:t>
            </w:r>
          </w:p>
        </w:tc>
      </w:tr>
      <w:tr w:rsidR="00DE1537" w14:paraId="31F69AC6" w14:textId="77777777" w:rsidTr="00343F3E">
        <w:trPr>
          <w:cantSplit/>
        </w:trPr>
        <w:tc>
          <w:tcPr>
            <w:tcW w:w="8771" w:type="dxa"/>
            <w:tcBorders>
              <w:top w:val="nil"/>
              <w:left w:val="nil"/>
              <w:bottom w:val="nil"/>
              <w:right w:val="nil"/>
            </w:tcBorders>
            <w:shd w:val="clear" w:color="auto" w:fill="F2F2F2" w:themeFill="background1" w:themeFillShade="F2"/>
          </w:tcPr>
          <w:p w14:paraId="2C4D710C" w14:textId="10113D31" w:rsidR="00DE1537" w:rsidRDefault="00DE1537" w:rsidP="00343F3E">
            <w:pPr>
              <w:pStyle w:val="BoxSource"/>
            </w:pPr>
            <w:r>
              <w:rPr>
                <w:i/>
              </w:rPr>
              <w:t>Sources</w:t>
            </w:r>
            <w:r w:rsidRPr="00167F06">
              <w:t xml:space="preserve">: </w:t>
            </w:r>
            <w:r>
              <w:t xml:space="preserve">ERSA (sub. 12); Granger </w:t>
            </w:r>
            <w:r w:rsidRPr="00DB077A">
              <w:rPr>
                <w:rFonts w:cs="Arial"/>
              </w:rPr>
              <w:t>(2014)</w:t>
            </w:r>
            <w:r>
              <w:t xml:space="preserve">; IPCC </w:t>
            </w:r>
            <w:r w:rsidRPr="00E84EFE">
              <w:rPr>
                <w:rFonts w:cs="Arial"/>
              </w:rPr>
              <w:t>(2014)</w:t>
            </w:r>
            <w:r>
              <w:t>.</w:t>
            </w:r>
          </w:p>
        </w:tc>
      </w:tr>
      <w:tr w:rsidR="00DE1537" w14:paraId="77360E8F"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C9C675C" w14:textId="77777777" w:rsidR="00DE1537" w:rsidRDefault="00DE1537" w:rsidP="00343F3E">
            <w:pPr>
              <w:pStyle w:val="Box"/>
              <w:spacing w:before="0" w:line="120" w:lineRule="exact"/>
            </w:pPr>
          </w:p>
        </w:tc>
      </w:tr>
      <w:tr w:rsidR="00DE1537" w:rsidRPr="000863A5" w14:paraId="03E3DE0C" w14:textId="77777777" w:rsidTr="00343F3E">
        <w:tc>
          <w:tcPr>
            <w:tcW w:w="8771" w:type="dxa"/>
            <w:tcBorders>
              <w:top w:val="single" w:sz="6" w:space="0" w:color="78A22F"/>
              <w:left w:val="nil"/>
              <w:bottom w:val="nil"/>
              <w:right w:val="nil"/>
            </w:tcBorders>
          </w:tcPr>
          <w:p w14:paraId="6FD9717E" w14:textId="77777777" w:rsidR="00DE1537" w:rsidRPr="00626D32" w:rsidRDefault="00DE1537" w:rsidP="00343F3E">
            <w:pPr>
              <w:pStyle w:val="BoxSpaceBelow"/>
            </w:pPr>
          </w:p>
        </w:tc>
      </w:tr>
    </w:tbl>
    <w:p w14:paraId="57CA1BCB" w14:textId="77777777" w:rsidR="00DE1537" w:rsidRDefault="00DE1537" w:rsidP="00343F3E">
      <w:pPr>
        <w:pStyle w:val="BodyText"/>
      </w:pPr>
    </w:p>
    <w:p w14:paraId="7F9925BD"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781F2DAE" w14:textId="77777777" w:rsidTr="00343F3E">
        <w:tc>
          <w:tcPr>
            <w:tcW w:w="8771" w:type="dxa"/>
            <w:tcBorders>
              <w:top w:val="single" w:sz="6" w:space="0" w:color="78A22F"/>
              <w:left w:val="nil"/>
              <w:bottom w:val="nil"/>
              <w:right w:val="nil"/>
            </w:tcBorders>
            <w:shd w:val="clear" w:color="auto" w:fill="F2F2F2" w:themeFill="background1" w:themeFillShade="F2"/>
          </w:tcPr>
          <w:p w14:paraId="3149D28D" w14:textId="77777777" w:rsidR="00DE1537" w:rsidRPr="00DB4A5F" w:rsidRDefault="00DE1537" w:rsidP="00343F3E">
            <w:pPr>
              <w:pStyle w:val="BoxTitle"/>
            </w:pPr>
            <w:r w:rsidRPr="00DB4A5F">
              <w:rPr>
                <w:b w:val="0"/>
              </w:rPr>
              <w:t>Box 3.</w:t>
            </w:r>
            <w:r w:rsidRPr="00DB4A5F">
              <w:rPr>
                <w:b w:val="0"/>
                <w:noProof/>
              </w:rPr>
              <w:t>2</w:t>
            </w:r>
            <w:r w:rsidRPr="00DB4A5F">
              <w:tab/>
              <w:t>What is risk management?</w:t>
            </w:r>
          </w:p>
        </w:tc>
      </w:tr>
      <w:tr w:rsidR="00DE1537" w14:paraId="7AF3345A" w14:textId="77777777" w:rsidTr="00343F3E">
        <w:trPr>
          <w:cantSplit/>
        </w:trPr>
        <w:tc>
          <w:tcPr>
            <w:tcW w:w="8771" w:type="dxa"/>
            <w:tcBorders>
              <w:top w:val="nil"/>
              <w:left w:val="nil"/>
              <w:bottom w:val="nil"/>
              <w:right w:val="nil"/>
            </w:tcBorders>
            <w:shd w:val="clear" w:color="auto" w:fill="F2F2F2" w:themeFill="background1" w:themeFillShade="F2"/>
          </w:tcPr>
          <w:p w14:paraId="5F2870D5" w14:textId="0C317723" w:rsidR="00DE1537" w:rsidRDefault="00DE1537" w:rsidP="00343F3E">
            <w:pPr>
              <w:pStyle w:val="Box"/>
            </w:pPr>
            <w:r>
              <w:t xml:space="preserve">In its broadest form, risk management refers to the decision making processes and actions that people use to deal with risks </w:t>
            </w:r>
            <w:r w:rsidRPr="00C6397D">
              <w:rPr>
                <w:rFonts w:cs="Arial"/>
                <w:szCs w:val="24"/>
              </w:rPr>
              <w:t>(Banerjee and Ewing 2004)</w:t>
            </w:r>
            <w:r>
              <w:t xml:space="preserve">. The processes involved in risk management have been categorised in many ways. One of the most widely used sources is International Standard </w:t>
            </w:r>
            <w:r>
              <w:rPr>
                <w:i/>
              </w:rPr>
              <w:t>ISO 31000:2009</w:t>
            </w:r>
            <w:r>
              <w:t>. This sets out a formal process of risk management that involves:</w:t>
            </w:r>
          </w:p>
          <w:p w14:paraId="2D7D888D" w14:textId="77777777" w:rsidR="00DE1537" w:rsidRDefault="00DE1537" w:rsidP="00343F3E">
            <w:pPr>
              <w:pStyle w:val="BoxListBullet"/>
              <w:spacing w:before="120"/>
            </w:pPr>
            <w:r>
              <w:t>establishing the context — identifying relevant stakeholders, clarifying objectives, and setting criteria against which risks to these objectives can be evaluated</w:t>
            </w:r>
          </w:p>
          <w:p w14:paraId="43EC55A6" w14:textId="77777777" w:rsidR="00DE1537" w:rsidRDefault="00DE1537" w:rsidP="00343F3E">
            <w:pPr>
              <w:pStyle w:val="BoxListBullet"/>
              <w:spacing w:before="120"/>
            </w:pPr>
            <w:r>
              <w:t>identifying the risks — assessing the range of risks that could affect the community</w:t>
            </w:r>
          </w:p>
          <w:p w14:paraId="5C9EA5A2" w14:textId="77777777" w:rsidR="00DE1537" w:rsidRDefault="00DE1537" w:rsidP="00343F3E">
            <w:pPr>
              <w:pStyle w:val="BoxListBullet"/>
              <w:spacing w:before="120"/>
            </w:pPr>
            <w:r>
              <w:t>analysing the risks — reviewing existing risk management processes, assessing the consequences of each risk and forming a judgment of its likelihood</w:t>
            </w:r>
          </w:p>
          <w:p w14:paraId="4D451A02" w14:textId="77777777" w:rsidR="00DE1537" w:rsidRDefault="00DE1537" w:rsidP="00343F3E">
            <w:pPr>
              <w:pStyle w:val="BoxListBullet"/>
              <w:spacing w:before="120"/>
            </w:pPr>
            <w:r>
              <w:t>evaluating the risks — identifying the most severe risks and those for which more detailed analysis is required</w:t>
            </w:r>
          </w:p>
          <w:p w14:paraId="6F03969D" w14:textId="390412DF" w:rsidR="00DE1537" w:rsidRDefault="00DE1537" w:rsidP="00343F3E">
            <w:pPr>
              <w:pStyle w:val="BoxListBullet"/>
            </w:pPr>
            <w:proofErr w:type="gramStart"/>
            <w:r>
              <w:t>treating</w:t>
            </w:r>
            <w:proofErr w:type="gramEnd"/>
            <w:r>
              <w:t xml:space="preserve"> the risks — identifying options to manage risks or adapt to their consequences, and adopting the best options </w:t>
            </w:r>
            <w:r w:rsidRPr="006F65ED">
              <w:rPr>
                <w:rFonts w:cs="Arial"/>
                <w:szCs w:val="24"/>
              </w:rPr>
              <w:t>(ISO 2009)</w:t>
            </w:r>
            <w:r>
              <w:t>.</w:t>
            </w:r>
          </w:p>
          <w:p w14:paraId="77B607B5" w14:textId="77777777" w:rsidR="00DE1537" w:rsidRDefault="00DE1537" w:rsidP="00343F3E">
            <w:pPr>
              <w:pStyle w:val="Box"/>
            </w:pPr>
            <w:r>
              <w:t>Throughout all stages, the process involves communication and consultation with stakeholders, as well as ongoing monitoring and evaluation.</w:t>
            </w:r>
          </w:p>
          <w:p w14:paraId="1D52A291" w14:textId="2554D3E0" w:rsidR="00DE1537" w:rsidRDefault="00DE1537" w:rsidP="00343F3E">
            <w:pPr>
              <w:pStyle w:val="Box"/>
            </w:pPr>
            <w:r>
              <w:t>The standard also identifies several principles that support good</w:t>
            </w:r>
            <w:r>
              <w:noBreakHyphen/>
              <w:t xml:space="preserve">practice risk management. These include ‘mainstreaming’ — making risk management an integral part of organisational processes (rather than a standalone activity) — as well as being dynamic and responsive to change, using the best available information and taking explicit account of uncertainty </w:t>
            </w:r>
            <w:r w:rsidRPr="006F65ED">
              <w:rPr>
                <w:rFonts w:cs="Arial"/>
                <w:szCs w:val="24"/>
              </w:rPr>
              <w:t>(ISO 2009)</w:t>
            </w:r>
            <w:r>
              <w:t xml:space="preserve">. Related principles include clearly assigning responsibilities to manage risks, holistically identifying all risks and explicitly recognising residual exposures </w:t>
            </w:r>
            <w:r w:rsidR="007C5656" w:rsidRPr="007C5656">
              <w:rPr>
                <w:rFonts w:cs="Arial"/>
                <w:szCs w:val="24"/>
              </w:rPr>
              <w:t>(APRA 2013b; Department of Finance 2014b; OECD 2014)</w:t>
            </w:r>
            <w:r>
              <w:t>.</w:t>
            </w:r>
          </w:p>
          <w:p w14:paraId="0633593D" w14:textId="1EBEAA07" w:rsidR="00DE1537" w:rsidRDefault="00DE1537" w:rsidP="00343F3E">
            <w:pPr>
              <w:pStyle w:val="Box"/>
            </w:pPr>
            <w:r>
              <w:t>Importantly, risk management is not a one</w:t>
            </w:r>
            <w:r>
              <w:noBreakHyphen/>
              <w:t xml:space="preserve">off or linear process. Some risks (including natural disasters) can have unforseen and dynamic impacts, could be connected to other forms of risk, or could be unforeseeable (‘unknown unknowns’) </w:t>
            </w:r>
            <w:r w:rsidRPr="00936764">
              <w:rPr>
                <w:rFonts w:cs="Arial"/>
                <w:szCs w:val="24"/>
              </w:rPr>
              <w:t>(Cavallo and Ireland 2014)</w:t>
            </w:r>
            <w:r>
              <w:t>. In these cases, ongoing review of risk management activities, broad participation of stakeholders and collaboration among risk managers are likely to be of increased significance.</w:t>
            </w:r>
          </w:p>
        </w:tc>
      </w:tr>
      <w:tr w:rsidR="00DE1537" w14:paraId="41A88AAB"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F2C4D91" w14:textId="77777777" w:rsidR="00DE1537" w:rsidRDefault="00DE1537" w:rsidP="00343F3E">
            <w:pPr>
              <w:pStyle w:val="Box"/>
              <w:spacing w:before="0" w:line="120" w:lineRule="exact"/>
            </w:pPr>
          </w:p>
        </w:tc>
      </w:tr>
      <w:tr w:rsidR="00DE1537" w:rsidRPr="000863A5" w14:paraId="1EAE65AC" w14:textId="77777777" w:rsidTr="00343F3E">
        <w:tc>
          <w:tcPr>
            <w:tcW w:w="8771" w:type="dxa"/>
            <w:tcBorders>
              <w:top w:val="single" w:sz="6" w:space="0" w:color="78A22F"/>
              <w:left w:val="nil"/>
              <w:bottom w:val="nil"/>
              <w:right w:val="nil"/>
            </w:tcBorders>
          </w:tcPr>
          <w:p w14:paraId="79DC9789" w14:textId="77777777" w:rsidR="00DE1537" w:rsidRPr="00626D32" w:rsidRDefault="00DE1537" w:rsidP="00343F3E">
            <w:pPr>
              <w:pStyle w:val="BoxSpaceBelow"/>
            </w:pPr>
          </w:p>
        </w:tc>
      </w:tr>
    </w:tbl>
    <w:p w14:paraId="237F378D" w14:textId="77777777" w:rsidR="00DE1537" w:rsidRDefault="00DE1537" w:rsidP="00343F3E">
      <w:pPr>
        <w:pStyle w:val="Heading3"/>
      </w:pPr>
      <w:r>
        <w:t>Trade</w:t>
      </w:r>
      <w:r>
        <w:noBreakHyphen/>
        <w:t>offs must be made</w:t>
      </w:r>
    </w:p>
    <w:p w14:paraId="6282DB4F" w14:textId="77777777" w:rsidR="00DE1537" w:rsidRDefault="00DE1537" w:rsidP="00343F3E">
      <w:pPr>
        <w:pStyle w:val="BodyText"/>
      </w:pPr>
      <w:r>
        <w:t>Managing risk can be costly. Devoting resources (such as money, time or effort) to understanding and treating risks, as well as dealing with their consequences, means that other resources or opportunities must be forgone (which economists refer to as ‘opportunity costs’). This applies to households, businesses and communities, as well as to governments. These opportunity costs mean that trade</w:t>
      </w:r>
      <w:r>
        <w:noBreakHyphen/>
        <w:t>offs must be made to decide how best to allocate available resources to achieve different possible outcomes, including those that are uncertain or occur over long timeframes.</w:t>
      </w:r>
    </w:p>
    <w:p w14:paraId="512463A7" w14:textId="77777777" w:rsidR="00DE1537" w:rsidRDefault="00DE1537" w:rsidP="00343F3E">
      <w:pPr>
        <w:pStyle w:val="BodyText"/>
      </w:pPr>
    </w:p>
    <w:p w14:paraId="7C0FE477" w14:textId="77777777" w:rsidR="00DE1537" w:rsidRDefault="00DE1537" w:rsidP="00343F3E">
      <w:pPr>
        <w:pStyle w:val="BodyText"/>
      </w:pPr>
      <w:r>
        <w:lastRenderedPageBreak/>
        <w:t>In the context of natural disaster risk management, the four main types of trade</w:t>
      </w:r>
      <w:r>
        <w:noBreakHyphen/>
        <w:t>off involve:</w:t>
      </w:r>
    </w:p>
    <w:p w14:paraId="08BCB187" w14:textId="77777777" w:rsidR="00DE1537" w:rsidRDefault="00DE1537" w:rsidP="00343F3E">
      <w:pPr>
        <w:pStyle w:val="ListBullet"/>
      </w:pPr>
      <w:r>
        <w:t>risk management and other priorities</w:t>
      </w:r>
    </w:p>
    <w:p w14:paraId="49F34B1A" w14:textId="77777777" w:rsidR="00DE1537" w:rsidRDefault="00DE1537" w:rsidP="00343F3E">
      <w:pPr>
        <w:pStyle w:val="ListBullet"/>
      </w:pPr>
      <w:r>
        <w:t xml:space="preserve">different risk management tools </w:t>
      </w:r>
    </w:p>
    <w:p w14:paraId="15951417" w14:textId="77777777" w:rsidR="00DE1537" w:rsidRDefault="00DE1537" w:rsidP="00343F3E">
      <w:pPr>
        <w:pStyle w:val="ListBullet"/>
      </w:pPr>
      <w:r>
        <w:t>specific risk management projects</w:t>
      </w:r>
    </w:p>
    <w:p w14:paraId="13308290" w14:textId="77777777" w:rsidR="00DE1537" w:rsidRDefault="00DE1537" w:rsidP="00343F3E">
      <w:pPr>
        <w:pStyle w:val="ListBullet"/>
      </w:pPr>
      <w:proofErr w:type="gramStart"/>
      <w:r>
        <w:t>current</w:t>
      </w:r>
      <w:proofErr w:type="gramEnd"/>
      <w:r>
        <w:t xml:space="preserve"> and future outcomes, including across generations.</w:t>
      </w:r>
    </w:p>
    <w:p w14:paraId="470D7760" w14:textId="77777777" w:rsidR="00DE1537" w:rsidRDefault="00DE1537" w:rsidP="00343F3E">
      <w:pPr>
        <w:pStyle w:val="BodyText"/>
      </w:pPr>
      <w:r>
        <w:t>These trade</w:t>
      </w:r>
      <w:r>
        <w:noBreakHyphen/>
        <w:t>offs are not always binary, and can sometimes involve selecting the best option from several that are available (table 3.1). For example, multiple risk management projects could be possible, of which only one can be funded. Alternatively, the trade</w:t>
      </w:r>
      <w:r>
        <w:noBreakHyphen/>
        <w:t>offs can involve finding the right balance across a set of tools, such as mitigation, insurance and bearing some residual risk.</w:t>
      </w:r>
    </w:p>
    <w:p w14:paraId="6AA96607"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rsidRPr="00DB4A5F" w14:paraId="6DE5085C" w14:textId="77777777" w:rsidTr="00343F3E">
        <w:tc>
          <w:tcPr>
            <w:tcW w:w="8771" w:type="dxa"/>
            <w:tcBorders>
              <w:top w:val="single" w:sz="6" w:space="0" w:color="78A22F"/>
              <w:left w:val="nil"/>
              <w:bottom w:val="nil"/>
              <w:right w:val="nil"/>
            </w:tcBorders>
            <w:shd w:val="clear" w:color="auto" w:fill="auto"/>
          </w:tcPr>
          <w:p w14:paraId="7FBC17AB" w14:textId="77777777" w:rsidR="00DE1537" w:rsidRPr="00DB4A5F" w:rsidRDefault="00DE1537" w:rsidP="00343F3E">
            <w:pPr>
              <w:pStyle w:val="TableTitle"/>
            </w:pPr>
            <w:r w:rsidRPr="00DB4A5F">
              <w:rPr>
                <w:b w:val="0"/>
              </w:rPr>
              <w:t>Table 3.</w:t>
            </w:r>
            <w:r w:rsidRPr="00DB4A5F">
              <w:rPr>
                <w:b w:val="0"/>
                <w:noProof/>
              </w:rPr>
              <w:t>1</w:t>
            </w:r>
            <w:r w:rsidRPr="00DB4A5F">
              <w:tab/>
              <w:t>Some examples of trade</w:t>
            </w:r>
            <w:r w:rsidRPr="00DB4A5F">
              <w:noBreakHyphen/>
              <w:t>offs in natural disaster risk management</w:t>
            </w:r>
          </w:p>
        </w:tc>
      </w:tr>
      <w:tr w:rsidR="00DE1537" w14:paraId="2A5D65E1"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150"/>
              <w:gridCol w:w="2978"/>
              <w:gridCol w:w="3235"/>
            </w:tblGrid>
            <w:tr w:rsidR="00DE1537" w14:paraId="4828FEC2" w14:textId="77777777" w:rsidTr="00343F3E">
              <w:tc>
                <w:tcPr>
                  <w:tcW w:w="1251" w:type="pct"/>
                  <w:tcBorders>
                    <w:top w:val="single" w:sz="6" w:space="0" w:color="BFBFBF" w:themeColor="background2"/>
                  </w:tcBorders>
                  <w:shd w:val="clear" w:color="auto" w:fill="auto"/>
                  <w:tcMar>
                    <w:top w:w="28" w:type="dxa"/>
                  </w:tcMar>
                </w:tcPr>
                <w:p w14:paraId="067E9A66" w14:textId="77777777" w:rsidR="00DE1537" w:rsidRDefault="00DE1537" w:rsidP="00343F3E">
                  <w:pPr>
                    <w:pStyle w:val="TableColumnHeading"/>
                    <w:jc w:val="left"/>
                  </w:pPr>
                  <w:r>
                    <w:t>Type of trade</w:t>
                  </w:r>
                  <w:r>
                    <w:noBreakHyphen/>
                    <w:t>off</w:t>
                  </w:r>
                </w:p>
              </w:tc>
              <w:tc>
                <w:tcPr>
                  <w:tcW w:w="88" w:type="pct"/>
                  <w:tcBorders>
                    <w:top w:val="single" w:sz="6" w:space="0" w:color="BFBFBF" w:themeColor="background2"/>
                  </w:tcBorders>
                </w:tcPr>
                <w:p w14:paraId="41F600F7" w14:textId="77777777" w:rsidR="00DE1537" w:rsidRDefault="00DE1537" w:rsidP="00343F3E">
                  <w:pPr>
                    <w:pStyle w:val="TableColumnHeading"/>
                    <w:jc w:val="center"/>
                  </w:pPr>
                </w:p>
              </w:tc>
              <w:tc>
                <w:tcPr>
                  <w:tcW w:w="3660" w:type="pct"/>
                  <w:gridSpan w:val="2"/>
                  <w:tcBorders>
                    <w:top w:val="single" w:sz="6" w:space="0" w:color="BFBFBF" w:themeColor="background2"/>
                    <w:bottom w:val="single" w:sz="6" w:space="0" w:color="BFBFBF" w:themeColor="background2"/>
                  </w:tcBorders>
                  <w:shd w:val="clear" w:color="auto" w:fill="auto"/>
                  <w:tcMar>
                    <w:top w:w="28" w:type="dxa"/>
                  </w:tcMar>
                </w:tcPr>
                <w:p w14:paraId="158FC944" w14:textId="77777777" w:rsidR="00DE1537" w:rsidRDefault="00DE1537" w:rsidP="00343F3E">
                  <w:pPr>
                    <w:pStyle w:val="TableColumnHeading"/>
                    <w:ind w:right="28"/>
                    <w:jc w:val="center"/>
                  </w:pPr>
                  <w:r>
                    <w:t>Examples</w:t>
                  </w:r>
                </w:p>
              </w:tc>
            </w:tr>
            <w:tr w:rsidR="00DE1537" w14:paraId="54C8E1A5" w14:textId="77777777" w:rsidTr="00343F3E">
              <w:tc>
                <w:tcPr>
                  <w:tcW w:w="1251" w:type="pct"/>
                  <w:tcBorders>
                    <w:bottom w:val="single" w:sz="6" w:space="0" w:color="BFBFBF" w:themeColor="background2"/>
                  </w:tcBorders>
                </w:tcPr>
                <w:p w14:paraId="67C23623" w14:textId="77777777" w:rsidR="00DE1537" w:rsidRDefault="00DE1537" w:rsidP="00343F3E">
                  <w:pPr>
                    <w:pStyle w:val="TableColumnHeading"/>
                    <w:jc w:val="left"/>
                  </w:pPr>
                </w:p>
              </w:tc>
              <w:tc>
                <w:tcPr>
                  <w:tcW w:w="88" w:type="pct"/>
                  <w:tcBorders>
                    <w:bottom w:val="single" w:sz="6" w:space="0" w:color="BFBFBF" w:themeColor="background2"/>
                  </w:tcBorders>
                </w:tcPr>
                <w:p w14:paraId="20A3B881" w14:textId="77777777" w:rsidR="00DE1537" w:rsidRDefault="00DE1537" w:rsidP="00343F3E">
                  <w:pPr>
                    <w:pStyle w:val="TableColumnHeading"/>
                    <w:jc w:val="left"/>
                  </w:pPr>
                </w:p>
              </w:tc>
              <w:tc>
                <w:tcPr>
                  <w:tcW w:w="1754" w:type="pct"/>
                  <w:tcBorders>
                    <w:top w:val="single" w:sz="6" w:space="0" w:color="BFBFBF" w:themeColor="background2"/>
                    <w:bottom w:val="single" w:sz="6" w:space="0" w:color="BFBFBF" w:themeColor="background2"/>
                  </w:tcBorders>
                </w:tcPr>
                <w:p w14:paraId="43E9F3E5" w14:textId="77777777" w:rsidR="00DE1537" w:rsidRDefault="00DE1537" w:rsidP="00343F3E">
                  <w:pPr>
                    <w:pStyle w:val="TableColumnHeading"/>
                    <w:jc w:val="center"/>
                  </w:pPr>
                  <w:r>
                    <w:t>Households/businesses</w:t>
                  </w:r>
                </w:p>
              </w:tc>
              <w:tc>
                <w:tcPr>
                  <w:tcW w:w="1906" w:type="pct"/>
                  <w:tcBorders>
                    <w:top w:val="single" w:sz="6" w:space="0" w:color="BFBFBF" w:themeColor="background2"/>
                    <w:bottom w:val="single" w:sz="6" w:space="0" w:color="BFBFBF" w:themeColor="background2"/>
                  </w:tcBorders>
                </w:tcPr>
                <w:p w14:paraId="013E7987" w14:textId="77777777" w:rsidR="00DE1537" w:rsidRDefault="00DE1537" w:rsidP="00343F3E">
                  <w:pPr>
                    <w:pStyle w:val="TableColumnHeading"/>
                    <w:jc w:val="center"/>
                  </w:pPr>
                  <w:r>
                    <w:t>Governments</w:t>
                  </w:r>
                </w:p>
              </w:tc>
            </w:tr>
            <w:tr w:rsidR="00DE1537" w14:paraId="3271A97F" w14:textId="77777777" w:rsidTr="00343F3E">
              <w:tc>
                <w:tcPr>
                  <w:tcW w:w="1251" w:type="pct"/>
                  <w:tcBorders>
                    <w:top w:val="single" w:sz="6" w:space="0" w:color="BFBFBF" w:themeColor="background2"/>
                  </w:tcBorders>
                  <w:shd w:val="clear" w:color="auto" w:fill="F2F2F2" w:themeFill="background1" w:themeFillShade="F2"/>
                </w:tcPr>
                <w:p w14:paraId="39855A39" w14:textId="77777777" w:rsidR="00DE1537" w:rsidRDefault="00DE1537" w:rsidP="00343F3E">
                  <w:pPr>
                    <w:pStyle w:val="TableBodyText"/>
                    <w:spacing w:before="40"/>
                    <w:jc w:val="left"/>
                  </w:pPr>
                  <w:r>
                    <w:t>Resources allocated to risk management</w:t>
                  </w:r>
                </w:p>
              </w:tc>
              <w:tc>
                <w:tcPr>
                  <w:tcW w:w="88" w:type="pct"/>
                  <w:tcBorders>
                    <w:top w:val="single" w:sz="6" w:space="0" w:color="BFBFBF" w:themeColor="background2"/>
                  </w:tcBorders>
                  <w:shd w:val="clear" w:color="auto" w:fill="F2F2F2" w:themeFill="background1" w:themeFillShade="F2"/>
                </w:tcPr>
                <w:p w14:paraId="4BE3157F" w14:textId="77777777" w:rsidR="00DE1537" w:rsidRDefault="00DE1537" w:rsidP="00343F3E">
                  <w:pPr>
                    <w:pStyle w:val="TableBodyText"/>
                    <w:spacing w:before="40"/>
                    <w:jc w:val="left"/>
                  </w:pPr>
                </w:p>
              </w:tc>
              <w:tc>
                <w:tcPr>
                  <w:tcW w:w="1754" w:type="pct"/>
                  <w:tcBorders>
                    <w:top w:val="single" w:sz="6" w:space="0" w:color="BFBFBF" w:themeColor="background2"/>
                  </w:tcBorders>
                  <w:shd w:val="clear" w:color="auto" w:fill="F2F2F2" w:themeFill="background1" w:themeFillShade="F2"/>
                </w:tcPr>
                <w:p w14:paraId="61BC8C57" w14:textId="77777777" w:rsidR="00DE1537" w:rsidRDefault="00DE1537" w:rsidP="00343F3E">
                  <w:pPr>
                    <w:pStyle w:val="TableBodyText"/>
                    <w:spacing w:before="40"/>
                    <w:jc w:val="left"/>
                  </w:pPr>
                  <w:r>
                    <w:t>Spending money and time modifying buildings, rather than on consumption or recreation</w:t>
                  </w:r>
                </w:p>
              </w:tc>
              <w:tc>
                <w:tcPr>
                  <w:tcW w:w="1906" w:type="pct"/>
                  <w:tcBorders>
                    <w:top w:val="single" w:sz="6" w:space="0" w:color="BFBFBF" w:themeColor="background2"/>
                  </w:tcBorders>
                  <w:shd w:val="clear" w:color="auto" w:fill="F2F2F2" w:themeFill="background1" w:themeFillShade="F2"/>
                </w:tcPr>
                <w:p w14:paraId="1960D254" w14:textId="77777777" w:rsidR="00DE1537" w:rsidRDefault="00DE1537" w:rsidP="00343F3E">
                  <w:pPr>
                    <w:pStyle w:val="TableBodyText"/>
                    <w:spacing w:before="40"/>
                    <w:ind w:right="28"/>
                    <w:jc w:val="left"/>
                  </w:pPr>
                  <w:r>
                    <w:t>Funding for natural disaster management rather than for education or healthcare, or reducing taxes</w:t>
                  </w:r>
                </w:p>
              </w:tc>
            </w:tr>
            <w:tr w:rsidR="00DE1537" w14:paraId="3879814D" w14:textId="77777777" w:rsidTr="00343F3E">
              <w:tc>
                <w:tcPr>
                  <w:tcW w:w="1251" w:type="pct"/>
                </w:tcPr>
                <w:p w14:paraId="4D8043D4" w14:textId="77777777" w:rsidR="00DE1537" w:rsidRDefault="00DE1537" w:rsidP="00343F3E">
                  <w:pPr>
                    <w:pStyle w:val="TableBodyText"/>
                    <w:jc w:val="left"/>
                  </w:pPr>
                  <w:r>
                    <w:t>Risk management tools to use</w:t>
                  </w:r>
                </w:p>
              </w:tc>
              <w:tc>
                <w:tcPr>
                  <w:tcW w:w="88" w:type="pct"/>
                </w:tcPr>
                <w:p w14:paraId="4CB6FBEC" w14:textId="77777777" w:rsidR="00DE1537" w:rsidRDefault="00DE1537" w:rsidP="00343F3E">
                  <w:pPr>
                    <w:pStyle w:val="TableBodyText"/>
                    <w:jc w:val="left"/>
                  </w:pPr>
                </w:p>
              </w:tc>
              <w:tc>
                <w:tcPr>
                  <w:tcW w:w="1754" w:type="pct"/>
                </w:tcPr>
                <w:p w14:paraId="22EB79C2" w14:textId="77777777" w:rsidR="00DE1537" w:rsidRDefault="00DE1537" w:rsidP="00343F3E">
                  <w:pPr>
                    <w:pStyle w:val="TableBodyText"/>
                    <w:jc w:val="left"/>
                  </w:pPr>
                  <w:r>
                    <w:t>Investing in mitigation, rather than purchasing additional insurance</w:t>
                  </w:r>
                </w:p>
              </w:tc>
              <w:tc>
                <w:tcPr>
                  <w:tcW w:w="1906" w:type="pct"/>
                </w:tcPr>
                <w:p w14:paraId="3EAAC5F8" w14:textId="77777777" w:rsidR="00DE1537" w:rsidRDefault="00DE1537" w:rsidP="00343F3E">
                  <w:pPr>
                    <w:pStyle w:val="TableBodyText"/>
                    <w:ind w:right="28"/>
                    <w:jc w:val="left"/>
                  </w:pPr>
                  <w:r>
                    <w:t>Spending on mitigation rather than recovery</w:t>
                  </w:r>
                </w:p>
              </w:tc>
            </w:tr>
            <w:tr w:rsidR="00DE1537" w14:paraId="4013E0C8" w14:textId="77777777" w:rsidTr="00343F3E">
              <w:tc>
                <w:tcPr>
                  <w:tcW w:w="1251" w:type="pct"/>
                  <w:shd w:val="clear" w:color="auto" w:fill="F2F2F2" w:themeFill="background1" w:themeFillShade="F2"/>
                </w:tcPr>
                <w:p w14:paraId="28624862" w14:textId="77777777" w:rsidR="00DE1537" w:rsidRDefault="00DE1537" w:rsidP="00343F3E">
                  <w:pPr>
                    <w:pStyle w:val="TableBodyText"/>
                    <w:jc w:val="left"/>
                  </w:pPr>
                  <w:r>
                    <w:t>Specific risk management projects</w:t>
                  </w:r>
                </w:p>
              </w:tc>
              <w:tc>
                <w:tcPr>
                  <w:tcW w:w="88" w:type="pct"/>
                  <w:shd w:val="clear" w:color="auto" w:fill="F2F2F2" w:themeFill="background1" w:themeFillShade="F2"/>
                </w:tcPr>
                <w:p w14:paraId="5D7F902C" w14:textId="77777777" w:rsidR="00DE1537" w:rsidRDefault="00DE1537" w:rsidP="00343F3E">
                  <w:pPr>
                    <w:pStyle w:val="TableBodyText"/>
                    <w:jc w:val="left"/>
                  </w:pPr>
                </w:p>
              </w:tc>
              <w:tc>
                <w:tcPr>
                  <w:tcW w:w="1754" w:type="pct"/>
                  <w:shd w:val="clear" w:color="auto" w:fill="F2F2F2" w:themeFill="background1" w:themeFillShade="F2"/>
                </w:tcPr>
                <w:p w14:paraId="01CAC726" w14:textId="77777777" w:rsidR="00DE1537" w:rsidRDefault="00DE1537" w:rsidP="00343F3E">
                  <w:pPr>
                    <w:pStyle w:val="TableBodyText"/>
                    <w:jc w:val="left"/>
                  </w:pPr>
                  <w:r>
                    <w:t>Installing fireproof roofing, rather than a sprinkler system</w:t>
                  </w:r>
                </w:p>
              </w:tc>
              <w:tc>
                <w:tcPr>
                  <w:tcW w:w="1906" w:type="pct"/>
                  <w:shd w:val="clear" w:color="auto" w:fill="F2F2F2" w:themeFill="background1" w:themeFillShade="F2"/>
                </w:tcPr>
                <w:p w14:paraId="5B46A424" w14:textId="77777777" w:rsidR="00DE1537" w:rsidRDefault="00DE1537" w:rsidP="00343F3E">
                  <w:pPr>
                    <w:pStyle w:val="TableBodyText"/>
                    <w:ind w:right="28"/>
                    <w:jc w:val="left"/>
                  </w:pPr>
                  <w:r>
                    <w:t>Constructing a flood levee, rather than requiring higher floor levels in buildings</w:t>
                  </w:r>
                </w:p>
              </w:tc>
            </w:tr>
            <w:tr w:rsidR="00DE1537" w14:paraId="0A1D6C8A" w14:textId="77777777" w:rsidTr="00343F3E">
              <w:tc>
                <w:tcPr>
                  <w:tcW w:w="1251" w:type="pct"/>
                  <w:tcBorders>
                    <w:bottom w:val="single" w:sz="6" w:space="0" w:color="C8C8C8"/>
                  </w:tcBorders>
                  <w:shd w:val="clear" w:color="auto" w:fill="auto"/>
                </w:tcPr>
                <w:p w14:paraId="55A3321F" w14:textId="77777777" w:rsidR="00DE1537" w:rsidRDefault="00DE1537" w:rsidP="00343F3E">
                  <w:pPr>
                    <w:pStyle w:val="TableBodyText"/>
                    <w:jc w:val="left"/>
                  </w:pPr>
                  <w:r>
                    <w:t>Current and future outcomes</w:t>
                  </w:r>
                </w:p>
              </w:tc>
              <w:tc>
                <w:tcPr>
                  <w:tcW w:w="88" w:type="pct"/>
                  <w:tcBorders>
                    <w:bottom w:val="single" w:sz="6" w:space="0" w:color="C8C8C8"/>
                  </w:tcBorders>
                </w:tcPr>
                <w:p w14:paraId="70C6A474" w14:textId="77777777" w:rsidR="00DE1537" w:rsidRDefault="00DE1537" w:rsidP="00343F3E">
                  <w:pPr>
                    <w:pStyle w:val="TableBodyText"/>
                    <w:jc w:val="left"/>
                  </w:pPr>
                </w:p>
              </w:tc>
              <w:tc>
                <w:tcPr>
                  <w:tcW w:w="1754" w:type="pct"/>
                  <w:tcBorders>
                    <w:bottom w:val="single" w:sz="6" w:space="0" w:color="C8C8C8"/>
                  </w:tcBorders>
                  <w:shd w:val="clear" w:color="auto" w:fill="auto"/>
                </w:tcPr>
                <w:p w14:paraId="0F9FE423" w14:textId="77777777" w:rsidR="00DE1537" w:rsidRDefault="00DE1537" w:rsidP="00343F3E">
                  <w:pPr>
                    <w:pStyle w:val="TableBodyText"/>
                    <w:jc w:val="left"/>
                  </w:pPr>
                  <w:r>
                    <w:t>Investing in risk modification today, rather than waiting until the costs and benefits become clearer</w:t>
                  </w:r>
                </w:p>
              </w:tc>
              <w:tc>
                <w:tcPr>
                  <w:tcW w:w="1906" w:type="pct"/>
                  <w:tcBorders>
                    <w:bottom w:val="single" w:sz="6" w:space="0" w:color="C8C8C8"/>
                  </w:tcBorders>
                  <w:shd w:val="clear" w:color="auto" w:fill="auto"/>
                </w:tcPr>
                <w:p w14:paraId="03FFDF12" w14:textId="77777777" w:rsidR="00DE1537" w:rsidRDefault="00DE1537" w:rsidP="00343F3E">
                  <w:pPr>
                    <w:pStyle w:val="TableBodyText"/>
                    <w:ind w:right="28"/>
                    <w:jc w:val="left"/>
                  </w:pPr>
                  <w:r>
                    <w:t>Investing in mitigation today to reduce potential costs in the future, rather than investing in other things that would benefit future generations</w:t>
                  </w:r>
                </w:p>
              </w:tc>
            </w:tr>
          </w:tbl>
          <w:p w14:paraId="25D9AA0C" w14:textId="77777777" w:rsidR="00DE1537" w:rsidRDefault="00DE1537" w:rsidP="00343F3E">
            <w:pPr>
              <w:pStyle w:val="Box"/>
            </w:pPr>
          </w:p>
        </w:tc>
      </w:tr>
      <w:tr w:rsidR="00DE1537" w14:paraId="719F314E" w14:textId="77777777" w:rsidTr="00343F3E">
        <w:trPr>
          <w:cantSplit/>
        </w:trPr>
        <w:tc>
          <w:tcPr>
            <w:tcW w:w="8771" w:type="dxa"/>
            <w:tcBorders>
              <w:top w:val="nil"/>
              <w:left w:val="nil"/>
              <w:bottom w:val="single" w:sz="6" w:space="0" w:color="78A22F"/>
              <w:right w:val="nil"/>
            </w:tcBorders>
            <w:shd w:val="clear" w:color="auto" w:fill="auto"/>
          </w:tcPr>
          <w:p w14:paraId="5C1A2235" w14:textId="77777777" w:rsidR="00DE1537" w:rsidRDefault="00DE1537" w:rsidP="00343F3E">
            <w:pPr>
              <w:pStyle w:val="Box"/>
              <w:spacing w:before="0" w:line="120" w:lineRule="exact"/>
            </w:pPr>
          </w:p>
        </w:tc>
      </w:tr>
      <w:tr w:rsidR="00DE1537" w:rsidRPr="000863A5" w14:paraId="65E8D0F8" w14:textId="77777777" w:rsidTr="00343F3E">
        <w:tc>
          <w:tcPr>
            <w:tcW w:w="8771" w:type="dxa"/>
            <w:tcBorders>
              <w:top w:val="single" w:sz="6" w:space="0" w:color="78A22F"/>
              <w:left w:val="nil"/>
              <w:bottom w:val="nil"/>
              <w:right w:val="nil"/>
            </w:tcBorders>
          </w:tcPr>
          <w:p w14:paraId="03336651" w14:textId="77777777" w:rsidR="00DE1537" w:rsidRPr="00626D32" w:rsidRDefault="00DE1537" w:rsidP="00343F3E">
            <w:pPr>
              <w:pStyle w:val="BoxSpaceBelow"/>
            </w:pPr>
          </w:p>
        </w:tc>
      </w:tr>
    </w:tbl>
    <w:p w14:paraId="2FA5A5FF" w14:textId="77777777" w:rsidR="00DE1537" w:rsidRDefault="00DE1537" w:rsidP="00343F3E">
      <w:pPr>
        <w:pStyle w:val="BodyText"/>
      </w:pPr>
      <w:r>
        <w:t>A key part of making these trade</w:t>
      </w:r>
      <w:r>
        <w:noBreakHyphen/>
        <w:t>offs is articulating a risk appetite — the willingness to bear or tolerate some risk of loss rather than devoting further resources to reduce the risk. At some point, people choose to live with some exposure to risk so that they can continue to enjoy other things. What that point is will generally depend on their preferences, aversion to risks or uncertainty, and their financial and non</w:t>
      </w:r>
      <w:r>
        <w:noBreakHyphen/>
        <w:t>financial capacity. While the level of natural disaster risk that a household, business or government is willing to bear in the course of its activities is often implicit from the trade</w:t>
      </w:r>
      <w:r>
        <w:noBreakHyphen/>
        <w:t>offs that it makes, explicitly articulating the level of residual risk they are willing to bear can make these trade</w:t>
      </w:r>
      <w:r>
        <w:noBreakHyphen/>
        <w:t>offs more transparent and provide a more robust basis for decision making.</w:t>
      </w:r>
    </w:p>
    <w:p w14:paraId="00DDE156" w14:textId="77777777" w:rsidR="00DE1537" w:rsidRDefault="00DE1537" w:rsidP="00343F3E">
      <w:pPr>
        <w:pStyle w:val="BodyText"/>
      </w:pPr>
      <w:r>
        <w:t>The above trade</w:t>
      </w:r>
      <w:r>
        <w:noBreakHyphen/>
        <w:t xml:space="preserve">offs also imply that the benefits of natural disaster risk management need to be weighed against the costs. This means that not all risks should be reduced, or reduced to zero. While it may be cost effective to reduce a risk to a particular level, it may be prohibitively expensive, or impossible, to eliminate exposure and vulnerability to a hazard </w:t>
      </w:r>
      <w:r>
        <w:lastRenderedPageBreak/>
        <w:t>and thereby eliminate the risk.</w:t>
      </w:r>
      <w:r w:rsidRPr="0070296C">
        <w:t xml:space="preserve"> </w:t>
      </w:r>
      <w:r>
        <w:t xml:space="preserve">Nor is it possible to foresee and </w:t>
      </w:r>
      <w:proofErr w:type="gramStart"/>
      <w:r>
        <w:t>mitigate</w:t>
      </w:r>
      <w:proofErr w:type="gramEnd"/>
      <w:r>
        <w:t xml:space="preserve"> against every risk that could potentially arise.</w:t>
      </w:r>
    </w:p>
    <w:p w14:paraId="5B1A4E79" w14:textId="77777777" w:rsidR="00DE1537" w:rsidRDefault="00DE1537" w:rsidP="00343F3E">
      <w:pPr>
        <w:pStyle w:val="Heading3"/>
      </w:pPr>
      <w:r>
        <w:t>What makes risk management effective?</w:t>
      </w:r>
    </w:p>
    <w:p w14:paraId="1B415492" w14:textId="0AEF4ED8" w:rsidR="00DE1537" w:rsidRDefault="00DE1537" w:rsidP="00343F3E">
      <w:pPr>
        <w:pStyle w:val="BodyText"/>
      </w:pPr>
      <w:r>
        <w:t xml:space="preserve">Consistent with the </w:t>
      </w:r>
      <w:r>
        <w:rPr>
          <w:i/>
        </w:rPr>
        <w:t xml:space="preserve">Productivity Commission Act 1998 </w:t>
      </w:r>
      <w:r>
        <w:t xml:space="preserve">(Cwlth), the Commission interprets </w:t>
      </w:r>
      <w:r>
        <w:rPr>
          <w:i/>
        </w:rPr>
        <w:t>effective</w:t>
      </w:r>
      <w:r>
        <w:t xml:space="preserve"> risk management to mean making the right trade</w:t>
      </w:r>
      <w:r>
        <w:noBreakHyphen/>
        <w:t xml:space="preserve">offs to manage risks — that is, allocating resources and efforts in a way that leads to higher overall living standards and wellbeing for the community as a whole. In other words, risk management is effective when resources are allocated in a way that maximises the outcomes that people care about (which economists call ‘allocative efficiency’). In the context of natural disasters, this means achieving neutrality across the main stages of natural disaster management — research, information and analysis; risk modification; readiness; response; and recovery </w:t>
      </w:r>
      <w:r w:rsidRPr="001B00DA">
        <w:rPr>
          <w:szCs w:val="24"/>
        </w:rPr>
        <w:t>(Ellis, Kanowski and Whelan 2014)</w:t>
      </w:r>
      <w:r>
        <w:t xml:space="preserve"> — such that resources are allocated to each of these stages in an unbiased way that maximises community wellbeing over time.</w:t>
      </w:r>
    </w:p>
    <w:p w14:paraId="34563776" w14:textId="77777777" w:rsidR="00DE1537" w:rsidRDefault="00DE1537" w:rsidP="00343F3E">
      <w:pPr>
        <w:pStyle w:val="BodyText"/>
      </w:pPr>
      <w:r>
        <w:t>Wellbeing encompasses not only economic outcomes such as consumption, but also people’s physical and mental health, the social vitality of communities, and the condition of the environment, both now and over time. It can also include outcomes such as resilience to natural disasters. However, the complex nature of wellbeing makes it difficult to observe which specific actions by households and businesses would lead to the greatest possible increase in overall community wellbeing. For these reasons, the Commission is using a principles</w:t>
      </w:r>
      <w:r>
        <w:noBreakHyphen/>
        <w:t xml:space="preserve">based framework for this inquiry. </w:t>
      </w:r>
      <w:proofErr w:type="gramStart"/>
      <w:r>
        <w:t>This involves identifying who is best placed to manage natural disaster risks, whether they are able to and have</w:t>
      </w:r>
      <w:proofErr w:type="gramEnd"/>
      <w:r>
        <w:t xml:space="preserve"> the right incentives to manage those risks, and how impediments can be addressed in a way that best supports the community achieving a higher level of overall wellbeing.</w:t>
      </w:r>
    </w:p>
    <w:p w14:paraId="6A9A7C36" w14:textId="77777777" w:rsidR="00DE1537" w:rsidRDefault="00DE1537" w:rsidP="00343F3E">
      <w:pPr>
        <w:pStyle w:val="BodyText"/>
      </w:pPr>
      <w:r>
        <w:t>Some key actions and outcomes of effective natural disaster risk management are set out in figure 3.1. Achieving these outcomes essentially involves actions by households, businesses and governments to own, understand and treat risks, both now and over time. These actions are explored in greater detail in the remainder of this paper.</w:t>
      </w:r>
    </w:p>
    <w:p w14:paraId="439C155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6276E1DB" w14:textId="77777777" w:rsidTr="00343F3E">
        <w:tc>
          <w:tcPr>
            <w:tcW w:w="8771" w:type="dxa"/>
            <w:tcBorders>
              <w:top w:val="single" w:sz="6" w:space="0" w:color="78A22F"/>
              <w:left w:val="nil"/>
              <w:bottom w:val="nil"/>
              <w:right w:val="nil"/>
            </w:tcBorders>
            <w:shd w:val="clear" w:color="auto" w:fill="auto"/>
          </w:tcPr>
          <w:p w14:paraId="55EC39EB" w14:textId="77777777" w:rsidR="00DE1537" w:rsidRPr="00DB4A5F" w:rsidRDefault="00DE1537" w:rsidP="00343F3E">
            <w:pPr>
              <w:pStyle w:val="FigureTitle"/>
            </w:pPr>
            <w:r w:rsidRPr="00DB4A5F">
              <w:rPr>
                <w:b w:val="0"/>
              </w:rPr>
              <w:t>Figure 3.</w:t>
            </w:r>
            <w:r w:rsidRPr="00DB4A5F">
              <w:rPr>
                <w:b w:val="0"/>
                <w:noProof/>
              </w:rPr>
              <w:t>1</w:t>
            </w:r>
            <w:r w:rsidRPr="00DB4A5F">
              <w:tab/>
              <w:t>Some actions and outcomes of effective natural disaster risk management</w:t>
            </w:r>
          </w:p>
        </w:tc>
      </w:tr>
      <w:tr w:rsidR="00DE1537" w14:paraId="4CA249F1"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934ACED" w14:textId="77777777" w:rsidTr="00343F3E">
              <w:tc>
                <w:tcPr>
                  <w:tcW w:w="5000" w:type="pct"/>
                  <w:tcBorders>
                    <w:top w:val="nil"/>
                    <w:bottom w:val="nil"/>
                  </w:tcBorders>
                </w:tcPr>
                <w:p w14:paraId="05C38792" w14:textId="77777777" w:rsidR="00DE1537" w:rsidRDefault="00DE1537" w:rsidP="00343F3E">
                  <w:pPr>
                    <w:pStyle w:val="Figure"/>
                    <w:spacing w:before="60" w:after="60"/>
                  </w:pPr>
                  <w:r>
                    <w:rPr>
                      <w:noProof/>
                    </w:rPr>
                    <w:drawing>
                      <wp:inline distT="0" distB="0" distL="0" distR="0" wp14:anchorId="1FA002DB" wp14:editId="589A4DDE">
                        <wp:extent cx="5377180" cy="4558665"/>
                        <wp:effectExtent l="0" t="0" r="0" b="0"/>
                        <wp:docPr id="22" name="Picture 22" descr="Household and business actions include obtaining information, identifying mitigation options and purchasing insurance. Outcomes include taking responsibility for risk management and asset prices that reflect risks. Government actions include considering natural hazards, investing in mitigation, communicating risks and adopting robust budget frameworks. Outcomes include good management of risks to government assets, no bias in policy towards mitigation or recovery, accountability for decisions and reduced impediments to private risk management. Community actions include working together to manage share risks and donating resources. Outcomes include resilience to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377180" cy="4558665"/>
                                </a:xfrm>
                                <a:prstGeom prst="rect">
                                  <a:avLst/>
                                </a:prstGeom>
                                <a:noFill/>
                                <a:ln>
                                  <a:noFill/>
                                </a:ln>
                              </pic:spPr>
                            </pic:pic>
                          </a:graphicData>
                        </a:graphic>
                      </wp:inline>
                    </w:drawing>
                  </w:r>
                </w:p>
              </w:tc>
            </w:tr>
          </w:tbl>
          <w:p w14:paraId="34DAE57A" w14:textId="77777777" w:rsidR="00DE1537" w:rsidRDefault="00DE1537" w:rsidP="00343F3E">
            <w:pPr>
              <w:pStyle w:val="Figure"/>
            </w:pPr>
          </w:p>
        </w:tc>
      </w:tr>
      <w:tr w:rsidR="00DE1537" w14:paraId="356F3C84" w14:textId="77777777" w:rsidTr="00343F3E">
        <w:tc>
          <w:tcPr>
            <w:tcW w:w="8771" w:type="dxa"/>
            <w:tcBorders>
              <w:top w:val="nil"/>
              <w:left w:val="nil"/>
              <w:bottom w:val="single" w:sz="6" w:space="0" w:color="78A22F"/>
              <w:right w:val="nil"/>
            </w:tcBorders>
            <w:shd w:val="clear" w:color="auto" w:fill="auto"/>
          </w:tcPr>
          <w:p w14:paraId="08FB8D7A" w14:textId="77777777" w:rsidR="00DE1537" w:rsidRDefault="00DE1537" w:rsidP="00343F3E">
            <w:pPr>
              <w:pStyle w:val="Figurespace"/>
            </w:pPr>
          </w:p>
        </w:tc>
      </w:tr>
      <w:tr w:rsidR="00DE1537" w:rsidRPr="000863A5" w14:paraId="22A837C9" w14:textId="77777777" w:rsidTr="00343F3E">
        <w:tc>
          <w:tcPr>
            <w:tcW w:w="8771" w:type="dxa"/>
            <w:tcBorders>
              <w:top w:val="single" w:sz="6" w:space="0" w:color="78A22F"/>
              <w:left w:val="nil"/>
              <w:bottom w:val="nil"/>
              <w:right w:val="nil"/>
            </w:tcBorders>
          </w:tcPr>
          <w:p w14:paraId="07715A77" w14:textId="77777777" w:rsidR="00DE1537" w:rsidRPr="00626D32" w:rsidRDefault="00DE1537" w:rsidP="00343F3E">
            <w:pPr>
              <w:pStyle w:val="BoxSpaceBelow"/>
            </w:pPr>
          </w:p>
        </w:tc>
      </w:tr>
    </w:tbl>
    <w:p w14:paraId="2A70E879" w14:textId="77777777" w:rsidR="00DE1537" w:rsidRDefault="00DE1537" w:rsidP="00343F3E">
      <w:pPr>
        <w:pStyle w:val="Heading2"/>
      </w:pPr>
      <w:bookmarkStart w:id="53" w:name="_Toc406424323"/>
      <w:r>
        <w:t>3.</w:t>
      </w:r>
      <w:r>
        <w:rPr>
          <w:noProof/>
        </w:rPr>
        <w:t>3</w:t>
      </w:r>
      <w:r>
        <w:tab/>
        <w:t>Effective natural disaster risk management by households and businesses</w:t>
      </w:r>
      <w:bookmarkEnd w:id="53"/>
    </w:p>
    <w:p w14:paraId="48932440" w14:textId="77777777" w:rsidR="00DE1537" w:rsidRDefault="00DE1537" w:rsidP="00343F3E">
      <w:pPr>
        <w:pStyle w:val="BodyText"/>
      </w:pPr>
      <w:r>
        <w:t>Households and businesses are usually best placed to make decisions about how to manage natural disaster risks to their ‘assets’, broadly defined to include buildings and other infrastructure as well as physical, psychological and social health and wellbeing.</w:t>
      </w:r>
      <w:r w:rsidRPr="004C7DB0">
        <w:t xml:space="preserve"> </w:t>
      </w:r>
      <w:r>
        <w:t>Managing these risks involves owning, understanding and treating risk.</w:t>
      </w:r>
    </w:p>
    <w:p w14:paraId="4FE2913A" w14:textId="77777777" w:rsidR="00DE1537" w:rsidRDefault="00DE1537" w:rsidP="00343F3E">
      <w:pPr>
        <w:pStyle w:val="BodyText"/>
      </w:pPr>
      <w:r>
        <w:t xml:space="preserve">In many cases, the owner of an asset will be best placed to manage the risks to their property. Asset owners typically have the legal authority to take risk management actions. Ownership of an asset also confers a right to that asset’s ongoing benefits and to determine how the asset should be used, as well as conferring responsibility for costs associated with owning the asset. Asset owners typically have a clear incentive to identify and implement </w:t>
      </w:r>
      <w:r>
        <w:lastRenderedPageBreak/>
        <w:t>the risk management options that most closely align with their risk appetite, albeit subject to the constraints discussed below.</w:t>
      </w:r>
    </w:p>
    <w:p w14:paraId="41EA4014" w14:textId="77777777" w:rsidR="00DE1537" w:rsidRDefault="00DE1537" w:rsidP="00343F3E">
      <w:pPr>
        <w:pStyle w:val="BodyText"/>
      </w:pPr>
      <w:r>
        <w:t>There are several ways that households and businesses can understand the natural disaster risks that they face. This essentially involves assessing their exposure to natural hazards, the likelihood of these hazards occurring and the potential consequences for their livelihoods or operations if they do occur. This assessment can be informed by past experience, actions that people take to research or measure their risks, and information obtained or purchased from other sources (such as providers of weather data or flood maps packaged in a way that clearly conveys the risk in terms that households can relate to). An assessment of risks would also need to be updated in response to actions to reduce the risk or changes in circumstances (such as reduced vulnerability to natural hazards through improved building standards, or changes in the take</w:t>
      </w:r>
      <w:r>
        <w:noBreakHyphen/>
        <w:t>up of insurance).</w:t>
      </w:r>
    </w:p>
    <w:p w14:paraId="52A90938" w14:textId="77777777" w:rsidR="00DE1537" w:rsidRDefault="00DE1537" w:rsidP="00343F3E">
      <w:pPr>
        <w:pStyle w:val="BodyText"/>
      </w:pPr>
      <w:r>
        <w:t>Risk treatment can take many forms. Broadly, there are three main types.</w:t>
      </w:r>
    </w:p>
    <w:p w14:paraId="39D38DE6" w14:textId="77777777" w:rsidR="00DE1537" w:rsidRDefault="00DE1537" w:rsidP="00343F3E">
      <w:pPr>
        <w:pStyle w:val="ListBullet"/>
      </w:pPr>
      <w:r>
        <w:t>Risk mitigation — reducing exposure or vulnerability to risks (such as by building flood levees, relocating businesses or implementing early</w:t>
      </w:r>
      <w:r>
        <w:noBreakHyphen/>
        <w:t>warning systems).</w:t>
      </w:r>
    </w:p>
    <w:p w14:paraId="03F78142" w14:textId="77777777" w:rsidR="00DE1537" w:rsidRDefault="00DE1537" w:rsidP="00343F3E">
      <w:pPr>
        <w:pStyle w:val="ListBullet"/>
      </w:pPr>
      <w:r>
        <w:t>Risk transfer — funding the transfer of risks to others who may be better placed to reduce or bear them (such as through insurance and financial markets).</w:t>
      </w:r>
    </w:p>
    <w:p w14:paraId="49266624" w14:textId="77777777" w:rsidR="00DE1537" w:rsidRDefault="00DE1537" w:rsidP="00343F3E">
      <w:pPr>
        <w:pStyle w:val="ListBullet"/>
      </w:pPr>
      <w:r>
        <w:t>Bearing residual risks — accepting some level of risk and establishing procedures to respond or recover when disasters occur.</w:t>
      </w:r>
    </w:p>
    <w:p w14:paraId="61295083" w14:textId="77777777" w:rsidR="00DE1537" w:rsidRDefault="00DE1537" w:rsidP="00343F3E">
      <w:pPr>
        <w:pStyle w:val="BodyText"/>
      </w:pPr>
      <w:r>
        <w:t>If all markets operated efficiently and there were no impediments to asset owners managing their natural disaster risks, the choices that households and businesses make in their own interests would align with the best interests of the community.</w:t>
      </w:r>
      <w:r w:rsidRPr="006B1071">
        <w:t xml:space="preserve"> </w:t>
      </w:r>
      <w:r>
        <w:t>People would be aware of the risks they are exposed to and the consequences of bearing those risks, and asset prices would reflect the costs associated with natural disasters.</w:t>
      </w:r>
    </w:p>
    <w:p w14:paraId="09029ED7" w14:textId="77777777" w:rsidR="00DE1537" w:rsidRDefault="00DE1537" w:rsidP="00343F3E">
      <w:pPr>
        <w:pStyle w:val="BodyText"/>
      </w:pPr>
      <w:r>
        <w:t xml:space="preserve">However, this is not usually the case. Gaps in property rights (or their enforcement) can mean that ownership of some assets is unclear or disputed. Some asset owners may not be aware of the natural disaster risks they face, or could lack the capability to adequately understand and respond to the risk. Sometimes the characteristics of a risk mean that someone other than the asset owner would be best placed to treat it, but the risk cannot be easily transferred through markets. And sometimes people do not face the right incentives to consider the impacts of their actions on others, which could reduce the effectiveness of risk management for the community overall. </w:t>
      </w:r>
    </w:p>
    <w:p w14:paraId="44944B23" w14:textId="77777777" w:rsidR="00DE1537" w:rsidRDefault="00DE1537" w:rsidP="00343F3E">
      <w:pPr>
        <w:pStyle w:val="Heading3"/>
      </w:pPr>
      <w:r>
        <w:t>Impediments to effective natural disaster risk</w:t>
      </w:r>
      <w:r w:rsidRPr="00637D1E">
        <w:t xml:space="preserve"> </w:t>
      </w:r>
      <w:r>
        <w:t>management</w:t>
      </w:r>
    </w:p>
    <w:p w14:paraId="08135DED" w14:textId="77777777" w:rsidR="00DE1537" w:rsidRDefault="00DE1537" w:rsidP="00343F3E">
      <w:pPr>
        <w:pStyle w:val="BodyText"/>
      </w:pPr>
      <w:r>
        <w:t>Several types of impediments mean that actions by households and businesses to manage natural disaster risks to their own assets may not be in the best interests of the broader community (figure 3.2).</w:t>
      </w:r>
    </w:p>
    <w:p w14:paraId="6A070943"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0555829D" w14:textId="77777777" w:rsidTr="00343F3E">
        <w:tc>
          <w:tcPr>
            <w:tcW w:w="8771" w:type="dxa"/>
            <w:tcBorders>
              <w:top w:val="single" w:sz="6" w:space="0" w:color="78A22F"/>
              <w:left w:val="nil"/>
              <w:bottom w:val="nil"/>
              <w:right w:val="nil"/>
            </w:tcBorders>
            <w:shd w:val="clear" w:color="auto" w:fill="auto"/>
          </w:tcPr>
          <w:p w14:paraId="2AFB4A13" w14:textId="77777777" w:rsidR="00DE1537" w:rsidRPr="00DB4A5F" w:rsidRDefault="00DE1537" w:rsidP="00343F3E">
            <w:pPr>
              <w:pStyle w:val="FigureTitle"/>
            </w:pPr>
            <w:r w:rsidRPr="00DB4A5F">
              <w:rPr>
                <w:b w:val="0"/>
              </w:rPr>
              <w:t>Figure 3.</w:t>
            </w:r>
            <w:r w:rsidRPr="00DB4A5F">
              <w:rPr>
                <w:b w:val="0"/>
                <w:noProof/>
              </w:rPr>
              <w:t>2</w:t>
            </w:r>
            <w:r w:rsidRPr="00DB4A5F">
              <w:tab/>
              <w:t>Impediments to effective risk management</w:t>
            </w:r>
          </w:p>
        </w:tc>
      </w:tr>
      <w:tr w:rsidR="00DE1537" w14:paraId="6CBF9884"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26088284" w14:textId="77777777" w:rsidTr="00343F3E">
              <w:tc>
                <w:tcPr>
                  <w:tcW w:w="5000" w:type="pct"/>
                  <w:tcBorders>
                    <w:top w:val="nil"/>
                    <w:bottom w:val="nil"/>
                  </w:tcBorders>
                </w:tcPr>
                <w:p w14:paraId="3C806DFE" w14:textId="77777777" w:rsidR="00DE1537" w:rsidRDefault="00DE1537" w:rsidP="00343F3E">
                  <w:pPr>
                    <w:pStyle w:val="Figure"/>
                    <w:tabs>
                      <w:tab w:val="left" w:pos="4710"/>
                    </w:tabs>
                    <w:spacing w:before="60" w:after="60"/>
                  </w:pPr>
                  <w:r>
                    <w:rPr>
                      <w:noProof/>
                    </w:rPr>
                    <w:drawing>
                      <wp:inline distT="0" distB="0" distL="0" distR="0" wp14:anchorId="32AA3456" wp14:editId="46A6964B">
                        <wp:extent cx="5384165" cy="3160395"/>
                        <wp:effectExtent l="0" t="0" r="0" b="1905"/>
                        <wp:docPr id="23" name="Picture 23" descr="Impediments are a lack of information, difficulty understanding or treating risks, market failures and regulatory b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384165" cy="3160395"/>
                                </a:xfrm>
                                <a:prstGeom prst="rect">
                                  <a:avLst/>
                                </a:prstGeom>
                                <a:noFill/>
                                <a:ln>
                                  <a:noFill/>
                                </a:ln>
                              </pic:spPr>
                            </pic:pic>
                          </a:graphicData>
                        </a:graphic>
                      </wp:inline>
                    </w:drawing>
                  </w:r>
                </w:p>
              </w:tc>
            </w:tr>
          </w:tbl>
          <w:p w14:paraId="2F83C23E" w14:textId="77777777" w:rsidR="00DE1537" w:rsidRDefault="00DE1537" w:rsidP="00343F3E">
            <w:pPr>
              <w:pStyle w:val="Figure"/>
            </w:pPr>
          </w:p>
        </w:tc>
      </w:tr>
      <w:tr w:rsidR="00DE1537" w14:paraId="0F21496D" w14:textId="77777777" w:rsidTr="00343F3E">
        <w:tc>
          <w:tcPr>
            <w:tcW w:w="8771" w:type="dxa"/>
            <w:tcBorders>
              <w:top w:val="nil"/>
              <w:left w:val="nil"/>
              <w:bottom w:val="single" w:sz="6" w:space="0" w:color="78A22F"/>
              <w:right w:val="nil"/>
            </w:tcBorders>
            <w:shd w:val="clear" w:color="auto" w:fill="auto"/>
          </w:tcPr>
          <w:p w14:paraId="0D4AF18C" w14:textId="77777777" w:rsidR="00DE1537" w:rsidRDefault="00DE1537" w:rsidP="00343F3E">
            <w:pPr>
              <w:pStyle w:val="Figurespace"/>
            </w:pPr>
          </w:p>
        </w:tc>
      </w:tr>
      <w:tr w:rsidR="00DE1537" w:rsidRPr="000863A5" w14:paraId="2E9A64D8" w14:textId="77777777" w:rsidTr="00343F3E">
        <w:tc>
          <w:tcPr>
            <w:tcW w:w="8771" w:type="dxa"/>
            <w:tcBorders>
              <w:top w:val="single" w:sz="6" w:space="0" w:color="78A22F"/>
              <w:left w:val="nil"/>
              <w:bottom w:val="nil"/>
              <w:right w:val="nil"/>
            </w:tcBorders>
          </w:tcPr>
          <w:p w14:paraId="0B0A8B9B" w14:textId="77777777" w:rsidR="00DE1537" w:rsidRPr="00626D32" w:rsidRDefault="00DE1537" w:rsidP="00343F3E">
            <w:pPr>
              <w:pStyle w:val="BoxSpaceBelow"/>
            </w:pPr>
          </w:p>
        </w:tc>
      </w:tr>
    </w:tbl>
    <w:p w14:paraId="741B7A66" w14:textId="77777777" w:rsidR="00DE1537" w:rsidRDefault="00DE1537" w:rsidP="00343F3E">
      <w:pPr>
        <w:pStyle w:val="Heading4"/>
      </w:pPr>
      <w:r>
        <w:t>Lack of good information</w:t>
      </w:r>
    </w:p>
    <w:p w14:paraId="5D338347" w14:textId="486EB19E" w:rsidR="00DE1537" w:rsidRDefault="00DE1537" w:rsidP="00343F3E">
      <w:pPr>
        <w:pStyle w:val="BodyText"/>
      </w:pPr>
      <w:r>
        <w:t xml:space="preserve">A lack of accessible, relevant and comprehensible information on natural disaster risks can compromise the ability of households and businesses to manage those risks well. For example, there is significant uncertainty about the likelihood and location of some natural hazards, especially cyclones and earthquakes. This uncertainty is exacerbated by climate change, which is predicted to adversely affect the frequency and intensity of some natural disasters, but in ways that are not as yet fully understood </w:t>
      </w:r>
      <w:r w:rsidRPr="00AA26A2">
        <w:rPr>
          <w:szCs w:val="24"/>
        </w:rPr>
        <w:t>(IPCC 2014; NCCARF, sub. DR156)</w:t>
      </w:r>
      <w:r>
        <w:t xml:space="preserve">. Information can also be conflicting, such as where different sources provide different data or interpretations. This is sometimes the case for natural hazard mapping, for example, where insurers use different datasets from local governments (supplementary paper 5). In other cases there may be gaps, where information is simply not available. For example, there are some parts of Australia where natural disaster risks have not been rigorously assessed, and information on the likely costs and benefits of mitigation is sometimes missing </w:t>
      </w:r>
      <w:r w:rsidRPr="00E42C54">
        <w:rPr>
          <w:szCs w:val="24"/>
        </w:rPr>
        <w:t>(Deloitte Access Economics 2013)</w:t>
      </w:r>
      <w:r>
        <w:t xml:space="preserve">. (A </w:t>
      </w:r>
      <w:r w:rsidRPr="005A35A1">
        <w:rPr>
          <w:i/>
        </w:rPr>
        <w:t>lack</w:t>
      </w:r>
      <w:r>
        <w:t xml:space="preserve"> of information is different to problems of </w:t>
      </w:r>
      <w:r w:rsidRPr="005A35A1">
        <w:rPr>
          <w:i/>
        </w:rPr>
        <w:t>asymmetric</w:t>
      </w:r>
      <w:r>
        <w:t xml:space="preserve"> information, discussed below.)</w:t>
      </w:r>
    </w:p>
    <w:p w14:paraId="1C402E1C" w14:textId="77777777" w:rsidR="00DE1537" w:rsidRDefault="00DE1537" w:rsidP="00343F3E">
      <w:pPr>
        <w:pStyle w:val="Heading4"/>
      </w:pPr>
      <w:r>
        <w:t>Difficulty understanding or treating natural disaster risks</w:t>
      </w:r>
    </w:p>
    <w:p w14:paraId="6535B08D" w14:textId="77777777" w:rsidR="00DE1537" w:rsidRDefault="00DE1537" w:rsidP="00343F3E">
      <w:pPr>
        <w:pStyle w:val="BodyText"/>
      </w:pPr>
      <w:r>
        <w:t xml:space="preserve">Natural disaster risk management can often involve assessing detailed information and making complex decisions. Difficulty understanding or interpreting information can limit how households use it to assess and reduce their risks. Several inquiry participants </w:t>
      </w:r>
      <w:r>
        <w:lastRenderedPageBreak/>
        <w:t>emphasised that natural disaster information needs to be accessible and usable by households if it is to be factored into their decision making (for example, ABRDRSC, sub. 22; Australian Psychological Society, sub. 85; IAG, sub. 24; Planning Institute of Australia, sub. 53). In addition, some households may not be well placed to understand and act on the available information because they lack the necessary expertise or experience, do not trust the information, or do not have adequate financial capacity to reduce their risks to a desirable level.</w:t>
      </w:r>
    </w:p>
    <w:p w14:paraId="57C2FCE5" w14:textId="77777777" w:rsidR="00DE1537" w:rsidRDefault="00DE1537" w:rsidP="00343F3E">
      <w:pPr>
        <w:pStyle w:val="BodyText"/>
      </w:pPr>
      <w:r>
        <w:t>There is also evidence that people sometimes use heuristics or ‘rules of thumb’ when making decisions, especially where the decisions require processing complex information or there is considerable uncertainty. Researchers have identified many kinds of cognitive and behavioural biases that affect how people understand natural disaster risks — for example, people might make myopic decisions based only on short</w:t>
      </w:r>
      <w:r>
        <w:noBreakHyphen/>
        <w:t>term costs and benefits, without regard for longer</w:t>
      </w:r>
      <w:r>
        <w:noBreakHyphen/>
        <w:t>term outcomes (box 3.3). Such biases mean that people may not always make full use of available information, or may not make decisions that are in their best long</w:t>
      </w:r>
      <w:r>
        <w:noBreakHyphen/>
        <w:t>term interests.</w:t>
      </w:r>
    </w:p>
    <w:p w14:paraId="6E6CB7B4" w14:textId="09A309CD" w:rsidR="00DE1537" w:rsidRDefault="00DE1537" w:rsidP="00343F3E">
      <w:pPr>
        <w:pStyle w:val="BodyText"/>
      </w:pPr>
      <w:r>
        <w:t xml:space="preserve">While the existence and extent of these biases is likely to vary across individuals and over time, people have an incentive to overcome them once they are aware of their biases </w:t>
      </w:r>
      <w:r w:rsidRPr="000B324D">
        <w:rPr>
          <w:szCs w:val="24"/>
        </w:rPr>
        <w:t>(PC 2012)</w:t>
      </w:r>
      <w:r>
        <w:t xml:space="preserve">. Moreover, there may be more conventional explanations for why some people do not appear to adequately manage their risks — for example, a household might not invest in mitigation </w:t>
      </w:r>
      <w:r w:rsidRPr="00BE20FD">
        <w:t xml:space="preserve">because the benefits partly accrue to someone else, they may have chosen to delay investment until technologies improve, or </w:t>
      </w:r>
      <w:r w:rsidRPr="00AD56C7">
        <w:t xml:space="preserve">the investment is simply not cost effective for them </w:t>
      </w:r>
      <w:r w:rsidRPr="00AD0364">
        <w:t>(World Bank and United Nations 2010)</w:t>
      </w:r>
      <w:r w:rsidRPr="00AD56C7">
        <w:t>.</w:t>
      </w:r>
    </w:p>
    <w:p w14:paraId="5BD05E6A" w14:textId="77777777" w:rsidR="00DE1537" w:rsidRDefault="00DE1537" w:rsidP="00343F3E">
      <w:pPr>
        <w:pStyle w:val="Heading4"/>
      </w:pPr>
      <w:r>
        <w:t>Market failures</w:t>
      </w:r>
    </w:p>
    <w:p w14:paraId="63C2E33E" w14:textId="508CAED5" w:rsidR="00DE1537" w:rsidRDefault="00DE1537" w:rsidP="00343F3E">
      <w:pPr>
        <w:pStyle w:val="BodyText"/>
      </w:pPr>
      <w:r>
        <w:t>There are cases where markets do not allocate resources efficiently because there are impediments to them functioning well. Market failures can affect markets for assets and mitigation</w:t>
      </w:r>
      <w:r>
        <w:noBreakHyphen/>
        <w:t xml:space="preserve">related goods (such as building or construction materials), as well as markets for trading natural disaster risks (through insurance or financial products). They can also arise where markets simply do not exist, as is the case for trading many types of risk </w:t>
      </w:r>
      <w:r w:rsidRPr="00EC7D99">
        <w:rPr>
          <w:szCs w:val="24"/>
        </w:rPr>
        <w:t>(Arrow and Lind 1970)</w:t>
      </w:r>
      <w:r>
        <w:t>. For example, while insurance is often available to transfer natural disaster risks affecting property, in many countries insurers are not willing to provide multi</w:t>
      </w:r>
      <w:r>
        <w:noBreakHyphen/>
        <w:t xml:space="preserve">peril crop insurance (in the absence of government intervention) </w:t>
      </w:r>
      <w:r w:rsidRPr="00AD56C7">
        <w:rPr>
          <w:szCs w:val="24"/>
        </w:rPr>
        <w:t>(PC 2009)</w:t>
      </w:r>
      <w:r>
        <w:t>. Moreover, it is typically not possible to insure against damage to the natural environment.</w:t>
      </w:r>
    </w:p>
    <w:p w14:paraId="4694C074" w14:textId="77777777" w:rsidR="00DE1537" w:rsidRDefault="00DE1537" w:rsidP="00343F3E">
      <w:pPr>
        <w:pStyle w:val="BodyText"/>
      </w:pPr>
      <w:r>
        <w:t>However, the unavailability of some kinds of natural disaster insurance (such as for specific hazards or in specific places) does not necessarily imply market failure. Such unavailability can simply reflect commercial realities, such as high levels of underlying risk or uncertainty leading to insurers charging prohibitively high premiums (supplementary paper 5).</w:t>
      </w:r>
    </w:p>
    <w:p w14:paraId="53A7F07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1AAB00CA" w14:textId="77777777" w:rsidTr="00343F3E">
        <w:tc>
          <w:tcPr>
            <w:tcW w:w="8771" w:type="dxa"/>
            <w:tcBorders>
              <w:top w:val="single" w:sz="6" w:space="0" w:color="78A22F"/>
              <w:left w:val="nil"/>
              <w:bottom w:val="nil"/>
              <w:right w:val="nil"/>
            </w:tcBorders>
            <w:shd w:val="clear" w:color="auto" w:fill="F2F2F2" w:themeFill="background1" w:themeFillShade="F2"/>
          </w:tcPr>
          <w:p w14:paraId="6CBFF1C5" w14:textId="77777777" w:rsidR="00DE1537" w:rsidRPr="00DB4A5F" w:rsidRDefault="00DE1537" w:rsidP="00343F3E">
            <w:pPr>
              <w:pStyle w:val="BoxTitle"/>
            </w:pPr>
            <w:r w:rsidRPr="00DB4A5F">
              <w:rPr>
                <w:b w:val="0"/>
              </w:rPr>
              <w:t>Box 3.</w:t>
            </w:r>
            <w:r w:rsidRPr="00DB4A5F">
              <w:rPr>
                <w:b w:val="0"/>
                <w:noProof/>
              </w:rPr>
              <w:t>3</w:t>
            </w:r>
            <w:r w:rsidRPr="00DB4A5F">
              <w:tab/>
              <w:t>Cognitive biases relating to natural disaster risk</w:t>
            </w:r>
          </w:p>
        </w:tc>
      </w:tr>
      <w:tr w:rsidR="00DE1537" w14:paraId="004FAA92" w14:textId="77777777" w:rsidTr="00343F3E">
        <w:trPr>
          <w:cantSplit/>
        </w:trPr>
        <w:tc>
          <w:tcPr>
            <w:tcW w:w="8771" w:type="dxa"/>
            <w:tcBorders>
              <w:top w:val="nil"/>
              <w:left w:val="nil"/>
              <w:bottom w:val="nil"/>
              <w:right w:val="nil"/>
            </w:tcBorders>
            <w:shd w:val="clear" w:color="auto" w:fill="F2F2F2" w:themeFill="background1" w:themeFillShade="F2"/>
          </w:tcPr>
          <w:p w14:paraId="2D4A005A" w14:textId="77777777" w:rsidR="00DE1537" w:rsidRPr="00606C93" w:rsidRDefault="00DE1537" w:rsidP="00343F3E">
            <w:pPr>
              <w:pStyle w:val="BoxListBullet"/>
            </w:pPr>
            <w:r w:rsidRPr="00606C93">
              <w:t>Availability — people may overestimate the risk of particular hazards because of the availability of information (such as me</w:t>
            </w:r>
            <w:r>
              <w:t>dia coverage after an earthquake occurs), or because they have previously experienced such a hazard themselves.</w:t>
            </w:r>
          </w:p>
          <w:p w14:paraId="0AFC54AA" w14:textId="77777777" w:rsidR="00DE1537" w:rsidRDefault="00DE1537" w:rsidP="00343F3E">
            <w:pPr>
              <w:pStyle w:val="BoxListBullet"/>
            </w:pPr>
            <w:r w:rsidRPr="000365E1">
              <w:t>Anchoring — people tend to make estimates by anchoring to an initial refe</w:t>
            </w:r>
            <w:r>
              <w:t>rence point and then adjusting (such as by focusing on the severity of past natural disasters, irrespective of changes in risk or conditions since then).</w:t>
            </w:r>
          </w:p>
          <w:p w14:paraId="0D48BAAE" w14:textId="77777777" w:rsidR="00DE1537" w:rsidRDefault="00DE1537" w:rsidP="00343F3E">
            <w:pPr>
              <w:pStyle w:val="BoxListBullet"/>
            </w:pPr>
            <w:r w:rsidRPr="00606C93">
              <w:t>Choice overload — people may put off making decisions when there are a large number of choices involved</w:t>
            </w:r>
            <w:r>
              <w:t xml:space="preserve"> (for example, by delaying purchase of insurance when faced with many product offerings)</w:t>
            </w:r>
            <w:r w:rsidRPr="00606C93">
              <w:t>.</w:t>
            </w:r>
          </w:p>
          <w:p w14:paraId="3A2E4C2D" w14:textId="77777777" w:rsidR="00DE1537" w:rsidRPr="00606C93" w:rsidRDefault="00DE1537" w:rsidP="00343F3E">
            <w:pPr>
              <w:pStyle w:val="BoxListBullet"/>
            </w:pPr>
            <w:r>
              <w:t>Disconfirming information — p</w:t>
            </w:r>
            <w:r w:rsidRPr="00606C93">
              <w:t>eople may tend to ignore</w:t>
            </w:r>
            <w:r>
              <w:t xml:space="preserve"> or underweight</w:t>
            </w:r>
            <w:r w:rsidRPr="00606C93">
              <w:t xml:space="preserve"> information that is not consistent with their current views</w:t>
            </w:r>
            <w:r>
              <w:t xml:space="preserve"> (for example, by not taking proper account of increasing insurance premiums as an indication of increased natural disaster risk).</w:t>
            </w:r>
          </w:p>
          <w:p w14:paraId="1D2D1F36" w14:textId="77777777" w:rsidR="00DE1537" w:rsidRPr="00606C93" w:rsidRDefault="00DE1537" w:rsidP="00343F3E">
            <w:pPr>
              <w:pStyle w:val="BoxListBullet"/>
            </w:pPr>
            <w:r w:rsidRPr="00606C93">
              <w:t>Framing — people’s decisions can be influenced by the way a choice is explained to them</w:t>
            </w:r>
            <w:r>
              <w:t xml:space="preserve"> (for example, they may perceive a 33 per cent probability of flooding over the next 40 years to be greater than a 1 </w:t>
            </w:r>
            <w:r w:rsidRPr="00182CA1">
              <w:t>per</w:t>
            </w:r>
            <w:r>
              <w:t xml:space="preserve"> cent annual risk).</w:t>
            </w:r>
          </w:p>
          <w:p w14:paraId="67130B52" w14:textId="77777777" w:rsidR="00DE1537" w:rsidRDefault="00DE1537" w:rsidP="00343F3E">
            <w:pPr>
              <w:pStyle w:val="BoxListBullet"/>
            </w:pPr>
            <w:r w:rsidRPr="00606C93">
              <w:t xml:space="preserve">Loss aversion — people tend </w:t>
            </w:r>
            <w:r>
              <w:t>to care more about the costs of undertaking an action (such as insurance) than the benefits, or may be</w:t>
            </w:r>
            <w:r w:rsidRPr="00606C93">
              <w:t xml:space="preserve"> prepared to pay more to avoid a loss than for the opportunity to make a gain of the same amount.</w:t>
            </w:r>
          </w:p>
          <w:p w14:paraId="60A6252D" w14:textId="77777777" w:rsidR="00DE1537" w:rsidRPr="00606C93" w:rsidRDefault="00DE1537" w:rsidP="00343F3E">
            <w:pPr>
              <w:pStyle w:val="BoxListBullet"/>
            </w:pPr>
            <w:r>
              <w:t>Myopia</w:t>
            </w:r>
            <w:r w:rsidRPr="00606C93">
              <w:t xml:space="preserve"> —</w:t>
            </w:r>
            <w:r>
              <w:t xml:space="preserve"> </w:t>
            </w:r>
            <w:r w:rsidRPr="00606C93">
              <w:t>people</w:t>
            </w:r>
            <w:r>
              <w:t xml:space="preserve"> may</w:t>
            </w:r>
            <w:r w:rsidRPr="00606C93">
              <w:t xml:space="preserve"> pla</w:t>
            </w:r>
            <w:r>
              <w:t>ce</w:t>
            </w:r>
            <w:r w:rsidRPr="00606C93">
              <w:t xml:space="preserve"> too much weight on short</w:t>
            </w:r>
            <w:r w:rsidRPr="00606C93">
              <w:noBreakHyphen/>
              <w:t xml:space="preserve">term gains when making decisions that </w:t>
            </w:r>
            <w:r>
              <w:t>affect their long</w:t>
            </w:r>
            <w:r>
              <w:noBreakHyphen/>
              <w:t>term interests, especially when it is difficult to weigh up costs and benefits that accrue over long timeframes (for example, an individual might place too much weight on the immediate cost of mitigation measures to their property, even though the mitigation could generate significant benefits over the longer term, such as lower insurance premiums).</w:t>
            </w:r>
          </w:p>
          <w:p w14:paraId="60ED07C3" w14:textId="77777777" w:rsidR="00DE1537" w:rsidRDefault="00DE1537" w:rsidP="00343F3E">
            <w:pPr>
              <w:pStyle w:val="BoxListBullet"/>
            </w:pPr>
            <w:r>
              <w:t>Probability</w:t>
            </w:r>
            <w:r w:rsidRPr="00606C93">
              <w:t xml:space="preserve"> —</w:t>
            </w:r>
            <w:r>
              <w:t xml:space="preserve"> </w:t>
            </w:r>
            <w:r w:rsidRPr="00606C93">
              <w:t xml:space="preserve">people </w:t>
            </w:r>
            <w:r>
              <w:t>may systematically overestimate low</w:t>
            </w:r>
            <w:r>
              <w:noBreakHyphen/>
              <w:t>probability events (such as catastrophic earthquakes) but underestimate higher</w:t>
            </w:r>
            <w:r>
              <w:noBreakHyphen/>
              <w:t>probability events (such as more localised flash flooding).</w:t>
            </w:r>
          </w:p>
        </w:tc>
      </w:tr>
      <w:tr w:rsidR="00DE1537" w14:paraId="7DE1F5AF" w14:textId="77777777" w:rsidTr="00343F3E">
        <w:trPr>
          <w:cantSplit/>
        </w:trPr>
        <w:tc>
          <w:tcPr>
            <w:tcW w:w="8771" w:type="dxa"/>
            <w:tcBorders>
              <w:top w:val="nil"/>
              <w:left w:val="nil"/>
              <w:bottom w:val="nil"/>
              <w:right w:val="nil"/>
            </w:tcBorders>
            <w:shd w:val="clear" w:color="auto" w:fill="F2F2F2" w:themeFill="background1" w:themeFillShade="F2"/>
          </w:tcPr>
          <w:p w14:paraId="0B4F57A4" w14:textId="6F301020" w:rsidR="00DE1537" w:rsidRDefault="00DE1537" w:rsidP="00343F3E">
            <w:pPr>
              <w:pStyle w:val="BoxSource"/>
            </w:pPr>
            <w:r>
              <w:rPr>
                <w:i/>
              </w:rPr>
              <w:t>Sources</w:t>
            </w:r>
            <w:r w:rsidRPr="00167F06">
              <w:t xml:space="preserve">: </w:t>
            </w:r>
            <w:r>
              <w:t xml:space="preserve">Moss </w:t>
            </w:r>
            <w:r w:rsidRPr="00D04FE9">
              <w:rPr>
                <w:rFonts w:cs="Arial"/>
              </w:rPr>
              <w:t>(2002)</w:t>
            </w:r>
            <w:r>
              <w:t xml:space="preserve">; Nicholls </w:t>
            </w:r>
            <w:r w:rsidRPr="00D04FE9">
              <w:rPr>
                <w:rFonts w:cs="Arial"/>
              </w:rPr>
              <w:t>(1999)</w:t>
            </w:r>
            <w:r>
              <w:t xml:space="preserve">; PC </w:t>
            </w:r>
            <w:r w:rsidRPr="000B324D">
              <w:rPr>
                <w:rFonts w:cs="Arial"/>
              </w:rPr>
              <w:t>(2012)</w:t>
            </w:r>
            <w:r>
              <w:t xml:space="preserve">; World Bank and United Nations </w:t>
            </w:r>
            <w:r w:rsidRPr="0089635F">
              <w:rPr>
                <w:rFonts w:cs="Arial"/>
              </w:rPr>
              <w:t>(2010)</w:t>
            </w:r>
            <w:r>
              <w:t>.</w:t>
            </w:r>
          </w:p>
        </w:tc>
      </w:tr>
      <w:tr w:rsidR="00DE1537" w14:paraId="3CBD4A61"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09B3140" w14:textId="77777777" w:rsidR="00DE1537" w:rsidRDefault="00DE1537" w:rsidP="00343F3E">
            <w:pPr>
              <w:pStyle w:val="Box"/>
              <w:spacing w:before="0" w:line="120" w:lineRule="exact"/>
            </w:pPr>
          </w:p>
        </w:tc>
      </w:tr>
      <w:tr w:rsidR="00DE1537" w:rsidRPr="000863A5" w14:paraId="28861E01" w14:textId="77777777" w:rsidTr="00343F3E">
        <w:tc>
          <w:tcPr>
            <w:tcW w:w="8771" w:type="dxa"/>
            <w:tcBorders>
              <w:top w:val="single" w:sz="6" w:space="0" w:color="78A22F"/>
              <w:left w:val="nil"/>
              <w:bottom w:val="nil"/>
              <w:right w:val="nil"/>
            </w:tcBorders>
          </w:tcPr>
          <w:p w14:paraId="44DB34D1" w14:textId="77777777" w:rsidR="00DE1537" w:rsidRPr="00626D32" w:rsidRDefault="00DE1537" w:rsidP="00343F3E">
            <w:pPr>
              <w:pStyle w:val="BoxSpaceBelow"/>
            </w:pPr>
          </w:p>
        </w:tc>
      </w:tr>
    </w:tbl>
    <w:p w14:paraId="3C39CB4E" w14:textId="77777777" w:rsidR="00DE1537" w:rsidRDefault="00DE1537" w:rsidP="00343F3E">
      <w:pPr>
        <w:pStyle w:val="Heading5"/>
      </w:pPr>
      <w:r>
        <w:t>Asymmetric information</w:t>
      </w:r>
    </w:p>
    <w:p w14:paraId="103938FE" w14:textId="77777777" w:rsidR="00DE1537" w:rsidRDefault="00DE1537" w:rsidP="00343F3E">
      <w:pPr>
        <w:pStyle w:val="BodyText"/>
      </w:pPr>
      <w:r>
        <w:t>Markets can fail when different parties have access to different information. This limits their ability to trade risks or form contracts, or changes the incentives they face. In insurance markets, ‘adverse selection’ arises where the customers of an insurer know more about the level of risk they face than the insurer does, and the insurer is unable to charge premiums that reflect the level of risk. This can lead to lower</w:t>
      </w:r>
      <w:r>
        <w:noBreakHyphen/>
        <w:t>risk customers dropping their insurance cover as premiums rise, leaving the insurer with a pool of higher</w:t>
      </w:r>
      <w:r>
        <w:noBreakHyphen/>
        <w:t>risk customers. The efficiency of the insurance market is reduced, and in extreme cases insurance markets may not even form at all.</w:t>
      </w:r>
    </w:p>
    <w:p w14:paraId="7E4C30F3" w14:textId="77777777" w:rsidR="00DE1537" w:rsidRDefault="00DE1537" w:rsidP="00343F3E">
      <w:pPr>
        <w:pStyle w:val="BodyText"/>
      </w:pPr>
      <w:r>
        <w:t xml:space="preserve">‘Moral hazard’ can occur where the existence of an explicit or implicit insurance contract means the insured party has less incentive to reduce their exposure to risk. For example, </w:t>
      </w:r>
      <w:r>
        <w:lastRenderedPageBreak/>
        <w:t>insurers may be unable to adjust premiums to reflect changes in bushfire risk when they cannot monitor or enforce customers’ behaviour (such as the installation of bushfire</w:t>
      </w:r>
      <w:r>
        <w:noBreakHyphen/>
        <w:t>resistant glass to reduce risk, or failure to clean leaves from gutters which can increase risk). This may mean that households take on higher risks because they have an insurance contract, or are discouraged from reducing their risk if it would not translate into lower insurance premiums. Moral hazard can also arise where government or charitable compensation after a natural disaster reduces the incentive people have to reduce risks or take out insurance (sometimes termed ‘charity hazard’).</w:t>
      </w:r>
    </w:p>
    <w:p w14:paraId="4BFEE1D2" w14:textId="77777777" w:rsidR="00DE1537" w:rsidRDefault="00DE1537" w:rsidP="00343F3E">
      <w:pPr>
        <w:pStyle w:val="BodyText"/>
      </w:pPr>
      <w:r>
        <w:t>Similar outcomes can arise when asymmetric information gives rise to misaligned or ‘split’ incentives. Principal–agent problems can occur where an ‘agent’ faces a different set of incentives to the ‘principal’ they represent, and so may not make decisions that are entirely in the best interests of the principal. For example, a strata</w:t>
      </w:r>
      <w:r>
        <w:noBreakHyphen/>
        <w:t>property manager (the agent) could underinvest in cyclone protection measures because of the effort or cost involved, even though these measures would reduce future risks to the property owners (the principal). Such difficulties in observing behaviour can also make it difficult to write or enforce contract terms covering this behaviour, since it would be difficult to detect and penalise breaches.</w:t>
      </w:r>
    </w:p>
    <w:p w14:paraId="0C2A25C3" w14:textId="77777777" w:rsidR="00DE1537" w:rsidRDefault="00DE1537" w:rsidP="00343F3E">
      <w:pPr>
        <w:pStyle w:val="Heading5"/>
      </w:pPr>
      <w:r>
        <w:t>Externalities</w:t>
      </w:r>
    </w:p>
    <w:p w14:paraId="47F74F9B" w14:textId="77777777" w:rsidR="00DE1537" w:rsidRDefault="00DE1537" w:rsidP="00343F3E">
      <w:pPr>
        <w:pStyle w:val="BodyText"/>
      </w:pPr>
      <w:r>
        <w:t>Externalities arise when an action affects parties that are not direct participants in a transaction, and are prevalent where property rights are not well established or enforced. The impacts are often negative — for example, if a beach</w:t>
      </w:r>
      <w:r>
        <w:noBreakHyphen/>
        <w:t>front resident builds a rock wall to reduce the impact of storm surges, this wall could deflect wave energy, and thus do damage to neighbouring properties. However, externalities can also be positive, such as when one person’s removal of flammable material on their property reduces bushfire risk to their neighbours.</w:t>
      </w:r>
    </w:p>
    <w:p w14:paraId="75B5B5C3" w14:textId="77777777" w:rsidR="00DE1537" w:rsidRDefault="00DE1537" w:rsidP="00343F3E">
      <w:pPr>
        <w:pStyle w:val="BodyText"/>
      </w:pPr>
      <w:r>
        <w:t>The existence of such external impacts is not necessarily a problem, provided they are appropriately reflected in prices or decisions. For example, when compensation is required to be paid to external parties that are made worse off (such as through legal liability) or when external beneficiaries can be charged (such as through cost</w:t>
      </w:r>
      <w:r>
        <w:noBreakHyphen/>
        <w:t>recovery mechanisms), the person undertaking the action has an incentive to take their impact on others into account. When externalities are not adequately taken into account, asset owners might underinvest in risk mitigation (if some of the benefits accrue to others), or could engage too much in activities that impose burdens or risks on others. This could be especially likely where property rights are not well defined (and hence people cannot form contracts), as is typically the case for common resources such as clean air and water.</w:t>
      </w:r>
    </w:p>
    <w:p w14:paraId="570AEC7B" w14:textId="77777777" w:rsidR="00DE1537" w:rsidRDefault="00DE1537" w:rsidP="00343F3E">
      <w:pPr>
        <w:pStyle w:val="Heading5"/>
      </w:pPr>
      <w:r>
        <w:t>Underprovision of public goods</w:t>
      </w:r>
    </w:p>
    <w:p w14:paraId="591F0113" w14:textId="77777777" w:rsidR="00DE1537" w:rsidRDefault="00DE1537" w:rsidP="00343F3E">
      <w:pPr>
        <w:pStyle w:val="BodyText"/>
      </w:pPr>
      <w:r>
        <w:t xml:space="preserve">‘Public goods’ are goods and services that, once provided to one person, are available to all at no additional cost (the marginal cost of providing the good to an additional person is </w:t>
      </w:r>
      <w:r>
        <w:lastRenderedPageBreak/>
        <w:t>zero). While very few goods meet this definition exactly, there is a range of goods with public</w:t>
      </w:r>
      <w:r>
        <w:noBreakHyphen/>
        <w:t>good characteristics — that is, goods that have features of being non</w:t>
      </w:r>
      <w:r>
        <w:noBreakHyphen/>
        <w:t>excludable (it is difficult to exclude people from benefitting from the good) and/or non</w:t>
      </w:r>
      <w:r>
        <w:noBreakHyphen/>
        <w:t>rival (use by one person does not diminish use by others). Examples include information such as weather forecasts or hazard mapping (which are non</w:t>
      </w:r>
      <w:r>
        <w:noBreakHyphen/>
        <w:t>rival but potentially excludable), some disaster</w:t>
      </w:r>
      <w:r>
        <w:noBreakHyphen/>
        <w:t>mitigation infrastructure such as dams (which may be non</w:t>
      </w:r>
      <w:r>
        <w:noBreakHyphen/>
        <w:t>excludable within a particular river catchment, but rival across catchments), and environmental goods such as the conservation of biodiversity (which is generally both non</w:t>
      </w:r>
      <w:r>
        <w:noBreakHyphen/>
        <w:t>excludable and non</w:t>
      </w:r>
      <w:r>
        <w:noBreakHyphen/>
        <w:t>rival).</w:t>
      </w:r>
    </w:p>
    <w:p w14:paraId="1579204E" w14:textId="77777777" w:rsidR="00DE1537" w:rsidRDefault="00DE1537" w:rsidP="00343F3E">
      <w:pPr>
        <w:pStyle w:val="BodyText"/>
      </w:pPr>
      <w:r>
        <w:t>Private markets are likely to underprovide public goods, to the extent that it is not possible to recoup costs or to charge each person who benefits from the good. This will often come down to the practicality of identifying all the beneficiaries and charging them for access to the good. For example, markets might underprovide hazard mapping if no single household or business is willing to fund the cost of undertaking it, even though it could benefit a large number of people. Markets may not provide flood</w:t>
      </w:r>
      <w:r>
        <w:noBreakHyphen/>
        <w:t>mitigation infrastructure if it is impractical to force all benefiting households to contribute to the costs of construction and maintenance.</w:t>
      </w:r>
    </w:p>
    <w:p w14:paraId="62D9011D" w14:textId="77777777" w:rsidR="00DE1537" w:rsidRPr="000C454B" w:rsidRDefault="00DE1537" w:rsidP="00343F3E">
      <w:pPr>
        <w:pStyle w:val="Heading4"/>
      </w:pPr>
      <w:r w:rsidRPr="000C454B">
        <w:t>Regulatory barriers</w:t>
      </w:r>
    </w:p>
    <w:p w14:paraId="3A0C98E4" w14:textId="77777777" w:rsidR="00DE1537" w:rsidRDefault="00DE1537" w:rsidP="00343F3E">
      <w:pPr>
        <w:pStyle w:val="BodyText"/>
      </w:pPr>
      <w:r>
        <w:t xml:space="preserve">Laws and government regulations affect natural disaster risk management options available to households and businesses, as well as the costs and benefits of those options. For example, planning and building regulations limit the choices people have on where and how to build houses. Financial regulation and taxes impinge on the types and prices of products that insurers can offer to their customers. </w:t>
      </w:r>
    </w:p>
    <w:p w14:paraId="10523720" w14:textId="77777777" w:rsidR="00DE1537" w:rsidRDefault="00DE1537" w:rsidP="00343F3E">
      <w:pPr>
        <w:pStyle w:val="BodyText"/>
      </w:pPr>
      <w:r>
        <w:t xml:space="preserve">While regulations can benefit the community by addressing market failures, they can also impose financial and other costs (such as administrative and compliance costs, or foregone opportunities). Sometimes these costs exceed the benefits or regulations have unintended consequences. For example, regulations to protect biodiversity and threatened species could inadvertently increase bushfire risk </w:t>
      </w:r>
      <w:r w:rsidRPr="002F7169">
        <w:t xml:space="preserve">to property owners if </w:t>
      </w:r>
      <w:r>
        <w:t>they</w:t>
      </w:r>
      <w:r w:rsidRPr="002F7169">
        <w:t xml:space="preserve"> constrain or penalise actions to </w:t>
      </w:r>
      <w:r>
        <w:t xml:space="preserve">manage fuel loads through removing vegetation </w:t>
      </w:r>
      <w:r w:rsidRPr="002F7169">
        <w:t xml:space="preserve">(Tasmanian Government, sub. 115). Regulatory </w:t>
      </w:r>
      <w:r>
        <w:t>or government ‘failure’ can arise where regulations do not effectively meet their objectives and their removal (or amendment) would improve the community’s ability to effectively manage risks.</w:t>
      </w:r>
    </w:p>
    <w:p w14:paraId="3D19875D" w14:textId="77777777" w:rsidR="00DE1537" w:rsidRDefault="00DE1537" w:rsidP="00343F3E">
      <w:pPr>
        <w:pStyle w:val="Heading3"/>
      </w:pPr>
      <w:r>
        <w:t>Can these impediments be remedied?</w:t>
      </w:r>
    </w:p>
    <w:p w14:paraId="176AD23B" w14:textId="77777777" w:rsidR="00DE1537" w:rsidRDefault="00DE1537" w:rsidP="00343F3E">
      <w:pPr>
        <w:pStyle w:val="BodyText"/>
      </w:pPr>
      <w:r>
        <w:t>These impediments may mean that households and businesses acting in isolation may not achieve outcomes that are in the interests of the community as a whole. This raises the question of how these impediments can best be addressed, whether by households and businesses themselves, through the operation of markets, or through government intervention.</w:t>
      </w:r>
    </w:p>
    <w:p w14:paraId="780FD3EF" w14:textId="77777777" w:rsidR="00DE1537" w:rsidRDefault="00DE1537" w:rsidP="00343F3E">
      <w:pPr>
        <w:pStyle w:val="BodyText"/>
      </w:pPr>
      <w:r>
        <w:lastRenderedPageBreak/>
        <w:t xml:space="preserve">There are many examples of private solutions. Insurers often set an excess so that the insured must bear some of the residual risk associated with their actions, thereby reducing moral hazard. There can also be opportunities for businesses to provide information in forms that are understandable and useful. For example, a number of consultancies undertake natural disaster risk assessments for businesses and identify strategies that can be used to manage these risks. In addition, the Insurance Council of Australia is developing a </w:t>
      </w:r>
      <w:r w:rsidRPr="00CD3395">
        <w:t>Building Resilience Rating Too</w:t>
      </w:r>
      <w:r>
        <w:t>l to provide households with information on how vulnerable their properties are to a range of natural hazards (supplementary paper 6).</w:t>
      </w:r>
    </w:p>
    <w:p w14:paraId="12426200" w14:textId="77777777" w:rsidR="00DE1537" w:rsidRDefault="00DE1537" w:rsidP="00343F3E">
      <w:pPr>
        <w:pStyle w:val="BodyText"/>
      </w:pPr>
      <w:r>
        <w:t>The legal system also offers an avenue for households and businesses to address some externalities related to natural disasters. For example, if a landowner’s vegetation management or earthmoving activities increase the fire or flood risk to a neighbour, the neighbour might seek compensation through the courts after a natural disaster occurs. Groups of individuals can also use class actions to seek compensation for damages through the courts, for example when another party is found to be responsible for igniting a bushfire. These kinds of ‘collective action’ can sometimes manage risks more effectively than individual action.</w:t>
      </w:r>
      <w:r w:rsidRPr="00F70923">
        <w:t xml:space="preserve"> </w:t>
      </w:r>
      <w:r>
        <w:t>Individuals can also act cooperatively, such as by working together to reduce risks to a group of properties or applying social pressure to those who do not act in the best interests of the group. For example, there could be scope to use ‘good neighbour’ charters, where landowners agree to each meet half the cost of materials to replace or repair fencing when bushfires originating on their land spread to a neighbour (TFGA, sub. 38).</w:t>
      </w:r>
    </w:p>
    <w:p w14:paraId="17B65C50" w14:textId="77777777" w:rsidR="00DE1537" w:rsidRDefault="00DE1537" w:rsidP="00343F3E">
      <w:pPr>
        <w:pStyle w:val="BodyText"/>
      </w:pPr>
      <w:r>
        <w:t>Government intervention is a further and ‘last resort’ option. It is most effective when targeting a market failure. In some cases governments can be well placed to address market failure because they have powers to impose regulation and collect taxes. For example, governments can use building codes to reduce the consequences of asymmetric information —</w:t>
      </w:r>
      <w:r w:rsidRPr="00300096">
        <w:t xml:space="preserve"> </w:t>
      </w:r>
      <w:r>
        <w:t>about a building’s safety during a natural disaster — between those who construct and those who use buildings. Governments can also restrict activities or impose penalties to address negative externalities (such as restricting land uses that increase risks to others), and can provide public</w:t>
      </w:r>
      <w:r>
        <w:noBreakHyphen/>
        <w:t>good infrastructure to reduce risks to a community (such as flood levees) by requiring that the beneficiaries pay some of the cost.</w:t>
      </w:r>
    </w:p>
    <w:p w14:paraId="4A003963" w14:textId="77777777" w:rsidR="00DE1537" w:rsidRDefault="00DE1537" w:rsidP="00343F3E">
      <w:pPr>
        <w:pStyle w:val="BodyText"/>
      </w:pPr>
      <w:r>
        <w:t>However, government intervention is not always effective at reducing impediments to effective natural disaster risk management. Some market failures are too difficult for governments to rectify, or the costs of doing so could be excessive — for example, it could be impractical and invasive for governments to fully address moral hazard by monitoring relevant household activity and communicating this to each household’s insurer. The best option may well be to do nothing (and let households and businesses find their own solutions). Moreover, intervention can sometimes lead to ‘government failure’, whereby government intervention introduces further distortions. For example, government provision of insurance or hazard information could crowd out private sector initiatives, or restrictions on development of flood</w:t>
      </w:r>
      <w:r>
        <w:noBreakHyphen/>
        <w:t xml:space="preserve">prone land could preclude people from living in desirable areas even if they are willing to accept the risk or modify their houses (Dr Leo Dobes, sub. 1, </w:t>
      </w:r>
      <w:proofErr w:type="gramStart"/>
      <w:r>
        <w:t>attachment</w:t>
      </w:r>
      <w:proofErr w:type="gramEnd"/>
      <w:r>
        <w:t> 1).</w:t>
      </w:r>
    </w:p>
    <w:p w14:paraId="05A65A05" w14:textId="77777777" w:rsidR="00DE1537" w:rsidRDefault="00DE1537" w:rsidP="00343F3E">
      <w:pPr>
        <w:pStyle w:val="Heading2"/>
      </w:pPr>
      <w:bookmarkStart w:id="54" w:name="_Toc406424324"/>
      <w:r>
        <w:lastRenderedPageBreak/>
        <w:t>3.</w:t>
      </w:r>
      <w:r>
        <w:rPr>
          <w:noProof/>
        </w:rPr>
        <w:t>4</w:t>
      </w:r>
      <w:r>
        <w:tab/>
        <w:t>What is the role for government?</w:t>
      </w:r>
      <w:bookmarkEnd w:id="54"/>
      <w:r>
        <w:t xml:space="preserve"> </w:t>
      </w:r>
    </w:p>
    <w:p w14:paraId="59D81721" w14:textId="77777777" w:rsidR="00DE1537" w:rsidRDefault="00DE1537" w:rsidP="00343F3E">
      <w:pPr>
        <w:pStyle w:val="BodyText"/>
      </w:pPr>
      <w:r>
        <w:t>Government intervention to address impediments to effective natural disaster risk management would only be in the best interests of the community when the benefits exceed the costs (in broad terms, taking into account social, environmental and other community priorities). This involves three key dimensions — managing risks to government</w:t>
      </w:r>
      <w:r>
        <w:noBreakHyphen/>
        <w:t>owned assets and service delivery, setting policy to reduce impediments to effective risk management by households and businesses, and supporting management of shared risks (figure 3.3). These roles are explored in greater detail in sections 3.5, 3.6 and 3.7 respectively.</w:t>
      </w:r>
    </w:p>
    <w:p w14:paraId="51FC385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DB4A5F" w14:paraId="460257BE" w14:textId="77777777" w:rsidTr="00343F3E">
        <w:tc>
          <w:tcPr>
            <w:tcW w:w="8771" w:type="dxa"/>
            <w:tcBorders>
              <w:top w:val="single" w:sz="6" w:space="0" w:color="78A22F"/>
              <w:left w:val="nil"/>
              <w:bottom w:val="nil"/>
              <w:right w:val="nil"/>
            </w:tcBorders>
            <w:shd w:val="clear" w:color="auto" w:fill="auto"/>
          </w:tcPr>
          <w:p w14:paraId="540B066D" w14:textId="77777777" w:rsidR="00DE1537" w:rsidRPr="00DB4A5F" w:rsidRDefault="00DE1537" w:rsidP="00343F3E">
            <w:pPr>
              <w:pStyle w:val="FigureTitle"/>
            </w:pPr>
            <w:r w:rsidRPr="00DB4A5F">
              <w:rPr>
                <w:b w:val="0"/>
              </w:rPr>
              <w:t>Figure 3.</w:t>
            </w:r>
            <w:r w:rsidRPr="00DB4A5F">
              <w:rPr>
                <w:b w:val="0"/>
                <w:noProof/>
              </w:rPr>
              <w:t>3</w:t>
            </w:r>
            <w:r w:rsidRPr="00DB4A5F">
              <w:tab/>
              <w:t>Roles of government in effective natural disaster risk management — examples</w:t>
            </w:r>
          </w:p>
        </w:tc>
      </w:tr>
      <w:tr w:rsidR="00DE1537" w14:paraId="2A1AB718"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6542A1F" w14:textId="77777777" w:rsidTr="00343F3E">
              <w:tc>
                <w:tcPr>
                  <w:tcW w:w="5000" w:type="pct"/>
                  <w:tcBorders>
                    <w:top w:val="nil"/>
                    <w:bottom w:val="nil"/>
                  </w:tcBorders>
                </w:tcPr>
                <w:p w14:paraId="62ECED30" w14:textId="77777777" w:rsidR="00DE1537" w:rsidRDefault="00DE1537" w:rsidP="00343F3E">
                  <w:pPr>
                    <w:pStyle w:val="Figure"/>
                    <w:spacing w:before="60" w:after="60"/>
                  </w:pPr>
                  <w:r>
                    <w:rPr>
                      <w:noProof/>
                    </w:rPr>
                    <w:drawing>
                      <wp:inline distT="0" distB="0" distL="0" distR="0" wp14:anchorId="7FE086EC" wp14:editId="63A4F71B">
                        <wp:extent cx="5390218" cy="3679545"/>
                        <wp:effectExtent l="0" t="0" r="1270" b="0"/>
                        <wp:docPr id="24" name="Picture 24" descr="Managing risks to government owned assets and service delivery involves transparently assigning roles across levels of government, understanding and treating risks to public infrastructure, and investing in mitigation. Setting policy to reduce impediments to effective risk management involves regulating land use planning and building standards, providing public good information and supporting a strong economy. Supporting management of shared risks involves providing emergency services and an adequate social safety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t="1" b="2140"/>
                                <a:stretch/>
                              </pic:blipFill>
                              <pic:spPr bwMode="auto">
                                <a:xfrm>
                                  <a:off x="0" y="0"/>
                                  <a:ext cx="5391785" cy="368061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5E0BF60" w14:textId="77777777" w:rsidR="00DE1537" w:rsidRDefault="00DE1537" w:rsidP="00343F3E">
            <w:pPr>
              <w:pStyle w:val="Figure"/>
            </w:pPr>
          </w:p>
        </w:tc>
      </w:tr>
      <w:tr w:rsidR="00DE1537" w14:paraId="2F001C72" w14:textId="77777777" w:rsidTr="00343F3E">
        <w:tc>
          <w:tcPr>
            <w:tcW w:w="8771" w:type="dxa"/>
            <w:tcBorders>
              <w:top w:val="nil"/>
              <w:left w:val="nil"/>
              <w:bottom w:val="single" w:sz="6" w:space="0" w:color="78A22F"/>
              <w:right w:val="nil"/>
            </w:tcBorders>
            <w:shd w:val="clear" w:color="auto" w:fill="auto"/>
          </w:tcPr>
          <w:p w14:paraId="5DEED8CD" w14:textId="77777777" w:rsidR="00DE1537" w:rsidRDefault="00DE1537" w:rsidP="00343F3E">
            <w:pPr>
              <w:pStyle w:val="Figurespace"/>
            </w:pPr>
          </w:p>
        </w:tc>
      </w:tr>
      <w:tr w:rsidR="00DE1537" w:rsidRPr="000863A5" w14:paraId="44B9CF3A" w14:textId="77777777" w:rsidTr="00343F3E">
        <w:tc>
          <w:tcPr>
            <w:tcW w:w="8771" w:type="dxa"/>
            <w:tcBorders>
              <w:top w:val="single" w:sz="6" w:space="0" w:color="78A22F"/>
              <w:left w:val="nil"/>
              <w:bottom w:val="nil"/>
              <w:right w:val="nil"/>
            </w:tcBorders>
          </w:tcPr>
          <w:p w14:paraId="32501170" w14:textId="77777777" w:rsidR="00DE1537" w:rsidRPr="00626D32" w:rsidRDefault="00DE1537" w:rsidP="00343F3E">
            <w:pPr>
              <w:pStyle w:val="BoxSpaceBelow"/>
            </w:pPr>
          </w:p>
        </w:tc>
      </w:tr>
    </w:tbl>
    <w:p w14:paraId="274FC03C" w14:textId="2A6EEB6E" w:rsidR="00DE1537" w:rsidRDefault="00DE1537" w:rsidP="00343F3E">
      <w:pPr>
        <w:pStyle w:val="BodyText"/>
      </w:pPr>
      <w:r>
        <w:t>In deciding when and how to intervene, there are well</w:t>
      </w:r>
      <w:r>
        <w:noBreakHyphen/>
        <w:t xml:space="preserve">established criteria for policy assessment to guide government actions. The need for intervention, policy options and their likely impacts should be clearly identified, with the option that leads to the greatest increase in community wellbeing implemented (including the option of doing nothing) (box 3.4). This process is articulated in greater detail in the Australian Government’s </w:t>
      </w:r>
      <w:r w:rsidR="007C5656" w:rsidRPr="007C5656">
        <w:t>(2013b)</w:t>
      </w:r>
      <w:r>
        <w:t xml:space="preserve"> </w:t>
      </w:r>
      <w:r>
        <w:rPr>
          <w:i/>
        </w:rPr>
        <w:t>Best Practice Regulation Handbook</w:t>
      </w:r>
      <w:r>
        <w:t>, and in supplementary paper 4 in the context of natural disaster mitigation.</w:t>
      </w:r>
    </w:p>
    <w:p w14:paraId="398E814F" w14:textId="77777777" w:rsidR="00DE1537" w:rsidRPr="004D6478"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rsidRPr="004D6478" w14:paraId="4062AF70" w14:textId="77777777" w:rsidTr="00343F3E">
        <w:tc>
          <w:tcPr>
            <w:tcW w:w="8771" w:type="dxa"/>
            <w:tcBorders>
              <w:top w:val="single" w:sz="6" w:space="0" w:color="78A22F"/>
              <w:left w:val="nil"/>
              <w:bottom w:val="nil"/>
              <w:right w:val="nil"/>
            </w:tcBorders>
            <w:shd w:val="clear" w:color="auto" w:fill="F2F2F2" w:themeFill="background1" w:themeFillShade="F2"/>
          </w:tcPr>
          <w:p w14:paraId="2B03806D" w14:textId="77777777" w:rsidR="00DE1537" w:rsidRPr="004D6478" w:rsidRDefault="00DE1537" w:rsidP="00343F3E">
            <w:pPr>
              <w:pStyle w:val="BoxTitle"/>
            </w:pPr>
            <w:r w:rsidRPr="004D6478">
              <w:rPr>
                <w:b w:val="0"/>
              </w:rPr>
              <w:t xml:space="preserve">Box </w:t>
            </w:r>
            <w:r>
              <w:rPr>
                <w:b w:val="0"/>
              </w:rPr>
              <w:t>3.</w:t>
            </w:r>
            <w:r>
              <w:rPr>
                <w:b w:val="0"/>
                <w:noProof/>
              </w:rPr>
              <w:t>4</w:t>
            </w:r>
            <w:r w:rsidRPr="004D6478">
              <w:tab/>
              <w:t>General principles for policy assessment</w:t>
            </w:r>
          </w:p>
        </w:tc>
      </w:tr>
      <w:tr w:rsidR="00DE1537" w:rsidRPr="004D6478" w14:paraId="3E1199DD" w14:textId="77777777" w:rsidTr="00343F3E">
        <w:trPr>
          <w:cantSplit/>
        </w:trPr>
        <w:tc>
          <w:tcPr>
            <w:tcW w:w="8771" w:type="dxa"/>
            <w:tcBorders>
              <w:top w:val="nil"/>
              <w:left w:val="nil"/>
              <w:bottom w:val="nil"/>
              <w:right w:val="nil"/>
            </w:tcBorders>
            <w:shd w:val="clear" w:color="auto" w:fill="F2F2F2" w:themeFill="background1" w:themeFillShade="F2"/>
          </w:tcPr>
          <w:p w14:paraId="24F12D5C" w14:textId="77777777" w:rsidR="00DE1537" w:rsidRPr="004D6478" w:rsidRDefault="00DE1537" w:rsidP="00343F3E">
            <w:pPr>
              <w:pStyle w:val="BoxListNumber"/>
              <w:spacing w:before="120"/>
            </w:pPr>
            <w:r w:rsidRPr="004D6478">
              <w:rPr>
                <w:i/>
              </w:rPr>
              <w:t>Clearly specify the problem</w:t>
            </w:r>
            <w:r w:rsidRPr="004D6478">
              <w:t xml:space="preserve"> — Detail the nature of the problem, the size of the impacts and the risks and consequences of failing to address the problem.</w:t>
            </w:r>
          </w:p>
          <w:p w14:paraId="5365FBCF" w14:textId="77777777" w:rsidR="00DE1537" w:rsidRPr="004D6478" w:rsidRDefault="00DE1537" w:rsidP="00343F3E">
            <w:pPr>
              <w:pStyle w:val="BoxListNumber"/>
              <w:spacing w:before="120"/>
            </w:pPr>
            <w:r w:rsidRPr="004D6478">
              <w:rPr>
                <w:i/>
              </w:rPr>
              <w:t xml:space="preserve">Consider whether there is a need for government intervention </w:t>
            </w:r>
            <w:r w:rsidRPr="004D6478">
              <w:t>— Government intervention is not costless, and should only proceed if the government has the capacity to deal with the problem and a sound justification for doing so.</w:t>
            </w:r>
          </w:p>
          <w:p w14:paraId="0A7A28CB" w14:textId="77777777" w:rsidR="00DE1537" w:rsidRPr="004D6478" w:rsidRDefault="00DE1537" w:rsidP="00343F3E">
            <w:pPr>
              <w:pStyle w:val="BoxListNumber"/>
              <w:spacing w:before="120"/>
            </w:pPr>
            <w:r w:rsidRPr="004D6478">
              <w:rPr>
                <w:i/>
              </w:rPr>
              <w:t xml:space="preserve">Clearly describe the objectives of reform </w:t>
            </w:r>
            <w:r w:rsidRPr="004D6478">
              <w:t xml:space="preserve">— </w:t>
            </w:r>
            <w:proofErr w:type="gramStart"/>
            <w:r w:rsidRPr="004D6478">
              <w:t>The</w:t>
            </w:r>
            <w:proofErr w:type="gramEnd"/>
            <w:r w:rsidRPr="004D6478">
              <w:t xml:space="preserve"> objectives of reform should be specified in a broad way, to enable consideration of all possible options.</w:t>
            </w:r>
          </w:p>
          <w:p w14:paraId="0B7B9924" w14:textId="77777777" w:rsidR="00DE1537" w:rsidRPr="004D6478" w:rsidRDefault="00DE1537" w:rsidP="00343F3E">
            <w:pPr>
              <w:pStyle w:val="BoxListNumber"/>
              <w:spacing w:before="120"/>
            </w:pPr>
            <w:r w:rsidRPr="004D6478">
              <w:rPr>
                <w:i/>
              </w:rPr>
              <w:t xml:space="preserve">Identify any regulation or policy that is currently in place to address the problem </w:t>
            </w:r>
            <w:r w:rsidRPr="004D6478">
              <w:t xml:space="preserve">— </w:t>
            </w:r>
            <w:proofErr w:type="gramStart"/>
            <w:r w:rsidRPr="004D6478">
              <w:t>If</w:t>
            </w:r>
            <w:proofErr w:type="gramEnd"/>
            <w:r w:rsidRPr="004D6478">
              <w:t xml:space="preserve"> the existing regulations are not addressing the problem, is it because the regulations are flawed, or is it a failure in compliance?</w:t>
            </w:r>
          </w:p>
          <w:p w14:paraId="1FAE9FB2" w14:textId="77777777" w:rsidR="00DE1537" w:rsidRPr="004D6478" w:rsidRDefault="00DE1537" w:rsidP="00343F3E">
            <w:pPr>
              <w:pStyle w:val="BoxListNumber"/>
              <w:spacing w:before="120"/>
            </w:pPr>
            <w:r w:rsidRPr="004D6478">
              <w:rPr>
                <w:i/>
              </w:rPr>
              <w:t xml:space="preserve">Identify the feasible options </w:t>
            </w:r>
            <w:r w:rsidRPr="004D6478">
              <w:t xml:space="preserve">— </w:t>
            </w:r>
            <w:proofErr w:type="gramStart"/>
            <w:r w:rsidRPr="004D6478">
              <w:t>Identify</w:t>
            </w:r>
            <w:proofErr w:type="gramEnd"/>
            <w:r w:rsidRPr="004D6478">
              <w:t xml:space="preserve"> the options that could feasibly achieve the objectives of the reform. This could include different types of instruments and the option of making no change to the status quo.</w:t>
            </w:r>
          </w:p>
          <w:p w14:paraId="09312A30" w14:textId="77777777" w:rsidR="00DE1537" w:rsidRPr="004D6478" w:rsidRDefault="00DE1537" w:rsidP="00343F3E">
            <w:pPr>
              <w:pStyle w:val="BoxListNumber"/>
              <w:spacing w:before="120"/>
            </w:pPr>
            <w:r w:rsidRPr="004D6478">
              <w:rPr>
                <w:i/>
              </w:rPr>
              <w:t>Assess the impacts of the options</w:t>
            </w:r>
            <w:r w:rsidRPr="004D6478">
              <w:t xml:space="preserve"> — Impacts include the direct effects of the reforms, any indirect ‘flow</w:t>
            </w:r>
            <w:r w:rsidRPr="004D6478">
              <w:noBreakHyphen/>
              <w:t>on’ effects and unintended consequences. Impacts can include the financial, social and environmental effects of reform options. The distribution of the benefits and costs and the equity impacts of the reform should be assessed. Impacts can be assessed through quantitative analysis or a detailed qualitative analysis (augmented where possible with quantitative data).</w:t>
            </w:r>
          </w:p>
          <w:p w14:paraId="3E2C2198" w14:textId="77777777" w:rsidR="00DE1537" w:rsidRPr="004D6478" w:rsidRDefault="00DE1537" w:rsidP="00343F3E">
            <w:pPr>
              <w:pStyle w:val="BoxListNumber"/>
              <w:spacing w:before="120"/>
            </w:pPr>
            <w:r w:rsidRPr="004D6478">
              <w:rPr>
                <w:i/>
              </w:rPr>
              <w:t>Consider implementation and enforcement, and establish a review strategy.</w:t>
            </w:r>
          </w:p>
        </w:tc>
      </w:tr>
      <w:tr w:rsidR="00DE1537" w:rsidRPr="004D6478" w14:paraId="2C248FC7" w14:textId="77777777" w:rsidTr="00343F3E">
        <w:trPr>
          <w:cantSplit/>
        </w:trPr>
        <w:tc>
          <w:tcPr>
            <w:tcW w:w="8771" w:type="dxa"/>
            <w:tcBorders>
              <w:top w:val="nil"/>
              <w:left w:val="nil"/>
              <w:bottom w:val="nil"/>
              <w:right w:val="nil"/>
            </w:tcBorders>
            <w:shd w:val="clear" w:color="auto" w:fill="F2F2F2" w:themeFill="background1" w:themeFillShade="F2"/>
          </w:tcPr>
          <w:p w14:paraId="44487E5D" w14:textId="6170F6AC" w:rsidR="00DE1537" w:rsidRPr="004D6478" w:rsidRDefault="00DE1537" w:rsidP="00343F3E">
            <w:pPr>
              <w:pStyle w:val="BoxSource"/>
            </w:pPr>
            <w:r w:rsidRPr="004D6478">
              <w:rPr>
                <w:i/>
              </w:rPr>
              <w:t>Sources</w:t>
            </w:r>
            <w:r w:rsidRPr="004D6478">
              <w:t xml:space="preserve">: Australian Government </w:t>
            </w:r>
            <w:r w:rsidR="007C5656" w:rsidRPr="007C5656">
              <w:rPr>
                <w:rFonts w:cs="Arial"/>
              </w:rPr>
              <w:t>(2013b)</w:t>
            </w:r>
            <w:r w:rsidRPr="004D6478">
              <w:t xml:space="preserve">; PC </w:t>
            </w:r>
            <w:r w:rsidRPr="004D6478">
              <w:rPr>
                <w:rFonts w:cs="Arial"/>
              </w:rPr>
              <w:t>(2005)</w:t>
            </w:r>
            <w:r w:rsidRPr="004D6478">
              <w:t>.</w:t>
            </w:r>
          </w:p>
        </w:tc>
      </w:tr>
      <w:tr w:rsidR="00DE1537" w:rsidRPr="004D6478" w14:paraId="217F4548"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1AC7E8B" w14:textId="77777777" w:rsidR="00DE1537" w:rsidRPr="004D6478" w:rsidRDefault="00DE1537" w:rsidP="00343F3E">
            <w:pPr>
              <w:pStyle w:val="Box"/>
              <w:spacing w:before="0" w:line="120" w:lineRule="exact"/>
            </w:pPr>
          </w:p>
        </w:tc>
      </w:tr>
      <w:tr w:rsidR="00DE1537" w:rsidRPr="004D6478" w14:paraId="31389F10" w14:textId="77777777" w:rsidTr="00343F3E">
        <w:tc>
          <w:tcPr>
            <w:tcW w:w="8771" w:type="dxa"/>
            <w:tcBorders>
              <w:top w:val="single" w:sz="6" w:space="0" w:color="78A22F"/>
              <w:left w:val="nil"/>
              <w:bottom w:val="nil"/>
              <w:right w:val="nil"/>
            </w:tcBorders>
          </w:tcPr>
          <w:p w14:paraId="2A91AA22" w14:textId="77777777" w:rsidR="00DE1537" w:rsidRPr="004D6478" w:rsidRDefault="00DE1537" w:rsidP="00343F3E">
            <w:pPr>
              <w:pStyle w:val="BoxSpaceBelow"/>
            </w:pPr>
          </w:p>
        </w:tc>
      </w:tr>
    </w:tbl>
    <w:p w14:paraId="643AF1F1" w14:textId="77777777" w:rsidR="00DE1537" w:rsidRDefault="00DE1537" w:rsidP="00343F3E">
      <w:pPr>
        <w:pStyle w:val="Heading3"/>
      </w:pPr>
      <w:r>
        <w:t>Dealing with uncertainty in policy analysis</w:t>
      </w:r>
    </w:p>
    <w:p w14:paraId="44608F2E" w14:textId="77777777" w:rsidR="00DE1537" w:rsidRDefault="00DE1537" w:rsidP="00343F3E">
      <w:pPr>
        <w:pStyle w:val="BodyText"/>
      </w:pPr>
      <w:r w:rsidRPr="004D6478">
        <w:t xml:space="preserve">The </w:t>
      </w:r>
      <w:r>
        <w:t xml:space="preserve">foundation </w:t>
      </w:r>
      <w:r w:rsidRPr="004D6478">
        <w:t>of th</w:t>
      </w:r>
      <w:r>
        <w:t>e</w:t>
      </w:r>
      <w:r w:rsidRPr="004D6478">
        <w:t xml:space="preserve"> approach </w:t>
      </w:r>
      <w:r>
        <w:t>set out above</w:t>
      </w:r>
      <w:r w:rsidRPr="004D6478">
        <w:t xml:space="preserve"> </w:t>
      </w:r>
      <w:r>
        <w:t xml:space="preserve">is </w:t>
      </w:r>
      <w:r w:rsidRPr="004D6478">
        <w:t xml:space="preserve">cost–benefit analysis. This involves evaluating whether an investment or policy change would make the community better off overall compared </w:t>
      </w:r>
      <w:r w:rsidRPr="007C7702">
        <w:t xml:space="preserve">to the status quo. </w:t>
      </w:r>
      <w:r w:rsidRPr="00F5601A">
        <w:t>An overriding</w:t>
      </w:r>
      <w:r>
        <w:t xml:space="preserve"> </w:t>
      </w:r>
      <w:r w:rsidRPr="00F5601A">
        <w:t>advantage of using cost–benefit analysis is the transparency, and therefore accountability, it brings to decision making.</w:t>
      </w:r>
    </w:p>
    <w:p w14:paraId="4761AF60" w14:textId="77777777" w:rsidR="00DE1537" w:rsidRDefault="00DE1537" w:rsidP="00343F3E">
      <w:pPr>
        <w:pStyle w:val="BodyText"/>
      </w:pPr>
      <w:r>
        <w:t>Taking account of uncertainty in the analysis can be challenging. For example, there can be significant uncertainty about the future likelihood and severity of natural disasters, meaning that the costs and benefits of mitigation measures may not be clear or could accrue over long time frames.</w:t>
      </w:r>
    </w:p>
    <w:p w14:paraId="0991E3A6" w14:textId="77777777" w:rsidR="00DE1537" w:rsidRDefault="00DE1537" w:rsidP="00343F3E">
      <w:pPr>
        <w:pStyle w:val="BodyText"/>
      </w:pPr>
      <w:r>
        <w:t>There are several options available to deal with such uncertainty in policy analysis (supplementary paper 4). These include:</w:t>
      </w:r>
    </w:p>
    <w:p w14:paraId="3CD70EC1" w14:textId="77777777" w:rsidR="00DE1537" w:rsidRDefault="00DE1537" w:rsidP="00343F3E">
      <w:pPr>
        <w:pStyle w:val="ListBullet"/>
      </w:pPr>
      <w:r>
        <w:t>using sensitivity analysis to inform policy makers how the results of the analysis would change when different assumptions or values are used (for example, about the extent or frequency of flooding)</w:t>
      </w:r>
    </w:p>
    <w:p w14:paraId="215DC57A" w14:textId="77777777" w:rsidR="00DE1537" w:rsidRDefault="00DE1537" w:rsidP="00343F3E">
      <w:pPr>
        <w:pStyle w:val="ListBullet"/>
      </w:pPr>
      <w:r>
        <w:lastRenderedPageBreak/>
        <w:t>explicitly considering how threshold effects and nonlinear changes in uncertain variables (such as changes in cyclone damage as wind speeds increase) would affect costs, benefits or policy outcomes</w:t>
      </w:r>
    </w:p>
    <w:p w14:paraId="256D981D" w14:textId="4FD7290D" w:rsidR="00DE1537" w:rsidRPr="004D6478" w:rsidRDefault="00DE1537" w:rsidP="00343F3E">
      <w:pPr>
        <w:pStyle w:val="ListBullet"/>
      </w:pPr>
      <w:r>
        <w:t xml:space="preserve">adopting flexible policy approaches such as ‘real options’ analysis, which involves </w:t>
      </w:r>
      <w:r w:rsidRPr="008761DB">
        <w:t xml:space="preserve">identifying </w:t>
      </w:r>
      <w:r w:rsidRPr="00F5601A">
        <w:t>courses of action that leave options open in the future to allow for adaptation to new circumstances as they arise</w:t>
      </w:r>
      <w:r w:rsidRPr="008761DB" w:rsidDel="00E91989">
        <w:t xml:space="preserve"> </w:t>
      </w:r>
      <w:r w:rsidRPr="00F5601A">
        <w:t>(for</w:t>
      </w:r>
      <w:r>
        <w:t xml:space="preserve"> example, by delaying irreversible decisions to invest in new flood levees) </w:t>
      </w:r>
      <w:r w:rsidR="007C5656" w:rsidRPr="007C5656">
        <w:rPr>
          <w:szCs w:val="24"/>
        </w:rPr>
        <w:t>(PC 2011a, 2012)</w:t>
      </w:r>
      <w:r>
        <w:t>.</w:t>
      </w:r>
    </w:p>
    <w:p w14:paraId="78714C40" w14:textId="3BFF72BC" w:rsidR="00DE1537" w:rsidRPr="004D6478" w:rsidRDefault="00DE1537" w:rsidP="00343F3E">
      <w:pPr>
        <w:pStyle w:val="BodyText"/>
      </w:pPr>
      <w:r w:rsidRPr="004D6478">
        <w:t xml:space="preserve">Importantly, uncertainty is not a reason for postponing </w:t>
      </w:r>
      <w:r>
        <w:t>decisions about how</w:t>
      </w:r>
      <w:r w:rsidRPr="004D6478">
        <w:t xml:space="preserve"> to manage threats of serious or irreversible damage, as reflected in the precautionary principle (Weier and Loke 2007). </w:t>
      </w:r>
      <w:r>
        <w:t xml:space="preserve">Precautionary approaches can sometimes be successful in managing catastrophic risks, provided they are implemented iteratively to allow for continual reassessment </w:t>
      </w:r>
      <w:r w:rsidRPr="00E56E91">
        <w:rPr>
          <w:szCs w:val="24"/>
        </w:rPr>
        <w:t>(Randall 2011)</w:t>
      </w:r>
      <w:r>
        <w:t>. However, while t</w:t>
      </w:r>
      <w:r w:rsidRPr="004D6478">
        <w:t>h</w:t>
      </w:r>
      <w:r>
        <w:t>e precautionary</w:t>
      </w:r>
      <w:r w:rsidRPr="004D6478">
        <w:t xml:space="preserve"> principle offers a sensible starting point for managing natural </w:t>
      </w:r>
      <w:r>
        <w:t>disaster</w:t>
      </w:r>
      <w:r w:rsidRPr="004D6478">
        <w:t xml:space="preserve"> risks, it does not in itself indicate which course of action is likely to increase community wellbeing (and thus further research and analysis </w:t>
      </w:r>
      <w:r>
        <w:t>are</w:t>
      </w:r>
      <w:r w:rsidRPr="004D6478">
        <w:t xml:space="preserve"> required) </w:t>
      </w:r>
      <w:r w:rsidRPr="004D6478">
        <w:rPr>
          <w:szCs w:val="24"/>
        </w:rPr>
        <w:t>(PC 2012)</w:t>
      </w:r>
      <w:r w:rsidRPr="004D6478">
        <w:t>.</w:t>
      </w:r>
    </w:p>
    <w:p w14:paraId="2D872A8A" w14:textId="77777777" w:rsidR="00DE1537" w:rsidRDefault="00DE1537" w:rsidP="00343F3E">
      <w:pPr>
        <w:pStyle w:val="Heading2"/>
      </w:pPr>
      <w:bookmarkStart w:id="55" w:name="_Toc406424325"/>
      <w:r>
        <w:t>3.</w:t>
      </w:r>
      <w:r>
        <w:rPr>
          <w:noProof/>
        </w:rPr>
        <w:t>5</w:t>
      </w:r>
      <w:r>
        <w:tab/>
        <w:t>Managing natural disaster risks to government</w:t>
      </w:r>
      <w:r>
        <w:noBreakHyphen/>
        <w:t>owned assets and service delivery</w:t>
      </w:r>
      <w:bookmarkEnd w:id="55"/>
    </w:p>
    <w:p w14:paraId="3577AA34" w14:textId="77777777" w:rsidR="00DE1537" w:rsidRDefault="00DE1537" w:rsidP="00343F3E">
      <w:pPr>
        <w:pStyle w:val="BodyText"/>
      </w:pPr>
      <w:r>
        <w:t>The Australian, state, territory and local governments own and operate assets on behalf of the community. These include transport and health infrastructure, defence facilities, national parks, and community facilities such as parks and libraries. Governments also provide services such as education and healthcare. Managing the natural disaster risks to these assets and services is a core function of government.</w:t>
      </w:r>
    </w:p>
    <w:p w14:paraId="4AC95DF6" w14:textId="619A8BCD" w:rsidR="00DE1537" w:rsidRDefault="00DE1537" w:rsidP="00343F3E">
      <w:pPr>
        <w:pStyle w:val="BodyText"/>
      </w:pPr>
      <w:r>
        <w:t xml:space="preserve">As with households and businesses, governments need to understand and treat the risks they face. This can be guided by established principles for risk management (box 3.2). Indeed, the Australian and most state and territory governments have developed guidelines for risk management that broadly reflect the International Standard for risk management </w:t>
      </w:r>
      <w:r w:rsidR="007C5656" w:rsidRPr="007C5656">
        <w:rPr>
          <w:szCs w:val="24"/>
        </w:rPr>
        <w:t>(for example, Department of Finance 2014b)</w:t>
      </w:r>
      <w:r>
        <w:t xml:space="preserve">. The standard is also reflected in the </w:t>
      </w:r>
      <w:r>
        <w:rPr>
          <w:i/>
        </w:rPr>
        <w:t xml:space="preserve">National Emergency Risk Assessment Guidelines </w:t>
      </w:r>
      <w:r w:rsidRPr="006A1D65">
        <w:rPr>
          <w:szCs w:val="24"/>
        </w:rPr>
        <w:t>(NEMC 2010)</w:t>
      </w:r>
      <w:r>
        <w:t>, which were commissioned by COAG and have been used to inform natural disaster risk assessments by state and territory governments.</w:t>
      </w:r>
    </w:p>
    <w:p w14:paraId="2A2694BD" w14:textId="77777777" w:rsidR="00DE1537" w:rsidRDefault="00DE1537" w:rsidP="00343F3E">
      <w:pPr>
        <w:pStyle w:val="BodyText"/>
      </w:pPr>
      <w:r>
        <w:t>This section discusses two additional elements of risk management by governments: the allocation of responsibilities across levels of government (accountability), and the management of fiscal and budgetary risks (transparency).</w:t>
      </w:r>
    </w:p>
    <w:p w14:paraId="2524DF7E" w14:textId="77777777" w:rsidR="00DE1537" w:rsidRDefault="00DE1537" w:rsidP="00343F3E">
      <w:pPr>
        <w:pStyle w:val="Heading3"/>
      </w:pPr>
      <w:r>
        <w:t>Allocating responsibilities across levels of government</w:t>
      </w:r>
    </w:p>
    <w:p w14:paraId="129EAD88" w14:textId="77777777" w:rsidR="00DE1537" w:rsidRDefault="00DE1537" w:rsidP="00343F3E">
      <w:pPr>
        <w:pStyle w:val="BodyText"/>
      </w:pPr>
      <w:r>
        <w:t xml:space="preserve">Asset owners are typically best placed to manage and fund natural disaster risks to their own assets (section 3.3). This principle applies to governments as much as it does to </w:t>
      </w:r>
      <w:r>
        <w:lastRenderedPageBreak/>
        <w:t xml:space="preserve">households and businesses. This means that the level of government responsible for providing an asset or service should generally be responsible and accountable for managing the natural disaster risks attached to it. </w:t>
      </w:r>
    </w:p>
    <w:p w14:paraId="6C73FC31" w14:textId="774DECF9" w:rsidR="00DE1537" w:rsidRDefault="00DE1537" w:rsidP="00343F3E">
      <w:pPr>
        <w:pStyle w:val="BodyText"/>
      </w:pPr>
      <w:r>
        <w:t xml:space="preserve">Natural disaster risk management is currently a ‘shared responsibility’ across all levels of </w:t>
      </w:r>
      <w:r w:rsidRPr="00946A43">
        <w:t xml:space="preserve">government </w:t>
      </w:r>
      <w:r w:rsidR="007C5656" w:rsidRPr="007C5656">
        <w:rPr>
          <w:szCs w:val="24"/>
        </w:rPr>
        <w:t>(COAG 2011b)</w:t>
      </w:r>
      <w:r w:rsidRPr="00946A43">
        <w:t>. The</w:t>
      </w:r>
      <w:r>
        <w:t xml:space="preserve"> Australian and state constitutions set the high</w:t>
      </w:r>
      <w:r>
        <w:noBreakHyphen/>
        <w:t>level framework for which level of government owns and provides which government assets and services. The Australian Government’s role is relatively limited in terms of direct responsibility, and mainly covers defence assets and some national parks. State and territory governments are primarily responsible for land use planning and providing roads, parks and community infrastructure, as well as much natural disaster mitigation and recovery work. Some of these responsibilities have been further devolved to local governments, which are usually best placed to identify and respond to the needs of their communities.</w:t>
      </w:r>
    </w:p>
    <w:p w14:paraId="389ED013" w14:textId="77777777" w:rsidR="00DE1537" w:rsidRDefault="00DE1537" w:rsidP="00343F3E">
      <w:pPr>
        <w:pStyle w:val="BodyText"/>
      </w:pPr>
      <w:r>
        <w:t>The subsidiarity principle is relevant for allocating risks across levels of government. In this context, subsidiarity implies that risk should be managed by the lowest level of government that is capable of managing it. This will usually be the level that is best placed to identify measures that would most effectively reduce the risks to government assets and services and/or to influence the level of risk over time — for example, in deciding where and when to provide an asset or service, to what standard, and how (and to what extent) to recover the costs from beneficiaries.</w:t>
      </w:r>
    </w:p>
    <w:p w14:paraId="3FA12E83" w14:textId="77777777" w:rsidR="00DE1537" w:rsidRDefault="00DE1537" w:rsidP="00343F3E">
      <w:pPr>
        <w:pStyle w:val="BodyText"/>
      </w:pPr>
      <w:r>
        <w:t>However, in some situations it may be appropriate for higher levels of government to assume some responsibility. This could be the case where disparate approaches increase overall costs, or where risk management actions have spillover effects on other jurisdictions (externalities). In these situations, coordinated action across jurisdictions may allow risks to be managed at lower overall cost. A case can also be made for higher levels of government providing support when local governments do not have adequate resources or capacity to manage risks. This is sometimes the case where local governments span a large geographic area with a sparse population.</w:t>
      </w:r>
    </w:p>
    <w:p w14:paraId="2582279D" w14:textId="77777777" w:rsidR="00DE1537" w:rsidRDefault="00DE1537" w:rsidP="00343F3E">
      <w:pPr>
        <w:pStyle w:val="BodyText"/>
      </w:pPr>
      <w:r>
        <w:t>In Australia — as in many other federations — the national government acts as a fiscal ‘safety net’ by bearing some of the costs of natural disasters incurred by lower levels of government. In principle, this can be efficient, to the extent that the Australian Government is better able to bear catastrophic or geographically diversified risks, and in doing so does not erode incentives for effective risk management by lower levels of government. The Australian Government also has the greatest revenue raising capacity, making it best placed to reallocate expenditure or borrow funds when a catastrophic natural disaster occurs.</w:t>
      </w:r>
    </w:p>
    <w:p w14:paraId="0D368B94" w14:textId="77777777" w:rsidR="00DE1537" w:rsidRDefault="00DE1537" w:rsidP="00343F3E">
      <w:pPr>
        <w:pStyle w:val="BodyText"/>
      </w:pPr>
      <w:r>
        <w:t>However, the funding arrangements between each level of government are complex and impact on the incentives that all levels of government face. Volume 1 assesses the impacts of Commonwealth–state funding arrangements (including the Natural Disaster Relief and Recovery Arrangements) on incentives to effectively manage risks.</w:t>
      </w:r>
    </w:p>
    <w:p w14:paraId="00956291" w14:textId="77777777" w:rsidR="00DE1537" w:rsidRDefault="00DE1537" w:rsidP="00343F3E">
      <w:pPr>
        <w:pStyle w:val="Heading3"/>
      </w:pPr>
      <w:r>
        <w:lastRenderedPageBreak/>
        <w:t>Managing fiscal and budgetary risks</w:t>
      </w:r>
    </w:p>
    <w:p w14:paraId="7DF3182F" w14:textId="77777777" w:rsidR="00DE1537" w:rsidRDefault="00DE1537" w:rsidP="00343F3E">
      <w:pPr>
        <w:pStyle w:val="BodyText"/>
      </w:pPr>
      <w:r>
        <w:t>Natural disasters can have significant impacts on government budgets and balance sheets, especially after a large disaster. This means that governments need to understand, disclose and manage the total level of risk they are exposed to and, where appropriate, put in place measures to finance the recovery costs that they bear when natural disasters occur.</w:t>
      </w:r>
    </w:p>
    <w:p w14:paraId="71F3B62A" w14:textId="77777777" w:rsidR="00DE1537" w:rsidRDefault="00DE1537" w:rsidP="00343F3E">
      <w:pPr>
        <w:pStyle w:val="BodyText"/>
      </w:pPr>
      <w:r>
        <w:t xml:space="preserve">Transparent budgeting and fiscal frameworks can give governments stronger incentives to make policy decisions that are in the best interests of the community. They also provide incentives to adopt natural disaster policy and funding arrangements that are effective and sustainable. In general, natural disaster risks to government budgets are likely to be managed effectively and sustainably when </w:t>
      </w:r>
      <w:proofErr w:type="gramStart"/>
      <w:r>
        <w:t>budget frameworks</w:t>
      </w:r>
      <w:proofErr w:type="gramEnd"/>
      <w:r>
        <w:t>:</w:t>
      </w:r>
    </w:p>
    <w:p w14:paraId="2DA04EA3" w14:textId="77777777" w:rsidR="00DE1537" w:rsidRDefault="00DE1537" w:rsidP="00343F3E">
      <w:pPr>
        <w:pStyle w:val="ListBullet"/>
      </w:pPr>
      <w:r>
        <w:t>make relief and recovery expenditure transparent and allow for trade</w:t>
      </w:r>
      <w:r>
        <w:noBreakHyphen/>
        <w:t xml:space="preserve">offs to be made with mitigation expenditure and other priorities </w:t>
      </w:r>
    </w:p>
    <w:p w14:paraId="79F593E9" w14:textId="77777777" w:rsidR="00DE1537" w:rsidRDefault="00DE1537" w:rsidP="00343F3E">
      <w:pPr>
        <w:pStyle w:val="ListBullet"/>
      </w:pPr>
      <w:r>
        <w:t>transparently take account of long</w:t>
      </w:r>
      <w:r>
        <w:noBreakHyphen/>
        <w:t>term and intergenerational consequences of policy decisions</w:t>
      </w:r>
    </w:p>
    <w:p w14:paraId="5D384389" w14:textId="77777777" w:rsidR="00DE1537" w:rsidRDefault="00DE1537" w:rsidP="00343F3E">
      <w:pPr>
        <w:pStyle w:val="ListBullet"/>
      </w:pPr>
      <w:proofErr w:type="gramStart"/>
      <w:r>
        <w:t>help</w:t>
      </w:r>
      <w:proofErr w:type="gramEnd"/>
      <w:r>
        <w:t xml:space="preserve"> to minimise fiscal volatility arising from one</w:t>
      </w:r>
      <w:r>
        <w:noBreakHyphen/>
        <w:t>off shocks (such as natural disasters).</w:t>
      </w:r>
    </w:p>
    <w:p w14:paraId="5283BC34" w14:textId="77777777" w:rsidR="00DE1537" w:rsidRDefault="00DE1537" w:rsidP="00343F3E">
      <w:pPr>
        <w:pStyle w:val="BodyText"/>
      </w:pPr>
      <w:r>
        <w:t>Achieving these outcomes would improve how funding is allocated across policy areas over time (and generations). This would help governments to achieve various policy objectives while also contributing to improved efficiency of the economy.</w:t>
      </w:r>
    </w:p>
    <w:p w14:paraId="22D80423" w14:textId="77777777" w:rsidR="00DE1537" w:rsidRDefault="00DE1537" w:rsidP="00343F3E">
      <w:pPr>
        <w:pStyle w:val="BodyText"/>
      </w:pPr>
      <w:r>
        <w:t>While budget frameworks in themselves do not change the risks faced by physical assets, they impact on the incentives of different levels of government to effectively manage these risks. Good budgeting practices can help to coordinate activities across various arms of government and make governments’ activities more transparent to taxpayers. This, in turn, can make governments more accountable for their decisions, and give them a greater incentive to effectively manage risks to the community’s wellbeing.</w:t>
      </w:r>
    </w:p>
    <w:p w14:paraId="5423861C" w14:textId="77777777" w:rsidR="00DE1537" w:rsidRDefault="00DE1537" w:rsidP="00343F3E">
      <w:pPr>
        <w:pStyle w:val="Heading4"/>
      </w:pPr>
      <w:r>
        <w:t>Managing assets and liabilities</w:t>
      </w:r>
    </w:p>
    <w:p w14:paraId="71DCC061" w14:textId="77777777" w:rsidR="00DE1537" w:rsidRDefault="00DE1537" w:rsidP="00343F3E">
      <w:pPr>
        <w:pStyle w:val="BodyText"/>
      </w:pPr>
      <w:r>
        <w:t>One tool for governments to holistically manage these risks is asset and liability management, a process originally developed by banks to identify and assess the impact of risks to their operations and balance sheets (box 3.5). In the context of natural disasters, this would involve governments understanding the impact of natural disasters on their own assets and liabilities. This would provide an informed basis for governments to then make decisions about what level of natural disaster risk they are prepared to bear, articulate that risk appetite and the trade</w:t>
      </w:r>
      <w:r>
        <w:noBreakHyphen/>
        <w:t>offs it implies, and choose how best to reduce the risks they face to the acceptable level.</w:t>
      </w:r>
    </w:p>
    <w:p w14:paraId="3CCD2BC5" w14:textId="77777777" w:rsidR="00DE1537" w:rsidRDefault="00DE1537" w:rsidP="00343F3E">
      <w:pPr>
        <w:pStyle w:val="BodyText"/>
      </w:pPr>
      <w:r>
        <w:t>As part of managing their assets and liabilities, governments would need to integrate consideration of natural disaster risks into their asset and liability modelling and management, their asset management plans and, ultimately, their long</w:t>
      </w:r>
      <w:r>
        <w:noBreakHyphen/>
        <w:t xml:space="preserve">term financial plans. This is especially important for state and local governments who own most public assets </w:t>
      </w:r>
      <w:r>
        <w:lastRenderedPageBreak/>
        <w:t>and are primarily responsible for natural disaster mitigation and recovery. For example, appropriate consideration of natural disaster risks in management and maintenance plans for road networks would involve making risk</w:t>
      </w:r>
      <w:r>
        <w:noBreakHyphen/>
        <w:t>based decisions about the location of roads, their resilience to natural disasters, and how and where they will be rebuilt if a natural disaster occurs.</w:t>
      </w:r>
    </w:p>
    <w:p w14:paraId="2614F903"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FED4C68" w14:textId="77777777" w:rsidTr="00343F3E">
        <w:tc>
          <w:tcPr>
            <w:tcW w:w="8771" w:type="dxa"/>
            <w:tcBorders>
              <w:top w:val="single" w:sz="6" w:space="0" w:color="78A22F"/>
              <w:left w:val="nil"/>
              <w:bottom w:val="nil"/>
              <w:right w:val="nil"/>
            </w:tcBorders>
            <w:shd w:val="clear" w:color="auto" w:fill="F2F2F2" w:themeFill="background1" w:themeFillShade="F2"/>
          </w:tcPr>
          <w:p w14:paraId="0DA1B6C5" w14:textId="77777777" w:rsidR="00DE1537" w:rsidRDefault="00DE1537" w:rsidP="00343F3E">
            <w:pPr>
              <w:pStyle w:val="BoxTitle"/>
            </w:pPr>
            <w:r>
              <w:rPr>
                <w:b w:val="0"/>
              </w:rPr>
              <w:t>Box 3.</w:t>
            </w:r>
            <w:r>
              <w:rPr>
                <w:b w:val="0"/>
                <w:noProof/>
              </w:rPr>
              <w:t>5</w:t>
            </w:r>
            <w:r>
              <w:tab/>
              <w:t>Asset and liability management</w:t>
            </w:r>
          </w:p>
        </w:tc>
      </w:tr>
      <w:tr w:rsidR="00DE1537" w14:paraId="60C65547" w14:textId="77777777" w:rsidTr="00343F3E">
        <w:trPr>
          <w:cantSplit/>
        </w:trPr>
        <w:tc>
          <w:tcPr>
            <w:tcW w:w="8771" w:type="dxa"/>
            <w:tcBorders>
              <w:top w:val="nil"/>
              <w:left w:val="nil"/>
              <w:bottom w:val="nil"/>
              <w:right w:val="nil"/>
            </w:tcBorders>
            <w:shd w:val="clear" w:color="auto" w:fill="F2F2F2" w:themeFill="background1" w:themeFillShade="F2"/>
          </w:tcPr>
          <w:p w14:paraId="1D98E509" w14:textId="77777777" w:rsidR="00DE1537" w:rsidRDefault="00DE1537" w:rsidP="00343F3E">
            <w:pPr>
              <w:pStyle w:val="Box"/>
            </w:pPr>
            <w:r w:rsidRPr="00C1516A">
              <w:t>Asset and liability management (ALM)</w:t>
            </w:r>
            <w:r>
              <w:t xml:space="preserve"> is an approach used by organisations to jointly manage specific factor risks to their assets and liabilities (such as changes in interest rates, inflation or asset prices) in order to achieve their financial objectives. The approach was originally developed by banks to identify and manage the risks that changes in interest rates — a key factor risk for financial institutions — would pose to their balance sheets. Over time ALM has been adopted by other organisations (including governments and superannuation funds) and the range of factor risks considered has been broadened, including to environmental, social and governance risks.</w:t>
            </w:r>
          </w:p>
          <w:p w14:paraId="0D97470A" w14:textId="1E44B3B7" w:rsidR="00DE1537" w:rsidRDefault="00DE1537" w:rsidP="00343F3E">
            <w:pPr>
              <w:pStyle w:val="Box"/>
            </w:pPr>
            <w:r>
              <w:t xml:space="preserve">Risk management techniques along these lines must be adopted by some financial institutions as a regulatory requirement. For example, the Australian Prudential Regulation Authority requires all superannuation funds to adopt a risk management framework that includes systems for identifying, assessing, mitigating and monitoring material factor risks to their operations and solvency </w:t>
            </w:r>
            <w:r w:rsidR="007C5656" w:rsidRPr="007C5656">
              <w:rPr>
                <w:rFonts w:cs="Arial"/>
                <w:szCs w:val="24"/>
              </w:rPr>
              <w:t>(APRA 2013b)</w:t>
            </w:r>
            <w:r>
              <w:t xml:space="preserve">. This includes establishing clear roles and responsibilities for managing risks. Superannuation funds are also required to articulate the risk appetite approved by their board and set investment objectives that include a risk objective </w:t>
            </w:r>
            <w:r w:rsidR="007C5656" w:rsidRPr="007C5656">
              <w:rPr>
                <w:rFonts w:cs="Arial"/>
                <w:szCs w:val="24"/>
              </w:rPr>
              <w:t>(APRA 2013c)</w:t>
            </w:r>
            <w:r>
              <w:t>. As part of this, they must measure, assess and report on factor risks, including by using sensitivity analysis. These processes increase the likelihood that they will choose investment options that align with their objectives, including risk and return.</w:t>
            </w:r>
          </w:p>
          <w:p w14:paraId="7F8D0A05" w14:textId="0F85F7CF" w:rsidR="00DE1537" w:rsidRDefault="00DE1537" w:rsidP="00343F3E">
            <w:pPr>
              <w:pStyle w:val="Box"/>
            </w:pPr>
            <w:r>
              <w:t xml:space="preserve">At a government level, ALM involves applying such principles to public finances. It entails understanding and then managing the financial risk exposure of the public sector as a whole over different time horizons to support sustainable fiscal policy and the achievement of economic policy objectives </w:t>
            </w:r>
            <w:r w:rsidRPr="00F030EE">
              <w:rPr>
                <w:rFonts w:cs="Arial"/>
                <w:szCs w:val="24"/>
              </w:rPr>
              <w:t>(Das et al. 2012; Hansen 2003)</w:t>
            </w:r>
            <w:r>
              <w:t xml:space="preserve">. This involves the coordinated assessment and treatment of a range of material factor risks across a government’s portfolio (such as population ageing and natural disasters), including identifying opportunities to diversify risks. The core objective is to maintain current levels of service delivery without needing to raise additional tax revenue </w:t>
            </w:r>
            <w:r w:rsidRPr="00A92452">
              <w:rPr>
                <w:szCs w:val="24"/>
              </w:rPr>
              <w:t>(Currie and Velandia 2002)</w:t>
            </w:r>
            <w:r>
              <w:t xml:space="preserve">. Effective ALM can assist governments to achieve a strong sovereign financial position and sustainable policy making, and to better prepare for future uncertainties and intergenerational challenges </w:t>
            </w:r>
            <w:r w:rsidRPr="00F030EE">
              <w:rPr>
                <w:rFonts w:cs="Arial"/>
                <w:szCs w:val="24"/>
              </w:rPr>
              <w:t>(Romanyuk 2010)</w:t>
            </w:r>
            <w:r>
              <w:t>.</w:t>
            </w:r>
          </w:p>
        </w:tc>
      </w:tr>
      <w:tr w:rsidR="00DE1537" w14:paraId="47F0C24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33C2818D" w14:textId="77777777" w:rsidR="00DE1537" w:rsidRDefault="00DE1537" w:rsidP="00343F3E">
            <w:pPr>
              <w:pStyle w:val="Box"/>
              <w:spacing w:before="0" w:line="120" w:lineRule="exact"/>
            </w:pPr>
          </w:p>
        </w:tc>
      </w:tr>
      <w:tr w:rsidR="00DE1537" w:rsidRPr="000863A5" w14:paraId="4B57A341" w14:textId="77777777" w:rsidTr="00343F3E">
        <w:tc>
          <w:tcPr>
            <w:tcW w:w="8771" w:type="dxa"/>
            <w:tcBorders>
              <w:top w:val="single" w:sz="6" w:space="0" w:color="78A22F"/>
              <w:left w:val="nil"/>
              <w:bottom w:val="nil"/>
              <w:right w:val="nil"/>
            </w:tcBorders>
          </w:tcPr>
          <w:p w14:paraId="7A59351D" w14:textId="77777777" w:rsidR="00DE1537" w:rsidRPr="00626D32" w:rsidRDefault="00DE1537" w:rsidP="00343F3E">
            <w:pPr>
              <w:pStyle w:val="BoxSpaceBelow"/>
            </w:pPr>
          </w:p>
        </w:tc>
      </w:tr>
    </w:tbl>
    <w:p w14:paraId="7C1EC8E7" w14:textId="77777777" w:rsidR="00DE1537" w:rsidRDefault="00DE1537" w:rsidP="00343F3E">
      <w:pPr>
        <w:pStyle w:val="BodyText"/>
      </w:pPr>
      <w:r>
        <w:t xml:space="preserve">Some inquiry participants emphasised the need for holistic risk management by governments. For example, Swiss Re (sub. 60) recommended that the Australian Government appoint a Country Risk Officer to take a holistic view of all explicit and implicit risks to the Australian Government’s balance sheet and implement strategies to manage these risks. </w:t>
      </w:r>
      <w:r w:rsidRPr="00CC3F01">
        <w:t>The Australian Business Roundtable for Disaster Resilience and Safer Communities (sub.</w:t>
      </w:r>
      <w:r>
        <w:t> </w:t>
      </w:r>
      <w:r w:rsidRPr="00CC3F01">
        <w:t xml:space="preserve">22) </w:t>
      </w:r>
      <w:r>
        <w:t>proposed that</w:t>
      </w:r>
      <w:r w:rsidRPr="00CC3F01">
        <w:t xml:space="preserve"> the Australian Government create a National Resilience Advisor to identify and fund</w:t>
      </w:r>
      <w:r>
        <w:t xml:space="preserve"> natural disaster</w:t>
      </w:r>
      <w:r w:rsidRPr="00CC3F01">
        <w:t xml:space="preserve"> mitigation needs at a national level, and to coordinate </w:t>
      </w:r>
      <w:r>
        <w:t xml:space="preserve">mitigation </w:t>
      </w:r>
      <w:r w:rsidRPr="00CC3F01">
        <w:t>activities across government</w:t>
      </w:r>
      <w:r>
        <w:t>s</w:t>
      </w:r>
      <w:r w:rsidRPr="00CC3F01">
        <w:t>, business</w:t>
      </w:r>
      <w:r>
        <w:t>es</w:t>
      </w:r>
      <w:r w:rsidRPr="00CC3F01">
        <w:t xml:space="preserve"> and </w:t>
      </w:r>
      <w:r>
        <w:t>households</w:t>
      </w:r>
      <w:r w:rsidRPr="00CC3F01">
        <w:t>.</w:t>
      </w:r>
    </w:p>
    <w:p w14:paraId="440E5362" w14:textId="769A6223" w:rsidR="00DE1537" w:rsidRDefault="00DE1537" w:rsidP="00343F3E">
      <w:pPr>
        <w:pStyle w:val="BodyText"/>
      </w:pPr>
      <w:r>
        <w:lastRenderedPageBreak/>
        <w:t xml:space="preserve">An essential part of asset and liability management is the need to take account of the community’s acceptable level of risk — the level of residual risk that taxpayers and the community are willing to accept and are prepared to pay to achieve. Since the community may be averse to risks, in some cases a lower but more certain level of wellbeing may be preferred to a higher but less certain level </w:t>
      </w:r>
      <w:r w:rsidRPr="007714F5">
        <w:rPr>
          <w:szCs w:val="24"/>
        </w:rPr>
        <w:t>(Binder 2002)</w:t>
      </w:r>
      <w:r w:rsidRPr="007714F5">
        <w:t>.</w:t>
      </w:r>
      <w:r>
        <w:t xml:space="preserve"> Equally, because risk treatment is costly, there is likely to be some level at which reducing a risk becomes so expensive that the community would not be willing to pay to reduce it further — in other words, there is an optimal level of risk that reflects community preferences.</w:t>
      </w:r>
    </w:p>
    <w:p w14:paraId="74A1AE0A" w14:textId="77777777" w:rsidR="00DE1537" w:rsidRDefault="00DE1537" w:rsidP="00343F3E">
      <w:pPr>
        <w:pStyle w:val="Heading4"/>
      </w:pPr>
      <w:r>
        <w:t>Budgeting for contingent liabilities</w:t>
      </w:r>
    </w:p>
    <w:p w14:paraId="799EB4DC" w14:textId="3F84167E" w:rsidR="00DE1537" w:rsidRDefault="00DE1537" w:rsidP="00343F3E">
      <w:pPr>
        <w:pStyle w:val="BodyText"/>
      </w:pPr>
      <w:r>
        <w:t xml:space="preserve">Natural disaster recovery costs are typically treated as a contingent liability for governments — something that could create an obligation for funding but is uncertain and not wholly under the control of the government </w:t>
      </w:r>
      <w:r w:rsidR="007C5656" w:rsidRPr="007C5656">
        <w:rPr>
          <w:szCs w:val="24"/>
        </w:rPr>
        <w:t>(OECD 2013a)</w:t>
      </w:r>
      <w:r>
        <w:t>. In this sense, contingent liabilities are a type of fiscal risk. In Australia, natural disaster contingent liabilities are typically noted in government budgets without quantification, on the basis that the fiscal costs of natural disasters can be highly volatile year to year, making it difficult to quantify the likely cost in any given future year.</w:t>
      </w:r>
      <w:r w:rsidRPr="00394C16">
        <w:t xml:space="preserve"> </w:t>
      </w:r>
      <w:r>
        <w:t>As such, they are effectively an unfunded liability of governments.</w:t>
      </w:r>
    </w:p>
    <w:p w14:paraId="588D4618" w14:textId="77777777" w:rsidR="00DE1537" w:rsidRDefault="00DE1537" w:rsidP="00343F3E">
      <w:pPr>
        <w:pStyle w:val="BodyText"/>
      </w:pPr>
      <w:r w:rsidRPr="00F55EDE">
        <w:t>Natural disaster</w:t>
      </w:r>
      <w:r>
        <w:t xml:space="preserve"> recovery costs</w:t>
      </w:r>
      <w:r w:rsidRPr="00F55EDE">
        <w:t xml:space="preserve"> can be classified as an </w:t>
      </w:r>
      <w:r w:rsidRPr="002A2BF1">
        <w:rPr>
          <w:i/>
        </w:rPr>
        <w:t xml:space="preserve">implicit </w:t>
      </w:r>
      <w:r w:rsidRPr="00F55EDE">
        <w:t xml:space="preserve">contingent liability </w:t>
      </w:r>
      <w:r>
        <w:t>—</w:t>
      </w:r>
      <w:r w:rsidRPr="00F55EDE">
        <w:t xml:space="preserve"> </w:t>
      </w:r>
      <w:r>
        <w:t>their</w:t>
      </w:r>
      <w:r w:rsidRPr="00F55EDE">
        <w:t xml:space="preserve"> existence is not based on a legal obligation of some sort, but rather</w:t>
      </w:r>
      <w:r>
        <w:t xml:space="preserve"> on</w:t>
      </w:r>
      <w:r w:rsidRPr="00F55EDE">
        <w:t xml:space="preserve"> a political or moral obligation. </w:t>
      </w:r>
      <w:r>
        <w:t>Unlike those contingent liabilities based on binding legal obligations (such as loan guarantees), there is usually no clearly defined upper limit to government liability related to natural disasters. Moreover, some natural disaster liabilities are akin to demand risks when government policy commitments create an obligation for governments to provide uncapped funding in the event of natural disasters occurring.</w:t>
      </w:r>
    </w:p>
    <w:p w14:paraId="3EC6EF65" w14:textId="31537DD5" w:rsidR="00DE1537" w:rsidRDefault="00DE1537" w:rsidP="00343F3E">
      <w:pPr>
        <w:pStyle w:val="BodyText"/>
      </w:pPr>
      <w:r>
        <w:t xml:space="preserve">The International Monetary Fund’s Government Finance Statistics guidelines do not require contingent assets or liabilities to be included in government balance sheets </w:t>
      </w:r>
      <w:r w:rsidRPr="005A35A1">
        <w:rPr>
          <w:szCs w:val="24"/>
        </w:rPr>
        <w:t>(IMF 2014)</w:t>
      </w:r>
      <w:r>
        <w:t>. However, the existence and value of contingent liabilities should be recorded in a memorandum to the budget. Not doing this explicitly can result in governments giving inadequate consideration to these liabilities in their budgetary considerations. Trade</w:t>
      </w:r>
      <w:r>
        <w:noBreakHyphen/>
        <w:t xml:space="preserve">offs with other policy priorities may not be explicitly made, and the underlying budget position may be systematically misrepresented </w:t>
      </w:r>
      <w:r w:rsidR="007C5656" w:rsidRPr="007C5656">
        <w:rPr>
          <w:szCs w:val="24"/>
        </w:rPr>
        <w:t>(OECD 2013a)</w:t>
      </w:r>
      <w:r>
        <w:t>.</w:t>
      </w:r>
    </w:p>
    <w:p w14:paraId="70DAC603" w14:textId="77777777" w:rsidR="00DE1537" w:rsidRDefault="00DE1537" w:rsidP="00343F3E">
      <w:pPr>
        <w:pStyle w:val="BodyText"/>
      </w:pPr>
      <w:r>
        <w:t>In particular, treating natural disaster recovery costs as an unquantified contingent liability would mean that no provision is made for this liability. By contrast, mitigation expenditure is an upfront cost that is subject to trade</w:t>
      </w:r>
      <w:r>
        <w:noBreakHyphen/>
        <w:t>offs with other policy priorities as well as the scrutiny that applies to the budgeting process. This creates a bias in expenditure allocation. It inevitably results in greater pressure to reduce mitigation expenditure than to reduce recovery expenditure, exacerbating the political biases that governments have to invest in recovery rather than mitigation (supplementary paper 8). It could also mean that the impact of mitigation on reducing future recovery liabilities is not fully understood and taken into account, potentially increasing costs to future generations.</w:t>
      </w:r>
    </w:p>
    <w:p w14:paraId="13EB5681" w14:textId="02F9CF36" w:rsidR="00DE1537" w:rsidRDefault="00DE1537" w:rsidP="00343F3E">
      <w:pPr>
        <w:pStyle w:val="BodyText"/>
      </w:pPr>
      <w:r>
        <w:lastRenderedPageBreak/>
        <w:t xml:space="preserve">International best practice generally involves governments explicitly acknowledging their exposure to contingent liabilities and disclosing this in their budget statements (for example, through a statement of risks), ideally with some indication of the likely magnitude and probability </w:t>
      </w:r>
      <w:r w:rsidR="007C5656" w:rsidRPr="007C5656">
        <w:rPr>
          <w:szCs w:val="24"/>
        </w:rPr>
        <w:t>(OECD 2013a)</w:t>
      </w:r>
      <w:r>
        <w:t>.</w:t>
      </w:r>
      <w:r w:rsidRPr="00E15CBE">
        <w:t xml:space="preserve"> </w:t>
      </w:r>
      <w:r>
        <w:t xml:space="preserve">Expressing this quantitatively as a range of potential outcomes can avoid the need to formulate specific point estimates, which can be misleading </w:t>
      </w:r>
      <w:r w:rsidR="007C5656" w:rsidRPr="007C5656">
        <w:rPr>
          <w:szCs w:val="24"/>
        </w:rPr>
        <w:t>(OECD 2013a)</w:t>
      </w:r>
      <w:r>
        <w:t>. In the case of natural disasters, there are several potential approaches, ranging from estimating likely costs based on probability</w:t>
      </w:r>
      <w:r>
        <w:noBreakHyphen/>
        <w:t>weighted historical experience through to more sophisticated catastrophe loss modelling.</w:t>
      </w:r>
    </w:p>
    <w:p w14:paraId="46625E9E" w14:textId="77777777" w:rsidR="00DE1537" w:rsidRDefault="00DE1537" w:rsidP="00343F3E">
      <w:pPr>
        <w:pStyle w:val="BodyText"/>
      </w:pPr>
      <w:r>
        <w:t>Disclosing contingent liabilities in these ways can improve the transparency of government decision making and improve understanding of a government’s total liabilities by making its risk appetite more explicit. Quantitative estimates can also lead to more informed trade</w:t>
      </w:r>
      <w:r>
        <w:noBreakHyphen/>
        <w:t>offs being made between natural disaster mitigation and recovery (on a current and intertemporal basis), while assisting the management of fiscal volatility. Arguably, budget framework discipline (in transparently addressing policy trade</w:t>
      </w:r>
      <w:r>
        <w:noBreakHyphen/>
        <w:t>offs and their impacts, both currently and into the future) is required to achieve this, since credit</w:t>
      </w:r>
      <w:r>
        <w:noBreakHyphen/>
        <w:t>rating agencies tend to focus on overall government liabilities in the short term rather than on the long</w:t>
      </w:r>
      <w:r>
        <w:noBreakHyphen/>
        <w:t>term balance between natural disaster mitigation and recovery.</w:t>
      </w:r>
    </w:p>
    <w:p w14:paraId="46D49F60" w14:textId="5BEB0CF1" w:rsidR="00DE1537" w:rsidRDefault="00DE1537" w:rsidP="00343F3E">
      <w:pPr>
        <w:pStyle w:val="BodyText"/>
      </w:pPr>
      <w:r>
        <w:t>For some contingent liabilities, there may be scope for governments to levy a market</w:t>
      </w:r>
      <w:r>
        <w:noBreakHyphen/>
        <w:t xml:space="preserve">based fee for providing a funding guarantee (similar to an insurance premium) </w:t>
      </w:r>
      <w:r w:rsidR="007C5656" w:rsidRPr="007C5656">
        <w:rPr>
          <w:szCs w:val="24"/>
        </w:rPr>
        <w:t>(OECD 2013a)</w:t>
      </w:r>
      <w:r>
        <w:t xml:space="preserve"> — for example, a national government levying a fee on subnational governments that receive funding in the event of a natural disaster. This can help to promote neutrality in budget decision making by requiring government decision makers to focus on the cost of providing support rather than its form, and thereby trade off government financial commitments against one another </w:t>
      </w:r>
      <w:r w:rsidR="007C5656" w:rsidRPr="007C5656">
        <w:rPr>
          <w:szCs w:val="24"/>
        </w:rPr>
        <w:t>(OECD 2013a)</w:t>
      </w:r>
      <w:r>
        <w:t>. While this approach has been raised in the context of public–private partnerships (where governments might guarantee the debt of an infrastructure owner, for example, during periods of financial market instability) and management of fiscal shocks in currency unions, the Commission is not aware of it having been used in practice</w:t>
      </w:r>
      <w:r w:rsidRPr="009F7163">
        <w:t>.</w:t>
      </w:r>
    </w:p>
    <w:p w14:paraId="65F306C1" w14:textId="77777777" w:rsidR="00DE1537" w:rsidRDefault="00DE1537" w:rsidP="00343F3E">
      <w:pPr>
        <w:pStyle w:val="Heading4"/>
      </w:pPr>
      <w:r>
        <w:t xml:space="preserve">Financing the costs of natural disasters </w:t>
      </w:r>
    </w:p>
    <w:p w14:paraId="375714FF" w14:textId="77777777" w:rsidR="00DE1537" w:rsidRDefault="00DE1537" w:rsidP="00343F3E">
      <w:pPr>
        <w:pStyle w:val="BodyText"/>
      </w:pPr>
      <w:r w:rsidRPr="00522DF9">
        <w:t xml:space="preserve">A related component of budget management is how governments finance the recovery costs of natural disasters when they occur. There are two broad options: </w:t>
      </w:r>
      <w:r>
        <w:t>drawing on provisions set</w:t>
      </w:r>
      <w:r w:rsidRPr="00522DF9">
        <w:t xml:space="preserve"> aside before disasters occur</w:t>
      </w:r>
      <w:r>
        <w:t xml:space="preserve"> (</w:t>
      </w:r>
      <w:r w:rsidRPr="00522DF9">
        <w:t>ex</w:t>
      </w:r>
      <w:r w:rsidRPr="00522DF9">
        <w:noBreakHyphen/>
        <w:t>ante financing</w:t>
      </w:r>
      <w:r>
        <w:t xml:space="preserve">), </w:t>
      </w:r>
      <w:r w:rsidRPr="00522DF9">
        <w:t>and obtaining funds if and when a disaster occurs</w:t>
      </w:r>
      <w:r>
        <w:t xml:space="preserve"> (</w:t>
      </w:r>
      <w:r w:rsidRPr="00522DF9">
        <w:t>ex</w:t>
      </w:r>
      <w:r w:rsidRPr="00522DF9">
        <w:noBreakHyphen/>
        <w:t>post financing). These both have advantages and disadvantages (table </w:t>
      </w:r>
      <w:r>
        <w:t>3.2</w:t>
      </w:r>
      <w:r w:rsidRPr="00522DF9">
        <w:t xml:space="preserve">), </w:t>
      </w:r>
      <w:r>
        <w:t>as well as</w:t>
      </w:r>
      <w:r w:rsidRPr="00522DF9">
        <w:t xml:space="preserve"> consequences for the long</w:t>
      </w:r>
      <w:r w:rsidRPr="00522DF9">
        <w:noBreakHyphen/>
        <w:t>term sustainability of government finances.</w:t>
      </w:r>
    </w:p>
    <w:p w14:paraId="398DA53C" w14:textId="76714263" w:rsidR="00DE1537" w:rsidRPr="00C30937" w:rsidRDefault="00DE1537" w:rsidP="00C30937">
      <w:pPr>
        <w:rPr>
          <w:szCs w:val="20"/>
        </w:rPr>
      </w:pPr>
      <w:r>
        <w:br w:type="page"/>
      </w:r>
      <w:r w:rsidRPr="00522DF9">
        <w:lastRenderedPageBreak/>
        <w:t>Ex</w:t>
      </w:r>
      <w:r w:rsidRPr="00522DF9">
        <w:noBreakHyphen/>
        <w:t>ante approaches essentially involve governments</w:t>
      </w:r>
      <w:r>
        <w:t xml:space="preserve"> provisioning</w:t>
      </w:r>
      <w:r w:rsidRPr="00522DF9">
        <w:t xml:space="preserve"> for natural disasters by setting aside funds to cover the contingent liability. This can involve</w:t>
      </w:r>
      <w:r>
        <w:t xml:space="preserve"> a number of different mechanisms, including:</w:t>
      </w:r>
    </w:p>
    <w:p w14:paraId="0A08C8CA" w14:textId="77777777" w:rsidR="00DE1537" w:rsidRDefault="00DE1537" w:rsidP="00343F3E">
      <w:pPr>
        <w:pStyle w:val="ListBullet"/>
      </w:pPr>
      <w:r>
        <w:t>making</w:t>
      </w:r>
      <w:r w:rsidRPr="00522DF9">
        <w:t xml:space="preserve"> a</w:t>
      </w:r>
      <w:r>
        <w:t xml:space="preserve"> provision in budgets for the potential ongoing fiscal costs arising under government policy (for example, an amount based on rolling historical average recovery costs or probability</w:t>
      </w:r>
      <w:r>
        <w:noBreakHyphen/>
        <w:t>weighted cost estimates) — this could involve appropriating a contingency reserve each year or making provisions in forward estimates</w:t>
      </w:r>
    </w:p>
    <w:p w14:paraId="0E0BA6A2" w14:textId="77777777" w:rsidR="00DE1537" w:rsidRDefault="00DE1537" w:rsidP="00343F3E">
      <w:pPr>
        <w:pStyle w:val="ListBullet"/>
      </w:pPr>
      <w:r>
        <w:t>provisioning for future catastrophic events by building up a dedicated reserve fund</w:t>
      </w:r>
    </w:p>
    <w:p w14:paraId="70043FA2" w14:textId="77777777" w:rsidR="00DE1537" w:rsidRDefault="00DE1537" w:rsidP="00343F3E">
      <w:pPr>
        <w:pStyle w:val="ListBullet"/>
      </w:pPr>
      <w:r>
        <w:t>formal self</w:t>
      </w:r>
      <w:r>
        <w:noBreakHyphen/>
        <w:t>insurance arrangements, whereby government departments and agencies are required to purchase insurance from a government</w:t>
      </w:r>
      <w:r>
        <w:noBreakHyphen/>
        <w:t>run insurance agency</w:t>
      </w:r>
    </w:p>
    <w:p w14:paraId="6E0A1F30" w14:textId="77777777" w:rsidR="00DE1537" w:rsidRDefault="00DE1537" w:rsidP="00343F3E">
      <w:pPr>
        <w:pStyle w:val="ListBullet"/>
      </w:pPr>
      <w:proofErr w:type="gramStart"/>
      <w:r>
        <w:t>commercial</w:t>
      </w:r>
      <w:proofErr w:type="gramEnd"/>
      <w:r>
        <w:t xml:space="preserve"> insurance or reinsurance, or specific instruments purchased on capital markets (such as catastrophe bonds).</w:t>
      </w:r>
    </w:p>
    <w:p w14:paraId="155B5F83" w14:textId="77777777" w:rsidR="00DE1537" w:rsidRDefault="00DE1537" w:rsidP="00343F3E">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DE1537" w14:paraId="608E7057" w14:textId="77777777" w:rsidTr="00343F3E">
        <w:tc>
          <w:tcPr>
            <w:tcW w:w="5000" w:type="pct"/>
            <w:tcBorders>
              <w:top w:val="single" w:sz="6" w:space="0" w:color="78A22F"/>
              <w:left w:val="nil"/>
              <w:bottom w:val="nil"/>
              <w:right w:val="nil"/>
            </w:tcBorders>
            <w:shd w:val="clear" w:color="auto" w:fill="auto"/>
          </w:tcPr>
          <w:p w14:paraId="6D6BEDCB" w14:textId="77777777" w:rsidR="00DE1537" w:rsidRPr="00784A05" w:rsidRDefault="00DE1537" w:rsidP="00343F3E">
            <w:pPr>
              <w:pStyle w:val="TableTitle"/>
            </w:pPr>
            <w:r>
              <w:rPr>
                <w:b w:val="0"/>
              </w:rPr>
              <w:t>Table 3.</w:t>
            </w:r>
            <w:r>
              <w:rPr>
                <w:b w:val="0"/>
                <w:noProof/>
              </w:rPr>
              <w:t>2</w:t>
            </w:r>
            <w:r>
              <w:tab/>
            </w:r>
            <w:r w:rsidRPr="0010137D">
              <w:t>Advantages and disadvantages of ex</w:t>
            </w:r>
            <w:r w:rsidRPr="0010137D">
              <w:noBreakHyphen/>
              <w:t>ante and ex</w:t>
            </w:r>
            <w:r w:rsidRPr="0010137D">
              <w:noBreakHyphen/>
              <w:t>post financing</w:t>
            </w:r>
          </w:p>
        </w:tc>
      </w:tr>
      <w:tr w:rsidR="00DE1537" w14:paraId="6FEB8FD8" w14:textId="77777777" w:rsidTr="00343F3E">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90"/>
              <w:gridCol w:w="2711"/>
              <w:gridCol w:w="2740"/>
              <w:gridCol w:w="2448"/>
            </w:tblGrid>
            <w:tr w:rsidR="00DE1537" w14:paraId="353F9EB3" w14:textId="77777777" w:rsidTr="00343F3E">
              <w:tc>
                <w:tcPr>
                  <w:tcW w:w="421" w:type="pct"/>
                  <w:tcBorders>
                    <w:top w:val="single" w:sz="6" w:space="0" w:color="BFBFBF" w:themeColor="background2"/>
                    <w:bottom w:val="single" w:sz="6" w:space="0" w:color="BFBFBF" w:themeColor="background2"/>
                  </w:tcBorders>
                  <w:shd w:val="clear" w:color="auto" w:fill="auto"/>
                  <w:tcMar>
                    <w:top w:w="28" w:type="dxa"/>
                  </w:tcMar>
                </w:tcPr>
                <w:p w14:paraId="5378B383" w14:textId="77777777" w:rsidR="00DE1537" w:rsidRDefault="00DE1537" w:rsidP="00343F3E">
                  <w:pPr>
                    <w:pStyle w:val="TableColumnHeading"/>
                    <w:jc w:val="left"/>
                  </w:pPr>
                  <w:r>
                    <w:t>Approach</w:t>
                  </w:r>
                </w:p>
              </w:tc>
              <w:tc>
                <w:tcPr>
                  <w:tcW w:w="1571" w:type="pct"/>
                  <w:tcBorders>
                    <w:top w:val="single" w:sz="6" w:space="0" w:color="BFBFBF" w:themeColor="background2"/>
                    <w:bottom w:val="single" w:sz="6" w:space="0" w:color="BFBFBF" w:themeColor="background2"/>
                  </w:tcBorders>
                </w:tcPr>
                <w:p w14:paraId="588B96BC" w14:textId="77777777" w:rsidR="00DE1537" w:rsidRDefault="00DE1537" w:rsidP="00343F3E">
                  <w:pPr>
                    <w:pStyle w:val="TableColumnHeading"/>
                    <w:jc w:val="left"/>
                  </w:pPr>
                  <w:r>
                    <w:t>Examples</w:t>
                  </w:r>
                </w:p>
              </w:tc>
              <w:tc>
                <w:tcPr>
                  <w:tcW w:w="1587" w:type="pct"/>
                  <w:tcBorders>
                    <w:top w:val="single" w:sz="6" w:space="0" w:color="BFBFBF" w:themeColor="background2"/>
                    <w:bottom w:val="single" w:sz="6" w:space="0" w:color="BFBFBF" w:themeColor="background2"/>
                  </w:tcBorders>
                  <w:shd w:val="clear" w:color="auto" w:fill="auto"/>
                  <w:tcMar>
                    <w:top w:w="28" w:type="dxa"/>
                  </w:tcMar>
                </w:tcPr>
                <w:p w14:paraId="7E228495" w14:textId="77777777" w:rsidR="00DE1537" w:rsidRDefault="00DE1537" w:rsidP="00343F3E">
                  <w:pPr>
                    <w:pStyle w:val="TableColumnHeading"/>
                    <w:jc w:val="left"/>
                  </w:pPr>
                  <w:r>
                    <w:t>Advantages</w:t>
                  </w:r>
                </w:p>
              </w:tc>
              <w:tc>
                <w:tcPr>
                  <w:tcW w:w="1421" w:type="pct"/>
                  <w:tcBorders>
                    <w:top w:val="single" w:sz="6" w:space="0" w:color="BFBFBF" w:themeColor="background2"/>
                    <w:bottom w:val="single" w:sz="6" w:space="0" w:color="BFBFBF" w:themeColor="background2"/>
                  </w:tcBorders>
                  <w:shd w:val="clear" w:color="auto" w:fill="auto"/>
                  <w:tcMar>
                    <w:top w:w="28" w:type="dxa"/>
                  </w:tcMar>
                </w:tcPr>
                <w:p w14:paraId="0D45439D" w14:textId="77777777" w:rsidR="00DE1537" w:rsidRDefault="00DE1537" w:rsidP="00343F3E">
                  <w:pPr>
                    <w:pStyle w:val="TableColumnHeading"/>
                    <w:ind w:right="28"/>
                    <w:jc w:val="left"/>
                  </w:pPr>
                  <w:r>
                    <w:t>Disadvantages</w:t>
                  </w:r>
                </w:p>
              </w:tc>
            </w:tr>
            <w:tr w:rsidR="00DE1537" w14:paraId="72A7A286" w14:textId="77777777" w:rsidTr="00343F3E">
              <w:tc>
                <w:tcPr>
                  <w:tcW w:w="421" w:type="pct"/>
                  <w:tcBorders>
                    <w:top w:val="single" w:sz="6" w:space="0" w:color="BFBFBF" w:themeColor="background2"/>
                  </w:tcBorders>
                  <w:shd w:val="clear" w:color="auto" w:fill="F2F2F2" w:themeFill="background1" w:themeFillShade="F2"/>
                </w:tcPr>
                <w:p w14:paraId="64B80980" w14:textId="77777777" w:rsidR="00DE1537" w:rsidRPr="00946E25" w:rsidRDefault="00DE1537" w:rsidP="00343F3E">
                  <w:pPr>
                    <w:pStyle w:val="TableBodyText"/>
                    <w:jc w:val="left"/>
                  </w:pPr>
                  <w:r w:rsidRPr="00946E25">
                    <w:t>Ex ante</w:t>
                  </w:r>
                </w:p>
              </w:tc>
              <w:tc>
                <w:tcPr>
                  <w:tcW w:w="1571" w:type="pct"/>
                  <w:tcBorders>
                    <w:top w:val="single" w:sz="6" w:space="0" w:color="BFBFBF" w:themeColor="background2"/>
                  </w:tcBorders>
                  <w:shd w:val="clear" w:color="auto" w:fill="F2F2F2" w:themeFill="background1" w:themeFillShade="F2"/>
                </w:tcPr>
                <w:p w14:paraId="0351507D" w14:textId="77777777" w:rsidR="00DE1537" w:rsidRDefault="00DE1537" w:rsidP="00343F3E">
                  <w:pPr>
                    <w:pStyle w:val="TableBullet"/>
                  </w:pPr>
                  <w:r>
                    <w:t>Drawing on provisions set aside in reserve funds</w:t>
                  </w:r>
                </w:p>
                <w:p w14:paraId="61898ED8" w14:textId="77777777" w:rsidR="00DE1537" w:rsidRDefault="00DE1537" w:rsidP="00343F3E">
                  <w:pPr>
                    <w:pStyle w:val="TableBullet"/>
                  </w:pPr>
                  <w:r>
                    <w:t>Drawing on funds provisioned in budgets for natural disaster costs (for example, based on historical averages)</w:t>
                  </w:r>
                </w:p>
                <w:p w14:paraId="7539E097" w14:textId="77777777" w:rsidR="00DE1537" w:rsidRDefault="00DE1537" w:rsidP="00343F3E">
                  <w:pPr>
                    <w:pStyle w:val="TableBullet"/>
                  </w:pPr>
                  <w:r>
                    <w:t>Self</w:t>
                  </w:r>
                  <w:r>
                    <w:noBreakHyphen/>
                    <w:t>insurance schemes</w:t>
                  </w:r>
                </w:p>
                <w:p w14:paraId="4869F5D1" w14:textId="77777777" w:rsidR="00DE1537" w:rsidRDefault="00DE1537" w:rsidP="00343F3E">
                  <w:pPr>
                    <w:pStyle w:val="TableBullet"/>
                  </w:pPr>
                  <w:r>
                    <w:t>Commercial (re)insurance</w:t>
                  </w:r>
                </w:p>
              </w:tc>
              <w:tc>
                <w:tcPr>
                  <w:tcW w:w="1587" w:type="pct"/>
                  <w:tcBorders>
                    <w:top w:val="single" w:sz="6" w:space="0" w:color="BFBFBF" w:themeColor="background2"/>
                  </w:tcBorders>
                  <w:shd w:val="clear" w:color="auto" w:fill="F2F2F2" w:themeFill="background1" w:themeFillShade="F2"/>
                </w:tcPr>
                <w:p w14:paraId="24084199" w14:textId="77777777" w:rsidR="00DE1537" w:rsidRDefault="00DE1537" w:rsidP="00343F3E">
                  <w:pPr>
                    <w:pStyle w:val="TableBullet"/>
                  </w:pPr>
                  <w:r>
                    <w:t>Reduced fiscal impact when disasters occur</w:t>
                  </w:r>
                </w:p>
                <w:p w14:paraId="6BC948EC" w14:textId="77777777" w:rsidR="00DE1537" w:rsidRDefault="00DE1537" w:rsidP="00343F3E">
                  <w:pPr>
                    <w:pStyle w:val="TableBullet"/>
                  </w:pPr>
                  <w:r>
                    <w:t>Lower fiscal volatility</w:t>
                  </w:r>
                </w:p>
                <w:p w14:paraId="23FF645F" w14:textId="77777777" w:rsidR="00DE1537" w:rsidRDefault="00DE1537" w:rsidP="00343F3E">
                  <w:pPr>
                    <w:pStyle w:val="TableBullet"/>
                  </w:pPr>
                  <w:r>
                    <w:t>Incentive to explicitly trade off mitigation and recovery, including intertemporal impacts (neutrality)</w:t>
                  </w:r>
                </w:p>
              </w:tc>
              <w:tc>
                <w:tcPr>
                  <w:tcW w:w="1421" w:type="pct"/>
                  <w:tcBorders>
                    <w:top w:val="single" w:sz="6" w:space="0" w:color="BFBFBF" w:themeColor="background2"/>
                  </w:tcBorders>
                  <w:shd w:val="clear" w:color="auto" w:fill="F2F2F2" w:themeFill="background1" w:themeFillShade="F2"/>
                </w:tcPr>
                <w:p w14:paraId="17BA53E0" w14:textId="77777777" w:rsidR="00DE1537" w:rsidRDefault="00DE1537" w:rsidP="00343F3E">
                  <w:pPr>
                    <w:pStyle w:val="TableBullet"/>
                  </w:pPr>
                  <w:r>
                    <w:t>Reserve funds can have high opportunity costs</w:t>
                  </w:r>
                </w:p>
                <w:p w14:paraId="6230772A" w14:textId="77777777" w:rsidR="00DE1537" w:rsidRDefault="00DE1537" w:rsidP="00343F3E">
                  <w:pPr>
                    <w:pStyle w:val="TableBullet"/>
                  </w:pPr>
                  <w:r>
                    <w:t>Incentives to divert funds to other uses</w:t>
                  </w:r>
                </w:p>
                <w:p w14:paraId="78586856" w14:textId="77777777" w:rsidR="00DE1537" w:rsidRDefault="00DE1537" w:rsidP="00343F3E">
                  <w:pPr>
                    <w:pStyle w:val="TableBullet"/>
                  </w:pPr>
                  <w:r>
                    <w:t>Insurance can be costly</w:t>
                  </w:r>
                </w:p>
              </w:tc>
            </w:tr>
            <w:tr w:rsidR="00DE1537" w14:paraId="37A0A8DD" w14:textId="77777777" w:rsidTr="00343F3E">
              <w:tc>
                <w:tcPr>
                  <w:tcW w:w="421" w:type="pct"/>
                  <w:tcBorders>
                    <w:bottom w:val="single" w:sz="6" w:space="0" w:color="C8C8C8"/>
                  </w:tcBorders>
                  <w:shd w:val="clear" w:color="auto" w:fill="auto"/>
                </w:tcPr>
                <w:p w14:paraId="2412F57A" w14:textId="77777777" w:rsidR="00DE1537" w:rsidRPr="00946E25" w:rsidRDefault="00DE1537" w:rsidP="00343F3E">
                  <w:pPr>
                    <w:pStyle w:val="TableBodyText"/>
                    <w:jc w:val="left"/>
                  </w:pPr>
                  <w:r w:rsidRPr="00946E25">
                    <w:t>Ex post</w:t>
                  </w:r>
                </w:p>
              </w:tc>
              <w:tc>
                <w:tcPr>
                  <w:tcW w:w="1571" w:type="pct"/>
                  <w:tcBorders>
                    <w:bottom w:val="single" w:sz="6" w:space="0" w:color="C8C8C8"/>
                  </w:tcBorders>
                </w:tcPr>
                <w:p w14:paraId="06601A79" w14:textId="77777777" w:rsidR="00DE1537" w:rsidRDefault="00DE1537" w:rsidP="00343F3E">
                  <w:pPr>
                    <w:pStyle w:val="TableBullet"/>
                  </w:pPr>
                  <w:r>
                    <w:t>Budget reallocation</w:t>
                  </w:r>
                </w:p>
                <w:p w14:paraId="2FE43C92" w14:textId="77777777" w:rsidR="00DE1537" w:rsidRDefault="00DE1537" w:rsidP="00343F3E">
                  <w:pPr>
                    <w:pStyle w:val="TableBullet"/>
                  </w:pPr>
                  <w:r>
                    <w:t>Taxation</w:t>
                  </w:r>
                </w:p>
                <w:p w14:paraId="61F471BF" w14:textId="77777777" w:rsidR="00DE1537" w:rsidRDefault="00DE1537" w:rsidP="00343F3E">
                  <w:pPr>
                    <w:pStyle w:val="TableBullet"/>
                  </w:pPr>
                  <w:r>
                    <w:t>Debt financing</w:t>
                  </w:r>
                </w:p>
              </w:tc>
              <w:tc>
                <w:tcPr>
                  <w:tcW w:w="1587" w:type="pct"/>
                  <w:tcBorders>
                    <w:bottom w:val="single" w:sz="6" w:space="0" w:color="C8C8C8"/>
                  </w:tcBorders>
                  <w:shd w:val="clear" w:color="auto" w:fill="auto"/>
                </w:tcPr>
                <w:p w14:paraId="79BC9BE0" w14:textId="77777777" w:rsidR="00DE1537" w:rsidRDefault="00DE1537" w:rsidP="00343F3E">
                  <w:pPr>
                    <w:pStyle w:val="TableBullet"/>
                  </w:pPr>
                  <w:r>
                    <w:t>Potentially lower opportunity costs</w:t>
                  </w:r>
                </w:p>
                <w:p w14:paraId="53B4EB5E" w14:textId="77777777" w:rsidR="00DE1537" w:rsidRDefault="00DE1537" w:rsidP="00343F3E">
                  <w:pPr>
                    <w:pStyle w:val="TableBullet"/>
                  </w:pPr>
                  <w:r>
                    <w:t>Lower administrative costs</w:t>
                  </w:r>
                </w:p>
              </w:tc>
              <w:tc>
                <w:tcPr>
                  <w:tcW w:w="1421" w:type="pct"/>
                  <w:tcBorders>
                    <w:bottom w:val="single" w:sz="6" w:space="0" w:color="C8C8C8"/>
                  </w:tcBorders>
                  <w:shd w:val="clear" w:color="auto" w:fill="auto"/>
                </w:tcPr>
                <w:p w14:paraId="5EB64CE3" w14:textId="77777777" w:rsidR="00DE1537" w:rsidRDefault="00DE1537" w:rsidP="00343F3E">
                  <w:pPr>
                    <w:pStyle w:val="TableBullet"/>
                  </w:pPr>
                  <w:r>
                    <w:t>Sudden need for funds can be costly, leading to fiscal volatility</w:t>
                  </w:r>
                </w:p>
                <w:p w14:paraId="12B09535" w14:textId="77777777" w:rsidR="00DE1537" w:rsidRDefault="00DE1537" w:rsidP="00343F3E">
                  <w:pPr>
                    <w:pStyle w:val="TableBullet"/>
                  </w:pPr>
                  <w:r>
                    <w:t>Can reduce incentives to holistically manage risk (compromising neutrality)</w:t>
                  </w:r>
                </w:p>
                <w:p w14:paraId="1B58C595" w14:textId="77777777" w:rsidR="00DE1537" w:rsidRDefault="00DE1537" w:rsidP="00343F3E">
                  <w:pPr>
                    <w:pStyle w:val="TableBullet"/>
                  </w:pPr>
                  <w:r>
                    <w:t>Less transparent</w:t>
                  </w:r>
                </w:p>
              </w:tc>
            </w:tr>
          </w:tbl>
          <w:p w14:paraId="297B07EB" w14:textId="77777777" w:rsidR="00DE1537" w:rsidRDefault="00DE1537" w:rsidP="00343F3E">
            <w:pPr>
              <w:pStyle w:val="Box"/>
            </w:pPr>
          </w:p>
        </w:tc>
      </w:tr>
      <w:tr w:rsidR="00DE1537" w14:paraId="2F0DD164" w14:textId="77777777" w:rsidTr="00343F3E">
        <w:trPr>
          <w:cantSplit/>
        </w:trPr>
        <w:tc>
          <w:tcPr>
            <w:tcW w:w="5000" w:type="pct"/>
            <w:tcBorders>
              <w:top w:val="nil"/>
              <w:left w:val="nil"/>
              <w:bottom w:val="nil"/>
              <w:right w:val="nil"/>
            </w:tcBorders>
            <w:shd w:val="clear" w:color="auto" w:fill="auto"/>
          </w:tcPr>
          <w:p w14:paraId="3AFA4AA1" w14:textId="3680ABFC" w:rsidR="00DE1537" w:rsidRDefault="00DE1537" w:rsidP="00343F3E">
            <w:pPr>
              <w:pStyle w:val="Source"/>
            </w:pPr>
            <w:r>
              <w:rPr>
                <w:i/>
              </w:rPr>
              <w:t>Sources</w:t>
            </w:r>
            <w:r>
              <w:t xml:space="preserve">: G20 and OECD </w:t>
            </w:r>
            <w:r w:rsidRPr="00207EBB">
              <w:rPr>
                <w:rFonts w:cs="Arial"/>
              </w:rPr>
              <w:t>(2012)</w:t>
            </w:r>
            <w:r>
              <w:t xml:space="preserve">; OECD </w:t>
            </w:r>
            <w:r w:rsidR="007C5656" w:rsidRPr="007C5656">
              <w:rPr>
                <w:rFonts w:cs="Arial"/>
              </w:rPr>
              <w:t>(2008, 2013a, 2014)</w:t>
            </w:r>
            <w:r>
              <w:t xml:space="preserve">; Phaup and Kirschner </w:t>
            </w:r>
            <w:r w:rsidRPr="00207EBB">
              <w:rPr>
                <w:rFonts w:cs="Arial"/>
              </w:rPr>
              <w:t>(2010)</w:t>
            </w:r>
            <w:r>
              <w:t>.</w:t>
            </w:r>
          </w:p>
        </w:tc>
      </w:tr>
      <w:tr w:rsidR="00DE1537" w14:paraId="25E42ACB" w14:textId="77777777" w:rsidTr="00343F3E">
        <w:trPr>
          <w:cantSplit/>
        </w:trPr>
        <w:tc>
          <w:tcPr>
            <w:tcW w:w="5000" w:type="pct"/>
            <w:tcBorders>
              <w:top w:val="nil"/>
              <w:left w:val="nil"/>
              <w:bottom w:val="single" w:sz="6" w:space="0" w:color="78A22F"/>
              <w:right w:val="nil"/>
            </w:tcBorders>
            <w:shd w:val="clear" w:color="auto" w:fill="auto"/>
          </w:tcPr>
          <w:p w14:paraId="4026A712" w14:textId="77777777" w:rsidR="00DE1537" w:rsidRDefault="00DE1537" w:rsidP="00343F3E">
            <w:pPr>
              <w:pStyle w:val="Box"/>
              <w:spacing w:before="0" w:line="120" w:lineRule="exact"/>
            </w:pPr>
          </w:p>
        </w:tc>
      </w:tr>
      <w:tr w:rsidR="00DE1537" w:rsidRPr="000863A5" w14:paraId="6B102766" w14:textId="77777777" w:rsidTr="00343F3E">
        <w:tc>
          <w:tcPr>
            <w:tcW w:w="5000" w:type="pct"/>
            <w:tcBorders>
              <w:top w:val="single" w:sz="6" w:space="0" w:color="78A22F"/>
              <w:left w:val="nil"/>
              <w:bottom w:val="nil"/>
              <w:right w:val="nil"/>
            </w:tcBorders>
          </w:tcPr>
          <w:p w14:paraId="3D4A6BA3" w14:textId="77777777" w:rsidR="00DE1537" w:rsidRPr="00626D32" w:rsidRDefault="00DE1537" w:rsidP="00343F3E">
            <w:pPr>
              <w:pStyle w:val="BoxSpaceBelow"/>
            </w:pPr>
          </w:p>
        </w:tc>
      </w:tr>
    </w:tbl>
    <w:p w14:paraId="65C4766E" w14:textId="24D2DAF2" w:rsidR="00DE1537" w:rsidRDefault="00DE1537" w:rsidP="00343F3E">
      <w:pPr>
        <w:pStyle w:val="BodyText"/>
      </w:pPr>
      <w:r>
        <w:t xml:space="preserve">Setting aside funds before disasters occur has several advantages. A ready supply of funds can reduce the shock to government budgets when disasters </w:t>
      </w:r>
      <w:proofErr w:type="gramStart"/>
      <w:r>
        <w:t>occur,</w:t>
      </w:r>
      <w:proofErr w:type="gramEnd"/>
      <w:r>
        <w:t xml:space="preserve"> limiting the need to reallocate funding from other areas or to raise taxes </w:t>
      </w:r>
      <w:r w:rsidRPr="000A0DDE">
        <w:rPr>
          <w:szCs w:val="24"/>
        </w:rPr>
        <w:t>(G20 and OECD 2012)</w:t>
      </w:r>
      <w:r>
        <w:t xml:space="preserve">. It also gives governments a clear incentive to invest in mitigation measures that would reduce the annual disaster provision and improve budget balance estimates — that is, there would be neutrality in how natural disaster costs are treated in the budget </w:t>
      </w:r>
      <w:r w:rsidR="007C5656" w:rsidRPr="007C5656">
        <w:rPr>
          <w:szCs w:val="24"/>
        </w:rPr>
        <w:t>(OECD 2013a)</w:t>
      </w:r>
      <w:r>
        <w:t>.</w:t>
      </w:r>
    </w:p>
    <w:p w14:paraId="3D0035E6" w14:textId="6C2CFB21" w:rsidR="00DE1537" w:rsidRDefault="00DE1537" w:rsidP="00343F3E">
      <w:pPr>
        <w:pStyle w:val="BodyText"/>
      </w:pPr>
      <w:r w:rsidRPr="00522DF9">
        <w:t>The main disadvantage of ex</w:t>
      </w:r>
      <w:r w:rsidRPr="00522DF9">
        <w:noBreakHyphen/>
        <w:t>ante approaches is that the funds set aside can have high</w:t>
      </w:r>
      <w:r>
        <w:t xml:space="preserve"> opportunity costs, especially for reserve funds as they become large </w:t>
      </w:r>
      <w:r w:rsidRPr="005967B1">
        <w:rPr>
          <w:szCs w:val="24"/>
        </w:rPr>
        <w:t>(OECD 2014)</w:t>
      </w:r>
      <w:r>
        <w:t xml:space="preserve">. In the absence of strong safeguards, governments might seek to divert funds to other uses, </w:t>
      </w:r>
      <w:r>
        <w:lastRenderedPageBreak/>
        <w:t xml:space="preserve">especially where contingent liabilities are implicit and not based on articulated policy or legal contracts </w:t>
      </w:r>
      <w:r w:rsidRPr="004614BE">
        <w:rPr>
          <w:szCs w:val="24"/>
        </w:rPr>
        <w:t>(Phaup and Kirschner 2010)</w:t>
      </w:r>
      <w:r>
        <w:t>. Further, once a disaster occurs, funds may not be sufficient to cover a government’s disaster</w:t>
      </w:r>
      <w:r>
        <w:noBreakHyphen/>
        <w:t>related liabilities. This has been the case in several countries around the world (supplementary paper 8).</w:t>
      </w:r>
    </w:p>
    <w:p w14:paraId="4C208D86" w14:textId="77777777" w:rsidR="00DE1537" w:rsidRDefault="00DE1537" w:rsidP="00343F3E">
      <w:pPr>
        <w:pStyle w:val="BodyText"/>
      </w:pPr>
      <w:r>
        <w:t>Commercial insurance can also be costly for governments, such as when high premiums are charged to reflect uncertainty about the level and type of risk faced. There is also the risk that catastrophic disasters elsewhere result in the insurer going insolvent. And in some cases markets may not be willing to provide insurance or reinsurance for governments due to the nature and extent of the risks (supplementary paper 5).</w:t>
      </w:r>
    </w:p>
    <w:p w14:paraId="17E226C6" w14:textId="5ED1602B" w:rsidR="00DE1537" w:rsidRPr="00522DF9" w:rsidRDefault="00DE1537" w:rsidP="00343F3E">
      <w:pPr>
        <w:pStyle w:val="BodyText"/>
      </w:pPr>
      <w:r w:rsidRPr="00522DF9">
        <w:t>For these reasons, governments often adopt ex</w:t>
      </w:r>
      <w:r w:rsidRPr="00522DF9">
        <w:noBreakHyphen/>
        <w:t>post financing. This can involve budget reallocations (such as bringing forward investment, diverting funds away from other planned investments</w:t>
      </w:r>
      <w:r>
        <w:t xml:space="preserve"> or increasing taxes</w:t>
      </w:r>
      <w:r w:rsidRPr="00522DF9">
        <w:t>)</w:t>
      </w:r>
      <w:r>
        <w:t xml:space="preserve"> or</w:t>
      </w:r>
      <w:r w:rsidRPr="00522DF9">
        <w:t xml:space="preserve"> debt financing (borrowing) </w:t>
      </w:r>
      <w:r w:rsidRPr="00522DF9">
        <w:rPr>
          <w:szCs w:val="24"/>
        </w:rPr>
        <w:t>(OECD 2014; Queensland Government, sub. 31)</w:t>
      </w:r>
      <w:r w:rsidRPr="00522DF9">
        <w:t xml:space="preserve">. The main advantage of this approach is that it </w:t>
      </w:r>
      <w:r>
        <w:t xml:space="preserve">can </w:t>
      </w:r>
      <w:r w:rsidRPr="00522DF9">
        <w:t>impose lower opportunity costs on the economy than ex</w:t>
      </w:r>
      <w:r w:rsidRPr="00522DF9">
        <w:noBreakHyphen/>
        <w:t xml:space="preserve">ante methods, especially when large risks are very rare </w:t>
      </w:r>
      <w:r w:rsidRPr="00522DF9">
        <w:rPr>
          <w:szCs w:val="24"/>
        </w:rPr>
        <w:t>(G20 and OECD 2012; OECD 2008)</w:t>
      </w:r>
      <w:r w:rsidRPr="00522DF9">
        <w:t>. Ex</w:t>
      </w:r>
      <w:r w:rsidRPr="00522DF9">
        <w:noBreakHyphen/>
        <w:t>post financing tends to be more common in countries that are able to diversify their residual risks over a large population or area, and for which the potential costs of natural disaster</w:t>
      </w:r>
      <w:r>
        <w:t>s</w:t>
      </w:r>
      <w:r w:rsidRPr="00522DF9">
        <w:t xml:space="preserve"> are likely to be small relative to GDP (supplementary paper </w:t>
      </w:r>
      <w:r>
        <w:t>8</w:t>
      </w:r>
      <w:r w:rsidRPr="00522DF9">
        <w:t>).</w:t>
      </w:r>
    </w:p>
    <w:p w14:paraId="59F62C48" w14:textId="77777777" w:rsidR="00DE1537" w:rsidRDefault="00DE1537" w:rsidP="00343F3E">
      <w:pPr>
        <w:pStyle w:val="BodyText"/>
      </w:pPr>
      <w:r>
        <w:t>However, the need to quickly raise funds can also be costly or have negative distributional impacts when funds need to be reallocated from elsewhere in the budget or taxes need to be raised. Changes in global capital markets can make funds expensive or difficult to obtain. And, as noted above, when future natural disaster costs are treated as an unquantified and unfunded contingent liability, governments face weaker incentives to allocate funding to mitigation.</w:t>
      </w:r>
    </w:p>
    <w:p w14:paraId="540DA264" w14:textId="73FE6AD1" w:rsidR="00DE1537" w:rsidRDefault="00DE1537" w:rsidP="00343F3E">
      <w:pPr>
        <w:pStyle w:val="BodyText"/>
      </w:pPr>
      <w:r w:rsidRPr="00522DF9">
        <w:t xml:space="preserve">In practice, the optimal approach for a </w:t>
      </w:r>
      <w:r>
        <w:t>government</w:t>
      </w:r>
      <w:r w:rsidRPr="00522DF9">
        <w:t xml:space="preserve"> will </w:t>
      </w:r>
      <w:r>
        <w:t>typically</w:t>
      </w:r>
      <w:r w:rsidRPr="00522DF9">
        <w:t xml:space="preserve"> consist of provisioning for some risks ex ante (those that are more frequent and predictable), and choosing to bear others ex post (rarer but potentially more catastrophic risks). The balance between</w:t>
      </w:r>
      <w:r>
        <w:t xml:space="preserve"> these will depend on a government’s circumstances, such as its size, risk appetite, funding arrangements with other levels of government, and ability to access financial markets.</w:t>
      </w:r>
      <w:r w:rsidRPr="001712CE">
        <w:t xml:space="preserve"> </w:t>
      </w:r>
      <w:r>
        <w:t xml:space="preserve">For example, a government might undertake a thorough risk assessment and decide to obtain insurance up to a cap, with any excess costs arising from a natural disaster financed through borrowing or drawing on reserves </w:t>
      </w:r>
      <w:r w:rsidRPr="00C30179">
        <w:rPr>
          <w:szCs w:val="24"/>
        </w:rPr>
        <w:t>(NZOAG 2013)</w:t>
      </w:r>
      <w:r>
        <w:t>. Importantly, the approach ultimately selected requires articulation of a risk appetite and transparency around the decision making and trade</w:t>
      </w:r>
      <w:r>
        <w:noBreakHyphen/>
        <w:t>offs taken.</w:t>
      </w:r>
    </w:p>
    <w:p w14:paraId="2A1BC72C" w14:textId="77777777" w:rsidR="00DE1537" w:rsidRDefault="00DE1537" w:rsidP="00343F3E">
      <w:pPr>
        <w:pStyle w:val="BodyText"/>
      </w:pPr>
    </w:p>
    <w:p w14:paraId="06B4AB98" w14:textId="77777777" w:rsidR="00DE1537" w:rsidRDefault="00DE1537" w:rsidP="00343F3E">
      <w:pPr>
        <w:pStyle w:val="Heading2"/>
      </w:pPr>
      <w:bookmarkStart w:id="56" w:name="_Toc406424326"/>
      <w:r>
        <w:lastRenderedPageBreak/>
        <w:t>3.</w:t>
      </w:r>
      <w:r>
        <w:rPr>
          <w:noProof/>
        </w:rPr>
        <w:t>6</w:t>
      </w:r>
      <w:r>
        <w:tab/>
        <w:t>Reducing impediments to effective natural disaster risk management</w:t>
      </w:r>
      <w:bookmarkEnd w:id="56"/>
    </w:p>
    <w:p w14:paraId="5C279A11" w14:textId="77777777" w:rsidR="00DE1537" w:rsidRDefault="00DE1537" w:rsidP="00343F3E">
      <w:pPr>
        <w:pStyle w:val="BodyText"/>
      </w:pPr>
      <w:r>
        <w:t>As noted in section 3.4, there can be scope for governments to reduce some of the impediments to effective risk management by households, businesses and communities, as long as intervention leaves the community better off overall. There are three main areas in which government policy can influence private management of natural disaster risks.</w:t>
      </w:r>
    </w:p>
    <w:p w14:paraId="764E72B0" w14:textId="77777777" w:rsidR="00DE1537" w:rsidRDefault="00DE1537" w:rsidP="00343F3E">
      <w:pPr>
        <w:pStyle w:val="ListBullet"/>
      </w:pPr>
      <w:r>
        <w:t>Reallocating risks to different parties (risk ownership).</w:t>
      </w:r>
    </w:p>
    <w:p w14:paraId="3A92B516" w14:textId="77777777" w:rsidR="00DE1537" w:rsidRDefault="00DE1537" w:rsidP="00343F3E">
      <w:pPr>
        <w:pStyle w:val="ListBullet"/>
      </w:pPr>
      <w:r>
        <w:t>Providing public</w:t>
      </w:r>
      <w:r>
        <w:noBreakHyphen/>
        <w:t xml:space="preserve">good information and communicating it in an appropriate way (risk understanding). </w:t>
      </w:r>
    </w:p>
    <w:p w14:paraId="2939DD18" w14:textId="77777777" w:rsidR="00DE1537" w:rsidRDefault="00DE1537" w:rsidP="00343F3E">
      <w:pPr>
        <w:pStyle w:val="ListBullet"/>
      </w:pPr>
      <w:r>
        <w:t>Effective regulation of land use planning, building, insurance and other sectors (risk treatment).</w:t>
      </w:r>
    </w:p>
    <w:p w14:paraId="2BE39BDD" w14:textId="77777777" w:rsidR="00DE1537" w:rsidRDefault="00DE1537" w:rsidP="00343F3E">
      <w:pPr>
        <w:pStyle w:val="BodyText"/>
      </w:pPr>
      <w:r>
        <w:t>Governments can also facilitate effective risk management more broadly by supporting a resilient community and economy.</w:t>
      </w:r>
    </w:p>
    <w:p w14:paraId="55DF4553" w14:textId="77777777" w:rsidR="00DE1537" w:rsidRDefault="00DE1537" w:rsidP="00343F3E">
      <w:pPr>
        <w:pStyle w:val="Heading3"/>
      </w:pPr>
      <w:r>
        <w:t>Risk ownership</w:t>
      </w:r>
    </w:p>
    <w:p w14:paraId="71736B66" w14:textId="77777777" w:rsidR="00DE1537" w:rsidRDefault="00DE1537" w:rsidP="00343F3E">
      <w:pPr>
        <w:pStyle w:val="BodyText"/>
      </w:pPr>
      <w:r>
        <w:t>A key principle in this paper is that asset owners are usually best placed to manage risks to their property. Aligning ‘risk ownership’ with asset ownership would mean that the beneficiaries of natural disaster risk management also incur the costs. When asset ownership is clearly defined and enforced, the prices of assets in competitive markets would reflect the level of risk faced. Assets facing higher risk from natural disasters would have lower prices (all else equal), because owning the asset would involve taking responsibility for future costs or damage to the asset arising from natural disasters.</w:t>
      </w:r>
    </w:p>
    <w:p w14:paraId="73EC179F" w14:textId="08B206AE" w:rsidR="00DE1537" w:rsidRDefault="00DE1537" w:rsidP="00343F3E">
      <w:pPr>
        <w:pStyle w:val="BodyText"/>
      </w:pPr>
      <w:r>
        <w:t xml:space="preserve">A core element of risk ownership is taking responsibility for funding risk. This refers to paying for risk treatment measures such as mitigation or insurance (as distinct from </w:t>
      </w:r>
      <w:r>
        <w:rPr>
          <w:i/>
        </w:rPr>
        <w:t>financing</w:t>
      </w:r>
      <w:r>
        <w:t xml:space="preserve"> risk, which refers to the provision of upfront capital, for example, in the form of insurance payouts). This can involve a risk owner choosing to transfer the financial risk to someone else for a price (for example, by purchasing insurance). Risk transfer can be beneficial where another party is better placed to monitor or reduce exposure to the risk, spread the risk among a number of people, or bear the costs when a disaster occurs </w:t>
      </w:r>
      <w:r w:rsidRPr="0008342B">
        <w:rPr>
          <w:szCs w:val="24"/>
        </w:rPr>
        <w:t>(Moss 2002)</w:t>
      </w:r>
      <w:r>
        <w:t>.</w:t>
      </w:r>
    </w:p>
    <w:p w14:paraId="43531A6F" w14:textId="77777777" w:rsidR="00DE1537" w:rsidRDefault="00DE1537" w:rsidP="00343F3E">
      <w:pPr>
        <w:pStyle w:val="BodyText"/>
      </w:pPr>
      <w:r>
        <w:t>Governments have a role to play in protecting property rights and facilitating competitive asset markets. A case can also be made for appropriate regulation of insurance markets (supplementary paper 5).</w:t>
      </w:r>
    </w:p>
    <w:p w14:paraId="6629EEE9" w14:textId="77777777" w:rsidR="00DE1537" w:rsidRDefault="00DE1537" w:rsidP="00343F3E">
      <w:pPr>
        <w:pStyle w:val="BodyText"/>
      </w:pPr>
      <w:r>
        <w:t>There may also be scope, in some situations, for governments to implement mechanisms to address externalities (such as cost</w:t>
      </w:r>
      <w:r>
        <w:noBreakHyphen/>
        <w:t xml:space="preserve">recovery mechanisms or financial penalties for those who increase the risk to others), or to provide public goods such as information (where it would be impractical or more expensive for property owners to gather data individually). </w:t>
      </w:r>
      <w:r>
        <w:lastRenderedPageBreak/>
        <w:t>Such policies effectively involve a reallocation of risk by making someone other than the asset owner responsible for managing the risk. Done well, this can improve economic efficiency.</w:t>
      </w:r>
    </w:p>
    <w:p w14:paraId="71BF51A2" w14:textId="77777777" w:rsidR="00DE1537" w:rsidRDefault="00DE1537" w:rsidP="00343F3E">
      <w:pPr>
        <w:pStyle w:val="BodyText"/>
      </w:pPr>
      <w:r>
        <w:t>However, government intervention that changes the ownership of assets or responsibility for funding risk management can create distortions. One way this can occur is when households anticipate significant government compensation if they suffer a loss from a natural disaster (moral or charity hazard). This can weaken private incentives to manage risk and potentially lead to greater risk exposure for the community and taxpayers overall.</w:t>
      </w:r>
    </w:p>
    <w:p w14:paraId="53ABB0C2" w14:textId="77777777" w:rsidR="00DE1537" w:rsidRDefault="00DE1537" w:rsidP="00343F3E">
      <w:pPr>
        <w:pStyle w:val="BodyText"/>
      </w:pPr>
      <w:r>
        <w:t>Some inquiry participants noted that government intervention can potentially give rise to moral hazard (for example, Dr Leo Dobes, sub. 1, attachment 1; MAV, sub. 98; QBE, sub. 63; Risk Frontiers, sub. 19). For example, the NSW Independent Pricing and Regulatory Tribunal (IPART) submitted that:</w:t>
      </w:r>
    </w:p>
    <w:p w14:paraId="7CA8D485" w14:textId="77777777" w:rsidR="00DE1537" w:rsidRDefault="00DE1537" w:rsidP="00343F3E">
      <w:pPr>
        <w:pStyle w:val="Quote"/>
      </w:pPr>
      <w:r>
        <w:t>When those creating the need or receiving a benefit from a service are disconnected from the cost of their actions, there is a real risk that inefficient demand for action will occur or that individuals will rely on the efforts of others. (IPART, sub. 26, p. 3)</w:t>
      </w:r>
    </w:p>
    <w:p w14:paraId="73EDEE8B" w14:textId="77777777" w:rsidR="00DE1537" w:rsidRDefault="00DE1537" w:rsidP="00343F3E">
      <w:pPr>
        <w:pStyle w:val="BodyText"/>
      </w:pPr>
      <w:r>
        <w:t xml:space="preserve">A key principle to guide government intervention in natural disaster risk management is therefore that policy should strengthen the incentives people have to manage the risks they face (including funding their treatment), not weaken them. One way to achieve this could be to require the beneficiaries of government assistance to take specific risk management actions. However, monitoring and enforcing such actions can be difficult and costly. </w:t>
      </w:r>
    </w:p>
    <w:p w14:paraId="09E550D9" w14:textId="77777777" w:rsidR="00DE1537" w:rsidRDefault="00DE1537" w:rsidP="00343F3E">
      <w:pPr>
        <w:pStyle w:val="BodyText"/>
      </w:pPr>
      <w:r>
        <w:t>A more feasible and robust alternative is to align responsibility for funding risk management with the party that is best placed to manage the risk. IPART has proposed a framework for recovering the costs of land</w:t>
      </w:r>
      <w:r>
        <w:noBreakHyphen/>
        <w:t xml:space="preserve">management activities (including natural disaster management) undertaken by the NSW Government (figure 3.4). Under this framework, costs are charged to the party that creates a risk or has the most influence over a risk. Where this is not possible, the beneficiaries of risk management should pay, and only where neither of these options </w:t>
      </w:r>
      <w:proofErr w:type="gramStart"/>
      <w:r>
        <w:t>are</w:t>
      </w:r>
      <w:proofErr w:type="gramEnd"/>
      <w:r>
        <w:t xml:space="preserve"> feasible should the costs be borne by taxpayers.</w:t>
      </w:r>
    </w:p>
    <w:p w14:paraId="3D5B3C2B" w14:textId="77777777" w:rsidR="00DE1537" w:rsidRDefault="00DE1537" w:rsidP="00343F3E">
      <w:pPr>
        <w:pStyle w:val="BodyText"/>
      </w:pPr>
      <w:r>
        <w:t xml:space="preserve">In the context of natural disasters, this would mean, for example, that the costs of state or local governments clearing vegetation around electricity infrastructure are charged to the infrastructure owners (risk creators). Where this is not possible, costs could be recovered from property owners in the area that would benefit from reduced bushfire risk. If neither of these </w:t>
      </w:r>
      <w:r w:rsidRPr="004D6478">
        <w:t xml:space="preserve">options </w:t>
      </w:r>
      <w:r>
        <w:t>is</w:t>
      </w:r>
      <w:r w:rsidRPr="004D6478">
        <w:t xml:space="preserve"> </w:t>
      </w:r>
      <w:r>
        <w:t>feasible</w:t>
      </w:r>
      <w:r w:rsidRPr="004D6478">
        <w:t>, there could be a case for taxpayer funding. Supplementary paper </w:t>
      </w:r>
      <w:r>
        <w:t>4</w:t>
      </w:r>
      <w:r w:rsidRPr="004D6478">
        <w:t xml:space="preserve"> examines in greater detail how such a framework can be applied in the context of natural disaster mitigation.</w:t>
      </w:r>
    </w:p>
    <w:p w14:paraId="70202552" w14:textId="154994BD" w:rsidR="00DE1537" w:rsidRDefault="00DE1537" w:rsidP="00343F3E">
      <w:pPr>
        <w:pStyle w:val="BodyText"/>
      </w:pPr>
      <w:r>
        <w:t xml:space="preserve">The underlying principle in this framework is that risk management is usually best funded by those who are directly involved with the risk, either because they would suffer if a disaster occurred or because they can reduce the level of risk. Allocating funding responsibilities in this way would strengthen their incentives to manage the risk. Similar principles for risk allocation also apply to public–private infrastructure contracts </w:t>
      </w:r>
      <w:r w:rsidRPr="00EF2916">
        <w:rPr>
          <w:szCs w:val="24"/>
        </w:rPr>
        <w:t>(PC 2014)</w:t>
      </w:r>
      <w:r>
        <w:t>.</w:t>
      </w:r>
    </w:p>
    <w:p w14:paraId="1C44A39E"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98CB649" w14:textId="77777777" w:rsidTr="00343F3E">
        <w:tc>
          <w:tcPr>
            <w:tcW w:w="8771" w:type="dxa"/>
            <w:tcBorders>
              <w:top w:val="single" w:sz="6" w:space="0" w:color="78A22F"/>
              <w:left w:val="nil"/>
              <w:bottom w:val="nil"/>
              <w:right w:val="nil"/>
            </w:tcBorders>
            <w:shd w:val="clear" w:color="auto" w:fill="auto"/>
          </w:tcPr>
          <w:p w14:paraId="10459C60" w14:textId="77777777" w:rsidR="00DE1537" w:rsidRPr="00176D3F" w:rsidRDefault="00DE1537" w:rsidP="00343F3E">
            <w:pPr>
              <w:pStyle w:val="FigureTitle"/>
            </w:pPr>
            <w:r w:rsidRPr="00784A05">
              <w:rPr>
                <w:b w:val="0"/>
              </w:rPr>
              <w:t xml:space="preserve">Figure </w:t>
            </w:r>
            <w:r>
              <w:rPr>
                <w:b w:val="0"/>
              </w:rPr>
              <w:t>3.</w:t>
            </w:r>
            <w:r>
              <w:rPr>
                <w:b w:val="0"/>
                <w:noProof/>
              </w:rPr>
              <w:t>4</w:t>
            </w:r>
            <w:r>
              <w:tab/>
              <w:t>IPART cost recovery model</w:t>
            </w:r>
          </w:p>
        </w:tc>
      </w:tr>
      <w:tr w:rsidR="00DE1537" w14:paraId="1B89BDD8"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79B2FF23" w14:textId="77777777" w:rsidTr="00343F3E">
              <w:tc>
                <w:tcPr>
                  <w:tcW w:w="5000" w:type="pct"/>
                  <w:tcBorders>
                    <w:top w:val="nil"/>
                    <w:bottom w:val="nil"/>
                  </w:tcBorders>
                </w:tcPr>
                <w:p w14:paraId="0639FD31" w14:textId="77777777" w:rsidR="00DE1537" w:rsidRDefault="00DE1537" w:rsidP="00343F3E">
                  <w:pPr>
                    <w:pStyle w:val="Figure"/>
                    <w:spacing w:before="60" w:after="60"/>
                  </w:pPr>
                  <w:r>
                    <w:rPr>
                      <w:noProof/>
                    </w:rPr>
                    <w:drawing>
                      <wp:inline distT="0" distB="0" distL="0" distR="0" wp14:anchorId="4AA8ABE3" wp14:editId="43D6FE94">
                        <wp:extent cx="3811220" cy="1839122"/>
                        <wp:effectExtent l="0" t="0" r="0" b="8890"/>
                        <wp:docPr id="25" name="Picture 25" descr="Costs are charged to the party that creates a risk or has the most influence over a risk. Where this is not possible, the beneficiaries of risk management should pay, and only where neither of these options are feasible should the costs be borne by taxp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830865" cy="1848602"/>
                                </a:xfrm>
                                <a:prstGeom prst="rect">
                                  <a:avLst/>
                                </a:prstGeom>
                                <a:noFill/>
                                <a:ln>
                                  <a:noFill/>
                                </a:ln>
                              </pic:spPr>
                            </pic:pic>
                          </a:graphicData>
                        </a:graphic>
                      </wp:inline>
                    </w:drawing>
                  </w:r>
                </w:p>
              </w:tc>
            </w:tr>
          </w:tbl>
          <w:p w14:paraId="62F2E6B6" w14:textId="77777777" w:rsidR="00DE1537" w:rsidRDefault="00DE1537" w:rsidP="00343F3E">
            <w:pPr>
              <w:pStyle w:val="Figure"/>
            </w:pPr>
          </w:p>
        </w:tc>
      </w:tr>
      <w:tr w:rsidR="00DE1537" w:rsidRPr="00176D3F" w14:paraId="7F76B40E" w14:textId="77777777" w:rsidTr="00343F3E">
        <w:tc>
          <w:tcPr>
            <w:tcW w:w="8771" w:type="dxa"/>
            <w:tcBorders>
              <w:top w:val="nil"/>
              <w:left w:val="nil"/>
              <w:bottom w:val="nil"/>
              <w:right w:val="nil"/>
            </w:tcBorders>
            <w:shd w:val="clear" w:color="auto" w:fill="auto"/>
          </w:tcPr>
          <w:p w14:paraId="0E44C643" w14:textId="299EF3AF" w:rsidR="00DE1537" w:rsidRPr="00176D3F" w:rsidRDefault="00DE1537" w:rsidP="00343F3E">
            <w:pPr>
              <w:pStyle w:val="Source"/>
            </w:pPr>
            <w:r>
              <w:rPr>
                <w:i/>
              </w:rPr>
              <w:t>S</w:t>
            </w:r>
            <w:r w:rsidRPr="00784A05">
              <w:rPr>
                <w:i/>
              </w:rPr>
              <w:t>ource</w:t>
            </w:r>
            <w:r>
              <w:rPr>
                <w:i/>
              </w:rPr>
              <w:t>s</w:t>
            </w:r>
            <w:r w:rsidRPr="00176D3F">
              <w:t xml:space="preserve">: </w:t>
            </w:r>
            <w:r>
              <w:t xml:space="preserve">Based on IPART </w:t>
            </w:r>
            <w:r w:rsidRPr="00F67BFC">
              <w:rPr>
                <w:rFonts w:cs="Arial"/>
              </w:rPr>
              <w:t>(2013; sub. 26)</w:t>
            </w:r>
            <w:r>
              <w:t>.</w:t>
            </w:r>
          </w:p>
        </w:tc>
      </w:tr>
      <w:tr w:rsidR="00DE1537" w14:paraId="2F0B40F2" w14:textId="77777777" w:rsidTr="00343F3E">
        <w:tc>
          <w:tcPr>
            <w:tcW w:w="8771" w:type="dxa"/>
            <w:tcBorders>
              <w:top w:val="nil"/>
              <w:left w:val="nil"/>
              <w:bottom w:val="single" w:sz="6" w:space="0" w:color="78A22F"/>
              <w:right w:val="nil"/>
            </w:tcBorders>
            <w:shd w:val="clear" w:color="auto" w:fill="auto"/>
          </w:tcPr>
          <w:p w14:paraId="07E67460" w14:textId="77777777" w:rsidR="00DE1537" w:rsidRDefault="00DE1537" w:rsidP="00343F3E">
            <w:pPr>
              <w:pStyle w:val="Figurespace"/>
            </w:pPr>
          </w:p>
        </w:tc>
      </w:tr>
      <w:tr w:rsidR="00DE1537" w:rsidRPr="000863A5" w14:paraId="431435EB" w14:textId="77777777" w:rsidTr="00343F3E">
        <w:tc>
          <w:tcPr>
            <w:tcW w:w="8771" w:type="dxa"/>
            <w:tcBorders>
              <w:top w:val="single" w:sz="6" w:space="0" w:color="78A22F"/>
              <w:left w:val="nil"/>
              <w:bottom w:val="nil"/>
              <w:right w:val="nil"/>
            </w:tcBorders>
          </w:tcPr>
          <w:p w14:paraId="5DC754FC" w14:textId="77777777" w:rsidR="00DE1537" w:rsidRPr="00626D32" w:rsidRDefault="00DE1537" w:rsidP="00343F3E">
            <w:pPr>
              <w:pStyle w:val="BoxSpaceBelow"/>
            </w:pPr>
          </w:p>
        </w:tc>
      </w:tr>
    </w:tbl>
    <w:p w14:paraId="79654133" w14:textId="77777777" w:rsidR="00DE1537" w:rsidRDefault="00DE1537" w:rsidP="00343F3E">
      <w:pPr>
        <w:pStyle w:val="BodyText"/>
      </w:pPr>
      <w:r>
        <w:t>In cases where households lack the financial capacity to fund natural disaster risk management (for example, by investing in mitigation or taking out insurance), there are ways to address capacity without weakening incentives. The tax and transfer system offers one way of doing this, by providing support to households in the greatest need without diminishing their responsibility and incentives for managing natural disaster risks to their own assets.</w:t>
      </w:r>
    </w:p>
    <w:p w14:paraId="3C8330A6" w14:textId="77777777" w:rsidR="00DE1537" w:rsidRDefault="00DE1537" w:rsidP="00343F3E">
      <w:pPr>
        <w:pStyle w:val="Heading3"/>
      </w:pPr>
      <w:r>
        <w:t>Risk understanding</w:t>
      </w:r>
    </w:p>
    <w:p w14:paraId="0FEE122B" w14:textId="77777777" w:rsidR="00DE1537" w:rsidRDefault="00DE1537" w:rsidP="00343F3E">
      <w:pPr>
        <w:pStyle w:val="BodyText"/>
      </w:pPr>
      <w:r>
        <w:t xml:space="preserve">Information and research are key inputs to natural disaster risk management across the community. They are needed to identify, assess and communicate risks, and to make good decisions. </w:t>
      </w:r>
    </w:p>
    <w:p w14:paraId="3B3BC880" w14:textId="77777777" w:rsidR="00DE1537" w:rsidRDefault="00DE1537" w:rsidP="00343F3E">
      <w:pPr>
        <w:pStyle w:val="BodyText"/>
      </w:pPr>
      <w:r>
        <w:t>In general, the risk owner is best placed to collect and understand information about the risks they face, and has an incentive to do so. However, there can be cases where it would not be efficient for each individual risk owner to collect and analyse natural disaster information. This could happen where there are economies of scale in information collection or where information has public</w:t>
      </w:r>
      <w:r>
        <w:noBreakHyphen/>
        <w:t>good characteristics. These characteristics could lead to underprovision of information, leading to risks not being managed effectively.</w:t>
      </w:r>
    </w:p>
    <w:p w14:paraId="7F8797E9" w14:textId="77777777" w:rsidR="00DE1537" w:rsidRDefault="00DE1537" w:rsidP="00343F3E">
      <w:pPr>
        <w:pStyle w:val="BodyText"/>
      </w:pPr>
      <w:r>
        <w:t>Sometimes markets can provide solutions. For example, there are companies that specialise in collecting natural hazard information and providing it to end users, including insurers, property developers, local governments and households. In addition, insurers disseminate information through the price and availability of insurance, which signals to risk owners the level of risk they face (supplementary paper 5).</w:t>
      </w:r>
    </w:p>
    <w:p w14:paraId="0FDBB571" w14:textId="77777777" w:rsidR="00DE1537" w:rsidRDefault="00DE1537" w:rsidP="00343F3E">
      <w:pPr>
        <w:pStyle w:val="BodyText"/>
      </w:pPr>
      <w:r>
        <w:t>However, information is typically non</w:t>
      </w:r>
      <w:r>
        <w:noBreakHyphen/>
        <w:t xml:space="preserve">rival, meaning that it can be provided to an additional person at no extra cost. This provides a case for government involvement in </w:t>
      </w:r>
      <w:r>
        <w:lastRenderedPageBreak/>
        <w:t>collecting, purchasing and disseminating information where there are significant net public benefits (such as where benefits accrue to a large number of people). Governments in Australia already do this for much meteorological, geospatial and seismic data, and to some extent for flood data and modelling. This can reduce the costs that households and businesses face in searching for information and verifying its accuracy, as well as making it more accessible to a wider audience. It can also potentially reduce duplication in data collection.</w:t>
      </w:r>
    </w:p>
    <w:p w14:paraId="7ACC63D3" w14:textId="77777777" w:rsidR="00DE1537" w:rsidRDefault="00DE1537" w:rsidP="00343F3E">
      <w:pPr>
        <w:pStyle w:val="Heading4"/>
      </w:pPr>
      <w:r>
        <w:t>Disseminating existing information</w:t>
      </w:r>
    </w:p>
    <w:p w14:paraId="0E1E8333" w14:textId="77777777" w:rsidR="00DE1537" w:rsidRDefault="00DE1537" w:rsidP="00343F3E">
      <w:pPr>
        <w:pStyle w:val="BodyText"/>
      </w:pPr>
      <w:r>
        <w:t>The strongest case for information provision by governments is when they already collect or purchase information for their own natural disaster risk management, such as flood maps compiled as inputs to land use planning. Making this information publicly available would allow the wider community to benefit from the information at little or no cost to the government — for example, good information is a prerequisite to effective decision making for natural disaster mitigation (supplementary paper 4). There are several options for providing such information, such as placing information online, including risk information on rates notices and requiring disclosure through vendor statements (supplementary paper 6).</w:t>
      </w:r>
    </w:p>
    <w:p w14:paraId="439C046F" w14:textId="03BF2429" w:rsidR="00DE1537" w:rsidRDefault="00DE1537" w:rsidP="00343F3E">
      <w:pPr>
        <w:pStyle w:val="BodyText"/>
      </w:pPr>
      <w:r>
        <w:t xml:space="preserve">A key challenge is disseminating information in a way that is useful for households and businesses, and that enables them to make effective risk management decisions. For example, there is evidence </w:t>
      </w:r>
      <w:r w:rsidRPr="00203C74">
        <w:t xml:space="preserve">that some </w:t>
      </w:r>
      <w:r>
        <w:t>household</w:t>
      </w:r>
      <w:r w:rsidRPr="00203C74">
        <w:t xml:space="preserve">s struggle to make use of the </w:t>
      </w:r>
      <w:r>
        <w:t>hazard</w:t>
      </w:r>
      <w:r w:rsidRPr="00203C74">
        <w:t xml:space="preserve"> mapping or </w:t>
      </w:r>
      <w:r>
        <w:t>disaster readiness</w:t>
      </w:r>
      <w:r w:rsidRPr="00203C74">
        <w:t xml:space="preserve"> advice that governments provide, </w:t>
      </w:r>
      <w:r>
        <w:t>or are</w:t>
      </w:r>
      <w:r w:rsidRPr="003E5E4A">
        <w:t xml:space="preserve"> unsure how to act on</w:t>
      </w:r>
      <w:r w:rsidRPr="008546B4">
        <w:t xml:space="preserve"> it </w:t>
      </w:r>
      <w:r w:rsidR="007C5656" w:rsidRPr="007C5656">
        <w:rPr>
          <w:szCs w:val="24"/>
        </w:rPr>
        <w:t>(QFCI 2012; VBRC 2010a)</w:t>
      </w:r>
      <w:r w:rsidRPr="005A35A1">
        <w:t xml:space="preserve">. </w:t>
      </w:r>
      <w:r w:rsidRPr="00203C74">
        <w:t>Governments can play a</w:t>
      </w:r>
      <w:r w:rsidRPr="003E5E4A">
        <w:t xml:space="preserve"> key role in overcoming co</w:t>
      </w:r>
      <w:r>
        <w:t>gnitive barriers in these areas, such as by providing information and warnings that are as specific, targeted and easily understood as possible. This can include filtering information to identify the most relevant parts and providing it to households in a consistent and timely manner.</w:t>
      </w:r>
    </w:p>
    <w:p w14:paraId="5362E60C" w14:textId="77777777" w:rsidR="00DE1537" w:rsidRDefault="00DE1537" w:rsidP="00343F3E">
      <w:pPr>
        <w:pStyle w:val="BodyText"/>
      </w:pPr>
      <w:r>
        <w:t>However, there can be impediments to governments sharing the data they hold. For example, it could be costly to transform data into a form that can be publicly released, or governments could be contractually prevented from releasing data that are licenced from a commercial provider. Concerns about legal liability can also arise, especially where data may not be reliable or could adversely impact property values (supplementary paper 6).</w:t>
      </w:r>
    </w:p>
    <w:p w14:paraId="14203E64" w14:textId="77777777" w:rsidR="00DE1537" w:rsidRDefault="00DE1537" w:rsidP="00343F3E">
      <w:pPr>
        <w:pStyle w:val="Heading4"/>
      </w:pPr>
      <w:r>
        <w:t>Collecting new information</w:t>
      </w:r>
    </w:p>
    <w:p w14:paraId="3406489D" w14:textId="77777777" w:rsidR="00DE1537" w:rsidRDefault="00DE1537" w:rsidP="00343F3E">
      <w:pPr>
        <w:pStyle w:val="BodyText"/>
      </w:pPr>
      <w:r>
        <w:t xml:space="preserve">The scope for governments to provide additional natural disaster information in the future is limited by two factors. First, obtaining information is costly, and at some point the costs of further information will exceed the benefits. Second, any information collected should meet the needs of information users. For example, insurers may require natural hazard information at a national level that allows them to compare risk exposure across different </w:t>
      </w:r>
      <w:r>
        <w:lastRenderedPageBreak/>
        <w:t xml:space="preserve">parts of the country. By contrast, local governments may need information that is more specific to local conditions and the types of decision they need to make. </w:t>
      </w:r>
    </w:p>
    <w:p w14:paraId="701C710B" w14:textId="77777777" w:rsidR="00DE1537" w:rsidRDefault="00DE1537" w:rsidP="00343F3E">
      <w:pPr>
        <w:pStyle w:val="BodyText"/>
      </w:pPr>
      <w:r>
        <w:t>Where governments need natural hazard or spatial information to inform their own risk management, or where there would be significant public benefits from governments making it available, governments do not always need to collect this information themselves. In some cases it may be more cost effective to purchase data from private</w:t>
      </w:r>
      <w:r>
        <w:noBreakHyphen/>
        <w:t xml:space="preserve">sector providers. </w:t>
      </w:r>
    </w:p>
    <w:p w14:paraId="0E29B42D" w14:textId="0C352086" w:rsidR="00DE1537" w:rsidRDefault="00DE1537" w:rsidP="00343F3E">
      <w:pPr>
        <w:pStyle w:val="BodyText"/>
      </w:pPr>
      <w:r>
        <w:t>In other cases, the benefits of information could accrue mainly to a small number of private parties. Where governments are best placed to provide specialised information or modelling to meet the needs of these particular end users, there are opportunities to use cost</w:t>
      </w:r>
      <w:r>
        <w:noBreakHyphen/>
        <w:t>recovery models (IAG, sub. 24). However, sometimes private</w:t>
      </w:r>
      <w:r>
        <w:noBreakHyphen/>
        <w:t xml:space="preserve">sector companies may be better placed to collect and sell information to these users, and government provision could crowd out private initiatives with little benefit to the broader community </w:t>
      </w:r>
      <w:r w:rsidRPr="008A4E94">
        <w:rPr>
          <w:szCs w:val="24"/>
        </w:rPr>
        <w:t>(Dr Leo Dobes, sub. 1, attachment 1; UKDEFRA 2013)</w:t>
      </w:r>
      <w:r>
        <w:t>. It is therefore important that governments focus on providing data and information that the private sector would not be willing to provide, as long as there are net public benefits in doing so.</w:t>
      </w:r>
    </w:p>
    <w:p w14:paraId="70F1DB84" w14:textId="77777777" w:rsidR="00DE1537" w:rsidRDefault="00DE1537" w:rsidP="00343F3E">
      <w:pPr>
        <w:pStyle w:val="Heading4"/>
      </w:pPr>
      <w:r>
        <w:t>Coordinating research</w:t>
      </w:r>
    </w:p>
    <w:p w14:paraId="097F4780" w14:textId="77777777" w:rsidR="00DE1537" w:rsidRDefault="00DE1537" w:rsidP="00343F3E">
      <w:pPr>
        <w:pStyle w:val="BodyText"/>
      </w:pPr>
      <w:r>
        <w:t>Natural disaster research can also support risk management by households, businesses and governments. This includes detailed scientific investigation of natural disasters as well as research into mitigation options, community responses to natural disasters and the consequences of disasters (including economic, social and environmental costs). Such research is conducted by a range of organisations, including government agencies (such as Geoscience Australia), public research institutes (such as the Bushfire and Natural Hazards Cooperative Research Centre) and private organisations and consultancies.</w:t>
      </w:r>
    </w:p>
    <w:p w14:paraId="72E6A63B" w14:textId="77777777" w:rsidR="00DE1537" w:rsidRDefault="00DE1537" w:rsidP="00343F3E">
      <w:pPr>
        <w:pStyle w:val="BodyText"/>
      </w:pPr>
      <w:r>
        <w:t xml:space="preserve">There is a case for governments to fund this research when there are net public benefits. These benefits are likely to be greatest when research is coordinated and prioritised to meet the needs of the community. Making publicly funded research transparent and accessible can help to achieve this, as can </w:t>
      </w:r>
      <w:proofErr w:type="gramStart"/>
      <w:r>
        <w:t>engaging</w:t>
      </w:r>
      <w:proofErr w:type="gramEnd"/>
      <w:r>
        <w:t xml:space="preserve"> stakeholders when identifying research needs and priorities. </w:t>
      </w:r>
      <w:r w:rsidRPr="004D753F">
        <w:t>The</w:t>
      </w:r>
      <w:r>
        <w:t xml:space="preserve"> specific</w:t>
      </w:r>
      <w:r w:rsidRPr="004D753F">
        <w:t xml:space="preserve"> role</w:t>
      </w:r>
      <w:r>
        <w:t>s</w:t>
      </w:r>
      <w:r w:rsidRPr="004D753F">
        <w:t xml:space="preserve"> of insurers and local governments in these areas are further elaborated in supplementary papers </w:t>
      </w:r>
      <w:r>
        <w:t>5</w:t>
      </w:r>
      <w:r w:rsidRPr="004D753F">
        <w:t xml:space="preserve"> and </w:t>
      </w:r>
      <w:r>
        <w:t>6</w:t>
      </w:r>
      <w:r w:rsidRPr="004D753F">
        <w:t xml:space="preserve"> respectively.</w:t>
      </w:r>
    </w:p>
    <w:p w14:paraId="15841022" w14:textId="77777777" w:rsidR="00DE1537" w:rsidRDefault="00DE1537" w:rsidP="00343F3E">
      <w:pPr>
        <w:pStyle w:val="Heading3"/>
      </w:pPr>
      <w:r>
        <w:t>Risk treatment</w:t>
      </w:r>
    </w:p>
    <w:p w14:paraId="066BB502" w14:textId="77777777" w:rsidR="00DE1537" w:rsidRDefault="00DE1537" w:rsidP="00343F3E">
      <w:pPr>
        <w:pStyle w:val="BodyText"/>
      </w:pPr>
      <w:r>
        <w:t>A number of tools can be used to treat risks, including various forms of mitigation (to reduce the risk) and insurance (to fund the transfer of some of the residual risk). For example, risk owners could decide to reduce the risk to an acceptable level and then bear the remaining risk when a natural disaster occurs. They could also adopt long</w:t>
      </w:r>
      <w:r>
        <w:noBreakHyphen/>
        <w:t>term plans for managing risks to their assets, including the identification of a suite of risk treatment options and strategies for rebuilding after a natural disaster.</w:t>
      </w:r>
    </w:p>
    <w:p w14:paraId="6D0BBA3B" w14:textId="77777777" w:rsidR="00DE1537" w:rsidRDefault="00DE1537" w:rsidP="00343F3E">
      <w:pPr>
        <w:pStyle w:val="BodyText"/>
      </w:pPr>
      <w:r>
        <w:lastRenderedPageBreak/>
        <w:t>Governments have a role in regulating and supporting risk treatment options. This includes the provision of mitigation,</w:t>
      </w:r>
      <w:r w:rsidRPr="000C0A19">
        <w:t xml:space="preserve"> </w:t>
      </w:r>
      <w:r>
        <w:t>regulation of insurance markets and regulation of land use planning and building activities. Specifically, governments have a responsibility to select mitigation measures based on thorough cost–benefit analysis and fund these measures by charging those who can most influence the risk or are beneficiaries of the mitigation (supplementary paper 4). This can include forming partnerships with insurers to share information and identify mitigation priorities. Governments can also reduce impediments to efficient pricing of insurance premiums and assist households to understand their insurance contracts (supplementary paper 5). Further, by taking account of natural hazards and community preferences, governments can regulate the built environment in ways that align exposure and vulnerability with the community’s level of acceptable risk (supplementary paper 6).</w:t>
      </w:r>
    </w:p>
    <w:p w14:paraId="75F46596" w14:textId="77777777" w:rsidR="00DE1537" w:rsidRDefault="00DE1537" w:rsidP="00343F3E">
      <w:pPr>
        <w:pStyle w:val="Heading3"/>
      </w:pPr>
      <w:r>
        <w:t>Supporting a resilient community and economy</w:t>
      </w:r>
    </w:p>
    <w:p w14:paraId="3BEA2AF2" w14:textId="77777777" w:rsidR="00DE1537" w:rsidRDefault="00DE1537" w:rsidP="00343F3E">
      <w:pPr>
        <w:pStyle w:val="BodyText"/>
      </w:pPr>
      <w:r>
        <w:t>The community faces a range of different risks, including from natural disasters that can impact on the community’s health, safety and wealth. Some of these are foreseeable, because they have occurred before or there are reliable data to assess future probabilities. Other risks may have very low probabilities (such as earthquake in most parts of Australia), may be too uncertain or difficult to quantify (such as sea</w:t>
      </w:r>
      <w:r>
        <w:noBreakHyphen/>
        <w:t>level rise), or may simply be unknown to us. Specific risk</w:t>
      </w:r>
      <w:r>
        <w:noBreakHyphen/>
        <w:t>management procedures may be difficult to implement for some of these latter risks.</w:t>
      </w:r>
    </w:p>
    <w:p w14:paraId="217E5EB5" w14:textId="0611322B" w:rsidR="00DE1537" w:rsidRDefault="00DE1537" w:rsidP="00343F3E">
      <w:pPr>
        <w:pStyle w:val="BodyText"/>
      </w:pPr>
      <w:r>
        <w:t xml:space="preserve">However, the impact of many kinds of natural disaster risk is likely to be lower when the community is resilient. While resilience has been defined in numerous ways, it generally refers to the community’s ability to cope and recover from a disaster and adapt to future circumstances — that is, to ‘bounce back’ </w:t>
      </w:r>
      <w:r w:rsidR="007C5656" w:rsidRPr="007C5656">
        <w:rPr>
          <w:szCs w:val="24"/>
        </w:rPr>
        <w:t>(COAG 2011b; Granger 2012; OECD 2014)</w:t>
      </w:r>
      <w:r>
        <w:t>. This typically involves having flexible arrangements in place to adjust and recover when natural disasters occur.</w:t>
      </w:r>
    </w:p>
    <w:p w14:paraId="08040299" w14:textId="77777777" w:rsidR="00DE1537" w:rsidRDefault="00DE1537" w:rsidP="00343F3E">
      <w:pPr>
        <w:pStyle w:val="BodyText"/>
      </w:pPr>
      <w:r>
        <w:t>Governments play an essential role in supporting the resilience of the community and economy. Communities that are aware of the risks they face, have the capacity to respond and contain strong social networks are typically better placed to cope when natural disasters occur. In addition, a strong, flexible and competitive economy is usually better able to absorb shocks of all kinds and recover quickly from losses.</w:t>
      </w:r>
    </w:p>
    <w:p w14:paraId="1CE46DF1" w14:textId="77777777" w:rsidR="00DE1537" w:rsidRDefault="00DE1537" w:rsidP="00343F3E">
      <w:pPr>
        <w:pStyle w:val="BodyText"/>
      </w:pPr>
      <w:r>
        <w:t xml:space="preserve"> There is thus a generic role for governments to:</w:t>
      </w:r>
    </w:p>
    <w:p w14:paraId="025A7F89" w14:textId="77777777" w:rsidR="00DE1537" w:rsidRDefault="00DE1537" w:rsidP="00343F3E">
      <w:pPr>
        <w:pStyle w:val="ListBullet"/>
      </w:pPr>
      <w:r>
        <w:t>maintain regulatory and policy settings that are sufficiently flexible to respond to changing exposures to risk and unexpected events</w:t>
      </w:r>
    </w:p>
    <w:p w14:paraId="64DB5B19" w14:textId="77777777" w:rsidR="00DE1537" w:rsidRDefault="00DE1537" w:rsidP="00343F3E">
      <w:pPr>
        <w:pStyle w:val="ListBullet"/>
      </w:pPr>
      <w:r>
        <w:t>foster markets that are competitive and function efficiently</w:t>
      </w:r>
    </w:p>
    <w:p w14:paraId="4E42ADFE" w14:textId="77777777" w:rsidR="00DE1537" w:rsidRDefault="00DE1537" w:rsidP="00343F3E">
      <w:pPr>
        <w:pStyle w:val="ListBullet"/>
      </w:pPr>
      <w:r>
        <w:t>provide an adequate social safety net and emergency services</w:t>
      </w:r>
    </w:p>
    <w:p w14:paraId="6F19C6EE" w14:textId="77777777" w:rsidR="00DE1537" w:rsidRDefault="00DE1537" w:rsidP="00343F3E">
      <w:pPr>
        <w:pStyle w:val="ListBullet"/>
      </w:pPr>
      <w:proofErr w:type="gramStart"/>
      <w:r>
        <w:t>maintain</w:t>
      </w:r>
      <w:proofErr w:type="gramEnd"/>
      <w:r>
        <w:t xml:space="preserve"> a healthy fiscal position and balance sheet.</w:t>
      </w:r>
    </w:p>
    <w:p w14:paraId="4AF19A9C" w14:textId="77777777" w:rsidR="00DE1537" w:rsidRDefault="00DE1537" w:rsidP="00343F3E">
      <w:pPr>
        <w:pStyle w:val="Heading2"/>
      </w:pPr>
      <w:bookmarkStart w:id="57" w:name="_Toc406424327"/>
      <w:r>
        <w:lastRenderedPageBreak/>
        <w:t>3.</w:t>
      </w:r>
      <w:r>
        <w:rPr>
          <w:noProof/>
        </w:rPr>
        <w:t>7</w:t>
      </w:r>
      <w:r>
        <w:tab/>
        <w:t>Supporting management of shared risks</w:t>
      </w:r>
      <w:bookmarkEnd w:id="57"/>
    </w:p>
    <w:p w14:paraId="31C54025" w14:textId="2A8DCF1D" w:rsidR="00DE1537" w:rsidRDefault="00DE1537" w:rsidP="00343F3E">
      <w:pPr>
        <w:pStyle w:val="BodyText"/>
      </w:pPr>
      <w:r>
        <w:t xml:space="preserve">Some natural disaster risks cannot be distinctly allocated to individual assets and so are shared by the community. These risks extend beyond a single entity (such as a household or business) and often require shared oversight and </w:t>
      </w:r>
      <w:r w:rsidRPr="004D753F">
        <w:t xml:space="preserve">management </w:t>
      </w:r>
      <w:r w:rsidR="007C5656" w:rsidRPr="007C5656">
        <w:rPr>
          <w:szCs w:val="24"/>
        </w:rPr>
        <w:t>(Department of Finance 2014b)</w:t>
      </w:r>
      <w:r w:rsidRPr="004D753F">
        <w:t>.</w:t>
      </w:r>
      <w:r>
        <w:t xml:space="preserve"> Examples can include intangible assets such as social connections and community cohesion. These are vulnerable to natural disasters, but the risks may not be managed effectively when left solely to households and businesses. In part, this is because the total risk to a community is greater than the sum of the private losses to households and businesses.</w:t>
      </w:r>
    </w:p>
    <w:p w14:paraId="773A8D60" w14:textId="77777777" w:rsidR="00DE1537" w:rsidRDefault="00DE1537" w:rsidP="00343F3E">
      <w:pPr>
        <w:pStyle w:val="BodyText"/>
      </w:pPr>
      <w:r>
        <w:t>These shared risks may be managed most cost effectively through some degree of collective action. Examples include the support that volunteers, nonprofit groups and charities provide both during and after natural disasters occur to protect vulnerable residents, restore community functioning and assist with long</w:t>
      </w:r>
      <w:r>
        <w:noBreakHyphen/>
        <w:t>term psychological and social recovery.</w:t>
      </w:r>
    </w:p>
    <w:p w14:paraId="1C4E9616" w14:textId="77777777" w:rsidR="00DE1537" w:rsidRDefault="00DE1537" w:rsidP="00343F3E">
      <w:pPr>
        <w:pStyle w:val="BodyText"/>
      </w:pPr>
      <w:r>
        <w:t>Governments also play a role through the provision of public goods and financial assistance. For example, emergency services play a key role in preparing for and responding to natural disasters. Local governments are typically responsible for undertaking disaster relief and recovery activities at the local community level, including work to maintain access to properties and restore damaged infrastructure. They also support the long</w:t>
      </w:r>
      <w:r>
        <w:noBreakHyphen/>
        <w:t>term social recovery of their communities. In addition, governments can help to alleviate short</w:t>
      </w:r>
      <w:r>
        <w:noBreakHyphen/>
        <w:t>term burdens on individuals through specific disaster</w:t>
      </w:r>
      <w:r>
        <w:noBreakHyphen/>
        <w:t>relief payments, in addition to more general support provided through the social safety net.</w:t>
      </w:r>
    </w:p>
    <w:p w14:paraId="0DE0875D" w14:textId="77777777" w:rsidR="00DE1537" w:rsidRPr="00C752C5" w:rsidRDefault="00DE1537" w:rsidP="00343F3E">
      <w:pPr>
        <w:pStyle w:val="BodyText"/>
      </w:pPr>
      <w:r>
        <w:t xml:space="preserve">Governments cannot manage shared risk alone. They can provide assistance most effectively when they do not crowd out other community initiatives (such as by undertaking activities that volunteers or charities would otherwise have been willing to do). Governments therefore need to coordinate their activities with those undertaken by the community itself. Any assistance provided should also be designed in a way that minimises scope for charity hazard, where people have weaker incentives to manage private risks because they expect government assistance. No less importantly, having clear and credible rules in place for how and when assistance will be provided can reduce scope for </w:t>
      </w:r>
      <w:r w:rsidRPr="00BD3AE6">
        <w:t>ad</w:t>
      </w:r>
      <w:r w:rsidRPr="00BD3AE6">
        <w:noBreakHyphen/>
        <w:t>hoc</w:t>
      </w:r>
      <w:r>
        <w:t xml:space="preserve"> responses when governments are subject to political pressures to help those affected by a natural disaster.</w:t>
      </w:r>
    </w:p>
    <w:p w14:paraId="79B5A531" w14:textId="77777777" w:rsidR="00DE1537" w:rsidRDefault="00DE1537" w:rsidP="00DE1537">
      <w:pPr>
        <w:sectPr w:rsidR="00DE1537" w:rsidSect="00DE1537">
          <w:headerReference w:type="even" r:id="rId63"/>
          <w:headerReference w:type="default" r:id="rId64"/>
          <w:footerReference w:type="even" r:id="rId65"/>
          <w:footerReference w:type="default" r:id="rId66"/>
          <w:type w:val="oddPage"/>
          <w:pgSz w:w="11907" w:h="16840" w:code="9"/>
          <w:pgMar w:top="1985" w:right="1304" w:bottom="1247" w:left="1814" w:header="1701" w:footer="397" w:gutter="0"/>
          <w:pgNumType w:chapSep="period"/>
          <w:cols w:space="720"/>
          <w:docGrid w:linePitch="326"/>
        </w:sectPr>
      </w:pPr>
    </w:p>
    <w:p w14:paraId="488F41A9" w14:textId="77777777" w:rsidR="00DE1537" w:rsidRDefault="00DE1537" w:rsidP="00631D0B">
      <w:pPr>
        <w:pStyle w:val="Heading1"/>
      </w:pPr>
      <w:bookmarkStart w:id="58" w:name="_Toc406424328"/>
      <w:r>
        <w:lastRenderedPageBreak/>
        <w:t>4</w:t>
      </w:r>
      <w:r>
        <w:tab/>
        <w:t>Natural disaster mitigation</w:t>
      </w:r>
      <w:bookmarkEnd w:id="58"/>
    </w:p>
    <w:p w14:paraId="3AD6C9C9" w14:textId="5FEF8D13" w:rsidR="00DE1537" w:rsidRDefault="00DE1537" w:rsidP="00343F3E">
      <w:pPr>
        <w:pStyle w:val="Heading2"/>
      </w:pPr>
      <w:bookmarkStart w:id="59" w:name="_Toc406424329"/>
      <w:r>
        <w:t>4.</w:t>
      </w:r>
      <w:r>
        <w:rPr>
          <w:noProof/>
        </w:rPr>
        <w:t>1</w:t>
      </w:r>
      <w:r w:rsidRPr="00D654F3">
        <w:tab/>
      </w:r>
      <w:r w:rsidRPr="008F171E">
        <w:t>Introduction and key points</w:t>
      </w:r>
      <w:bookmarkEnd w:id="59"/>
    </w:p>
    <w:p w14:paraId="5D07F23E" w14:textId="77777777" w:rsidR="00DE1537" w:rsidRDefault="00DE1537" w:rsidP="00120072">
      <w:pPr>
        <w:pStyle w:val="BodyText"/>
      </w:pPr>
      <w:r>
        <w:t>Natural disaster risk management involves actions taken before, during or after disasters to reduce their negative impacts. Mitigation measures taken in advance of disasters can significantly reduce impacts on communities. The objective of this supplementary paper is to examine different types of mitigation measures, and identify approaches to assess and fund mitigation activities. It highlights some examples of current Australian practice. Section 4.2 describes the concept of mitigation and different types of mitigation activities. Section 4.3 discusses approaches to assessing mitigation options. Current and alternative institutional arrangements for provision and funding of mitigation are considered in section 4.4 and sources of funding and financing are discussed in section 4.5.</w:t>
      </w:r>
    </w:p>
    <w:p w14:paraId="14E526A4" w14:textId="77777777" w:rsidR="00DE1537" w:rsidRDefault="00DE1537" w:rsidP="00120072">
      <w:pPr>
        <w:pStyle w:val="BodyText"/>
      </w:pPr>
      <w:r>
        <w:t>This supplementary paper makes several key points.</w:t>
      </w:r>
    </w:p>
    <w:p w14:paraId="36082D8E" w14:textId="77777777" w:rsidR="00DE1537" w:rsidRDefault="00DE1537" w:rsidP="00343F3E">
      <w:pPr>
        <w:pStyle w:val="ListBullet"/>
      </w:pPr>
      <w:r>
        <w:t>There is a wide range of mitigation measures that potentially reduce the economic costs of natural disasters; however, there will always be some residual risk. Betterment is a type of mitigation that entails rebuilding an asset to a more disaster</w:t>
      </w:r>
      <w:r>
        <w:noBreakHyphen/>
        <w:t>resilient state.</w:t>
      </w:r>
    </w:p>
    <w:p w14:paraId="72C88177" w14:textId="77777777" w:rsidR="00DE1537" w:rsidRDefault="00DE1537" w:rsidP="00343F3E">
      <w:pPr>
        <w:pStyle w:val="ListBullet"/>
      </w:pPr>
      <w:r>
        <w:t>Cost–benefit analysis (CBA), while subject to limitations, is the preferred technique to quantify the potential net benefits of mitigation and to assess the relative merit of mitigation options</w:t>
      </w:r>
      <w:r w:rsidRPr="008C1704">
        <w:t xml:space="preserve"> </w:t>
      </w:r>
      <w:r>
        <w:t xml:space="preserve">where most costs and benefits can be expressed in monetary values. </w:t>
      </w:r>
    </w:p>
    <w:p w14:paraId="111BAD1E" w14:textId="77777777" w:rsidR="00DE1537" w:rsidRDefault="00DE1537" w:rsidP="00343F3E">
      <w:pPr>
        <w:pStyle w:val="ListBullet"/>
      </w:pPr>
      <w:r>
        <w:t>The optimal level of mitigation investment relative to expenditure on relief and recovery is difficult to identify.</w:t>
      </w:r>
    </w:p>
    <w:p w14:paraId="6DCD072D" w14:textId="77777777" w:rsidR="00DE1537" w:rsidRDefault="00DE1537" w:rsidP="00343F3E">
      <w:pPr>
        <w:pStyle w:val="ListBullet2"/>
      </w:pPr>
      <w:r>
        <w:t xml:space="preserve">Current funding arrangements are likely to result in underfunding of mitigation relative to recovery. However, </w:t>
      </w:r>
      <w:r w:rsidRPr="007D721E">
        <w:t>the extent of the underinvestment</w:t>
      </w:r>
      <w:r>
        <w:t xml:space="preserve"> in mitigation</w:t>
      </w:r>
      <w:r w:rsidRPr="007D721E">
        <w:t xml:space="preserve"> is not known</w:t>
      </w:r>
      <w:r>
        <w:t>.</w:t>
      </w:r>
    </w:p>
    <w:p w14:paraId="6D993AC9" w14:textId="77777777" w:rsidR="00DE1537" w:rsidRDefault="00DE1537" w:rsidP="00343F3E">
      <w:pPr>
        <w:pStyle w:val="ListBullet"/>
      </w:pPr>
      <w:r>
        <w:t xml:space="preserve">Some ‘hard’ mitigation like flood levees </w:t>
      </w:r>
      <w:r w:rsidRPr="000910C4">
        <w:t>may reduce the probability of damage occurring but may perversely result in higher costs</w:t>
      </w:r>
      <w:r>
        <w:t xml:space="preserve"> in the long term — the ‘flood protection paradox’. </w:t>
      </w:r>
    </w:p>
    <w:p w14:paraId="2A713160" w14:textId="77777777" w:rsidR="00DE1537" w:rsidRDefault="00DE1537" w:rsidP="00343F3E">
      <w:pPr>
        <w:pStyle w:val="ListBullet"/>
      </w:pPr>
      <w:r>
        <w:t>‘Soft’ mitigation, such as information provision, land use planning and building regulation, can modify behaviour or embed risk in decision making and may yield significant benefits over time. Although the benefits can be difficult to quantify, soft mitigation measures should not be overlooked for hard mitigation measures.</w:t>
      </w:r>
    </w:p>
    <w:p w14:paraId="537FE932" w14:textId="77777777" w:rsidR="00DE1537" w:rsidRDefault="00DE1537" w:rsidP="00343F3E">
      <w:pPr>
        <w:pStyle w:val="ListBullet"/>
      </w:pPr>
      <w:r>
        <w:t>Some evidence suggests the greatest benefits of mitigation can be highly concentrated in a small number of geographic areas, which supports some use of a ‘top</w:t>
      </w:r>
      <w:r>
        <w:noBreakHyphen/>
        <w:t>down’ approach to prioritising investment in mitigation.</w:t>
      </w:r>
    </w:p>
    <w:p w14:paraId="6D21FB47" w14:textId="77777777" w:rsidR="00DE1537" w:rsidRDefault="00DE1537" w:rsidP="00343F3E">
      <w:pPr>
        <w:pStyle w:val="ListBullet"/>
      </w:pPr>
      <w:r>
        <w:lastRenderedPageBreak/>
        <w:t>Responsibility for natural disaster mitigation lies with households, businesses and all levels of government. As a general principle, consideration of natural disaster risk and mitigation objectives should be undertaken through the usual business of government and project approval processes.</w:t>
      </w:r>
    </w:p>
    <w:p w14:paraId="4BB1C402" w14:textId="77777777" w:rsidR="00DE1537" w:rsidRDefault="00DE1537" w:rsidP="00343F3E">
      <w:pPr>
        <w:pStyle w:val="ListBullet2"/>
      </w:pPr>
      <w:r>
        <w:t>State, territory and local governments should incorporate natural disaster risk mitigation objectives in asset management plans, consistent with long</w:t>
      </w:r>
      <w:r>
        <w:noBreakHyphen/>
        <w:t>term financial plans.</w:t>
      </w:r>
    </w:p>
    <w:p w14:paraId="7DB96C3F" w14:textId="77777777" w:rsidR="00DE1537" w:rsidRDefault="00DE1537" w:rsidP="00343F3E">
      <w:pPr>
        <w:pStyle w:val="ListBullet2"/>
      </w:pPr>
      <w:r>
        <w:t>All governments should apply robust and transparent governance and decision</w:t>
      </w:r>
      <w:r>
        <w:noBreakHyphen/>
        <w:t>making arrangements that incorporate CBA to prioritise limited funding, and create incentives for selection of projects that deliver the largest net benefits to the community.</w:t>
      </w:r>
    </w:p>
    <w:p w14:paraId="4D7A9FD4" w14:textId="77777777" w:rsidR="00DE1537" w:rsidRDefault="00DE1537" w:rsidP="00343F3E">
      <w:pPr>
        <w:pStyle w:val="ListBullet2"/>
      </w:pPr>
      <w:r>
        <w:t>Decision</w:t>
      </w:r>
      <w:r>
        <w:noBreakHyphen/>
        <w:t>making processes such as multi</w:t>
      </w:r>
      <w:r>
        <w:noBreakHyphen/>
        <w:t>criteria analysis have been used to identify and prioritise mitigation options. Such methods have limitations and should be used as a complement to, rather than as a substitute for, CBA.</w:t>
      </w:r>
    </w:p>
    <w:p w14:paraId="745253EA" w14:textId="77777777" w:rsidR="00DE1537" w:rsidRDefault="00DE1537" w:rsidP="00343F3E">
      <w:pPr>
        <w:pStyle w:val="ListBullet2"/>
      </w:pPr>
      <w:r>
        <w:t>Government funding for mitigation from general revenue sources should be considered only after options have been exhausted to recover the cost of mitigation from those that can most influence exposure to risk and/or the beneficiaries of mitigation, where they can be identified and it is feasible to do so.</w:t>
      </w:r>
    </w:p>
    <w:p w14:paraId="156A384A" w14:textId="77777777" w:rsidR="00DE1537" w:rsidRDefault="00DE1537" w:rsidP="00343F3E">
      <w:pPr>
        <w:pStyle w:val="ListBullet"/>
      </w:pPr>
      <w:r>
        <w:t>State, territory and local governments should partner with insurers to identify private funding sources, and encourage take</w:t>
      </w:r>
      <w:r>
        <w:noBreakHyphen/>
        <w:t>up of adequate private insurance and private mitigation through measures such as improved information sharing and reduced premiums.</w:t>
      </w:r>
    </w:p>
    <w:p w14:paraId="26FE2129" w14:textId="185767E7" w:rsidR="00DE1537" w:rsidRPr="00126D7F" w:rsidRDefault="00DE1537" w:rsidP="00343F3E">
      <w:pPr>
        <w:pStyle w:val="Heading2"/>
      </w:pPr>
      <w:bookmarkStart w:id="60" w:name="_Toc406424330"/>
      <w:r>
        <w:t>4.</w:t>
      </w:r>
      <w:r>
        <w:rPr>
          <w:noProof/>
        </w:rPr>
        <w:t>2</w:t>
      </w:r>
      <w:r>
        <w:tab/>
        <w:t>What is mitigation?</w:t>
      </w:r>
      <w:bookmarkEnd w:id="60"/>
    </w:p>
    <w:p w14:paraId="7E4AF729" w14:textId="77777777" w:rsidR="00DE1537" w:rsidRDefault="00DE1537" w:rsidP="00343F3E">
      <w:pPr>
        <w:pStyle w:val="BodyText"/>
        <w:rPr>
          <w:color w:val="000000"/>
          <w:lang w:val="en"/>
        </w:rPr>
      </w:pPr>
      <w:r>
        <w:rPr>
          <w:color w:val="000000"/>
          <w:lang w:val="en"/>
        </w:rPr>
        <w:t xml:space="preserve">Natural disaster risk can be defined as the relationship between a natural hazard and the level of exposure and vulnerability of a community to that hazard (supplementary paper 3). To effectively lower the level of risk it is necessary to reduce, as far as practical, the level of exposure of community elements (people and assets) and the vulnerability of the community exposed to the hazard (ERSA, sub. 12). </w:t>
      </w:r>
    </w:p>
    <w:p w14:paraId="1CF8D4DC" w14:textId="7244933E" w:rsidR="00DE1537" w:rsidRDefault="00DE1537" w:rsidP="00343F3E">
      <w:pPr>
        <w:pStyle w:val="BodyText"/>
      </w:pPr>
      <w:r>
        <w:rPr>
          <w:color w:val="000000"/>
          <w:lang w:val="en"/>
        </w:rPr>
        <w:t xml:space="preserve">Mitigation, in turn, can be defined as the practice of reducing the probability or extent of losses to people, property and the environment resulting from natural hazards by reducing the frequency and magnitude of factors that cause exposure and vulnerability </w:t>
      </w:r>
      <w:r w:rsidRPr="005252C0">
        <w:rPr>
          <w:szCs w:val="24"/>
        </w:rPr>
        <w:t>(Rose et al. 2007)</w:t>
      </w:r>
      <w:r>
        <w:rPr>
          <w:color w:val="000000"/>
          <w:lang w:val="en"/>
        </w:rPr>
        <w:t xml:space="preserve">. </w:t>
      </w:r>
      <w:r>
        <w:t xml:space="preserve">The </w:t>
      </w:r>
      <w:r>
        <w:rPr>
          <w:lang w:val="en"/>
        </w:rPr>
        <w:t>National Partnership Agreement on Natural Disaster Resilience</w:t>
      </w:r>
      <w:r>
        <w:t xml:space="preserve"> (NPANDR) defines mitigation as ‘measures taken in advance (or after) a disaster aimed at minimising the impact of future disasters on communities’ </w:t>
      </w:r>
      <w:r w:rsidRPr="00F936F8">
        <w:rPr>
          <w:szCs w:val="24"/>
        </w:rPr>
        <w:t>(COAG 2014, p. 10)</w:t>
      </w:r>
      <w:r>
        <w:t xml:space="preserve">. </w:t>
      </w:r>
    </w:p>
    <w:p w14:paraId="110AC43B" w14:textId="77777777" w:rsidR="00DE1537" w:rsidRDefault="00DE1537" w:rsidP="00343F3E">
      <w:pPr>
        <w:pStyle w:val="BodyText"/>
      </w:pPr>
      <w:r>
        <w:rPr>
          <w:color w:val="000000"/>
          <w:lang w:val="en"/>
        </w:rPr>
        <w:t xml:space="preserve">Mitigation activities contribute to building resilience to future events, as distinct from response activities taken during or immediately after events to lessen the impact on communities. </w:t>
      </w:r>
      <w:r w:rsidRPr="00901791">
        <w:rPr>
          <w:color w:val="000000"/>
          <w:lang w:val="en"/>
        </w:rPr>
        <w:t xml:space="preserve">In recent years, ‘resilience’ and ‘resilient communities’ have increasingly been stated as objectives of natural disaster and emergency management policies in </w:t>
      </w:r>
      <w:r w:rsidRPr="00901791">
        <w:rPr>
          <w:color w:val="000000"/>
          <w:lang w:val="en"/>
        </w:rPr>
        <w:lastRenderedPageBreak/>
        <w:t>Aust</w:t>
      </w:r>
      <w:r>
        <w:rPr>
          <w:color w:val="000000"/>
          <w:lang w:val="en"/>
        </w:rPr>
        <w:t>ralia. The concept of building resilience</w:t>
      </w:r>
      <w:r w:rsidRPr="00901791">
        <w:rPr>
          <w:color w:val="000000"/>
          <w:lang w:val="en"/>
        </w:rPr>
        <w:t xml:space="preserve"> can be interpreted in different ways. However</w:t>
      </w:r>
      <w:r>
        <w:rPr>
          <w:color w:val="000000"/>
          <w:lang w:val="en"/>
        </w:rPr>
        <w:t>,</w:t>
      </w:r>
      <w:r w:rsidRPr="00901791">
        <w:rPr>
          <w:color w:val="000000"/>
          <w:lang w:val="en"/>
        </w:rPr>
        <w:t xml:space="preserve"> most definitions generally relate to the ability of communities to</w:t>
      </w:r>
      <w:r>
        <w:rPr>
          <w:color w:val="000000"/>
          <w:lang w:val="en"/>
        </w:rPr>
        <w:t xml:space="preserve"> withstand and recover quickly from disasters, maintain </w:t>
      </w:r>
      <w:r w:rsidRPr="00901791">
        <w:rPr>
          <w:color w:val="000000"/>
          <w:lang w:val="en"/>
        </w:rPr>
        <w:t>operation of critical infrastructure when exposed to hazards</w:t>
      </w:r>
      <w:r>
        <w:rPr>
          <w:color w:val="000000"/>
          <w:lang w:val="en"/>
        </w:rPr>
        <w:t>,</w:t>
      </w:r>
      <w:r w:rsidRPr="00901791">
        <w:rPr>
          <w:color w:val="000000"/>
          <w:lang w:val="en"/>
        </w:rPr>
        <w:t xml:space="preserve"> and to adapt to changes rather than returning to the original pre</w:t>
      </w:r>
      <w:r>
        <w:rPr>
          <w:color w:val="000000"/>
          <w:lang w:val="en"/>
        </w:rPr>
        <w:noBreakHyphen/>
      </w:r>
      <w:r w:rsidRPr="00901791">
        <w:rPr>
          <w:color w:val="000000"/>
          <w:lang w:val="en"/>
        </w:rPr>
        <w:t xml:space="preserve">disaster state. </w:t>
      </w:r>
    </w:p>
    <w:p w14:paraId="6516C9C6" w14:textId="77777777" w:rsidR="00DE1537" w:rsidRDefault="00DE1537" w:rsidP="00343F3E">
      <w:pPr>
        <w:pStyle w:val="BodyText"/>
      </w:pPr>
      <w:r>
        <w:t>A more resilient community that invests in effective mitigation over time is likely to:</w:t>
      </w:r>
    </w:p>
    <w:p w14:paraId="36478F91" w14:textId="77777777" w:rsidR="00DE1537" w:rsidRDefault="00DE1537" w:rsidP="00343F3E">
      <w:pPr>
        <w:pStyle w:val="ListBullet"/>
      </w:pPr>
      <w:r>
        <w:t>experience lower disaster</w:t>
      </w:r>
      <w:r>
        <w:noBreakHyphen/>
        <w:t>related costs than less resilient communities (point A)</w:t>
      </w:r>
    </w:p>
    <w:p w14:paraId="725B70F5" w14:textId="77777777" w:rsidR="00DE1537" w:rsidRDefault="00DE1537" w:rsidP="00343F3E">
      <w:pPr>
        <w:pStyle w:val="ListBullet"/>
      </w:pPr>
      <w:r>
        <w:t>return to its original state of wellbeing (point B)</w:t>
      </w:r>
    </w:p>
    <w:p w14:paraId="39096B8E" w14:textId="77777777" w:rsidR="00DE1537" w:rsidRDefault="00DE1537" w:rsidP="00343F3E">
      <w:pPr>
        <w:pStyle w:val="ListBullet"/>
      </w:pPr>
      <w:proofErr w:type="gramStart"/>
      <w:r>
        <w:t>potentially</w:t>
      </w:r>
      <w:proofErr w:type="gramEnd"/>
      <w:r>
        <w:t xml:space="preserve"> achieve a higher level of wellbeing following a natural disaster event (point C) (figure 4.1). </w:t>
      </w:r>
    </w:p>
    <w:p w14:paraId="396FE68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63D3D4A" w14:textId="77777777" w:rsidTr="00343F3E">
        <w:tc>
          <w:tcPr>
            <w:tcW w:w="8771" w:type="dxa"/>
            <w:tcBorders>
              <w:top w:val="single" w:sz="6" w:space="0" w:color="78A22F"/>
              <w:left w:val="nil"/>
              <w:bottom w:val="nil"/>
              <w:right w:val="nil"/>
            </w:tcBorders>
            <w:shd w:val="clear" w:color="auto" w:fill="auto"/>
          </w:tcPr>
          <w:p w14:paraId="14EA9405" w14:textId="13E03E85" w:rsidR="00DE1537" w:rsidRPr="00176D3F" w:rsidRDefault="00DE1537" w:rsidP="00343F3E">
            <w:pPr>
              <w:pStyle w:val="FigureTitle"/>
            </w:pPr>
            <w:r w:rsidRPr="00784A05">
              <w:rPr>
                <w:b w:val="0"/>
              </w:rPr>
              <w:t xml:space="preserve">Figure </w:t>
            </w:r>
            <w:r>
              <w:rPr>
                <w:b w:val="0"/>
              </w:rPr>
              <w:t>4.</w:t>
            </w:r>
            <w:r>
              <w:rPr>
                <w:b w:val="0"/>
                <w:noProof/>
              </w:rPr>
              <w:t>1</w:t>
            </w:r>
            <w:r>
              <w:tab/>
              <w:t>Building resilience can improve community wellbeing</w:t>
            </w:r>
          </w:p>
        </w:tc>
      </w:tr>
      <w:tr w:rsidR="00DE1537" w14:paraId="02B3CD53"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DE1537" w14:paraId="1BAD6D04" w14:textId="77777777" w:rsidTr="00343F3E">
              <w:tc>
                <w:tcPr>
                  <w:tcW w:w="8487" w:type="dxa"/>
                  <w:tcBorders>
                    <w:top w:val="nil"/>
                    <w:bottom w:val="nil"/>
                  </w:tcBorders>
                </w:tcPr>
                <w:p w14:paraId="7664FF92" w14:textId="77777777" w:rsidR="00DE1537" w:rsidRPr="000B252C" w:rsidRDefault="00DE1537" w:rsidP="00343F3E">
                  <w:pPr>
                    <w:pStyle w:val="Figure"/>
                    <w:spacing w:before="60" w:after="60"/>
                    <w:rPr>
                      <w:color w:val="B2D673" w:themeColor="accent3"/>
                    </w:rPr>
                  </w:pPr>
                  <w:r>
                    <w:rPr>
                      <w:noProof/>
                    </w:rPr>
                    <w:drawing>
                      <wp:inline distT="0" distB="0" distL="0" distR="0" wp14:anchorId="29F148D0" wp14:editId="1111F947">
                        <wp:extent cx="5400000" cy="2880000"/>
                        <wp:effectExtent l="0" t="0" r="0" b="0"/>
                        <wp:docPr id="26" name="Chart 26" descr="The figure illustrates changes in the level of wellbeing of resilient and non-resilient communities before and after a natural disaster event. A more resilient community that invests in effective mitigation over time will return to its original state of wellbeing, or achieve a higher level of wellbeing over a shorter period of time following a natural disaster, compared to a non-resilient community." title="Figure 4.1 - Building resilience improves community wellb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14:paraId="673BF85C" w14:textId="77777777" w:rsidR="00DE1537" w:rsidRDefault="00DE1537" w:rsidP="00343F3E">
            <w:pPr>
              <w:pStyle w:val="Figure"/>
            </w:pPr>
          </w:p>
        </w:tc>
      </w:tr>
      <w:tr w:rsidR="00DE1537" w:rsidRPr="00176D3F" w14:paraId="7C79BB21" w14:textId="77777777" w:rsidTr="00343F3E">
        <w:tc>
          <w:tcPr>
            <w:tcW w:w="8771" w:type="dxa"/>
            <w:tcBorders>
              <w:top w:val="nil"/>
              <w:left w:val="nil"/>
              <w:bottom w:val="nil"/>
              <w:right w:val="nil"/>
            </w:tcBorders>
            <w:shd w:val="clear" w:color="auto" w:fill="auto"/>
          </w:tcPr>
          <w:p w14:paraId="46D88BD8" w14:textId="30407C1B" w:rsidR="00DE1537" w:rsidRPr="00176D3F" w:rsidRDefault="00DE1537" w:rsidP="00343F3E">
            <w:pPr>
              <w:pStyle w:val="Source"/>
            </w:pPr>
            <w:r>
              <w:rPr>
                <w:i/>
              </w:rPr>
              <w:t>S</w:t>
            </w:r>
            <w:r w:rsidRPr="00784A05">
              <w:rPr>
                <w:i/>
              </w:rPr>
              <w:t>ource</w:t>
            </w:r>
            <w:r w:rsidRPr="00176D3F">
              <w:t xml:space="preserve">: </w:t>
            </w:r>
            <w:r>
              <w:t xml:space="preserve">Adapted from Deloitte Access Economics </w:t>
            </w:r>
            <w:r w:rsidRPr="007740F8">
              <w:rPr>
                <w:rFonts w:cs="Arial"/>
              </w:rPr>
              <w:t>(2013)</w:t>
            </w:r>
            <w:r w:rsidRPr="00E2535C">
              <w:t>.</w:t>
            </w:r>
          </w:p>
        </w:tc>
      </w:tr>
      <w:tr w:rsidR="00DE1537" w14:paraId="38255D9F" w14:textId="77777777" w:rsidTr="00343F3E">
        <w:tc>
          <w:tcPr>
            <w:tcW w:w="8771" w:type="dxa"/>
            <w:tcBorders>
              <w:top w:val="nil"/>
              <w:left w:val="nil"/>
              <w:bottom w:val="single" w:sz="6" w:space="0" w:color="78A22F"/>
              <w:right w:val="nil"/>
            </w:tcBorders>
            <w:shd w:val="clear" w:color="auto" w:fill="auto"/>
          </w:tcPr>
          <w:p w14:paraId="650CD3C7" w14:textId="77777777" w:rsidR="00DE1537" w:rsidRDefault="00DE1537" w:rsidP="00343F3E">
            <w:pPr>
              <w:pStyle w:val="Figurespace"/>
            </w:pPr>
          </w:p>
        </w:tc>
      </w:tr>
      <w:tr w:rsidR="00DE1537" w:rsidRPr="000863A5" w14:paraId="7862D542" w14:textId="77777777" w:rsidTr="00343F3E">
        <w:tc>
          <w:tcPr>
            <w:tcW w:w="8771" w:type="dxa"/>
            <w:tcBorders>
              <w:top w:val="single" w:sz="6" w:space="0" w:color="78A22F"/>
              <w:left w:val="nil"/>
              <w:bottom w:val="nil"/>
              <w:right w:val="nil"/>
            </w:tcBorders>
          </w:tcPr>
          <w:p w14:paraId="0C857EEC" w14:textId="77777777" w:rsidR="00DE1537" w:rsidRPr="00626D32" w:rsidRDefault="00DE1537" w:rsidP="00343F3E">
            <w:pPr>
              <w:pStyle w:val="BoxSpaceBelow"/>
            </w:pPr>
          </w:p>
        </w:tc>
      </w:tr>
    </w:tbl>
    <w:p w14:paraId="029C47A8" w14:textId="77777777" w:rsidR="00DE1537" w:rsidRDefault="00DE1537" w:rsidP="00343F3E">
      <w:pPr>
        <w:pStyle w:val="BodyText"/>
        <w:rPr>
          <w:color w:val="000000"/>
          <w:lang w:val="en"/>
        </w:rPr>
      </w:pPr>
      <w:r w:rsidRPr="00334CE2">
        <w:rPr>
          <w:color w:val="000000"/>
          <w:lang w:val="en"/>
        </w:rPr>
        <w:t xml:space="preserve">Mitigation </w:t>
      </w:r>
      <w:r>
        <w:rPr>
          <w:color w:val="000000"/>
          <w:lang w:val="en"/>
        </w:rPr>
        <w:t>is often thought of as pre</w:t>
      </w:r>
      <w:r>
        <w:rPr>
          <w:color w:val="000000"/>
          <w:lang w:val="en"/>
        </w:rPr>
        <w:noBreakHyphen/>
        <w:t>event actions that aim to reduce or avoid</w:t>
      </w:r>
      <w:r w:rsidRPr="00334CE2">
        <w:rPr>
          <w:color w:val="000000"/>
          <w:lang w:val="en"/>
        </w:rPr>
        <w:t xml:space="preserve"> the </w:t>
      </w:r>
      <w:bookmarkStart w:id="61" w:name="_GoBack"/>
      <w:bookmarkEnd w:id="61"/>
      <w:r w:rsidRPr="00334CE2">
        <w:rPr>
          <w:color w:val="000000"/>
          <w:lang w:val="en"/>
        </w:rPr>
        <w:t>costs of future natural disasters</w:t>
      </w:r>
      <w:r>
        <w:rPr>
          <w:color w:val="000000"/>
          <w:lang w:val="en"/>
        </w:rPr>
        <w:t>. However, mitigation may be part of (post</w:t>
      </w:r>
      <w:r>
        <w:rPr>
          <w:color w:val="000000"/>
          <w:lang w:val="en"/>
        </w:rPr>
        <w:noBreakHyphen/>
        <w:t>event) recovery efforts where it involves not only restoration, but improvement in assets, systems and facilities in affected communities that reduce natural disaster risk (often termed betterment) (section 4.4).</w:t>
      </w:r>
      <w:r w:rsidRPr="00340997">
        <w:rPr>
          <w:rStyle w:val="FootnoteReference"/>
        </w:rPr>
        <w:footnoteReference w:id="11"/>
      </w:r>
    </w:p>
    <w:p w14:paraId="4075A31E" w14:textId="77777777" w:rsidR="00DE1537" w:rsidRPr="000E1A32" w:rsidRDefault="00DE1537" w:rsidP="00343F3E">
      <w:pPr>
        <w:pStyle w:val="BodyText"/>
      </w:pPr>
      <w:r>
        <w:rPr>
          <w:color w:val="000000"/>
          <w:lang w:val="en"/>
        </w:rPr>
        <w:t xml:space="preserve">Mitigation can encompass a broad range of activities including the provision of physical infrastructure, land use planning and building regulation, and other actions that either avoid </w:t>
      </w:r>
      <w:proofErr w:type="gramStart"/>
      <w:r>
        <w:rPr>
          <w:color w:val="000000"/>
          <w:lang w:val="en"/>
        </w:rPr>
        <w:lastRenderedPageBreak/>
        <w:t>damage</w:t>
      </w:r>
      <w:proofErr w:type="gramEnd"/>
      <w:r>
        <w:rPr>
          <w:color w:val="000000"/>
          <w:lang w:val="en"/>
        </w:rPr>
        <w:t xml:space="preserve"> occurring or increase the preparedness of the community to withstand natural disasters </w:t>
      </w:r>
      <w:r>
        <w:t xml:space="preserve">(table 4.1). </w:t>
      </w:r>
    </w:p>
    <w:p w14:paraId="7BFF7A62"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51B964F0" w14:textId="77777777" w:rsidTr="00343F3E">
        <w:tc>
          <w:tcPr>
            <w:tcW w:w="8771" w:type="dxa"/>
            <w:tcBorders>
              <w:top w:val="single" w:sz="6" w:space="0" w:color="78A22F"/>
              <w:left w:val="nil"/>
              <w:bottom w:val="nil"/>
              <w:right w:val="nil"/>
            </w:tcBorders>
            <w:shd w:val="clear" w:color="auto" w:fill="auto"/>
          </w:tcPr>
          <w:p w14:paraId="1306F332" w14:textId="7962D811" w:rsidR="00DE1537" w:rsidRDefault="00DE1537" w:rsidP="00343F3E">
            <w:pPr>
              <w:pStyle w:val="TableTitle"/>
            </w:pPr>
            <w:r>
              <w:rPr>
                <w:b w:val="0"/>
              </w:rPr>
              <w:t>Table 4.</w:t>
            </w:r>
            <w:r>
              <w:rPr>
                <w:b w:val="0"/>
                <w:noProof/>
              </w:rPr>
              <w:t>1</w:t>
            </w:r>
            <w:r>
              <w:tab/>
              <w:t>Types of natural disaster mitigation measures</w:t>
            </w:r>
          </w:p>
          <w:p w14:paraId="0CAC86BB" w14:textId="77777777" w:rsidR="00DE1537" w:rsidRPr="00784A05" w:rsidRDefault="00DE1537" w:rsidP="00343F3E">
            <w:pPr>
              <w:pStyle w:val="Subtitle"/>
            </w:pPr>
          </w:p>
        </w:tc>
      </w:tr>
      <w:tr w:rsidR="00DE1537" w14:paraId="1DFF9982" w14:textId="77777777" w:rsidTr="00343F3E">
        <w:trPr>
          <w:cantSplit/>
        </w:trPr>
        <w:tc>
          <w:tcPr>
            <w:tcW w:w="8771" w:type="dxa"/>
            <w:tcBorders>
              <w:top w:val="nil"/>
              <w:left w:val="nil"/>
              <w:bottom w:val="nil"/>
              <w:right w:val="nil"/>
            </w:tcBorders>
            <w:shd w:val="clear" w:color="auto" w:fill="auto"/>
          </w:tcPr>
          <w:tbl>
            <w:tblPr>
              <w:tblW w:w="5001" w:type="pct"/>
              <w:tblCellMar>
                <w:left w:w="0" w:type="dxa"/>
                <w:right w:w="0" w:type="dxa"/>
              </w:tblCellMar>
              <w:tblLook w:val="0000" w:firstRow="0" w:lastRow="0" w:firstColumn="0" w:lastColumn="0" w:noHBand="0" w:noVBand="0"/>
            </w:tblPr>
            <w:tblGrid>
              <w:gridCol w:w="2054"/>
              <w:gridCol w:w="6435"/>
            </w:tblGrid>
            <w:tr w:rsidR="00DE1537" w14:paraId="024AF1F7" w14:textId="77777777" w:rsidTr="00343F3E">
              <w:tc>
                <w:tcPr>
                  <w:tcW w:w="1210" w:type="pct"/>
                  <w:tcBorders>
                    <w:top w:val="single" w:sz="6" w:space="0" w:color="BFBFBF"/>
                    <w:bottom w:val="single" w:sz="6" w:space="0" w:color="BFBFBF"/>
                  </w:tcBorders>
                  <w:shd w:val="clear" w:color="auto" w:fill="auto"/>
                </w:tcPr>
                <w:p w14:paraId="50621D15" w14:textId="77777777" w:rsidR="00DE1537" w:rsidRDefault="00DE1537" w:rsidP="00343F3E">
                  <w:pPr>
                    <w:pStyle w:val="TableColumnHeading"/>
                    <w:jc w:val="left"/>
                  </w:pPr>
                  <w:r>
                    <w:t>Type of measure</w:t>
                  </w:r>
                </w:p>
              </w:tc>
              <w:tc>
                <w:tcPr>
                  <w:tcW w:w="3790" w:type="pct"/>
                  <w:tcBorders>
                    <w:top w:val="single" w:sz="6" w:space="0" w:color="BFBFBF"/>
                    <w:bottom w:val="single" w:sz="6" w:space="0" w:color="BFBFBF"/>
                  </w:tcBorders>
                  <w:shd w:val="clear" w:color="auto" w:fill="auto"/>
                </w:tcPr>
                <w:p w14:paraId="5F029CEC" w14:textId="77777777" w:rsidR="00DE1537" w:rsidRDefault="00DE1537" w:rsidP="00343F3E">
                  <w:pPr>
                    <w:pStyle w:val="TableColumnHeading"/>
                    <w:ind w:right="28"/>
                    <w:jc w:val="left"/>
                  </w:pPr>
                  <w:r>
                    <w:t>Example of measure</w:t>
                  </w:r>
                </w:p>
              </w:tc>
            </w:tr>
            <w:tr w:rsidR="00DE1537" w14:paraId="52D3C368" w14:textId="77777777" w:rsidTr="00343F3E">
              <w:tc>
                <w:tcPr>
                  <w:tcW w:w="1210" w:type="pct"/>
                  <w:tcBorders>
                    <w:top w:val="single" w:sz="6" w:space="0" w:color="BFBFBF"/>
                  </w:tcBorders>
                </w:tcPr>
                <w:p w14:paraId="1031373F" w14:textId="77777777" w:rsidR="00DE1537" w:rsidRDefault="00DE1537" w:rsidP="00343F3E">
                  <w:pPr>
                    <w:pStyle w:val="TableBodyText"/>
                    <w:spacing w:before="40"/>
                    <w:jc w:val="left"/>
                  </w:pPr>
                  <w:r>
                    <w:t>Preparedness</w:t>
                  </w:r>
                </w:p>
              </w:tc>
              <w:tc>
                <w:tcPr>
                  <w:tcW w:w="3790" w:type="pct"/>
                  <w:tcBorders>
                    <w:top w:val="single" w:sz="6" w:space="0" w:color="BFBFBF"/>
                  </w:tcBorders>
                </w:tcPr>
                <w:p w14:paraId="4B212D4D" w14:textId="77777777" w:rsidR="00DE1537" w:rsidRDefault="00DE1537" w:rsidP="00343F3E">
                  <w:pPr>
                    <w:pStyle w:val="TableBodyText"/>
                    <w:spacing w:before="40"/>
                    <w:ind w:right="28"/>
                    <w:jc w:val="left"/>
                  </w:pPr>
                  <w:r>
                    <w:t>Hazard mapping</w:t>
                  </w:r>
                </w:p>
              </w:tc>
            </w:tr>
            <w:tr w:rsidR="00DE1537" w14:paraId="617DFD81" w14:textId="77777777" w:rsidTr="00343F3E">
              <w:tc>
                <w:tcPr>
                  <w:tcW w:w="1210" w:type="pct"/>
                </w:tcPr>
                <w:p w14:paraId="20FC3DDB" w14:textId="77777777" w:rsidR="00DE1537" w:rsidRDefault="00DE1537" w:rsidP="00343F3E">
                  <w:pPr>
                    <w:pStyle w:val="TableBodyText"/>
                    <w:jc w:val="left"/>
                  </w:pPr>
                </w:p>
              </w:tc>
              <w:tc>
                <w:tcPr>
                  <w:tcW w:w="3790" w:type="pct"/>
                </w:tcPr>
                <w:p w14:paraId="07DDC292" w14:textId="77777777" w:rsidR="00DE1537" w:rsidRDefault="00DE1537" w:rsidP="00343F3E">
                  <w:pPr>
                    <w:pStyle w:val="TableBodyText"/>
                    <w:ind w:right="28"/>
                    <w:jc w:val="left"/>
                  </w:pPr>
                  <w:r>
                    <w:t>Hazard awareness programs</w:t>
                  </w:r>
                </w:p>
              </w:tc>
            </w:tr>
            <w:tr w:rsidR="00DE1537" w14:paraId="731B8626" w14:textId="77777777" w:rsidTr="00343F3E">
              <w:tc>
                <w:tcPr>
                  <w:tcW w:w="1210" w:type="pct"/>
                </w:tcPr>
                <w:p w14:paraId="39732CFC" w14:textId="77777777" w:rsidR="00DE1537" w:rsidRDefault="00DE1537" w:rsidP="00343F3E">
                  <w:pPr>
                    <w:pStyle w:val="TableBodyText"/>
                    <w:jc w:val="left"/>
                  </w:pPr>
                </w:p>
              </w:tc>
              <w:tc>
                <w:tcPr>
                  <w:tcW w:w="3790" w:type="pct"/>
                </w:tcPr>
                <w:p w14:paraId="12918156" w14:textId="77777777" w:rsidR="00DE1537" w:rsidRDefault="00DE1537" w:rsidP="00343F3E">
                  <w:pPr>
                    <w:pStyle w:val="TableBodyText"/>
                    <w:ind w:right="28"/>
                    <w:jc w:val="left"/>
                  </w:pPr>
                  <w:r>
                    <w:t>Forecasts and early warning systems</w:t>
                  </w:r>
                </w:p>
              </w:tc>
            </w:tr>
            <w:tr w:rsidR="00DE1537" w14:paraId="341B5014" w14:textId="77777777" w:rsidTr="00343F3E">
              <w:tc>
                <w:tcPr>
                  <w:tcW w:w="1210" w:type="pct"/>
                </w:tcPr>
                <w:p w14:paraId="01F64BB5" w14:textId="77777777" w:rsidR="00DE1537" w:rsidRDefault="00DE1537" w:rsidP="00343F3E">
                  <w:pPr>
                    <w:pStyle w:val="TableBodyText"/>
                    <w:jc w:val="left"/>
                  </w:pPr>
                </w:p>
              </w:tc>
              <w:tc>
                <w:tcPr>
                  <w:tcW w:w="3790" w:type="pct"/>
                </w:tcPr>
                <w:p w14:paraId="60C30172" w14:textId="77777777" w:rsidR="00DE1537" w:rsidRDefault="00DE1537" w:rsidP="00343F3E">
                  <w:pPr>
                    <w:pStyle w:val="TableBodyText"/>
                    <w:ind w:right="28"/>
                    <w:jc w:val="left"/>
                  </w:pPr>
                  <w:r>
                    <w:t>Emergency services capability</w:t>
                  </w:r>
                </w:p>
              </w:tc>
            </w:tr>
            <w:tr w:rsidR="00DE1537" w14:paraId="7A8077A4" w14:textId="77777777" w:rsidTr="00343F3E">
              <w:tc>
                <w:tcPr>
                  <w:tcW w:w="1210" w:type="pct"/>
                </w:tcPr>
                <w:p w14:paraId="16DBDBB2" w14:textId="77777777" w:rsidR="00DE1537" w:rsidRDefault="00DE1537" w:rsidP="00343F3E">
                  <w:pPr>
                    <w:pStyle w:val="TableBodyText"/>
                    <w:ind w:right="28"/>
                    <w:jc w:val="left"/>
                  </w:pPr>
                </w:p>
              </w:tc>
              <w:tc>
                <w:tcPr>
                  <w:tcW w:w="3790" w:type="pct"/>
                </w:tcPr>
                <w:p w14:paraId="0B87F9A2" w14:textId="77777777" w:rsidR="00DE1537" w:rsidRDefault="00DE1537" w:rsidP="00343F3E">
                  <w:pPr>
                    <w:pStyle w:val="TableBodyText"/>
                    <w:ind w:right="28"/>
                    <w:jc w:val="left"/>
                  </w:pPr>
                  <w:r>
                    <w:t>Emergency management plans</w:t>
                  </w:r>
                </w:p>
              </w:tc>
            </w:tr>
            <w:tr w:rsidR="00DE1537" w14:paraId="127DCA21" w14:textId="77777777" w:rsidTr="00343F3E">
              <w:tc>
                <w:tcPr>
                  <w:tcW w:w="1210" w:type="pct"/>
                </w:tcPr>
                <w:p w14:paraId="2D7ACCD5" w14:textId="77777777" w:rsidR="00DE1537" w:rsidRDefault="00DE1537" w:rsidP="00343F3E">
                  <w:pPr>
                    <w:pStyle w:val="TableBodyText"/>
                    <w:spacing w:before="40"/>
                    <w:jc w:val="left"/>
                  </w:pPr>
                  <w:r>
                    <w:t>Regulation</w:t>
                  </w:r>
                </w:p>
              </w:tc>
              <w:tc>
                <w:tcPr>
                  <w:tcW w:w="3790" w:type="pct"/>
                </w:tcPr>
                <w:p w14:paraId="5B10E3C4" w14:textId="77777777" w:rsidR="00DE1537" w:rsidRDefault="00DE1537" w:rsidP="00343F3E">
                  <w:pPr>
                    <w:pStyle w:val="TableBodyText"/>
                    <w:spacing w:before="40"/>
                    <w:ind w:right="28"/>
                    <w:jc w:val="left"/>
                  </w:pPr>
                  <w:r>
                    <w:t>Building construction codes (such as for cyclone or bushfire resistance, or higher floor levels)</w:t>
                  </w:r>
                </w:p>
                <w:p w14:paraId="31FEAE9F" w14:textId="77777777" w:rsidR="00DE1537" w:rsidRDefault="00DE1537" w:rsidP="00343F3E">
                  <w:pPr>
                    <w:pStyle w:val="TableBodyText"/>
                    <w:spacing w:before="40"/>
                    <w:ind w:right="28"/>
                    <w:jc w:val="left"/>
                  </w:pPr>
                  <w:r>
                    <w:t>Engineering standards</w:t>
                  </w:r>
                </w:p>
              </w:tc>
            </w:tr>
            <w:tr w:rsidR="00DE1537" w14:paraId="7B0678BD" w14:textId="77777777" w:rsidTr="00343F3E">
              <w:tc>
                <w:tcPr>
                  <w:tcW w:w="1210" w:type="pct"/>
                </w:tcPr>
                <w:p w14:paraId="7EC00896" w14:textId="77777777" w:rsidR="00DE1537" w:rsidRDefault="00DE1537" w:rsidP="00343F3E">
                  <w:pPr>
                    <w:pStyle w:val="TableBodyText"/>
                    <w:jc w:val="left"/>
                  </w:pPr>
                </w:p>
              </w:tc>
              <w:tc>
                <w:tcPr>
                  <w:tcW w:w="3790" w:type="pct"/>
                </w:tcPr>
                <w:p w14:paraId="28164FF7" w14:textId="77777777" w:rsidR="00DE1537" w:rsidRDefault="00DE1537" w:rsidP="00343F3E">
                  <w:pPr>
                    <w:pStyle w:val="TableBodyText"/>
                    <w:ind w:right="28"/>
                    <w:jc w:val="left"/>
                  </w:pPr>
                  <w:r>
                    <w:t>Planning and zoning regulations that limit development in risk</w:t>
                  </w:r>
                  <w:r>
                    <w:noBreakHyphen/>
                    <w:t>prone areas</w:t>
                  </w:r>
                </w:p>
              </w:tc>
            </w:tr>
            <w:tr w:rsidR="00DE1537" w14:paraId="45CA7DF9" w14:textId="77777777" w:rsidTr="00343F3E">
              <w:tc>
                <w:tcPr>
                  <w:tcW w:w="1210" w:type="pct"/>
                </w:tcPr>
                <w:p w14:paraId="4252EBD6" w14:textId="77777777" w:rsidR="00DE1537" w:rsidRDefault="00DE1537" w:rsidP="00343F3E">
                  <w:pPr>
                    <w:pStyle w:val="TableBodyText"/>
                    <w:jc w:val="left"/>
                  </w:pPr>
                </w:p>
              </w:tc>
              <w:tc>
                <w:tcPr>
                  <w:tcW w:w="3790" w:type="pct"/>
                </w:tcPr>
                <w:p w14:paraId="022E5048" w14:textId="77777777" w:rsidR="00DE1537" w:rsidRDefault="00DE1537" w:rsidP="00343F3E">
                  <w:pPr>
                    <w:pStyle w:val="TableBodyText"/>
                    <w:ind w:right="28"/>
                    <w:jc w:val="left"/>
                  </w:pPr>
                  <w:r>
                    <w:t>Property buybacks or relocations</w:t>
                  </w:r>
                </w:p>
              </w:tc>
            </w:tr>
            <w:tr w:rsidR="00DE1537" w14:paraId="18738DB0" w14:textId="77777777" w:rsidTr="00343F3E">
              <w:tc>
                <w:tcPr>
                  <w:tcW w:w="1210" w:type="pct"/>
                </w:tcPr>
                <w:p w14:paraId="044F8C8F" w14:textId="77777777" w:rsidR="00DE1537" w:rsidRDefault="00DE1537" w:rsidP="00343F3E">
                  <w:pPr>
                    <w:pStyle w:val="TableBodyText"/>
                    <w:jc w:val="left"/>
                  </w:pPr>
                </w:p>
              </w:tc>
              <w:tc>
                <w:tcPr>
                  <w:tcW w:w="3790" w:type="pct"/>
                </w:tcPr>
                <w:p w14:paraId="7ACFFEEC" w14:textId="77777777" w:rsidR="00DE1537" w:rsidRDefault="00DE1537" w:rsidP="00343F3E">
                  <w:pPr>
                    <w:pStyle w:val="TableBodyText"/>
                    <w:ind w:right="28"/>
                    <w:jc w:val="left"/>
                  </w:pPr>
                  <w:r>
                    <w:t>Taxes, subsidies and other incentives (such as insurance rebates or discounts) to encourage particular actions</w:t>
                  </w:r>
                </w:p>
              </w:tc>
            </w:tr>
            <w:tr w:rsidR="00DE1537" w14:paraId="33C9E311" w14:textId="77777777" w:rsidTr="00343F3E">
              <w:tc>
                <w:tcPr>
                  <w:tcW w:w="1210" w:type="pct"/>
                </w:tcPr>
                <w:p w14:paraId="240F4645" w14:textId="77777777" w:rsidR="00DE1537" w:rsidRDefault="00DE1537" w:rsidP="00343F3E">
                  <w:pPr>
                    <w:pStyle w:val="TableBodyText"/>
                    <w:jc w:val="left"/>
                  </w:pPr>
                </w:p>
              </w:tc>
              <w:tc>
                <w:tcPr>
                  <w:tcW w:w="3790" w:type="pct"/>
                </w:tcPr>
                <w:p w14:paraId="79079AC8" w14:textId="77777777" w:rsidR="00DE1537" w:rsidRDefault="00DE1537" w:rsidP="00343F3E">
                  <w:pPr>
                    <w:pStyle w:val="TableBodyText"/>
                    <w:ind w:right="28"/>
                    <w:jc w:val="left"/>
                  </w:pPr>
                  <w:r>
                    <w:t>Wetland and floodplain protection</w:t>
                  </w:r>
                </w:p>
              </w:tc>
            </w:tr>
            <w:tr w:rsidR="00DE1537" w14:paraId="133486B4" w14:textId="77777777" w:rsidTr="00343F3E">
              <w:tc>
                <w:tcPr>
                  <w:tcW w:w="1210" w:type="pct"/>
                </w:tcPr>
                <w:p w14:paraId="6318D91E" w14:textId="77777777" w:rsidR="00DE1537" w:rsidRDefault="00DE1537" w:rsidP="00343F3E">
                  <w:pPr>
                    <w:pStyle w:val="TableBodyText"/>
                    <w:jc w:val="left"/>
                  </w:pPr>
                </w:p>
              </w:tc>
              <w:tc>
                <w:tcPr>
                  <w:tcW w:w="3790" w:type="pct"/>
                </w:tcPr>
                <w:p w14:paraId="4B4E3AD9" w14:textId="77777777" w:rsidR="00DE1537" w:rsidRDefault="00DE1537" w:rsidP="00343F3E">
                  <w:pPr>
                    <w:pStyle w:val="TableBodyText"/>
                    <w:ind w:right="28"/>
                    <w:jc w:val="left"/>
                  </w:pPr>
                  <w:r w:rsidRPr="00AC02EC">
                    <w:t>Fire restrictions, fuel load management</w:t>
                  </w:r>
                </w:p>
              </w:tc>
            </w:tr>
            <w:tr w:rsidR="00DE1537" w14:paraId="65A1EA92" w14:textId="77777777" w:rsidTr="00343F3E">
              <w:tc>
                <w:tcPr>
                  <w:tcW w:w="1210" w:type="pct"/>
                </w:tcPr>
                <w:p w14:paraId="61206222" w14:textId="77777777" w:rsidR="00DE1537" w:rsidRDefault="00DE1537" w:rsidP="00343F3E">
                  <w:pPr>
                    <w:pStyle w:val="TableBodyText"/>
                    <w:spacing w:before="40"/>
                    <w:jc w:val="left"/>
                  </w:pPr>
                  <w:r>
                    <w:t>Physical infrastructure</w:t>
                  </w:r>
                </w:p>
              </w:tc>
              <w:tc>
                <w:tcPr>
                  <w:tcW w:w="3790" w:type="pct"/>
                </w:tcPr>
                <w:p w14:paraId="32619BC7" w14:textId="77777777" w:rsidR="00DE1537" w:rsidRDefault="00DE1537" w:rsidP="00343F3E">
                  <w:pPr>
                    <w:pStyle w:val="TableBodyText"/>
                    <w:spacing w:before="40"/>
                    <w:ind w:right="28"/>
                    <w:jc w:val="left"/>
                  </w:pPr>
                  <w:r>
                    <w:t>Flood levees</w:t>
                  </w:r>
                </w:p>
              </w:tc>
            </w:tr>
            <w:tr w:rsidR="00DE1537" w14:paraId="1AAE7675" w14:textId="77777777" w:rsidTr="00343F3E">
              <w:tc>
                <w:tcPr>
                  <w:tcW w:w="1210" w:type="pct"/>
                </w:tcPr>
                <w:p w14:paraId="0FB0D59C" w14:textId="77777777" w:rsidR="00DE1537" w:rsidRDefault="00DE1537" w:rsidP="00343F3E">
                  <w:pPr>
                    <w:pStyle w:val="TableBodyText"/>
                    <w:jc w:val="left"/>
                  </w:pPr>
                </w:p>
              </w:tc>
              <w:tc>
                <w:tcPr>
                  <w:tcW w:w="3790" w:type="pct"/>
                </w:tcPr>
                <w:p w14:paraId="0DFF6ABC" w14:textId="77777777" w:rsidR="00DE1537" w:rsidRDefault="00DE1537" w:rsidP="00343F3E">
                  <w:pPr>
                    <w:pStyle w:val="TableBodyText"/>
                    <w:ind w:right="28"/>
                    <w:jc w:val="left"/>
                  </w:pPr>
                  <w:r>
                    <w:t>Dams</w:t>
                  </w:r>
                </w:p>
              </w:tc>
            </w:tr>
            <w:tr w:rsidR="00DE1537" w14:paraId="04704C6F" w14:textId="77777777" w:rsidTr="00343F3E">
              <w:tc>
                <w:tcPr>
                  <w:tcW w:w="1210" w:type="pct"/>
                </w:tcPr>
                <w:p w14:paraId="320316E9" w14:textId="77777777" w:rsidR="00DE1537" w:rsidRDefault="00DE1537" w:rsidP="00343F3E">
                  <w:pPr>
                    <w:pStyle w:val="TableBodyText"/>
                    <w:jc w:val="left"/>
                  </w:pPr>
                </w:p>
              </w:tc>
              <w:tc>
                <w:tcPr>
                  <w:tcW w:w="3790" w:type="pct"/>
                </w:tcPr>
                <w:p w14:paraId="3B92A929" w14:textId="77777777" w:rsidR="00DE1537" w:rsidRDefault="00DE1537" w:rsidP="00343F3E">
                  <w:pPr>
                    <w:pStyle w:val="TableBodyText"/>
                    <w:ind w:right="28"/>
                    <w:jc w:val="left"/>
                  </w:pPr>
                  <w:r>
                    <w:t>Firebreaks</w:t>
                  </w:r>
                </w:p>
              </w:tc>
            </w:tr>
            <w:tr w:rsidR="00DE1537" w14:paraId="3C889F36" w14:textId="77777777" w:rsidTr="00343F3E">
              <w:tc>
                <w:tcPr>
                  <w:tcW w:w="1210" w:type="pct"/>
                </w:tcPr>
                <w:p w14:paraId="6330FD30" w14:textId="77777777" w:rsidR="00DE1537" w:rsidRDefault="00DE1537" w:rsidP="00343F3E">
                  <w:pPr>
                    <w:pStyle w:val="TableBodyText"/>
                    <w:jc w:val="left"/>
                  </w:pPr>
                </w:p>
              </w:tc>
              <w:tc>
                <w:tcPr>
                  <w:tcW w:w="3790" w:type="pct"/>
                </w:tcPr>
                <w:p w14:paraId="696E037C" w14:textId="77777777" w:rsidR="00DE1537" w:rsidRDefault="00DE1537" w:rsidP="00343F3E">
                  <w:pPr>
                    <w:pStyle w:val="TableBodyText"/>
                    <w:ind w:right="28"/>
                    <w:jc w:val="left"/>
                  </w:pPr>
                  <w:r>
                    <w:t>Drainage works and water pumps</w:t>
                  </w:r>
                </w:p>
              </w:tc>
            </w:tr>
            <w:tr w:rsidR="00DE1537" w14:paraId="064C1593" w14:textId="77777777" w:rsidTr="00343F3E">
              <w:tc>
                <w:tcPr>
                  <w:tcW w:w="1210" w:type="pct"/>
                </w:tcPr>
                <w:p w14:paraId="6050BB6C" w14:textId="77777777" w:rsidR="00DE1537" w:rsidRDefault="00DE1537" w:rsidP="00343F3E">
                  <w:pPr>
                    <w:pStyle w:val="TableBodyText"/>
                    <w:jc w:val="left"/>
                  </w:pPr>
                </w:p>
              </w:tc>
              <w:tc>
                <w:tcPr>
                  <w:tcW w:w="3790" w:type="pct"/>
                </w:tcPr>
                <w:p w14:paraId="14331227" w14:textId="77777777" w:rsidR="00DE1537" w:rsidRDefault="00DE1537" w:rsidP="00343F3E">
                  <w:pPr>
                    <w:pStyle w:val="TableBodyText"/>
                    <w:ind w:right="28"/>
                    <w:jc w:val="left"/>
                  </w:pPr>
                  <w:r>
                    <w:t>Seawalls</w:t>
                  </w:r>
                </w:p>
              </w:tc>
            </w:tr>
            <w:tr w:rsidR="00DE1537" w14:paraId="76453F9E" w14:textId="77777777" w:rsidTr="00343F3E">
              <w:tc>
                <w:tcPr>
                  <w:tcW w:w="1210" w:type="pct"/>
                </w:tcPr>
                <w:p w14:paraId="2FE44CBE" w14:textId="77777777" w:rsidR="00DE1537" w:rsidRDefault="00DE1537" w:rsidP="00343F3E">
                  <w:pPr>
                    <w:pStyle w:val="TableBodyText"/>
                    <w:jc w:val="left"/>
                  </w:pPr>
                </w:p>
              </w:tc>
              <w:tc>
                <w:tcPr>
                  <w:tcW w:w="3790" w:type="pct"/>
                </w:tcPr>
                <w:p w14:paraId="6460F288" w14:textId="77777777" w:rsidR="00DE1537" w:rsidRDefault="00DE1537" w:rsidP="00343F3E">
                  <w:pPr>
                    <w:pStyle w:val="TableBodyText"/>
                    <w:ind w:right="28"/>
                    <w:jc w:val="left"/>
                  </w:pPr>
                  <w:r>
                    <w:t>Modification to other infrastructure (such as roads, bridges and rail lines)</w:t>
                  </w:r>
                </w:p>
              </w:tc>
            </w:tr>
            <w:tr w:rsidR="00DE1537" w14:paraId="5A7B7534" w14:textId="77777777" w:rsidTr="00343F3E">
              <w:tc>
                <w:tcPr>
                  <w:tcW w:w="1210" w:type="pct"/>
                </w:tcPr>
                <w:p w14:paraId="59A68609" w14:textId="77777777" w:rsidR="00DE1537" w:rsidRDefault="00DE1537" w:rsidP="00343F3E">
                  <w:pPr>
                    <w:pStyle w:val="TableBodyText"/>
                    <w:jc w:val="left"/>
                  </w:pPr>
                </w:p>
              </w:tc>
              <w:tc>
                <w:tcPr>
                  <w:tcW w:w="3790" w:type="pct"/>
                </w:tcPr>
                <w:p w14:paraId="6470E7DA" w14:textId="77777777" w:rsidR="00DE1537" w:rsidRDefault="00DE1537" w:rsidP="00343F3E">
                  <w:pPr>
                    <w:pStyle w:val="TableBodyText"/>
                    <w:ind w:right="28"/>
                    <w:jc w:val="left"/>
                  </w:pPr>
                  <w:r>
                    <w:t>Placing electricity wires underground</w:t>
                  </w:r>
                </w:p>
              </w:tc>
            </w:tr>
            <w:tr w:rsidR="00DE1537" w14:paraId="311A11C5" w14:textId="77777777" w:rsidTr="00343F3E">
              <w:tc>
                <w:tcPr>
                  <w:tcW w:w="1210" w:type="pct"/>
                </w:tcPr>
                <w:p w14:paraId="4D4C3204" w14:textId="77777777" w:rsidR="00DE1537" w:rsidRDefault="00DE1537" w:rsidP="00343F3E">
                  <w:pPr>
                    <w:pStyle w:val="TableBodyText"/>
                    <w:jc w:val="left"/>
                  </w:pPr>
                </w:p>
              </w:tc>
              <w:tc>
                <w:tcPr>
                  <w:tcW w:w="3790" w:type="pct"/>
                </w:tcPr>
                <w:p w14:paraId="7F27B364" w14:textId="77777777" w:rsidR="00DE1537" w:rsidRDefault="00DE1537" w:rsidP="00343F3E">
                  <w:pPr>
                    <w:pStyle w:val="TableBodyText"/>
                    <w:ind w:right="28"/>
                    <w:jc w:val="left"/>
                  </w:pPr>
                  <w:r>
                    <w:t>Environmental improvement (such as wetland restoration)</w:t>
                  </w:r>
                </w:p>
              </w:tc>
            </w:tr>
            <w:tr w:rsidR="00DE1537" w14:paraId="48737DAC" w14:textId="77777777" w:rsidTr="00343F3E">
              <w:tc>
                <w:tcPr>
                  <w:tcW w:w="1210" w:type="pct"/>
                  <w:tcBorders>
                    <w:bottom w:val="single" w:sz="6" w:space="0" w:color="BFBFBF"/>
                  </w:tcBorders>
                  <w:shd w:val="clear" w:color="auto" w:fill="auto"/>
                </w:tcPr>
                <w:p w14:paraId="50287195" w14:textId="77777777" w:rsidR="00DE1537" w:rsidRDefault="00DE1537" w:rsidP="00343F3E">
                  <w:pPr>
                    <w:pStyle w:val="TableBodyText"/>
                    <w:jc w:val="left"/>
                  </w:pPr>
                </w:p>
              </w:tc>
              <w:tc>
                <w:tcPr>
                  <w:tcW w:w="3790" w:type="pct"/>
                  <w:tcBorders>
                    <w:bottom w:val="single" w:sz="6" w:space="0" w:color="BFBFBF"/>
                  </w:tcBorders>
                  <w:shd w:val="clear" w:color="auto" w:fill="auto"/>
                </w:tcPr>
                <w:p w14:paraId="3A9A31C1" w14:textId="77777777" w:rsidR="00DE1537" w:rsidRDefault="00DE1537" w:rsidP="00343F3E">
                  <w:pPr>
                    <w:pStyle w:val="TableBodyText"/>
                    <w:ind w:right="28"/>
                    <w:jc w:val="left"/>
                  </w:pPr>
                  <w:r>
                    <w:t>Modification to property (such as raising houses to avoid flood damage)</w:t>
                  </w:r>
                </w:p>
              </w:tc>
            </w:tr>
          </w:tbl>
          <w:p w14:paraId="11A9110B" w14:textId="77777777" w:rsidR="00DE1537" w:rsidRDefault="00DE1537" w:rsidP="00343F3E">
            <w:pPr>
              <w:pStyle w:val="Box"/>
            </w:pPr>
          </w:p>
        </w:tc>
      </w:tr>
      <w:tr w:rsidR="00DE1537" w14:paraId="24E0871C" w14:textId="77777777" w:rsidTr="00343F3E">
        <w:trPr>
          <w:cantSplit/>
        </w:trPr>
        <w:tc>
          <w:tcPr>
            <w:tcW w:w="8771" w:type="dxa"/>
            <w:tcBorders>
              <w:top w:val="nil"/>
              <w:left w:val="nil"/>
              <w:bottom w:val="single" w:sz="6" w:space="0" w:color="78A22F"/>
              <w:right w:val="nil"/>
            </w:tcBorders>
            <w:shd w:val="clear" w:color="auto" w:fill="auto"/>
          </w:tcPr>
          <w:p w14:paraId="71B0C0C7" w14:textId="77777777" w:rsidR="00DE1537" w:rsidRDefault="00DE1537" w:rsidP="00343F3E">
            <w:pPr>
              <w:pStyle w:val="Box"/>
              <w:spacing w:before="0" w:line="120" w:lineRule="exact"/>
            </w:pPr>
          </w:p>
        </w:tc>
      </w:tr>
      <w:tr w:rsidR="00DE1537" w:rsidRPr="000863A5" w14:paraId="64445614" w14:textId="77777777" w:rsidTr="00343F3E">
        <w:tc>
          <w:tcPr>
            <w:tcW w:w="8771" w:type="dxa"/>
            <w:tcBorders>
              <w:top w:val="single" w:sz="6" w:space="0" w:color="78A22F"/>
              <w:left w:val="nil"/>
              <w:bottom w:val="nil"/>
              <w:right w:val="nil"/>
            </w:tcBorders>
          </w:tcPr>
          <w:p w14:paraId="54ABF78A" w14:textId="77777777" w:rsidR="00DE1537" w:rsidRPr="00626D32" w:rsidRDefault="00DE1537" w:rsidP="00343F3E">
            <w:pPr>
              <w:pStyle w:val="BoxSpaceBelow"/>
            </w:pPr>
          </w:p>
        </w:tc>
      </w:tr>
    </w:tbl>
    <w:p w14:paraId="2CA71B27" w14:textId="54C96E0A" w:rsidR="00DE1537" w:rsidRDefault="00DE1537" w:rsidP="00343F3E">
      <w:pPr>
        <w:pStyle w:val="BodyText"/>
      </w:pPr>
      <w:r>
        <w:t xml:space="preserve">Some have made the distinction between ‘soft’ and ‘hard’ mitigation. For example, Deloitte Access Economics </w:t>
      </w:r>
      <w:r w:rsidRPr="002A037D">
        <w:rPr>
          <w:szCs w:val="24"/>
        </w:rPr>
        <w:t>(2013, p. 14)</w:t>
      </w:r>
      <w:r>
        <w:t xml:space="preserve"> stated that:</w:t>
      </w:r>
    </w:p>
    <w:p w14:paraId="21C97180" w14:textId="77777777" w:rsidR="00DE1537" w:rsidRDefault="00DE1537" w:rsidP="00343F3E">
      <w:pPr>
        <w:pStyle w:val="Quote"/>
        <w:rPr>
          <w:szCs w:val="22"/>
        </w:rPr>
      </w:pPr>
      <w:r>
        <w:t xml:space="preserve">‘Hard’ adaptation measures usually imply the use of specific technologies and actions involving capital goods, such as levees, seawalls and reinforced buildings, whereas ‘soft’ adaptation measures focus on information, capacity building, policy and strategy development, and institutional </w:t>
      </w:r>
      <w:r w:rsidRPr="00991D86">
        <w:rPr>
          <w:szCs w:val="22"/>
        </w:rPr>
        <w:t>arrangements</w:t>
      </w:r>
      <w:r w:rsidRPr="005D02BD">
        <w:rPr>
          <w:szCs w:val="22"/>
        </w:rPr>
        <w:t xml:space="preserve">. </w:t>
      </w:r>
    </w:p>
    <w:p w14:paraId="4813F62B" w14:textId="6F148CFB" w:rsidR="00DE1537" w:rsidRPr="00171375" w:rsidRDefault="00DE1537" w:rsidP="00343F3E">
      <w:pPr>
        <w:pStyle w:val="BodyText"/>
      </w:pPr>
      <w:r>
        <w:t>Some mitigation options may be natural hazard specific: for example, levees and dams to mitigate floods and fuel load management to mitigate bushfires. Others (such as planning and building regulations) may encompass an all</w:t>
      </w:r>
      <w:r>
        <w:noBreakHyphen/>
        <w:t xml:space="preserve">hazards approach to mitigation. Mitigation options can also vary in terms of their geographic and intertemporal dimensions. Some natural hazards, such as flood, are more amenable to mitigation than other hazards, such as severe wind and earthquake, because they are more predictable and mitigation measures are more affordable </w:t>
      </w:r>
      <w:r w:rsidRPr="00616AF4">
        <w:rPr>
          <w:szCs w:val="24"/>
        </w:rPr>
        <w:t>(Jerolleman and Kiefer 2013)</w:t>
      </w:r>
      <w:r>
        <w:t>.</w:t>
      </w:r>
    </w:p>
    <w:p w14:paraId="40D7B214" w14:textId="77777777" w:rsidR="00DE1537" w:rsidRDefault="00DE1537" w:rsidP="00343F3E">
      <w:pPr>
        <w:pStyle w:val="Heading3"/>
      </w:pPr>
      <w:r>
        <w:lastRenderedPageBreak/>
        <w:t>Preparedness</w:t>
      </w:r>
    </w:p>
    <w:p w14:paraId="2DD776AB" w14:textId="77777777" w:rsidR="00DE1537" w:rsidRDefault="00DE1537" w:rsidP="00343F3E">
      <w:pPr>
        <w:pStyle w:val="BodyText"/>
      </w:pPr>
      <w:r>
        <w:t xml:space="preserve">Some mitigation activities aim to improve the preparedness of communities by reducing the </w:t>
      </w:r>
      <w:r w:rsidRPr="00F13687">
        <w:rPr>
          <w:i/>
        </w:rPr>
        <w:t>vulnerability</w:t>
      </w:r>
      <w:r>
        <w:t xml:space="preserve"> of people and assets to natural disasters. While these activities can take many forms, they essentially revolve around the provision of information to better understand the risk and what action to take before or after a risk event to reduce the economic costs. </w:t>
      </w:r>
    </w:p>
    <w:p w14:paraId="3DF049F3" w14:textId="77777777" w:rsidR="00DE1537" w:rsidRDefault="00DE1537" w:rsidP="00343F3E">
      <w:pPr>
        <w:pStyle w:val="BodyText"/>
      </w:pPr>
      <w:r>
        <w:t>Such mitigation measures are generally hazard specific. Hazard information and early</w:t>
      </w:r>
      <w:r w:rsidRPr="00F13687">
        <w:t xml:space="preserve"> warnings </w:t>
      </w:r>
      <w:r>
        <w:t xml:space="preserve">need to be </w:t>
      </w:r>
      <w:r w:rsidRPr="00F13687">
        <w:t>specific, concise, targeted and easily understandable</w:t>
      </w:r>
      <w:r>
        <w:t>. Measures such as early warning systems that increase the preparedness of households can reduce some losses to human life and movable property (such as vehicles and house contents) but generally not fixed property (such as structures).</w:t>
      </w:r>
    </w:p>
    <w:p w14:paraId="4651C239" w14:textId="77777777" w:rsidR="00DE1537" w:rsidRDefault="00DE1537" w:rsidP="00343F3E">
      <w:pPr>
        <w:pStyle w:val="BodyText"/>
      </w:pPr>
      <w:r>
        <w:t xml:space="preserve">Preparedness measures can also have additional benefits over the longer term. If they are effective in embedding natural hazard awareness in the community and lead to the avoidance of natural hazard risk, they can reduce both the </w:t>
      </w:r>
      <w:r w:rsidRPr="00F13687">
        <w:rPr>
          <w:i/>
        </w:rPr>
        <w:t>vulnerability</w:t>
      </w:r>
      <w:r>
        <w:t xml:space="preserve"> and </w:t>
      </w:r>
      <w:r w:rsidRPr="00F13687">
        <w:rPr>
          <w:i/>
        </w:rPr>
        <w:t>exposure</w:t>
      </w:r>
      <w:r>
        <w:t xml:space="preserve"> of communities to natural disasters over time. Soft mitigation measures, such as education campaigns and emergency evacuation plans, aim to increase the preparedness of businesses, households and communities (section 4.3).</w:t>
      </w:r>
    </w:p>
    <w:p w14:paraId="4994E178" w14:textId="77777777" w:rsidR="00DE1537" w:rsidRDefault="00DE1537" w:rsidP="00343F3E">
      <w:pPr>
        <w:pStyle w:val="Heading3"/>
      </w:pPr>
      <w:r>
        <w:t>Regulation</w:t>
      </w:r>
    </w:p>
    <w:p w14:paraId="6F9A8D7C" w14:textId="365C77EF" w:rsidR="00DE1537" w:rsidRDefault="00DE1537" w:rsidP="00343F3E">
      <w:pPr>
        <w:pStyle w:val="BodyText"/>
      </w:pPr>
      <w:r>
        <w:t xml:space="preserve">Regulations aim to reduce both the </w:t>
      </w:r>
      <w:r w:rsidRPr="007B4AD4">
        <w:rPr>
          <w:i/>
        </w:rPr>
        <w:t>exposure</w:t>
      </w:r>
      <w:r>
        <w:t xml:space="preserve"> and </w:t>
      </w:r>
      <w:r w:rsidRPr="007B4AD4">
        <w:rPr>
          <w:i/>
        </w:rPr>
        <w:t>vulnerability</w:t>
      </w:r>
      <w:r>
        <w:t xml:space="preserve"> of the community to natural disasters. Regulations or standards can be effective at overcoming externality problems, especially when there is a high level of compliance and a sufficiently high probability that there will be consequences for negligent parties</w:t>
      </w:r>
      <w:r w:rsidRPr="00254079">
        <w:t xml:space="preserve"> </w:t>
      </w:r>
      <w:r w:rsidRPr="006E1A4F">
        <w:rPr>
          <w:szCs w:val="24"/>
        </w:rPr>
        <w:t>(Kunreuther 2002)</w:t>
      </w:r>
      <w:r>
        <w:t xml:space="preserve">. </w:t>
      </w:r>
    </w:p>
    <w:p w14:paraId="1732C689" w14:textId="07F5D990" w:rsidR="00DE1537" w:rsidRDefault="00DE1537" w:rsidP="00343F3E">
      <w:pPr>
        <w:pStyle w:val="BodyText"/>
      </w:pPr>
      <w:r>
        <w:t>Regulations are often used to mitigate bushfire risk, because it is considered that homeowner action can be</w:t>
      </w:r>
      <w:r w:rsidRPr="001019E6">
        <w:t xml:space="preserve"> more </w:t>
      </w:r>
      <w:r>
        <w:t>effective</w:t>
      </w:r>
      <w:r w:rsidRPr="001019E6">
        <w:t xml:space="preserve"> than government action</w:t>
      </w:r>
      <w:r>
        <w:t xml:space="preserve"> </w:t>
      </w:r>
      <w:r w:rsidRPr="00180CBF">
        <w:rPr>
          <w:szCs w:val="24"/>
        </w:rPr>
        <w:t>(Suncorp Group 2013)</w:t>
      </w:r>
      <w:r>
        <w:t>. Examples of such regulations can include fire ignition controls such as restrictions banning the lighting of fires in high</w:t>
      </w:r>
      <w:r>
        <w:noBreakHyphen/>
        <w:t>risk conditions, management of fuel load around the house and regulations for construction standards of buildings in all designated bushfire</w:t>
      </w:r>
      <w:r>
        <w:noBreakHyphen/>
        <w:t>prone areas (Victorian Government, sub. 113).</w:t>
      </w:r>
    </w:p>
    <w:p w14:paraId="11F72C3F" w14:textId="77777777" w:rsidR="00DE1537" w:rsidRDefault="00DE1537" w:rsidP="00343F3E">
      <w:pPr>
        <w:pStyle w:val="BodyText"/>
      </w:pPr>
      <w:r>
        <w:t xml:space="preserve">Regulation of the built environment is widely cited as an effective mitigation option. Land use planning controls to </w:t>
      </w:r>
      <w:proofErr w:type="gramStart"/>
      <w:r>
        <w:t>mitigate</w:t>
      </w:r>
      <w:proofErr w:type="gramEnd"/>
      <w:r>
        <w:t xml:space="preserve"> against natural disaster risk generally include zoning and development approvals. In many states, building regulations and asset protection zones are part of the conditions for development in bushfire prone areas (Regional Australia Institute, sub. 61). While regulations affecting the built environment can be effective, they can take a long time to have an impact, given the slow turnover of new developments (supplementary paper 6).</w:t>
      </w:r>
    </w:p>
    <w:p w14:paraId="52692262" w14:textId="77777777" w:rsidR="00DE1537" w:rsidRDefault="00DE1537" w:rsidP="00343F3E">
      <w:pPr>
        <w:pStyle w:val="BodyText"/>
      </w:pPr>
      <w:r>
        <w:t xml:space="preserve">Market signals are also important in providing incentives for mitigation. To the extent that hazard risks are effectively known and reflected in property prices, this will impact on </w:t>
      </w:r>
      <w:r>
        <w:lastRenderedPageBreak/>
        <w:t xml:space="preserve">landholders’ decisions about property development and modification. The price signals provided by insurance can also be an effective tool to encourage risk mitigation if pricing is sufficiently adaptive to individual circumstances (supplementary paper 5). </w:t>
      </w:r>
    </w:p>
    <w:p w14:paraId="2658FDF8" w14:textId="77777777" w:rsidR="00DE1537" w:rsidRDefault="00DE1537" w:rsidP="00343F3E">
      <w:pPr>
        <w:pStyle w:val="BodyText"/>
      </w:pPr>
      <w:r>
        <w:t xml:space="preserve">The insurance industry </w:t>
      </w:r>
      <w:r w:rsidRPr="00532FD9">
        <w:t>plays a role in communicating</w:t>
      </w:r>
      <w:r>
        <w:t xml:space="preserve"> levels of risk to their policy</w:t>
      </w:r>
      <w:r w:rsidRPr="00532FD9">
        <w:t>holders</w:t>
      </w:r>
      <w:r>
        <w:t xml:space="preserve"> </w:t>
      </w:r>
      <w:r w:rsidRPr="00532FD9">
        <w:t xml:space="preserve">and </w:t>
      </w:r>
      <w:r>
        <w:t xml:space="preserve">encouraging mitigation by households and businesses </w:t>
      </w:r>
      <w:r w:rsidRPr="00532FD9">
        <w:t xml:space="preserve">through incentives </w:t>
      </w:r>
      <w:r>
        <w:t xml:space="preserve">such as reduced premiums </w:t>
      </w:r>
      <w:r w:rsidRPr="00532FD9">
        <w:t>or excesses</w:t>
      </w:r>
      <w:r>
        <w:t xml:space="preserve"> (section 4.4)</w:t>
      </w:r>
      <w:r w:rsidRPr="00532FD9">
        <w:t>.</w:t>
      </w:r>
      <w:r>
        <w:t xml:space="preserve"> One example is the Building Resilience Rating Tool established by the Australian Resilience Taskforce to assess the resilience of properties to natural hazards (supplementary paper 6). Suncorp Group (sub. 71) submitted that an </w:t>
      </w:r>
      <w:r w:rsidRPr="008F4304">
        <w:t>insurance premium incentive progra</w:t>
      </w:r>
      <w:r>
        <w:t>m could be linked to this tool, which provides opportunities for communities to learn about risks and make better decisions about building and renovating homes.</w:t>
      </w:r>
    </w:p>
    <w:p w14:paraId="3F13C9F1" w14:textId="77777777" w:rsidR="00DE1537" w:rsidRDefault="00DE1537" w:rsidP="00343F3E">
      <w:pPr>
        <w:pStyle w:val="Heading3"/>
      </w:pPr>
      <w:r>
        <w:t>Physical infrastructure</w:t>
      </w:r>
    </w:p>
    <w:p w14:paraId="7536FAE3" w14:textId="77777777" w:rsidR="00DE1537" w:rsidRDefault="00DE1537" w:rsidP="00343F3E">
      <w:pPr>
        <w:pStyle w:val="BodyText"/>
      </w:pPr>
      <w:r>
        <w:t xml:space="preserve">Physical infrastructure can reduce </w:t>
      </w:r>
      <w:r w:rsidRPr="00B20FF4">
        <w:t xml:space="preserve">the </w:t>
      </w:r>
      <w:r w:rsidRPr="00AD6BFF">
        <w:rPr>
          <w:i/>
        </w:rPr>
        <w:t>vulnerability</w:t>
      </w:r>
      <w:r>
        <w:t xml:space="preserve"> of people and assets to natural disasters. For example, in the case of flood</w:t>
      </w:r>
      <w:r>
        <w:noBreakHyphen/>
      </w:r>
      <w:r w:rsidRPr="007074B7">
        <w:t>risk mitigation</w:t>
      </w:r>
      <w:r>
        <w:t>,</w:t>
      </w:r>
      <w:r w:rsidRPr="007074B7">
        <w:t xml:space="preserve"> </w:t>
      </w:r>
      <w:r>
        <w:t xml:space="preserve">physical infrastructure </w:t>
      </w:r>
      <w:r w:rsidRPr="007074B7">
        <w:t xml:space="preserve">initiatives </w:t>
      </w:r>
      <w:r>
        <w:t xml:space="preserve">might be undertaken on a </w:t>
      </w:r>
      <w:r w:rsidRPr="007074B7">
        <w:t>regional or floodplain basis, in local areas or for indivi</w:t>
      </w:r>
      <w:r>
        <w:t>dual properties. Flood mitigation can involve</w:t>
      </w:r>
      <w:r w:rsidRPr="007074B7">
        <w:t xml:space="preserve"> the buil</w:t>
      </w:r>
      <w:r>
        <w:t>ding of flood levees or other infrastructure to improve community flood immunity. Or it can involve raising the floor height of dwellings, to improve individual property resilience.</w:t>
      </w:r>
      <w:r w:rsidRPr="00E122F9">
        <w:t xml:space="preserve"> </w:t>
      </w:r>
    </w:p>
    <w:p w14:paraId="5943DC96" w14:textId="77777777" w:rsidR="00DE1537" w:rsidRDefault="00DE1537" w:rsidP="00343F3E">
      <w:pPr>
        <w:pStyle w:val="BodyText"/>
      </w:pPr>
      <w:r>
        <w:t>Physical infrastructure will reduce the vulnerability of people and assets to natural disasters, at least in the short term. There is some debate about its long</w:t>
      </w:r>
      <w:r>
        <w:noBreakHyphen/>
        <w:t>term impacts. Physical infrastructure invariably has costs and can be intrusive, but is often seen as a viable solution to existing areas of settlement, where land use planning and building regulations are unlikely to have much of an impact given they are largely prospective rather than retrospective.</w:t>
      </w:r>
    </w:p>
    <w:p w14:paraId="1B724594" w14:textId="77777777" w:rsidR="00DE1537" w:rsidRDefault="00DE1537" w:rsidP="00343F3E">
      <w:pPr>
        <w:pStyle w:val="BodyText"/>
      </w:pPr>
      <w:r>
        <w:t>Box 4.1 provides examples of different types of mitigation activities in the case of flood.</w:t>
      </w:r>
    </w:p>
    <w:p w14:paraId="7D554C9F" w14:textId="77777777" w:rsidR="00CB413F" w:rsidRDefault="00CB413F" w:rsidP="00CB413F">
      <w:pPr>
        <w:pStyle w:val="BodyText"/>
      </w:pPr>
      <w:r>
        <w:t xml:space="preserve">Actions taken to mitigate hazards encompass not only those undertaken by governments or communities collectively but also privately by households and businesses. For example, property owners have inherent economic incentives to undertake voluntary mitigation such as clearing vegetation around houses to reduce bushfire risk, raising the floor heights of houses or reinforcing roofs. These incentives include reduced risk of </w:t>
      </w:r>
      <w:r w:rsidRPr="001D0253">
        <w:t>asset loss or da</w:t>
      </w:r>
      <w:r>
        <w:t>mage in a natural disaster</w:t>
      </w:r>
      <w:r w:rsidRPr="001D0253">
        <w:t xml:space="preserve">, higher property values and lower insurance premiums. </w:t>
      </w:r>
      <w:r w:rsidRPr="00364950">
        <w:t xml:space="preserve">However, some participants argued that mitigation measures </w:t>
      </w:r>
      <w:r>
        <w:t>do not always</w:t>
      </w:r>
      <w:r w:rsidRPr="00364950">
        <w:t xml:space="preserve"> lead to reductions in insurance premiums (supplementary paper </w:t>
      </w:r>
      <w:r>
        <w:t>5</w:t>
      </w:r>
      <w:r w:rsidRPr="00364950">
        <w:t>).</w:t>
      </w:r>
    </w:p>
    <w:p w14:paraId="7754A2C0" w14:textId="3755A164" w:rsidR="00CB413F" w:rsidRDefault="00CB413F" w:rsidP="00343F3E">
      <w:pPr>
        <w:pStyle w:val="BodyText"/>
      </w:pPr>
      <w:r>
        <w:t xml:space="preserve">Under the Australian Constitution, most natural disaster mitigation, resilience and recovery activities are the responsibility of state and territory governments. Local governments also have significant roles and responsibilities for disaster mitigation through arrangements that vary according to state and territory laws, practices and agreements. The Australian Government provides some funding to state, territory and local governments for mitigation </w:t>
      </w:r>
      <w:r>
        <w:lastRenderedPageBreak/>
        <w:t xml:space="preserve">activities through various programs such as the NPANDR and National Emergency Management Projects (supplementary paper 2). </w:t>
      </w:r>
    </w:p>
    <w:p w14:paraId="09E40580"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A97D375" w14:textId="77777777" w:rsidTr="00343F3E">
        <w:tc>
          <w:tcPr>
            <w:tcW w:w="8771" w:type="dxa"/>
            <w:tcBorders>
              <w:top w:val="single" w:sz="6" w:space="0" w:color="78A22F"/>
              <w:left w:val="nil"/>
              <w:bottom w:val="nil"/>
              <w:right w:val="nil"/>
            </w:tcBorders>
            <w:shd w:val="clear" w:color="auto" w:fill="F2F2F2" w:themeFill="background1" w:themeFillShade="F2"/>
          </w:tcPr>
          <w:p w14:paraId="0BB3C4F6" w14:textId="2CECBF06" w:rsidR="00DE1537" w:rsidRDefault="00DE1537">
            <w:pPr>
              <w:pStyle w:val="BoxTitle"/>
            </w:pPr>
            <w:r>
              <w:rPr>
                <w:b w:val="0"/>
              </w:rPr>
              <w:t>Box 4.</w:t>
            </w:r>
            <w:r>
              <w:rPr>
                <w:b w:val="0"/>
                <w:noProof/>
              </w:rPr>
              <w:t>1</w:t>
            </w:r>
            <w:r>
              <w:tab/>
              <w:t>Examples of flood mitigation activities</w:t>
            </w:r>
          </w:p>
        </w:tc>
      </w:tr>
      <w:tr w:rsidR="00DE1537" w14:paraId="3F12B321" w14:textId="77777777" w:rsidTr="00343F3E">
        <w:trPr>
          <w:cantSplit/>
        </w:trPr>
        <w:tc>
          <w:tcPr>
            <w:tcW w:w="8771" w:type="dxa"/>
            <w:tcBorders>
              <w:top w:val="nil"/>
              <w:left w:val="nil"/>
              <w:bottom w:val="nil"/>
              <w:right w:val="nil"/>
            </w:tcBorders>
            <w:shd w:val="clear" w:color="auto" w:fill="F2F2F2" w:themeFill="background1" w:themeFillShade="F2"/>
          </w:tcPr>
          <w:p w14:paraId="7D97EAEB" w14:textId="77777777" w:rsidR="00DE1537" w:rsidRPr="00B207FC" w:rsidRDefault="00DE1537" w:rsidP="00343F3E">
            <w:pPr>
              <w:pStyle w:val="BoxHeading1"/>
            </w:pPr>
            <w:r w:rsidRPr="00B207FC">
              <w:t>Effective early warning systems at Emerald</w:t>
            </w:r>
          </w:p>
          <w:p w14:paraId="481C3B26" w14:textId="77777777" w:rsidR="00DE1537" w:rsidRDefault="00DE1537" w:rsidP="00343F3E">
            <w:pPr>
              <w:pStyle w:val="Box"/>
            </w:pPr>
            <w:r>
              <w:t>The town of Emerald (in Queensland) is located at the Nogoa River, which poses a severe flood threat to the township. Emerald has experienced severe floods historically, with particularly devastating floods occurring in 2008. The town has since implemented an effective early warning system. This required developing a better understanding of flood risks, especially in relation to upstream changes in land use and their impacts on runoff and flood incidence. The preliminary results of studies and actual measurements from automatic rain gauges and hydrological modelling enabled forecasting of the extent of flooding. This information was distributed to citizens through flyers and via a text messaging system. The town is also investing in activities to better understand flood characteristics, the impacts of upstream land use changes and how all relevant data can be used to improve flood responses.</w:t>
            </w:r>
          </w:p>
          <w:p w14:paraId="7E15EB5B" w14:textId="77777777" w:rsidR="00DE1537" w:rsidRDefault="00DE1537" w:rsidP="00343F3E">
            <w:pPr>
              <w:pStyle w:val="BoxHeading1"/>
            </w:pPr>
            <w:r>
              <w:t xml:space="preserve">Strengthening Grantham Project </w:t>
            </w:r>
          </w:p>
          <w:p w14:paraId="29F2F7FF" w14:textId="77777777" w:rsidR="00DE1537" w:rsidRDefault="00DE1537" w:rsidP="00343F3E">
            <w:pPr>
              <w:pStyle w:val="Box"/>
            </w:pPr>
            <w:r>
              <w:rPr>
                <w:szCs w:val="22"/>
              </w:rPr>
              <w:t xml:space="preserve">Grantham (in Queensland), a town of approximately 360 people, was devastated by floods in January 2011, when floodwater swept through the valley, resulting in loss of life and significant damage to property. </w:t>
            </w:r>
            <w:r>
              <w:t>Large numbers of houses were completely destroyed or required a vast amount of work to restore safe and comfortable living conditions. Destruction was limited to certain parts of the town, with houses on higher ground unaffected while others in lower</w:t>
            </w:r>
            <w:r>
              <w:noBreakHyphen/>
              <w:t>lying areas were devastated. As part of its recovery and reconstruction efforts, the Queensland Government offered affected residents a land swap. The Lockyer Valley Regional Council bought plots of land outside the affected areas to offer to residents in exchange for their flooded land. The cost of the voluntary swap initiative, totalling $18 million, was ultimately funded by the Australian and Queensland Governments under category D of the Natural Disaster Relief and Recovery Arrangements (</w:t>
            </w:r>
            <w:r w:rsidRPr="005B1F53">
              <w:t>NDRRA</w:t>
            </w:r>
            <w:r>
              <w:t>). In total, 116 residents have swapped land as part of the Strengthening Grantham Project.</w:t>
            </w:r>
          </w:p>
          <w:p w14:paraId="6920C7BA" w14:textId="77777777" w:rsidR="00DE1537" w:rsidRDefault="00DE1537" w:rsidP="00343F3E">
            <w:pPr>
              <w:pStyle w:val="BoxHeading1"/>
            </w:pPr>
            <w:r>
              <w:t>Betterment of the Gayndah water intake p</w:t>
            </w:r>
            <w:r w:rsidRPr="005B1F53">
              <w:t>lant</w:t>
            </w:r>
          </w:p>
          <w:p w14:paraId="299B1F76" w14:textId="77777777" w:rsidR="00DE1537" w:rsidRDefault="00DE1537" w:rsidP="00343F3E">
            <w:pPr>
              <w:pStyle w:val="Box"/>
            </w:pPr>
            <w:r w:rsidRPr="00005373">
              <w:t xml:space="preserve">The </w:t>
            </w:r>
            <w:r>
              <w:t>water intake p</w:t>
            </w:r>
            <w:r w:rsidRPr="00005373">
              <w:t>lant</w:t>
            </w:r>
            <w:r>
              <w:t xml:space="preserve"> in Gayndah (Queensland)</w:t>
            </w:r>
            <w:r w:rsidRPr="005B1F53">
              <w:t xml:space="preserve"> </w:t>
            </w:r>
            <w:r>
              <w:t>was r</w:t>
            </w:r>
            <w:r w:rsidRPr="005B1F53">
              <w:t>econstructed to its pre</w:t>
            </w:r>
            <w:r>
              <w:noBreakHyphen/>
            </w:r>
            <w:r w:rsidRPr="005B1F53">
              <w:t>disaster state following the 2010</w:t>
            </w:r>
            <w:r>
              <w:noBreakHyphen/>
              <w:t>11 Queensland f</w:t>
            </w:r>
            <w:r w:rsidRPr="005B1F53">
              <w:t>loods</w:t>
            </w:r>
            <w:r>
              <w:t xml:space="preserve"> at a cost of $1.2</w:t>
            </w:r>
            <w:r w:rsidRPr="005B1F53">
              <w:t xml:space="preserve"> million in NDRRA funding, only to be extensively damaged</w:t>
            </w:r>
            <w:r>
              <w:t xml:space="preserve"> again in 2013 as a result of ﬂ</w:t>
            </w:r>
            <w:r w:rsidRPr="005B1F53">
              <w:t xml:space="preserve">ooding caused by </w:t>
            </w:r>
            <w:r>
              <w:t>Tropical Cyclone</w:t>
            </w:r>
            <w:r w:rsidRPr="005B1F53">
              <w:t xml:space="preserve"> Oswald. Given the importance of the infrastructure to the local community and its recent repeated inability </w:t>
            </w:r>
            <w:r>
              <w:t>to withstand ﬂ</w:t>
            </w:r>
            <w:r w:rsidRPr="005B1F53">
              <w:t xml:space="preserve">ood events, there was an imperative to reinstate </w:t>
            </w:r>
            <w:r>
              <w:t>the water plant with improved ﬂ</w:t>
            </w:r>
            <w:r w:rsidRPr="005B1F53">
              <w:t>ood</w:t>
            </w:r>
            <w:r>
              <w:t xml:space="preserve"> resilience</w:t>
            </w:r>
            <w:r w:rsidRPr="005B1F53">
              <w:t>.</w:t>
            </w:r>
            <w:r>
              <w:t xml:space="preserve"> The project </w:t>
            </w:r>
            <w:r w:rsidRPr="005B1F53">
              <w:t xml:space="preserve">includes building a new submersible style pumping station and intake upstream at Claude Wharton Weir and </w:t>
            </w:r>
            <w:r>
              <w:t xml:space="preserve">a </w:t>
            </w:r>
            <w:r w:rsidRPr="005B1F53">
              <w:t>new raw water rising main to th</w:t>
            </w:r>
            <w:r>
              <w:t>e Gayndah Water Treatment Plant.</w:t>
            </w:r>
            <w:r w:rsidRPr="005B1F53">
              <w:t xml:space="preserve"> The estimated cost of</w:t>
            </w:r>
            <w:r>
              <w:t xml:space="preserve"> the project</w:t>
            </w:r>
            <w:r w:rsidRPr="005B1F53">
              <w:t xml:space="preserve"> is $3.8 million, comprising $2.6 million in reconstruction costs and $1.</w:t>
            </w:r>
            <w:r>
              <w:t>2 million in betterment funding, with the council</w:t>
            </w:r>
            <w:r w:rsidRPr="005B1F53">
              <w:t xml:space="preserve"> contr</w:t>
            </w:r>
            <w:r>
              <w:t>ibuting $50 000 to the project.</w:t>
            </w:r>
          </w:p>
        </w:tc>
      </w:tr>
      <w:tr w:rsidR="00DE1537" w14:paraId="76CE72D9" w14:textId="77777777" w:rsidTr="00343F3E">
        <w:trPr>
          <w:cantSplit/>
        </w:trPr>
        <w:tc>
          <w:tcPr>
            <w:tcW w:w="8771" w:type="dxa"/>
            <w:tcBorders>
              <w:top w:val="nil"/>
              <w:left w:val="nil"/>
              <w:bottom w:val="nil"/>
              <w:right w:val="nil"/>
            </w:tcBorders>
            <w:shd w:val="clear" w:color="auto" w:fill="F2F2F2" w:themeFill="background1" w:themeFillShade="F2"/>
          </w:tcPr>
          <w:p w14:paraId="4B6EDAD8" w14:textId="77777777" w:rsidR="00DE1537" w:rsidRDefault="00DE1537" w:rsidP="00343F3E">
            <w:pPr>
              <w:pStyle w:val="BoxSource"/>
            </w:pPr>
            <w:r>
              <w:rPr>
                <w:i/>
              </w:rPr>
              <w:t>Sources</w:t>
            </w:r>
            <w:r w:rsidRPr="00167F06">
              <w:t xml:space="preserve">: </w:t>
            </w:r>
            <w:r>
              <w:t>Attorney</w:t>
            </w:r>
            <w:r>
              <w:noBreakHyphen/>
              <w:t>General’s Department (sub. 90); Queensland Government (sub. 31, attachment 1).</w:t>
            </w:r>
          </w:p>
        </w:tc>
      </w:tr>
      <w:tr w:rsidR="00DE1537" w14:paraId="79AE7F6F"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918DBA0" w14:textId="77777777" w:rsidR="00DE1537" w:rsidRDefault="00DE1537">
            <w:pPr>
              <w:pStyle w:val="Box"/>
              <w:spacing w:before="0" w:line="120" w:lineRule="exact"/>
            </w:pPr>
          </w:p>
        </w:tc>
      </w:tr>
      <w:tr w:rsidR="00DE1537" w:rsidRPr="000863A5" w14:paraId="789ECA42" w14:textId="77777777" w:rsidTr="00343F3E">
        <w:tc>
          <w:tcPr>
            <w:tcW w:w="8771" w:type="dxa"/>
            <w:tcBorders>
              <w:top w:val="single" w:sz="6" w:space="0" w:color="78A22F"/>
              <w:left w:val="nil"/>
              <w:bottom w:val="nil"/>
              <w:right w:val="nil"/>
            </w:tcBorders>
          </w:tcPr>
          <w:p w14:paraId="365BBE42" w14:textId="77777777" w:rsidR="00DE1537" w:rsidRPr="00626D32" w:rsidRDefault="00DE1537" w:rsidP="00343F3E">
            <w:pPr>
              <w:pStyle w:val="BoxSpaceBelow"/>
            </w:pPr>
          </w:p>
        </w:tc>
      </w:tr>
    </w:tbl>
    <w:p w14:paraId="07284833" w14:textId="3F4B9ACA" w:rsidR="00DE1537" w:rsidRPr="00B474A5" w:rsidRDefault="00DE1537" w:rsidP="00343F3E">
      <w:pPr>
        <w:pStyle w:val="BodyText"/>
        <w:rPr>
          <w:b/>
        </w:rPr>
      </w:pPr>
      <w:r>
        <w:t xml:space="preserve">Despite the potential benefits associated with mitigation activities, on balance, expenditure on mitigation is likely to be below the optimal level. While the total amount of mitigation expenditure across all governments is not known, the vast majority of the Australian </w:t>
      </w:r>
      <w:r>
        <w:lastRenderedPageBreak/>
        <w:t>Government’s expenditure on natural disasters has occurred after a disaster event, rather than pre</w:t>
      </w:r>
      <w:r>
        <w:noBreakHyphen/>
        <w:t xml:space="preserve">disaster to increase resilience (supplementary paper 2). There is a range of distortions that work against increased mitigation activity — including </w:t>
      </w:r>
      <w:r w:rsidRPr="001B2986">
        <w:t>problems of collective action, information asymmetry and myopic behavio</w:t>
      </w:r>
      <w:r>
        <w:t>u</w:t>
      </w:r>
      <w:r w:rsidRPr="001B2986">
        <w:t>r</w:t>
      </w:r>
      <w:r>
        <w:t xml:space="preserve"> </w:t>
      </w:r>
      <w:r w:rsidRPr="00180CBF">
        <w:rPr>
          <w:szCs w:val="24"/>
        </w:rPr>
        <w:t>(Neumayer, Plümper and Barthel 2013)</w:t>
      </w:r>
      <w:r>
        <w:t>. Government incentives to increase mitigation spending are further distorted by current budgetary frameworks, which are biased towards recovery spending (chapter 2). Some of these problems can be partially addressed by the increased transparency that accompanies robust assessment of mitigation options.</w:t>
      </w:r>
    </w:p>
    <w:p w14:paraId="2F667D02" w14:textId="576AC26C" w:rsidR="00DE1537" w:rsidRDefault="00DE1537" w:rsidP="00343F3E">
      <w:pPr>
        <w:pStyle w:val="Heading2"/>
      </w:pPr>
      <w:bookmarkStart w:id="62" w:name="_Toc406424331"/>
      <w:r>
        <w:t>4.</w:t>
      </w:r>
      <w:r>
        <w:rPr>
          <w:noProof/>
        </w:rPr>
        <w:t>3</w:t>
      </w:r>
      <w:r>
        <w:tab/>
        <w:t>Assessing mitigation options</w:t>
      </w:r>
      <w:bookmarkEnd w:id="62"/>
    </w:p>
    <w:p w14:paraId="09D67D36" w14:textId="77777777" w:rsidR="00DE1537" w:rsidRDefault="00DE1537" w:rsidP="00343F3E">
      <w:pPr>
        <w:pStyle w:val="BodyText"/>
      </w:pPr>
      <w:r>
        <w:t>Consistent with principles of effective risk management, households and businesses are responsible for managing the risks to their own assets, including through their efforts to mitigate those risks (supplementary paper 3). However, there is a role for governments to undertake or facilitate mitigation activities in some cases because of the existence of market failures, such as information asymmetry and externalities.</w:t>
      </w:r>
      <w:r w:rsidRPr="005E0BF6">
        <w:t xml:space="preserve"> </w:t>
      </w:r>
      <w:r>
        <w:t xml:space="preserve">There are public good characteristics associated with some mitigation activities, for example, provision of hazard risk information such as weather forecasts and flood risk mapping, and physical infrastructure such as levees and dams. In the absence of collective action, there may be under provision of these services. In making decisions on whether and how to implement mitigation measures, governments should consider the severity of the market failure and the costs weighed against the benefits. </w:t>
      </w:r>
    </w:p>
    <w:p w14:paraId="048E3F09" w14:textId="77777777" w:rsidR="00DE1537" w:rsidRPr="001A4DD7" w:rsidRDefault="00DE1537" w:rsidP="00343F3E">
      <w:pPr>
        <w:pStyle w:val="BodyText"/>
      </w:pPr>
      <w:r w:rsidRPr="005E0BF6">
        <w:rPr>
          <w:color w:val="000000"/>
          <w:lang w:val="en"/>
        </w:rPr>
        <w:t xml:space="preserve">This section </w:t>
      </w:r>
      <w:r>
        <w:rPr>
          <w:color w:val="000000"/>
          <w:lang w:val="en"/>
        </w:rPr>
        <w:t>outlines some</w:t>
      </w:r>
      <w:r w:rsidRPr="005E0BF6">
        <w:rPr>
          <w:color w:val="000000"/>
          <w:lang w:val="en"/>
        </w:rPr>
        <w:t xml:space="preserve"> principles and techniques for </w:t>
      </w:r>
      <w:r>
        <w:rPr>
          <w:color w:val="000000"/>
          <w:lang w:val="en"/>
        </w:rPr>
        <w:t>measuring</w:t>
      </w:r>
      <w:r w:rsidRPr="005E0BF6">
        <w:rPr>
          <w:color w:val="000000"/>
          <w:lang w:val="en"/>
        </w:rPr>
        <w:t xml:space="preserve"> the benefits and costs of mitigation</w:t>
      </w:r>
      <w:r>
        <w:rPr>
          <w:color w:val="000000"/>
          <w:lang w:val="en"/>
        </w:rPr>
        <w:t>, use of non</w:t>
      </w:r>
      <w:r>
        <w:rPr>
          <w:color w:val="000000"/>
          <w:lang w:val="en"/>
        </w:rPr>
        <w:noBreakHyphen/>
        <w:t>market valuation techniques and the use of CBA in assessing mitigation options. It also discusses flexible approaches to</w:t>
      </w:r>
      <w:r>
        <w:t xml:space="preserve"> disaster mitigation to better manage the uncertainty of hazard risks and choices between hard and soft approaches to mitigation.</w:t>
      </w:r>
      <w:r>
        <w:rPr>
          <w:color w:val="000000"/>
          <w:lang w:val="en"/>
        </w:rPr>
        <w:t xml:space="preserve"> </w:t>
      </w:r>
    </w:p>
    <w:p w14:paraId="6014FB82" w14:textId="77777777" w:rsidR="00DE1537" w:rsidRPr="00F42E7C" w:rsidRDefault="00DE1537" w:rsidP="00343F3E">
      <w:pPr>
        <w:pStyle w:val="Heading3"/>
      </w:pPr>
      <w:r>
        <w:t>What are the benefits of mitigation?</w:t>
      </w:r>
    </w:p>
    <w:p w14:paraId="20018FC2" w14:textId="77777777" w:rsidR="00DE1537" w:rsidRDefault="00DE1537" w:rsidP="00343F3E">
      <w:pPr>
        <w:pStyle w:val="BodyText"/>
        <w:rPr>
          <w:color w:val="000000"/>
          <w:lang w:val="en"/>
        </w:rPr>
      </w:pPr>
      <w:r>
        <w:t xml:space="preserve">There are a number of general principles that should be considered when assessing the benefits of mitigation. First, </w:t>
      </w:r>
      <w:r>
        <w:rPr>
          <w:color w:val="000000"/>
          <w:lang w:val="en"/>
        </w:rPr>
        <w:t>the benefits of mitigation are the avoided natural disaster costs, assessed relative to a counterfactual or baseline scenario that would have occurred in the absence of mitigation.</w:t>
      </w:r>
      <w:r>
        <w:rPr>
          <w:rStyle w:val="FootnoteReference"/>
        </w:rPr>
        <w:footnoteReference w:id="12"/>
      </w:r>
    </w:p>
    <w:p w14:paraId="76F4BDAB" w14:textId="70065F47" w:rsidR="00DE1537" w:rsidRDefault="00DE1537" w:rsidP="00343F3E">
      <w:pPr>
        <w:pStyle w:val="BodyText"/>
      </w:pPr>
      <w:r>
        <w:t>It is important to distinguish between avoidable and unavoidable costs for any given event. The benefits should only be the</w:t>
      </w:r>
      <w:r w:rsidRPr="009064B0">
        <w:t xml:space="preserve"> avoidable</w:t>
      </w:r>
      <w:r>
        <w:t xml:space="preserve"> costs that can be attributed to a mitigation measure. </w:t>
      </w:r>
      <w:r w:rsidRPr="004059F7">
        <w:rPr>
          <w:color w:val="000000"/>
          <w:lang w:val="en"/>
        </w:rPr>
        <w:t xml:space="preserve">Which </w:t>
      </w:r>
      <w:r>
        <w:rPr>
          <w:color w:val="000000"/>
          <w:lang w:val="en"/>
        </w:rPr>
        <w:t>costs</w:t>
      </w:r>
      <w:r w:rsidRPr="004059F7">
        <w:rPr>
          <w:color w:val="000000"/>
          <w:lang w:val="en"/>
        </w:rPr>
        <w:t xml:space="preserve"> are avoidable depends on the hazard, type of losses predicted, and </w:t>
      </w:r>
      <w:r w:rsidRPr="004059F7">
        <w:rPr>
          <w:color w:val="000000"/>
          <w:lang w:val="en"/>
        </w:rPr>
        <w:lastRenderedPageBreak/>
        <w:t>proposed mitigation measures</w:t>
      </w:r>
      <w:r>
        <w:rPr>
          <w:color w:val="000000"/>
          <w:lang w:val="en"/>
        </w:rPr>
        <w:t xml:space="preserve">. </w:t>
      </w:r>
      <w:r>
        <w:t xml:space="preserve">For example, a flood warning may avoid flood related deaths and damage to movable assets but may do little to prevent damage to buildings and immovable structures </w:t>
      </w:r>
      <w:r w:rsidRPr="00CE1163">
        <w:rPr>
          <w:szCs w:val="24"/>
        </w:rPr>
        <w:t>(Handmer and Thompson 1996)</w:t>
      </w:r>
      <w:r>
        <w:t xml:space="preserve">. </w:t>
      </w:r>
    </w:p>
    <w:p w14:paraId="261D522B" w14:textId="235BE26B" w:rsidR="00DE1537" w:rsidRDefault="00DE1537" w:rsidP="00343F3E">
      <w:pPr>
        <w:pStyle w:val="BodyText"/>
        <w:rPr>
          <w:color w:val="000000"/>
          <w:lang w:val="en"/>
        </w:rPr>
      </w:pPr>
      <w:r>
        <w:t xml:space="preserve">The economic cost of natural disasters is the </w:t>
      </w:r>
      <w:r w:rsidRPr="005116D0">
        <w:t>present value of the stream of future benefits</w:t>
      </w:r>
      <w:r>
        <w:t xml:space="preserve"> (or income) that is lost when an asset is destroyed or damaged </w:t>
      </w:r>
      <w:r w:rsidRPr="00A71790">
        <w:rPr>
          <w:szCs w:val="24"/>
        </w:rPr>
        <w:t>(BTE 2001)</w:t>
      </w:r>
      <w:r>
        <w:t xml:space="preserve">. </w:t>
      </w:r>
      <w:r>
        <w:rPr>
          <w:color w:val="000000"/>
          <w:lang w:val="en"/>
        </w:rPr>
        <w:t>These costs can be classified as market (tangible) costs and non</w:t>
      </w:r>
      <w:r>
        <w:rPr>
          <w:color w:val="000000"/>
          <w:lang w:val="en"/>
        </w:rPr>
        <w:noBreakHyphen/>
        <w:t xml:space="preserve">market (intangible) costs, which comprise both direct and indirect costs (table 4.2) (supplementary paper 1). </w:t>
      </w:r>
    </w:p>
    <w:p w14:paraId="4DE5F7A3"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340D2634" w14:textId="77777777" w:rsidTr="00343F3E">
        <w:tc>
          <w:tcPr>
            <w:tcW w:w="8771" w:type="dxa"/>
            <w:tcBorders>
              <w:top w:val="single" w:sz="6" w:space="0" w:color="78A22F"/>
              <w:left w:val="nil"/>
              <w:bottom w:val="nil"/>
              <w:right w:val="nil"/>
            </w:tcBorders>
            <w:shd w:val="clear" w:color="auto" w:fill="auto"/>
          </w:tcPr>
          <w:p w14:paraId="0A5A1504" w14:textId="165608D5" w:rsidR="00DE1537" w:rsidRDefault="00DE1537" w:rsidP="00343F3E">
            <w:pPr>
              <w:pStyle w:val="TableTitle"/>
            </w:pPr>
            <w:r>
              <w:rPr>
                <w:b w:val="0"/>
              </w:rPr>
              <w:t>Table 4.</w:t>
            </w:r>
            <w:r>
              <w:rPr>
                <w:b w:val="0"/>
                <w:noProof/>
              </w:rPr>
              <w:t>2</w:t>
            </w:r>
            <w:r>
              <w:tab/>
              <w:t>Types of natural disaster costs</w:t>
            </w:r>
          </w:p>
          <w:p w14:paraId="3CE4E40A" w14:textId="77777777" w:rsidR="00DE1537" w:rsidRPr="00784A05" w:rsidRDefault="00DE1537" w:rsidP="00343F3E">
            <w:pPr>
              <w:pStyle w:val="Subtitle"/>
            </w:pPr>
            <w:proofErr w:type="gramStart"/>
            <w:r w:rsidRPr="00784A05">
              <w:t>subtitle</w:t>
            </w:r>
            <w:proofErr w:type="gramEnd"/>
          </w:p>
        </w:tc>
      </w:tr>
      <w:tr w:rsidR="00DE1537" w14:paraId="3F9D6467"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12"/>
              <w:gridCol w:w="3261"/>
              <w:gridCol w:w="4114"/>
            </w:tblGrid>
            <w:tr w:rsidR="00DE1537" w14:paraId="2D1082C4" w14:textId="77777777" w:rsidTr="00343F3E">
              <w:tc>
                <w:tcPr>
                  <w:tcW w:w="655" w:type="pct"/>
                  <w:tcBorders>
                    <w:top w:val="single" w:sz="6" w:space="0" w:color="BFBFBF"/>
                    <w:bottom w:val="single" w:sz="6" w:space="0" w:color="BFBFBF"/>
                  </w:tcBorders>
                  <w:shd w:val="clear" w:color="auto" w:fill="auto"/>
                  <w:tcMar>
                    <w:top w:w="28" w:type="dxa"/>
                  </w:tcMar>
                </w:tcPr>
                <w:p w14:paraId="777F792C" w14:textId="77777777" w:rsidR="00DE1537" w:rsidRDefault="00DE1537" w:rsidP="00343F3E">
                  <w:pPr>
                    <w:pStyle w:val="TableColumnHeading"/>
                    <w:jc w:val="left"/>
                  </w:pPr>
                  <w:r>
                    <w:t>Category</w:t>
                  </w:r>
                </w:p>
              </w:tc>
              <w:tc>
                <w:tcPr>
                  <w:tcW w:w="1921" w:type="pct"/>
                  <w:tcBorders>
                    <w:top w:val="single" w:sz="6" w:space="0" w:color="BFBFBF"/>
                    <w:bottom w:val="single" w:sz="6" w:space="0" w:color="BFBFBF"/>
                  </w:tcBorders>
                </w:tcPr>
                <w:p w14:paraId="7058767B" w14:textId="77777777" w:rsidR="00DE1537" w:rsidRDefault="00DE1537" w:rsidP="00343F3E">
                  <w:pPr>
                    <w:pStyle w:val="TableColumnHeading"/>
                    <w:ind w:right="28"/>
                    <w:jc w:val="left"/>
                  </w:pPr>
                  <w:r>
                    <w:t>Direct cost</w:t>
                  </w:r>
                </w:p>
              </w:tc>
              <w:tc>
                <w:tcPr>
                  <w:tcW w:w="2424" w:type="pct"/>
                  <w:tcBorders>
                    <w:top w:val="single" w:sz="6" w:space="0" w:color="BFBFBF"/>
                    <w:bottom w:val="single" w:sz="6" w:space="0" w:color="BFBFBF"/>
                  </w:tcBorders>
                  <w:shd w:val="clear" w:color="auto" w:fill="auto"/>
                  <w:tcMar>
                    <w:top w:w="28" w:type="dxa"/>
                  </w:tcMar>
                </w:tcPr>
                <w:p w14:paraId="0CC6434C" w14:textId="77777777" w:rsidR="00DE1537" w:rsidRDefault="00DE1537" w:rsidP="00343F3E">
                  <w:pPr>
                    <w:pStyle w:val="TableColumnHeading"/>
                    <w:ind w:right="28"/>
                    <w:jc w:val="left"/>
                  </w:pPr>
                  <w:r>
                    <w:t>Indirect cost</w:t>
                  </w:r>
                </w:p>
              </w:tc>
            </w:tr>
            <w:tr w:rsidR="00DE1537" w:rsidRPr="0035157A" w14:paraId="3AAE8FE5" w14:textId="77777777" w:rsidTr="00343F3E">
              <w:tc>
                <w:tcPr>
                  <w:tcW w:w="655" w:type="pct"/>
                </w:tcPr>
                <w:p w14:paraId="6D756FF8" w14:textId="77777777" w:rsidR="00DE1537" w:rsidRDefault="00DE1537" w:rsidP="00343F3E">
                  <w:pPr>
                    <w:pStyle w:val="TableBodyText"/>
                    <w:spacing w:before="40"/>
                    <w:jc w:val="left"/>
                  </w:pPr>
                  <w:r>
                    <w:t>Market (tangible)</w:t>
                  </w:r>
                </w:p>
              </w:tc>
              <w:tc>
                <w:tcPr>
                  <w:tcW w:w="1921" w:type="pct"/>
                </w:tcPr>
                <w:p w14:paraId="4D5563F8" w14:textId="77777777" w:rsidR="00DE1537" w:rsidRDefault="00DE1537" w:rsidP="00343F3E">
                  <w:pPr>
                    <w:pStyle w:val="TableBodyText"/>
                    <w:jc w:val="left"/>
                    <w:rPr>
                      <w:i/>
                    </w:rPr>
                  </w:pPr>
                  <w:r>
                    <w:t xml:space="preserve">Damage to residential property (for example, houses, contents, boats, vehicles) and commercial property </w:t>
                  </w:r>
                </w:p>
                <w:p w14:paraId="5FE90A11" w14:textId="77777777" w:rsidR="00DE1537" w:rsidRDefault="00DE1537" w:rsidP="00343F3E">
                  <w:pPr>
                    <w:pStyle w:val="TableBodyText"/>
                    <w:jc w:val="left"/>
                    <w:rPr>
                      <w:i/>
                    </w:rPr>
                  </w:pPr>
                  <w:r>
                    <w:t>Damage to infrastructure</w:t>
                  </w:r>
                </w:p>
                <w:p w14:paraId="0A341A60" w14:textId="77777777" w:rsidR="00DE1537" w:rsidRDefault="00DE1537" w:rsidP="00343F3E">
                  <w:pPr>
                    <w:pStyle w:val="TableBodyText"/>
                    <w:jc w:val="left"/>
                    <w:rPr>
                      <w:i/>
                    </w:rPr>
                  </w:pPr>
                  <w:r>
                    <w:t>Damage to crops and livestock</w:t>
                  </w:r>
                </w:p>
                <w:p w14:paraId="0BE49372" w14:textId="77777777" w:rsidR="00DE1537" w:rsidRDefault="00DE1537" w:rsidP="00343F3E">
                  <w:pPr>
                    <w:pStyle w:val="TableBodyText"/>
                    <w:spacing w:before="40"/>
                    <w:ind w:right="28"/>
                    <w:jc w:val="left"/>
                  </w:pPr>
                </w:p>
              </w:tc>
              <w:tc>
                <w:tcPr>
                  <w:tcW w:w="2424" w:type="pct"/>
                </w:tcPr>
                <w:p w14:paraId="5AF9233A" w14:textId="77777777" w:rsidR="00DE1537" w:rsidRDefault="00DE1537" w:rsidP="00343F3E">
                  <w:pPr>
                    <w:pStyle w:val="TableBodyText"/>
                    <w:jc w:val="left"/>
                    <w:rPr>
                      <w:i/>
                    </w:rPr>
                  </w:pPr>
                  <w:r>
                    <w:t>Emergency response, relief and clean</w:t>
                  </w:r>
                  <w:r>
                    <w:noBreakHyphen/>
                    <w:t xml:space="preserve">up </w:t>
                  </w:r>
                </w:p>
                <w:p w14:paraId="22C9455C" w14:textId="77777777" w:rsidR="00DE1537" w:rsidRDefault="00DE1537" w:rsidP="00343F3E">
                  <w:pPr>
                    <w:pStyle w:val="TableBodyText"/>
                    <w:jc w:val="left"/>
                    <w:rPr>
                      <w:i/>
                    </w:rPr>
                  </w:pPr>
                  <w:r>
                    <w:t>Business interruption and loss of production</w:t>
                  </w:r>
                </w:p>
                <w:p w14:paraId="1E76935F" w14:textId="77777777" w:rsidR="00DE1537" w:rsidRDefault="00DE1537" w:rsidP="00343F3E">
                  <w:pPr>
                    <w:pStyle w:val="TableBodyText"/>
                    <w:jc w:val="left"/>
                    <w:rPr>
                      <w:i/>
                    </w:rPr>
                  </w:pPr>
                  <w:r>
                    <w:t>Disruption to public utility services such as water, sewerage, electricity or telecommunication</w:t>
                  </w:r>
                </w:p>
                <w:p w14:paraId="460058C9" w14:textId="77777777" w:rsidR="00DE1537" w:rsidRPr="002D7D11" w:rsidRDefault="00DE1537" w:rsidP="00343F3E">
                  <w:pPr>
                    <w:pStyle w:val="TableBodyText"/>
                    <w:framePr w:w="2155" w:hSpace="227" w:vSpace="181" w:wrap="around" w:vAnchor="text" w:hAnchor="page" w:xAlign="outside" w:y="1"/>
                    <w:jc w:val="left"/>
                  </w:pPr>
                  <w:r>
                    <w:t>Disruption of public services such as education and healthcare</w:t>
                  </w:r>
                </w:p>
                <w:p w14:paraId="165AF67B" w14:textId="77777777" w:rsidR="00DE1537" w:rsidRPr="0035157A" w:rsidRDefault="00DE1537" w:rsidP="00343F3E">
                  <w:pPr>
                    <w:pStyle w:val="TableBodyText"/>
                    <w:jc w:val="left"/>
                    <w:rPr>
                      <w:i/>
                      <w:szCs w:val="24"/>
                    </w:rPr>
                  </w:pPr>
                  <w:r>
                    <w:t>Disruption to transport networks; increased travel and congestion costs</w:t>
                  </w:r>
                </w:p>
              </w:tc>
            </w:tr>
            <w:tr w:rsidR="00DE1537" w14:paraId="2153C9F2" w14:textId="77777777" w:rsidTr="00343F3E">
              <w:tc>
                <w:tcPr>
                  <w:tcW w:w="655" w:type="pct"/>
                  <w:tcBorders>
                    <w:bottom w:val="single" w:sz="6" w:space="0" w:color="BFBFBF"/>
                  </w:tcBorders>
                  <w:shd w:val="clear" w:color="auto" w:fill="auto"/>
                </w:tcPr>
                <w:p w14:paraId="55D31B68" w14:textId="77777777" w:rsidR="00DE1537" w:rsidRDefault="00DE1537" w:rsidP="00343F3E">
                  <w:pPr>
                    <w:pStyle w:val="TableBodyText"/>
                    <w:spacing w:before="40"/>
                    <w:jc w:val="left"/>
                  </w:pPr>
                  <w:r>
                    <w:t>Non</w:t>
                  </w:r>
                  <w:r>
                    <w:noBreakHyphen/>
                    <w:t>market (intangible)</w:t>
                  </w:r>
                </w:p>
              </w:tc>
              <w:tc>
                <w:tcPr>
                  <w:tcW w:w="1921" w:type="pct"/>
                  <w:tcBorders>
                    <w:bottom w:val="single" w:sz="6" w:space="0" w:color="BFBFBF"/>
                  </w:tcBorders>
                </w:tcPr>
                <w:p w14:paraId="1ECF4F1B" w14:textId="77777777" w:rsidR="00DE1537" w:rsidRDefault="00DE1537" w:rsidP="00343F3E">
                  <w:pPr>
                    <w:pStyle w:val="TableBodyText"/>
                    <w:spacing w:before="40"/>
                    <w:jc w:val="left"/>
                    <w:rPr>
                      <w:i/>
                    </w:rPr>
                  </w:pPr>
                  <w:r>
                    <w:t>Injury and death</w:t>
                  </w:r>
                </w:p>
                <w:p w14:paraId="121A8EFC" w14:textId="77777777" w:rsidR="00DE1537" w:rsidRDefault="00DE1537" w:rsidP="00343F3E">
                  <w:pPr>
                    <w:pStyle w:val="TableBodyText"/>
                    <w:spacing w:before="40"/>
                    <w:jc w:val="left"/>
                    <w:rPr>
                      <w:i/>
                    </w:rPr>
                  </w:pPr>
                  <w:r>
                    <w:t>Loss of personal items and memorabilia</w:t>
                  </w:r>
                </w:p>
                <w:p w14:paraId="1FEC1AA9" w14:textId="77777777" w:rsidR="00DE1537" w:rsidRDefault="00DE1537" w:rsidP="00343F3E">
                  <w:pPr>
                    <w:pStyle w:val="TableBodyText"/>
                    <w:spacing w:before="40"/>
                    <w:jc w:val="left"/>
                    <w:rPr>
                      <w:i/>
                    </w:rPr>
                  </w:pPr>
                  <w:r>
                    <w:t>Damage to cultural and heritage sites</w:t>
                  </w:r>
                </w:p>
                <w:p w14:paraId="3FC79951" w14:textId="77777777" w:rsidR="00DE1537" w:rsidRDefault="00DE1537" w:rsidP="00343F3E">
                  <w:pPr>
                    <w:pStyle w:val="TableBodyText"/>
                    <w:spacing w:before="40"/>
                    <w:ind w:right="28"/>
                    <w:jc w:val="left"/>
                  </w:pPr>
                  <w:r>
                    <w:t>Damage to ecological sites — changed habitats and landscape</w:t>
                  </w:r>
                </w:p>
              </w:tc>
              <w:tc>
                <w:tcPr>
                  <w:tcW w:w="2424" w:type="pct"/>
                  <w:tcBorders>
                    <w:bottom w:val="single" w:sz="6" w:space="0" w:color="BFBFBF"/>
                  </w:tcBorders>
                  <w:shd w:val="clear" w:color="auto" w:fill="auto"/>
                </w:tcPr>
                <w:p w14:paraId="67517CAF" w14:textId="77777777" w:rsidR="00DE1537" w:rsidRDefault="00DE1537" w:rsidP="00343F3E">
                  <w:pPr>
                    <w:pStyle w:val="TableBodyText"/>
                    <w:spacing w:before="40"/>
                    <w:jc w:val="left"/>
                    <w:rPr>
                      <w:i/>
                    </w:rPr>
                  </w:pPr>
                  <w:r>
                    <w:t>Trauma</w:t>
                  </w:r>
                </w:p>
                <w:p w14:paraId="3C29319F" w14:textId="77777777" w:rsidR="00DE1537" w:rsidRDefault="00DE1537" w:rsidP="00343F3E">
                  <w:pPr>
                    <w:pStyle w:val="TableBodyText"/>
                    <w:spacing w:before="40"/>
                    <w:jc w:val="left"/>
                  </w:pPr>
                  <w:r>
                    <w:t>Inconvenience, disruption and stress</w:t>
                  </w:r>
                </w:p>
                <w:p w14:paraId="136177C2" w14:textId="77777777" w:rsidR="00DE1537" w:rsidRDefault="00DE1537" w:rsidP="00343F3E">
                  <w:pPr>
                    <w:pStyle w:val="TableBodyText"/>
                    <w:framePr w:w="2155" w:hSpace="227" w:vSpace="181" w:wrap="around" w:vAnchor="text" w:hAnchor="page" w:xAlign="outside" w:y="1"/>
                    <w:spacing w:before="40"/>
                    <w:jc w:val="left"/>
                  </w:pPr>
                  <w:r>
                    <w:t xml:space="preserve">Psychological impacts </w:t>
                  </w:r>
                </w:p>
                <w:p w14:paraId="1D3BFC89" w14:textId="77777777" w:rsidR="00DE1537" w:rsidRDefault="00DE1537" w:rsidP="00343F3E">
                  <w:pPr>
                    <w:pStyle w:val="TableBodyText"/>
                    <w:spacing w:before="40"/>
                    <w:ind w:right="28"/>
                    <w:jc w:val="left"/>
                  </w:pPr>
                  <w:r>
                    <w:t xml:space="preserve">Loss of a sense of community </w:t>
                  </w:r>
                </w:p>
              </w:tc>
            </w:tr>
          </w:tbl>
          <w:p w14:paraId="267708E8" w14:textId="77777777" w:rsidR="00DE1537" w:rsidRDefault="00DE1537" w:rsidP="00343F3E">
            <w:pPr>
              <w:pStyle w:val="Box"/>
            </w:pPr>
          </w:p>
        </w:tc>
      </w:tr>
      <w:tr w:rsidR="00DE1537" w14:paraId="68E29B6A" w14:textId="77777777" w:rsidTr="00343F3E">
        <w:trPr>
          <w:cantSplit/>
        </w:trPr>
        <w:tc>
          <w:tcPr>
            <w:tcW w:w="8771" w:type="dxa"/>
            <w:tcBorders>
              <w:top w:val="nil"/>
              <w:left w:val="nil"/>
              <w:bottom w:val="nil"/>
              <w:right w:val="nil"/>
            </w:tcBorders>
            <w:shd w:val="clear" w:color="auto" w:fill="auto"/>
          </w:tcPr>
          <w:p w14:paraId="14219F22" w14:textId="2FCD8F19" w:rsidR="00DE1537" w:rsidRDefault="00DE1537" w:rsidP="00343F3E">
            <w:pPr>
              <w:pStyle w:val="Source"/>
            </w:pPr>
            <w:r>
              <w:rPr>
                <w:i/>
              </w:rPr>
              <w:t>Source</w:t>
            </w:r>
            <w:r>
              <w:t xml:space="preserve">: Adapted from Handmer and Thompson </w:t>
            </w:r>
            <w:r w:rsidRPr="0020506A">
              <w:rPr>
                <w:rFonts w:cs="Arial"/>
              </w:rPr>
              <w:t>(1996)</w:t>
            </w:r>
            <w:r>
              <w:t>.</w:t>
            </w:r>
          </w:p>
        </w:tc>
      </w:tr>
      <w:tr w:rsidR="00DE1537" w14:paraId="058AB2F6" w14:textId="77777777" w:rsidTr="00343F3E">
        <w:trPr>
          <w:cantSplit/>
        </w:trPr>
        <w:tc>
          <w:tcPr>
            <w:tcW w:w="8771" w:type="dxa"/>
            <w:tcBorders>
              <w:top w:val="nil"/>
              <w:left w:val="nil"/>
              <w:bottom w:val="single" w:sz="6" w:space="0" w:color="78A22F"/>
              <w:right w:val="nil"/>
            </w:tcBorders>
            <w:shd w:val="clear" w:color="auto" w:fill="auto"/>
          </w:tcPr>
          <w:p w14:paraId="587116F6" w14:textId="77777777" w:rsidR="00DE1537" w:rsidRDefault="00DE1537" w:rsidP="00343F3E">
            <w:pPr>
              <w:pStyle w:val="Box"/>
              <w:spacing w:before="0" w:line="120" w:lineRule="exact"/>
            </w:pPr>
          </w:p>
        </w:tc>
      </w:tr>
      <w:tr w:rsidR="00DE1537" w:rsidRPr="000863A5" w14:paraId="66CF8BC4" w14:textId="77777777" w:rsidTr="00343F3E">
        <w:tc>
          <w:tcPr>
            <w:tcW w:w="8771" w:type="dxa"/>
            <w:tcBorders>
              <w:top w:val="single" w:sz="6" w:space="0" w:color="78A22F"/>
              <w:left w:val="nil"/>
              <w:bottom w:val="nil"/>
              <w:right w:val="nil"/>
            </w:tcBorders>
          </w:tcPr>
          <w:p w14:paraId="350047CE" w14:textId="77777777" w:rsidR="00DE1537" w:rsidRPr="00626D32" w:rsidRDefault="00DE1537" w:rsidP="00343F3E">
            <w:pPr>
              <w:pStyle w:val="BoxSpaceBelow"/>
            </w:pPr>
          </w:p>
        </w:tc>
      </w:tr>
    </w:tbl>
    <w:p w14:paraId="4331C78D" w14:textId="77777777" w:rsidR="00DE1537" w:rsidRDefault="00DE1537" w:rsidP="00343F3E">
      <w:pPr>
        <w:pStyle w:val="Heading4"/>
      </w:pPr>
      <w:r>
        <w:t>Direct impacts</w:t>
      </w:r>
    </w:p>
    <w:p w14:paraId="67C154E5" w14:textId="226C9ABD" w:rsidR="00DE1537" w:rsidRDefault="00DE1537" w:rsidP="00343F3E">
      <w:pPr>
        <w:pStyle w:val="BodyText"/>
      </w:pPr>
      <w:r>
        <w:rPr>
          <w:color w:val="000000"/>
          <w:lang w:val="en"/>
        </w:rPr>
        <w:t xml:space="preserve">Direct costs or damages resulting from the physical impact of the hazard are the most obvious and largest losses, for example, injury, death and damage to buildings. </w:t>
      </w:r>
      <w:r>
        <w:t xml:space="preserve">Although these can be measured using market values for some assets (such as damaged commercial equipment), it is often difficult to assess because market prices include land value, not just the value of the physical structure. Moreover, public infrastructure provides social benefits to the community that are not reflected in market values </w:t>
      </w:r>
      <w:r w:rsidRPr="002E172C">
        <w:rPr>
          <w:szCs w:val="24"/>
        </w:rPr>
        <w:t>(EMA 2002; Hallegatte and Przyluski 2010)</w:t>
      </w:r>
      <w:r>
        <w:t>.</w:t>
      </w:r>
    </w:p>
    <w:p w14:paraId="7EE2CBE0" w14:textId="4589CF2D" w:rsidR="00DE1537" w:rsidRDefault="00DE1537" w:rsidP="00343F3E">
      <w:pPr>
        <w:pStyle w:val="BodyText"/>
      </w:pPr>
      <w:r>
        <w:t xml:space="preserve">A range of techniques and data sources can be used to provide estimates of property losses and damage costs. This includes estimates of replacement or repair costs, or insurance payouts that reflect replacement cost. Other techniques use sampling procedures and econometric analysis to estimate the potential damage of future natural disasters by applying estimates of average losses or costs per impacted house or business property, or using survey information on household and business costs to scale estimates up to the affected population </w:t>
      </w:r>
      <w:r w:rsidRPr="00236F1E">
        <w:rPr>
          <w:szCs w:val="24"/>
        </w:rPr>
        <w:t>(EMA 2002; Handmer and Thompson 1996)</w:t>
      </w:r>
      <w:r>
        <w:t>.</w:t>
      </w:r>
      <w:r w:rsidRPr="00941CCF">
        <w:t xml:space="preserve"> </w:t>
      </w:r>
    </w:p>
    <w:p w14:paraId="5DB445C9" w14:textId="77777777" w:rsidR="00DE1537" w:rsidRDefault="00DE1537" w:rsidP="00343F3E">
      <w:pPr>
        <w:pStyle w:val="BodyText"/>
      </w:pPr>
      <w:r>
        <w:lastRenderedPageBreak/>
        <w:t>The benefits of mitigation (that is, the avoided costs) should not be double counted. For example, increases in property values or reductions in insurance premiums should not be counted in addition to estimates of reduced property losses. Competitive property and insurance markets adjust in response to a reduction in the probability of future losses, but such adjustments do not constitute separate benefits in addition to the reduction in potential losses.</w:t>
      </w:r>
    </w:p>
    <w:p w14:paraId="67E62222" w14:textId="77777777" w:rsidR="00DE1537" w:rsidRDefault="00DE1537" w:rsidP="00343F3E">
      <w:pPr>
        <w:pStyle w:val="Heading4"/>
      </w:pPr>
      <w:r>
        <w:t xml:space="preserve">Indirect impacts </w:t>
      </w:r>
    </w:p>
    <w:p w14:paraId="02B864B2" w14:textId="2F0E784F" w:rsidR="00DE1537" w:rsidRDefault="00DE1537" w:rsidP="00343F3E">
      <w:pPr>
        <w:pStyle w:val="BodyText"/>
      </w:pPr>
      <w:r>
        <w:rPr>
          <w:color w:val="000000"/>
          <w:lang w:val="en"/>
        </w:rPr>
        <w:t xml:space="preserve">Indirect impacts (market costs) arise as a consequence of the physical impacts of disasters, such as business interruption and lost output. </w:t>
      </w:r>
      <w:r>
        <w:t xml:space="preserve">These can be difficult to estimate because some of the costs (such as lost output from machinery) will be reflected in estimates of property damage (since the present value of lost output will be reflected in the market price of the machinery) — that is, there is a risk of double counting </w:t>
      </w:r>
      <w:r w:rsidRPr="00791528">
        <w:rPr>
          <w:szCs w:val="24"/>
        </w:rPr>
        <w:t>(Handmer and Thompson 1996)</w:t>
      </w:r>
      <w:r>
        <w:t xml:space="preserve">. The price of a firm’s product reflects the costs of production, including wages, interest payments and profits. As such, the estimation of disaster losses should avoid double counting of both lost sales and lost expenditure on salaries and dividends — only the lost value add of production should be counted </w:t>
      </w:r>
      <w:r w:rsidRPr="00337386">
        <w:rPr>
          <w:szCs w:val="24"/>
        </w:rPr>
        <w:t>(BTE 2001)</w:t>
      </w:r>
      <w:r>
        <w:t xml:space="preserve">. </w:t>
      </w:r>
    </w:p>
    <w:p w14:paraId="76FBBB2E" w14:textId="6EB73638" w:rsidR="00DE1537" w:rsidRDefault="00DE1537" w:rsidP="00343F3E">
      <w:pPr>
        <w:pStyle w:val="BodyText"/>
      </w:pPr>
      <w:r>
        <w:t>The size of the indirect impacts will vary according to space and time. While the indirect impacts on the local community may be significant in the immediate aftermath of a natural disaster, these indirect impacts may be negligible at an economy</w:t>
      </w:r>
      <w:r>
        <w:noBreakHyphen/>
        <w:t xml:space="preserve">wide level, or over time. Namely, lost production by affected businesses will be partly offset by increased production elsewhere or increased production at a later stage, and reduced economic activity will be partly offset by higher construction activity </w:t>
      </w:r>
      <w:r w:rsidRPr="00095092">
        <w:rPr>
          <w:szCs w:val="24"/>
        </w:rPr>
        <w:t>(EMA 2002; Hallegatte and Przyluski 2010)</w:t>
      </w:r>
      <w:r>
        <w:t>.</w:t>
      </w:r>
      <w:r w:rsidRPr="00292CCA">
        <w:t xml:space="preserve"> </w:t>
      </w:r>
    </w:p>
    <w:p w14:paraId="3248CE99" w14:textId="77777777" w:rsidR="00DE1537" w:rsidRPr="009B065F" w:rsidRDefault="00DE1537" w:rsidP="00343F3E">
      <w:pPr>
        <w:pStyle w:val="Heading4"/>
      </w:pPr>
      <w:r>
        <w:t>Intangible impacts</w:t>
      </w:r>
    </w:p>
    <w:p w14:paraId="2E2A89CB" w14:textId="77777777" w:rsidR="00DE1537" w:rsidRDefault="00DE1537" w:rsidP="00343F3E">
      <w:pPr>
        <w:pStyle w:val="BodyText"/>
      </w:pPr>
      <w:r>
        <w:t>Non</w:t>
      </w:r>
      <w:r>
        <w:noBreakHyphen/>
        <w:t>market or intangible impacts of natural disasters are generally difficult to value as they relate to environmental, social and psychological outcomes that are difficult to measure. It can be hard to estimate the effect of mitigation measures on reducing intangible impacts. However, a number of valuation techniques can be used in CBA to estimate monetary values for non</w:t>
      </w:r>
      <w:r>
        <w:noBreakHyphen/>
        <w:t>market impacts such as avoided environmental damage or avoided deaths (box 4.2). The Government of South Australia (sub. 67) noted that existing tools, such as the Natural Disaster Loss Assessment Guidelines, provide descriptions and post</w:t>
      </w:r>
      <w:r>
        <w:noBreakHyphen/>
        <w:t>event estimates for various types of losses, including intangible losses.</w:t>
      </w:r>
    </w:p>
    <w:p w14:paraId="2FEF8F17" w14:textId="4A050944" w:rsidR="00AF1C48" w:rsidRDefault="00AF1C48" w:rsidP="00343F3E">
      <w:pPr>
        <w:pStyle w:val="BodyText"/>
      </w:pPr>
      <w:r>
        <w:t xml:space="preserve">The use of such techniques has generally been limited. This may be due to the time and cost involved in undertaking the studies, a lack of familiarity with the techniques on the part of policy makers, or simply a failure to apply a cost–benefit framework in policy formation </w:t>
      </w:r>
      <w:r w:rsidRPr="00125724">
        <w:rPr>
          <w:szCs w:val="24"/>
        </w:rPr>
        <w:t>(Baker and Ruting 2014)</w:t>
      </w:r>
      <w:r>
        <w:t>. There can also be concerns about the appropriateness of monetising non</w:t>
      </w:r>
      <w:r>
        <w:noBreakHyphen/>
        <w:t xml:space="preserve">market outcomes such as environmental or health outcomes. </w:t>
      </w:r>
      <w:r>
        <w:lastRenderedPageBreak/>
        <w:t>Nonetheless, there may be scope for greater use of non</w:t>
      </w:r>
      <w:r>
        <w:noBreakHyphen/>
        <w:t>market valuation methods in evaluating mitigation options.</w:t>
      </w:r>
    </w:p>
    <w:p w14:paraId="30F4EBCA"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7E89995" w14:textId="77777777" w:rsidTr="00343F3E">
        <w:tc>
          <w:tcPr>
            <w:tcW w:w="8771" w:type="dxa"/>
            <w:tcBorders>
              <w:top w:val="single" w:sz="6" w:space="0" w:color="78A22F"/>
              <w:left w:val="nil"/>
              <w:bottom w:val="nil"/>
              <w:right w:val="nil"/>
            </w:tcBorders>
            <w:shd w:val="clear" w:color="auto" w:fill="F2F2F2" w:themeFill="background1" w:themeFillShade="F2"/>
          </w:tcPr>
          <w:p w14:paraId="3F068351" w14:textId="393B5183" w:rsidR="00DE1537" w:rsidRDefault="00DE1537" w:rsidP="00343F3E">
            <w:pPr>
              <w:pStyle w:val="BoxTitle"/>
            </w:pPr>
            <w:r>
              <w:rPr>
                <w:b w:val="0"/>
              </w:rPr>
              <w:t>Box 4.</w:t>
            </w:r>
            <w:r>
              <w:rPr>
                <w:b w:val="0"/>
                <w:noProof/>
              </w:rPr>
              <w:t>2</w:t>
            </w:r>
            <w:r>
              <w:tab/>
              <w:t>Non</w:t>
            </w:r>
            <w:r>
              <w:noBreakHyphen/>
              <w:t>market valuation methods</w:t>
            </w:r>
          </w:p>
        </w:tc>
      </w:tr>
      <w:tr w:rsidR="00DE1537" w14:paraId="3AB6E539" w14:textId="77777777" w:rsidTr="00343F3E">
        <w:trPr>
          <w:cantSplit/>
        </w:trPr>
        <w:tc>
          <w:tcPr>
            <w:tcW w:w="8771" w:type="dxa"/>
            <w:tcBorders>
              <w:top w:val="nil"/>
              <w:left w:val="nil"/>
              <w:bottom w:val="nil"/>
              <w:right w:val="nil"/>
            </w:tcBorders>
            <w:shd w:val="clear" w:color="auto" w:fill="F2F2F2" w:themeFill="background1" w:themeFillShade="F2"/>
          </w:tcPr>
          <w:p w14:paraId="3158DD32" w14:textId="77777777" w:rsidR="00DE1537" w:rsidRDefault="00DE1537" w:rsidP="00343F3E">
            <w:pPr>
              <w:pStyle w:val="Box"/>
            </w:pPr>
            <w:r>
              <w:t>There are several well established techniques for estimating non</w:t>
            </w:r>
            <w:r>
              <w:noBreakHyphen/>
              <w:t>market impacts.</w:t>
            </w:r>
          </w:p>
          <w:p w14:paraId="392A8894" w14:textId="77777777" w:rsidR="00DE1537" w:rsidRDefault="00DE1537" w:rsidP="00343F3E">
            <w:pPr>
              <w:pStyle w:val="BoxListBullet"/>
              <w:spacing w:before="60" w:line="280" w:lineRule="atLeast"/>
            </w:pPr>
            <w:r w:rsidRPr="00F71D82">
              <w:rPr>
                <w:i/>
              </w:rPr>
              <w:t>Revealed preference</w:t>
            </w:r>
            <w:r w:rsidRPr="00AC02EC">
              <w:rPr>
                <w:i/>
              </w:rPr>
              <w:t xml:space="preserve"> techniques</w:t>
            </w:r>
            <w:r w:rsidRPr="00F71D82">
              <w:t xml:space="preserve"> infer the value that people place on non</w:t>
            </w:r>
            <w:r w:rsidRPr="00F71D82">
              <w:noBreakHyphen/>
              <w:t>market outcomes by using observations of their behaviour or examining the trade</w:t>
            </w:r>
            <w:r>
              <w:noBreakHyphen/>
            </w:r>
            <w:r w:rsidRPr="00F71D82">
              <w:t>offs they make with related market goods. In particular, hedonic pricing</w:t>
            </w:r>
            <w:r>
              <w:t xml:space="preserve"> can be used to estimate</w:t>
            </w:r>
            <w:r w:rsidRPr="00F22205">
              <w:t xml:space="preserve"> the value </w:t>
            </w:r>
            <w:r w:rsidRPr="005178A3">
              <w:t xml:space="preserve">that people place on </w:t>
            </w:r>
            <w:r w:rsidRPr="00F22205">
              <w:t xml:space="preserve">hazard exposure or mitigation </w:t>
            </w:r>
            <w:r w:rsidRPr="005178A3">
              <w:t>by analysing</w:t>
            </w:r>
            <w:r w:rsidRPr="00F22205">
              <w:t xml:space="preserve"> property </w:t>
            </w:r>
            <w:r w:rsidRPr="005178A3">
              <w:t>values</w:t>
            </w:r>
            <w:r w:rsidRPr="00F22205">
              <w:t xml:space="preserve">. </w:t>
            </w:r>
            <w:r>
              <w:t>Property</w:t>
            </w:r>
            <w:r w:rsidRPr="00F22205">
              <w:t xml:space="preserve"> prices will vary in relation to how buyers and sellers value </w:t>
            </w:r>
            <w:r w:rsidRPr="005178A3">
              <w:t>different levels of</w:t>
            </w:r>
            <w:r w:rsidRPr="00F22205">
              <w:t xml:space="preserve"> exposure</w:t>
            </w:r>
            <w:r w:rsidRPr="005178A3">
              <w:t xml:space="preserve"> to natural hazards.</w:t>
            </w:r>
            <w:r w:rsidRPr="00F22205">
              <w:t xml:space="preserve"> For example, a buyer might willingly</w:t>
            </w:r>
            <w:r>
              <w:t xml:space="preserve"> pay a premium for a house that is</w:t>
            </w:r>
            <w:r w:rsidRPr="00F22205">
              <w:t xml:space="preserve"> more</w:t>
            </w:r>
            <w:r w:rsidRPr="005178A3">
              <w:t xml:space="preserve"> flood or</w:t>
            </w:r>
            <w:r w:rsidRPr="00F22205">
              <w:t xml:space="preserve"> earthquake resistant over an otherwise identical house without the resilience measure.</w:t>
            </w:r>
          </w:p>
          <w:p w14:paraId="2FC65F32" w14:textId="77777777" w:rsidR="00DE1537" w:rsidRPr="00064EF4" w:rsidRDefault="00DE1537" w:rsidP="00343F3E">
            <w:pPr>
              <w:pStyle w:val="BoxListBullet"/>
              <w:spacing w:before="60" w:line="280" w:lineRule="atLeast"/>
              <w:rPr>
                <w:sz w:val="26"/>
                <w:szCs w:val="26"/>
              </w:rPr>
            </w:pPr>
            <w:r w:rsidRPr="00282821">
              <w:rPr>
                <w:i/>
              </w:rPr>
              <w:t>Stated preference techniques</w:t>
            </w:r>
            <w:r>
              <w:t xml:space="preserve"> (such as contingent valuation and choice modelling)</w:t>
            </w:r>
            <w:r>
              <w:rPr>
                <w:sz w:val="26"/>
                <w:szCs w:val="26"/>
              </w:rPr>
              <w:t xml:space="preserve"> </w:t>
            </w:r>
            <w:r w:rsidRPr="001A4DD7">
              <w:t xml:space="preserve">are </w:t>
            </w:r>
            <w:r w:rsidRPr="008B19BA">
              <w:t>survey</w:t>
            </w:r>
            <w:r>
              <w:noBreakHyphen/>
            </w:r>
            <w:r w:rsidRPr="004024B7">
              <w:t xml:space="preserve">based methods </w:t>
            </w:r>
            <w:r>
              <w:t>that</w:t>
            </w:r>
            <w:r w:rsidRPr="004024B7">
              <w:t xml:space="preserve"> impute values by asking people to make choices</w:t>
            </w:r>
            <w:r>
              <w:t>. For example, a contingent valuation survey might ask people whether or not they would be willing to pay a given sum of money each year in additional taxes so that a flood levee or a seawall can be constructed. Provided the survey is appropriately designed, the responses can be used to quantify the total benefits that people place on mitigation infrastructure.</w:t>
            </w:r>
            <w:r>
              <w:rPr>
                <w:sz w:val="26"/>
                <w:szCs w:val="26"/>
              </w:rPr>
              <w:t xml:space="preserve"> </w:t>
            </w:r>
            <w:r>
              <w:t>Choice modelling techniques were used in</w:t>
            </w:r>
            <w:r w:rsidRPr="00447304">
              <w:t xml:space="preserve"> a study on the benefits and costs of </w:t>
            </w:r>
            <w:r>
              <w:t>providing</w:t>
            </w:r>
            <w:r w:rsidRPr="00447304">
              <w:t xml:space="preserve"> post</w:t>
            </w:r>
            <w:r>
              <w:noBreakHyphen/>
            </w:r>
            <w:r w:rsidRPr="00447304">
              <w:t>cyclone emergency services in Cairns</w:t>
            </w:r>
            <w:r>
              <w:t xml:space="preserve"> (Dr Leo Dobes, sub. 1). A group of Cairns residents were asked to</w:t>
            </w:r>
            <w:r w:rsidRPr="00447304">
              <w:t xml:space="preserve"> choose between </w:t>
            </w:r>
            <w:r>
              <w:t xml:space="preserve">different choice sets or ‘bundles’ </w:t>
            </w:r>
            <w:r w:rsidRPr="00447304">
              <w:t>of emergency services</w:t>
            </w:r>
            <w:r>
              <w:t>,</w:t>
            </w:r>
            <w:r w:rsidRPr="00447304">
              <w:t xml:space="preserve"> such as faster reconnection of utilities, faster supply of fresh food and longer duration of polic</w:t>
            </w:r>
            <w:r>
              <w:t>e</w:t>
            </w:r>
            <w:r w:rsidRPr="00447304">
              <w:t xml:space="preserve"> patrols</w:t>
            </w:r>
            <w:r>
              <w:t>. Each bundle included an amount of money that they would have to forgo, allowing the researchers to analyse the trade</w:t>
            </w:r>
            <w:r>
              <w:noBreakHyphen/>
              <w:t>offs people made between combinations of services.</w:t>
            </w:r>
          </w:p>
          <w:p w14:paraId="683EDB4D" w14:textId="77777777" w:rsidR="00DE1537" w:rsidRDefault="00DE1537" w:rsidP="00343F3E">
            <w:pPr>
              <w:pStyle w:val="BoxListBullet"/>
              <w:spacing w:before="60" w:line="280" w:lineRule="atLeast"/>
            </w:pPr>
            <w:r w:rsidRPr="00282821">
              <w:rPr>
                <w:i/>
              </w:rPr>
              <w:t>Benefit transfer methods</w:t>
            </w:r>
            <w:r>
              <w:t xml:space="preserve"> adopt a value or existing estimate from research as a proxy value in new, but similar, policy contexts or locations. However, this is often limited by a lack of similarity between the current policy context and the context of the available estimates. A </w:t>
            </w:r>
            <w:r w:rsidRPr="00560E22">
              <w:t xml:space="preserve">shortage of suitable primary studies </w:t>
            </w:r>
            <w:r>
              <w:t xml:space="preserve">can also limit scope for using </w:t>
            </w:r>
            <w:r w:rsidRPr="00560E22">
              <w:t>benefit transfer</w:t>
            </w:r>
            <w:r>
              <w:t>.</w:t>
            </w:r>
          </w:p>
          <w:p w14:paraId="4E700684" w14:textId="77777777" w:rsidR="00DE1537" w:rsidRDefault="00DE1537" w:rsidP="00343F3E">
            <w:pPr>
              <w:pStyle w:val="Box"/>
            </w:pPr>
            <w:r w:rsidRPr="00F22205">
              <w:t xml:space="preserve">The </w:t>
            </w:r>
            <w:r>
              <w:t xml:space="preserve">above techniques can be applied to </w:t>
            </w:r>
            <w:r w:rsidRPr="0034743B">
              <w:t>estimate the</w:t>
            </w:r>
            <w:r w:rsidRPr="00346EFF">
              <w:rPr>
                <w:i/>
              </w:rPr>
              <w:t xml:space="preserve"> </w:t>
            </w:r>
            <w:r w:rsidRPr="00282821">
              <w:rPr>
                <w:i/>
              </w:rPr>
              <w:t xml:space="preserve">value of statistical </w:t>
            </w:r>
            <w:r>
              <w:rPr>
                <w:i/>
              </w:rPr>
              <w:t>life</w:t>
            </w:r>
            <w:r>
              <w:t>. This can provide monetary estimates of the non</w:t>
            </w:r>
            <w:r>
              <w:noBreakHyphen/>
              <w:t>market costs of death and injury sustained from natural disasters. It is</w:t>
            </w:r>
            <w:r w:rsidRPr="00AB4DE1">
              <w:t xml:space="preserve"> the value </w:t>
            </w:r>
            <w:r>
              <w:t xml:space="preserve">that </w:t>
            </w:r>
            <w:r w:rsidRPr="00AB4DE1">
              <w:t>society places on reducing the ris</w:t>
            </w:r>
            <w:r>
              <w:t xml:space="preserve">k of premature death, expressed </w:t>
            </w:r>
            <w:r w:rsidRPr="00AB4DE1">
              <w:t xml:space="preserve">in terms of how much </w:t>
            </w:r>
            <w:r>
              <w:t xml:space="preserve">people would be </w:t>
            </w:r>
            <w:r w:rsidRPr="00AB4DE1">
              <w:t xml:space="preserve">willing to pay to </w:t>
            </w:r>
            <w:r>
              <w:t>avoid</w:t>
            </w:r>
            <w:r w:rsidRPr="00AB4DE1">
              <w:t xml:space="preserve"> the death</w:t>
            </w:r>
            <w:r>
              <w:t xml:space="preserve"> of an unknown individual. While the methods are well developed, estimates vary widely. </w:t>
            </w:r>
            <w:r w:rsidRPr="001927E5">
              <w:t>The Office of Best Practice Regulation</w:t>
            </w:r>
            <w:r>
              <w:t xml:space="preserve"> recommends values of</w:t>
            </w:r>
            <w:r w:rsidRPr="001927E5">
              <w:t xml:space="preserve"> $3.</w:t>
            </w:r>
            <w:r>
              <w:t xml:space="preserve">5 million per statistical life </w:t>
            </w:r>
            <w:r w:rsidRPr="001927E5">
              <w:t>and $151</w:t>
            </w:r>
            <w:r>
              <w:t> </w:t>
            </w:r>
            <w:r w:rsidRPr="001927E5">
              <w:t>000</w:t>
            </w:r>
            <w:r>
              <w:t xml:space="preserve"> per statistical life year (the value placed on an additional year of life).</w:t>
            </w:r>
          </w:p>
        </w:tc>
      </w:tr>
      <w:tr w:rsidR="00DE1537" w14:paraId="18E5DEFE" w14:textId="77777777" w:rsidTr="00343F3E">
        <w:trPr>
          <w:cantSplit/>
        </w:trPr>
        <w:tc>
          <w:tcPr>
            <w:tcW w:w="8771" w:type="dxa"/>
            <w:tcBorders>
              <w:top w:val="nil"/>
              <w:left w:val="nil"/>
              <w:bottom w:val="nil"/>
              <w:right w:val="nil"/>
            </w:tcBorders>
            <w:shd w:val="clear" w:color="auto" w:fill="F2F2F2" w:themeFill="background1" w:themeFillShade="F2"/>
          </w:tcPr>
          <w:p w14:paraId="15848B6F" w14:textId="4EE96AB0" w:rsidR="00DE1537" w:rsidRDefault="00DE1537" w:rsidP="00343F3E">
            <w:pPr>
              <w:pStyle w:val="BoxSource"/>
            </w:pPr>
            <w:r>
              <w:rPr>
                <w:i/>
              </w:rPr>
              <w:t>Sources</w:t>
            </w:r>
            <w:r w:rsidRPr="00167F06">
              <w:t xml:space="preserve">: </w:t>
            </w:r>
            <w:r>
              <w:t xml:space="preserve">Baker and Ruting </w:t>
            </w:r>
            <w:r w:rsidRPr="001F0D38">
              <w:rPr>
                <w:rFonts w:cs="Arial"/>
              </w:rPr>
              <w:t>(2014)</w:t>
            </w:r>
            <w:r>
              <w:t xml:space="preserve">; OBPR </w:t>
            </w:r>
            <w:r w:rsidRPr="00E533F0">
              <w:rPr>
                <w:rFonts w:cs="Arial"/>
              </w:rPr>
              <w:t>(2008)</w:t>
            </w:r>
            <w:r>
              <w:t xml:space="preserve">; Dr Leo Dobes (sub. 1); Ganderton </w:t>
            </w:r>
            <w:r w:rsidRPr="001F0D38">
              <w:rPr>
                <w:rFonts w:cs="Arial"/>
              </w:rPr>
              <w:t>(2004)</w:t>
            </w:r>
            <w:r>
              <w:t>.</w:t>
            </w:r>
          </w:p>
        </w:tc>
      </w:tr>
      <w:tr w:rsidR="00DE1537" w14:paraId="6BBF3BF5"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5A87C8E" w14:textId="77777777" w:rsidR="00DE1537" w:rsidRDefault="00DE1537">
            <w:pPr>
              <w:pStyle w:val="Box"/>
              <w:spacing w:before="0" w:line="120" w:lineRule="exact"/>
            </w:pPr>
          </w:p>
        </w:tc>
      </w:tr>
      <w:tr w:rsidR="00DE1537" w:rsidRPr="000863A5" w14:paraId="2A27EF3F" w14:textId="77777777" w:rsidTr="00343F3E">
        <w:tc>
          <w:tcPr>
            <w:tcW w:w="8771" w:type="dxa"/>
            <w:tcBorders>
              <w:top w:val="single" w:sz="6" w:space="0" w:color="78A22F"/>
              <w:left w:val="nil"/>
              <w:bottom w:val="nil"/>
              <w:right w:val="nil"/>
            </w:tcBorders>
          </w:tcPr>
          <w:p w14:paraId="226C272F" w14:textId="77777777" w:rsidR="00DE1537" w:rsidRPr="00626D32" w:rsidRDefault="00DE1537" w:rsidP="00343F3E">
            <w:pPr>
              <w:pStyle w:val="BoxSpaceBelow"/>
            </w:pPr>
          </w:p>
        </w:tc>
      </w:tr>
    </w:tbl>
    <w:p w14:paraId="24B27546" w14:textId="77777777" w:rsidR="00DE1537" w:rsidRPr="004C5A08" w:rsidRDefault="00DE1537" w:rsidP="00343F3E">
      <w:pPr>
        <w:pStyle w:val="BodyText"/>
      </w:pPr>
      <w:r w:rsidRPr="004C5A08">
        <w:t xml:space="preserve">Even when it is not possible </w:t>
      </w:r>
      <w:r>
        <w:t>to value non</w:t>
      </w:r>
      <w:r>
        <w:noBreakHyphen/>
        <w:t xml:space="preserve">market outcomes, these benefits can be important. </w:t>
      </w:r>
      <w:r w:rsidRPr="004C5A08">
        <w:t>In some cases</w:t>
      </w:r>
      <w:r>
        <w:t>,</w:t>
      </w:r>
      <w:r w:rsidRPr="004C5A08">
        <w:t xml:space="preserve"> it may not be necessary to quantify indirect or non</w:t>
      </w:r>
      <w:r w:rsidRPr="004C5A08">
        <w:noBreakHyphen/>
        <w:t xml:space="preserve">market </w:t>
      </w:r>
      <w:r>
        <w:t>values</w:t>
      </w:r>
      <w:r w:rsidRPr="004C5A08">
        <w:t xml:space="preserve"> but to assess </w:t>
      </w:r>
      <w:r>
        <w:t>impacts</w:t>
      </w:r>
      <w:r w:rsidRPr="004C5A08">
        <w:t xml:space="preserve"> qualitatively to justify going ahead with a project </w:t>
      </w:r>
      <w:r>
        <w:t>or</w:t>
      </w:r>
      <w:r w:rsidRPr="004C5A08">
        <w:t xml:space="preserve"> activity.</w:t>
      </w:r>
      <w:r>
        <w:t xml:space="preserve"> For example, a qualitative assessment of non</w:t>
      </w:r>
      <w:r>
        <w:noBreakHyphen/>
        <w:t xml:space="preserve">quantifiable benefits was undertaken to support the proposal for the South Rockhampton flood levee. The benefits included reduced risks to public health and safety, improved social wellbeing and urban recreation opportunities (Rockhampton Regional Council (Qld), sub. 68). This assessment concluded that the </w:t>
      </w:r>
      <w:r>
        <w:lastRenderedPageBreak/>
        <w:t>benefits of the levee are likely to exceed the costs once these non</w:t>
      </w:r>
      <w:r>
        <w:noBreakHyphen/>
        <w:t>monetised factors are considered.</w:t>
      </w:r>
    </w:p>
    <w:p w14:paraId="6D49C2C3" w14:textId="77777777" w:rsidR="00DE1537" w:rsidRDefault="00DE1537" w:rsidP="00343F3E">
      <w:pPr>
        <w:pStyle w:val="Heading3"/>
      </w:pPr>
      <w:r>
        <w:t>What are the costs of mitigation?</w:t>
      </w:r>
    </w:p>
    <w:p w14:paraId="41C1A5DB" w14:textId="77777777" w:rsidR="00DE1537" w:rsidRDefault="00DE1537" w:rsidP="00343F3E">
      <w:pPr>
        <w:pStyle w:val="BodyText"/>
      </w:pPr>
      <w:r>
        <w:t>The potential costs of mitigation activities can include:</w:t>
      </w:r>
    </w:p>
    <w:p w14:paraId="3D049581" w14:textId="77777777" w:rsidR="00DE1537" w:rsidRDefault="00DE1537" w:rsidP="00343F3E">
      <w:pPr>
        <w:pStyle w:val="ListBullet"/>
      </w:pPr>
      <w:r>
        <w:t>direct project expenditure on relocation, construction and transportation</w:t>
      </w:r>
    </w:p>
    <w:p w14:paraId="73E8529F" w14:textId="77777777" w:rsidR="00DE1537" w:rsidRDefault="00DE1537" w:rsidP="00343F3E">
      <w:pPr>
        <w:pStyle w:val="ListBullet"/>
      </w:pPr>
      <w:r>
        <w:t>increased business expenses to comply with rules and regulations</w:t>
      </w:r>
    </w:p>
    <w:p w14:paraId="32B69905" w14:textId="4007381B" w:rsidR="00DE1537" w:rsidRDefault="00DE1537" w:rsidP="00343F3E">
      <w:pPr>
        <w:pStyle w:val="ListBullet"/>
      </w:pPr>
      <w:proofErr w:type="gramStart"/>
      <w:r>
        <w:t>indirect</w:t>
      </w:r>
      <w:proofErr w:type="gramEnd"/>
      <w:r>
        <w:t xml:space="preserve"> costs of regulation, for example lower property values or denial of access to economic or environmental resources due to rezoning </w:t>
      </w:r>
      <w:r w:rsidRPr="005A149F">
        <w:rPr>
          <w:szCs w:val="24"/>
        </w:rPr>
        <w:t>(Ganderton 2004)</w:t>
      </w:r>
      <w:r>
        <w:t>.</w:t>
      </w:r>
    </w:p>
    <w:p w14:paraId="22192704" w14:textId="77777777" w:rsidR="00DE1537" w:rsidRDefault="00DE1537" w:rsidP="00343F3E">
      <w:pPr>
        <w:pStyle w:val="BodyText"/>
      </w:pPr>
      <w:r>
        <w:t xml:space="preserve">Some costs of mitigation are generally upfront and </w:t>
      </w:r>
      <w:proofErr w:type="gramStart"/>
      <w:r>
        <w:t>certain,</w:t>
      </w:r>
      <w:proofErr w:type="gramEnd"/>
      <w:r>
        <w:t xml:space="preserve"> unlike the benefits which can be long</w:t>
      </w:r>
      <w:r>
        <w:noBreakHyphen/>
        <w:t xml:space="preserve">term, uncertain and only realised if a disaster occurs. In the case of physical or structural measures, the economic costs are generally the upfront costs to government (the market value of capital and labour used, less any taxes or subsidies). </w:t>
      </w:r>
    </w:p>
    <w:p w14:paraId="39FA81E5" w14:textId="4D75F46D" w:rsidR="00DE1537" w:rsidRDefault="00DE1537" w:rsidP="00343F3E">
      <w:pPr>
        <w:pStyle w:val="BodyText"/>
      </w:pPr>
      <w:r>
        <w:t>However, the cost</w:t>
      </w:r>
      <w:r>
        <w:noBreakHyphen/>
        <w:t xml:space="preserve">effectiveness of regulatory measures can be more difficult to estimate. This will depend in part on assumptions made about how well informed people are about hazard risks and the extent to which regulatory approaches result in actions (for example, relocation of property) which avoid human and property losses </w:t>
      </w:r>
      <w:r w:rsidRPr="008C0206">
        <w:rPr>
          <w:szCs w:val="24"/>
        </w:rPr>
        <w:t>(BTRE 2002)</w:t>
      </w:r>
      <w:r>
        <w:t xml:space="preserve">. Further, the cost of measures such as building codes (when generally applied to new buildings) will depend on the rate of turnover in the building stock and how widely new regulations are adopted and enforced as part of new developments and greenfield infrastructure. </w:t>
      </w:r>
    </w:p>
    <w:p w14:paraId="5A5605EE" w14:textId="7B3BE9A1" w:rsidR="00DE1537" w:rsidRDefault="00DE1537" w:rsidP="00343F3E">
      <w:pPr>
        <w:pStyle w:val="BodyText"/>
      </w:pPr>
      <w:r>
        <w:t xml:space="preserve">Mitigation measures may pose unintended costs once in place. For example, flood levees that alter downstream water flows or increase floodwater retention may lead to environmental degradation. Alternatively, constructions such as dams and levees can result in what has been termed the ‘flood protection paradox’, where they encourage increased property development that could suffer greater damage if the levees are breached by a large flood </w:t>
      </w:r>
      <w:r w:rsidRPr="00DA635D">
        <w:rPr>
          <w:szCs w:val="24"/>
        </w:rPr>
        <w:t>(BTRE 2002; GHD 2006)</w:t>
      </w:r>
      <w:r>
        <w:t xml:space="preserve">. This point was also noted by Caroline Wenger (sub. 10, p. 1): </w:t>
      </w:r>
    </w:p>
    <w:p w14:paraId="312E7033" w14:textId="77777777" w:rsidR="00DE1537" w:rsidRPr="001A4DD7" w:rsidRDefault="00DE1537" w:rsidP="00343F3E">
      <w:pPr>
        <w:pStyle w:val="Quote"/>
      </w:pPr>
      <w:r w:rsidRPr="001A4DD7">
        <w:t xml:space="preserve">A major issue is that levees encourage additional development behind them. Thus although they decrease the frequency of flooding, they add to the consequence side of the risk equation … </w:t>
      </w:r>
      <w:r>
        <w:t xml:space="preserve">As well as increasing the value of assets at risk, the consequences of levee breach, overtopping or other failures commonly results in worse flooding than would have been experienced had they not been there, both in terms of power of flood water at the point of break, the duration of flooding when trapped behind levees (in Gannawarra Shire this resulted in flooding for three and half months). </w:t>
      </w:r>
    </w:p>
    <w:p w14:paraId="5D932E37" w14:textId="77777777" w:rsidR="00DE1537" w:rsidRDefault="00DE1537" w:rsidP="00343F3E">
      <w:pPr>
        <w:pStyle w:val="Heading3"/>
      </w:pPr>
      <w:r>
        <w:t xml:space="preserve">Using cost–benefit analysis to evaluate mitigation options </w:t>
      </w:r>
    </w:p>
    <w:p w14:paraId="7260DE14" w14:textId="77777777" w:rsidR="00DE1537" w:rsidRDefault="00DE1537" w:rsidP="00343F3E">
      <w:pPr>
        <w:pStyle w:val="BodyText"/>
      </w:pPr>
      <w:r>
        <w:t>CBA is a method for evaluating the costs and benefits of an option (including both market and non</w:t>
      </w:r>
      <w:r>
        <w:noBreakHyphen/>
        <w:t xml:space="preserve">market impacts). CBA can be used to ascertain whether an individual option or </w:t>
      </w:r>
      <w:r>
        <w:lastRenderedPageBreak/>
        <w:t>project will make the community better off overall compared to a ‘base case’ scenario, or compared to alternative options. The base case which incorporates existing policy settings should be used as the reference point for comparing the costs and benefits of a policy (or investment decision). The costs of investment in mitigation should then be compared with the reduction in natural disaster costs that is likely to result from the mitigation option. There are various ways to assess the overall net benefit of a mitigation option or project. Commonly used measures include the net present value (NPV) and benefit–cost ratio (BCR).</w:t>
      </w:r>
    </w:p>
    <w:p w14:paraId="093486E7" w14:textId="77777777" w:rsidR="00DE1537" w:rsidRPr="007D7114" w:rsidRDefault="00DE1537" w:rsidP="00343F3E">
      <w:pPr>
        <w:pStyle w:val="BodyText"/>
      </w:pPr>
      <w:r w:rsidRPr="007D7114">
        <w:t>CBA involves a number of steps (broadly defined):</w:t>
      </w:r>
    </w:p>
    <w:p w14:paraId="3F27F31B" w14:textId="77777777" w:rsidR="00DE1537" w:rsidRPr="007D7114" w:rsidRDefault="00DE1537" w:rsidP="00343F3E">
      <w:pPr>
        <w:pStyle w:val="ListBullet"/>
      </w:pPr>
      <w:r w:rsidRPr="007D7114">
        <w:t>select a portfolio of alternative projects</w:t>
      </w:r>
    </w:p>
    <w:p w14:paraId="7AA62C92" w14:textId="77777777" w:rsidR="00DE1537" w:rsidRPr="007D7114" w:rsidRDefault="00DE1537" w:rsidP="00343F3E">
      <w:pPr>
        <w:pStyle w:val="ListBullet"/>
      </w:pPr>
      <w:r w:rsidRPr="007D7114">
        <w:t xml:space="preserve">identify </w:t>
      </w:r>
      <w:r>
        <w:t>which</w:t>
      </w:r>
      <w:r w:rsidRPr="007D7114">
        <w:t xml:space="preserve"> benefits and costs should be taken into account, and select measurement indicators of impacts</w:t>
      </w:r>
    </w:p>
    <w:p w14:paraId="5408CE1B" w14:textId="77777777" w:rsidR="00DE1537" w:rsidRDefault="00DE1537" w:rsidP="00343F3E">
      <w:pPr>
        <w:pStyle w:val="ListBullet"/>
      </w:pPr>
      <w:r w:rsidRPr="007D7114">
        <w:t>predict quantitatively (</w:t>
      </w:r>
      <w:r>
        <w:t>estimating</w:t>
      </w:r>
      <w:r w:rsidRPr="007D7114">
        <w:t xml:space="preserve"> monetary values where possible) t</w:t>
      </w:r>
      <w:r>
        <w:t>he</w:t>
      </w:r>
      <w:r w:rsidRPr="007D7114">
        <w:t xml:space="preserve"> expected impacts over the life of the project</w:t>
      </w:r>
    </w:p>
    <w:p w14:paraId="70D7BF64" w14:textId="77777777" w:rsidR="00DE1537" w:rsidRPr="007D7114" w:rsidRDefault="00DE1537" w:rsidP="00343F3E">
      <w:pPr>
        <w:pStyle w:val="ListBullet"/>
      </w:pPr>
      <w:r w:rsidRPr="007D7114">
        <w:t xml:space="preserve">discount the benefits and costs to compute </w:t>
      </w:r>
      <w:r>
        <w:t>the NPV</w:t>
      </w:r>
      <w:r w:rsidRPr="007D7114">
        <w:t xml:space="preserve"> of alternatives </w:t>
      </w:r>
    </w:p>
    <w:p w14:paraId="1FD65A83" w14:textId="77777777" w:rsidR="00DE1537" w:rsidRPr="007D7114" w:rsidRDefault="00DE1537" w:rsidP="00343F3E">
      <w:pPr>
        <w:pStyle w:val="ListBullet"/>
      </w:pPr>
      <w:proofErr w:type="gramStart"/>
      <w:r w:rsidRPr="007D7114">
        <w:t>make</w:t>
      </w:r>
      <w:proofErr w:type="gramEnd"/>
      <w:r w:rsidRPr="007D7114">
        <w:t xml:space="preserve"> recommendations based on NPV</w:t>
      </w:r>
      <w:r>
        <w:t>s</w:t>
      </w:r>
      <w:r w:rsidRPr="007D7114">
        <w:t xml:space="preserve"> and sensitivity analysis.</w:t>
      </w:r>
    </w:p>
    <w:p w14:paraId="7D5B1EBD" w14:textId="77777777" w:rsidR="00DE1537" w:rsidRDefault="00DE1537" w:rsidP="00343F3E">
      <w:pPr>
        <w:pStyle w:val="BodyText"/>
      </w:pPr>
      <w:r>
        <w:t>A number of good practice principles should be considered when using CBA to assess mitigation options (box 4.3).</w:t>
      </w:r>
    </w:p>
    <w:p w14:paraId="792A213F" w14:textId="5BD8261C" w:rsidR="00F22BA1" w:rsidRDefault="00F22BA1" w:rsidP="00343F3E">
      <w:pPr>
        <w:pStyle w:val="BodyText"/>
      </w:pPr>
      <w:r>
        <w:t>A number of studies have used CBA to assess the net benefits of individual mitigation projects or a combination of measures (box 4.4).</w:t>
      </w:r>
    </w:p>
    <w:p w14:paraId="4E346889" w14:textId="08CE149F" w:rsidR="0085453F" w:rsidRDefault="0085453F" w:rsidP="00343F3E">
      <w:pPr>
        <w:pStyle w:val="BodyText"/>
      </w:pPr>
      <w:r>
        <w:t>CBA is particularly important when there are many worthy alternatives to mitigate hazard risk. CBA techniques can assist in determining competing mitigation priorities by ranking mutually exclusive projects according to their net benefits. The scale of the project becomes important when comparing alternative projects. Large</w:t>
      </w:r>
      <w:r>
        <w:noBreakHyphen/>
        <w:t xml:space="preserve">scale projects should not be preferred simply on the basis that they generate large net benefits due to their size. If the discounted NPV is used to measure the net benefit of a project, then a larger project will appear superior to a smaller project. However, there may be greater net benefits (in aggregate) from adopting multiple mitigation options that have higher BCRs. The use of BCRs avoids the size bias problem as it provides a measure of the rate of return per dollar invested in mitigation. However, there can be limitations to comparing the BCRs of individual projects, particularly across hazards, because of variation in the context and methods used to assess factors such as vulnerability, disaster consequences and uncertainty of climate change impacts </w:t>
      </w:r>
      <w:r w:rsidRPr="00315350">
        <w:t>(Shreve and Kelman 2014)</w:t>
      </w:r>
      <w:r>
        <w:t>.</w:t>
      </w:r>
    </w:p>
    <w:p w14:paraId="2BB73FF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7AFA702" w14:textId="77777777" w:rsidTr="00343F3E">
        <w:tc>
          <w:tcPr>
            <w:tcW w:w="8771" w:type="dxa"/>
            <w:tcBorders>
              <w:top w:val="single" w:sz="6" w:space="0" w:color="78A22F"/>
              <w:left w:val="nil"/>
              <w:bottom w:val="nil"/>
              <w:right w:val="nil"/>
            </w:tcBorders>
            <w:shd w:val="clear" w:color="auto" w:fill="F2F2F2" w:themeFill="background1" w:themeFillShade="F2"/>
          </w:tcPr>
          <w:p w14:paraId="301E5BAC" w14:textId="131FB5A4" w:rsidR="00DE1537" w:rsidRDefault="00DE1537" w:rsidP="00343F3E">
            <w:pPr>
              <w:pStyle w:val="BoxTitle"/>
            </w:pPr>
            <w:r>
              <w:rPr>
                <w:b w:val="0"/>
              </w:rPr>
              <w:t>Box 4.</w:t>
            </w:r>
            <w:r>
              <w:rPr>
                <w:b w:val="0"/>
                <w:noProof/>
              </w:rPr>
              <w:t>3</w:t>
            </w:r>
            <w:r>
              <w:tab/>
              <w:t>Good practice in using cost–benefit analysis</w:t>
            </w:r>
          </w:p>
        </w:tc>
      </w:tr>
      <w:tr w:rsidR="00DE1537" w14:paraId="46226533" w14:textId="77777777" w:rsidTr="00343F3E">
        <w:trPr>
          <w:cantSplit/>
        </w:trPr>
        <w:tc>
          <w:tcPr>
            <w:tcW w:w="8771" w:type="dxa"/>
            <w:tcBorders>
              <w:top w:val="nil"/>
              <w:left w:val="nil"/>
              <w:bottom w:val="nil"/>
              <w:right w:val="nil"/>
            </w:tcBorders>
            <w:shd w:val="clear" w:color="auto" w:fill="F2F2F2" w:themeFill="background1" w:themeFillShade="F2"/>
          </w:tcPr>
          <w:p w14:paraId="48A6C32E" w14:textId="77777777" w:rsidR="00DE1537" w:rsidRPr="00C72DBA" w:rsidRDefault="00DE1537" w:rsidP="00343F3E">
            <w:pPr>
              <w:pStyle w:val="BoxHeading1"/>
              <w:spacing w:before="120"/>
            </w:pPr>
            <w:r w:rsidRPr="00C72DBA">
              <w:t>Characterising the base case</w:t>
            </w:r>
          </w:p>
          <w:p w14:paraId="409A922E" w14:textId="77777777" w:rsidR="00DE1537" w:rsidRPr="00293424" w:rsidRDefault="00DE1537" w:rsidP="00343F3E">
            <w:pPr>
              <w:pStyle w:val="Box"/>
            </w:pPr>
            <w:r>
              <w:t>The ‘base case’ or the counterfactual scenario used in cost–benefit analysis (CBA)</w:t>
            </w:r>
            <w:r w:rsidRPr="007D7114">
              <w:t xml:space="preserve"> should facilitate an assessment of what would happen with and without the investment. A common</w:t>
            </w:r>
            <w:r>
              <w:t xml:space="preserve"> mistake is to equate the base case with the situation before the investment</w:t>
            </w:r>
            <w:r w:rsidRPr="007D7114">
              <w:t xml:space="preserve">. </w:t>
            </w:r>
            <w:r>
              <w:t>Rather,</w:t>
            </w:r>
            <w:r w:rsidRPr="007D7114">
              <w:t xml:space="preserve"> the base case should correspond to a future scenario without the mitigation investment</w:t>
            </w:r>
            <w:r>
              <w:t>, taking into account the probability of a natural disaster event occurring</w:t>
            </w:r>
            <w:r w:rsidRPr="007D7114">
              <w:t>.</w:t>
            </w:r>
            <w:r>
              <w:t xml:space="preserve"> For example, total damages per event can be expressed as average annual damages, which take</w:t>
            </w:r>
            <w:r w:rsidRPr="00293424">
              <w:t xml:space="preserve"> into account the</w:t>
            </w:r>
            <w:r>
              <w:t xml:space="preserve"> </w:t>
            </w:r>
            <w:r w:rsidRPr="00293424">
              <w:t>probability of the damages being repeated over a lo</w:t>
            </w:r>
            <w:r>
              <w:t xml:space="preserve">ng period of time. </w:t>
            </w:r>
          </w:p>
          <w:p w14:paraId="04E6B9B8" w14:textId="77777777" w:rsidR="00DE1537" w:rsidRPr="00C72DBA" w:rsidRDefault="00DE1537" w:rsidP="00343F3E">
            <w:pPr>
              <w:pStyle w:val="BoxHeading1"/>
              <w:spacing w:before="120"/>
            </w:pPr>
            <w:r w:rsidRPr="00C72DBA">
              <w:t xml:space="preserve">Identifying and quantifying the costs and benefits </w:t>
            </w:r>
          </w:p>
          <w:p w14:paraId="226F7481" w14:textId="77777777" w:rsidR="00DE1537" w:rsidRPr="007D7114" w:rsidRDefault="00DE1537" w:rsidP="00343F3E">
            <w:pPr>
              <w:pStyle w:val="Box"/>
            </w:pPr>
            <w:r w:rsidRPr="007D7114">
              <w:t>The scope of a mitigation project relates to the geographic or spatial extent of impacts and their timing and duration.</w:t>
            </w:r>
            <w:r>
              <w:t xml:space="preserve"> For </w:t>
            </w:r>
            <w:r w:rsidRPr="007D7114">
              <w:t>project</w:t>
            </w:r>
            <w:r>
              <w:t xml:space="preserve">s with </w:t>
            </w:r>
            <w:r w:rsidRPr="007D7114">
              <w:t xml:space="preserve">highly localised impacts, consideration should only be given to the benefits and costs conferred on </w:t>
            </w:r>
            <w:r>
              <w:t>the</w:t>
            </w:r>
            <w:r w:rsidRPr="007D7114">
              <w:t xml:space="preserve"> local population, businesses and government authorities. </w:t>
            </w:r>
            <w:r>
              <w:t>Care should be taken to avoid double counting of the benefits (avoided costs) of mitigation. F</w:t>
            </w:r>
            <w:r w:rsidRPr="00515256">
              <w:t>or example, reductions in insurance premiums should not be counted in addition to estimates of reduced property losses. This is because competitive insurance markets adjust in response to a reduction in the probability of future losses, but such adjustments do not constitute separate benefits in addition to the reduction in losses.</w:t>
            </w:r>
          </w:p>
          <w:p w14:paraId="28D5363B" w14:textId="77777777" w:rsidR="00DE1537" w:rsidRPr="00C72DBA" w:rsidRDefault="00DE1537" w:rsidP="00343F3E">
            <w:pPr>
              <w:pStyle w:val="BoxHeading1"/>
              <w:spacing w:before="120"/>
            </w:pPr>
            <w:r w:rsidRPr="00C72DBA">
              <w:t>Using discount rates and sensitivity analysis</w:t>
            </w:r>
          </w:p>
          <w:p w14:paraId="168E4636" w14:textId="116BD8BE" w:rsidR="00DE1537" w:rsidRDefault="00DE1537" w:rsidP="00343F3E">
            <w:pPr>
              <w:pStyle w:val="Box"/>
            </w:pPr>
            <w:r>
              <w:t>The discount rate used in CBA should reflect the opportunity costs of a particular project — that is, the value that people place today on the future costs and benefits of the investment. Normally, future costs and benefits are expressed in real rather than nominal terms and therefore a real discount should be used (a rate that removes the impact of inflation). CBA outcomes will be more sensitive to the choice of discount rate where there is a large time differential between project costs being incurred and the realisation of expected benefits. There is no single discount rate that is appropriate for every project. Discount rates are typically based on two components: the risk</w:t>
            </w:r>
            <w:r>
              <w:noBreakHyphen/>
              <w:t>free rate (10</w:t>
            </w:r>
            <w:r>
              <w:noBreakHyphen/>
              <w:t>year Commonwealth bond rate) and a market risk premium. A range of different discount rates are used in practice for evaluating public sector projects. The Victorian Department of Treasury and Finance investment guidelines recommend a real discount rate of approximately 4 per cent (based on long</w:t>
            </w:r>
            <w:r>
              <w:noBreakHyphen/>
              <w:t xml:space="preserve">term average government bond rates and a small risk premium) for ‘projects evaluating potentially catastrophic scenarios for which considerable uncertainty surrounds estimates of costs and benefits’ </w:t>
            </w:r>
            <w:r w:rsidRPr="00542D5A">
              <w:rPr>
                <w:rFonts w:cs="Arial"/>
                <w:szCs w:val="24"/>
              </w:rPr>
              <w:t>(VDTF 2013, p. 25)</w:t>
            </w:r>
            <w:r>
              <w:t>.</w:t>
            </w:r>
          </w:p>
          <w:p w14:paraId="6B2831BF" w14:textId="77777777" w:rsidR="00DE1537" w:rsidRPr="0005755F" w:rsidRDefault="00DE1537" w:rsidP="00343F3E">
            <w:pPr>
              <w:pStyle w:val="Box"/>
            </w:pPr>
            <w:r>
              <w:t xml:space="preserve">Different approaches to sensitivity analysis are commonly used depending on the nature and extent of the uncertainty and risk of the project (such as worst case, partial and full risk sensitivity analysis). Where it shows the discount rate is an important factor in project viability, further sensitivity analysis or reconsideration of the choice of discount rate may be appropriate. </w:t>
            </w:r>
          </w:p>
          <w:p w14:paraId="00096C12" w14:textId="77777777" w:rsidR="00DE1537" w:rsidRPr="00C72DBA" w:rsidRDefault="00DE1537" w:rsidP="00343F3E">
            <w:pPr>
              <w:pStyle w:val="BoxHeading1"/>
              <w:spacing w:before="120"/>
              <w:rPr>
                <w:szCs w:val="24"/>
              </w:rPr>
            </w:pPr>
            <w:r w:rsidRPr="00C72DBA">
              <w:t>Comparing alternative projects</w:t>
            </w:r>
          </w:p>
          <w:p w14:paraId="04838F70" w14:textId="77777777" w:rsidR="00DE1537" w:rsidRPr="00F22205" w:rsidRDefault="00DE1537" w:rsidP="00343F3E">
            <w:pPr>
              <w:pStyle w:val="Box"/>
              <w:rPr>
                <w:szCs w:val="24"/>
              </w:rPr>
            </w:pPr>
            <w:r w:rsidRPr="007D7114">
              <w:t xml:space="preserve">There are several decision rules that can be used to compare costs and </w:t>
            </w:r>
            <w:proofErr w:type="gramStart"/>
            <w:r w:rsidRPr="007D7114">
              <w:t>benefits,</w:t>
            </w:r>
            <w:proofErr w:type="gramEnd"/>
            <w:r w:rsidRPr="007D7114">
              <w:t xml:space="preserve"> however the standard decision rule is that projects with positive net benefits should be accepted. When projects are mutually exclusive, they should be ranked according to their </w:t>
            </w:r>
            <w:r>
              <w:t>net present value</w:t>
            </w:r>
            <w:r w:rsidRPr="007D7114">
              <w:t xml:space="preserve"> and the highest ranked project should be selected. Where there is a budget constraint and projects are not mutually exclusive (that is, there are multiple solutions to a single problem), it may be useful to calculate the benefit</w:t>
            </w:r>
            <w:r>
              <w:t>–</w:t>
            </w:r>
            <w:r w:rsidRPr="007D7114">
              <w:t>cost ratio</w:t>
            </w:r>
            <w:r>
              <w:t xml:space="preserve"> for each project</w:t>
            </w:r>
            <w:r w:rsidRPr="007D7114">
              <w:t xml:space="preserve"> (calculated by dividing total benefits by total costs) to determine the set of projects with the greatest net benefit to the community. </w:t>
            </w:r>
          </w:p>
        </w:tc>
      </w:tr>
      <w:tr w:rsidR="00DE1537" w14:paraId="4CBCB3CE" w14:textId="77777777" w:rsidTr="00343F3E">
        <w:trPr>
          <w:cantSplit/>
        </w:trPr>
        <w:tc>
          <w:tcPr>
            <w:tcW w:w="8771" w:type="dxa"/>
            <w:tcBorders>
              <w:top w:val="nil"/>
              <w:left w:val="nil"/>
              <w:bottom w:val="nil"/>
              <w:right w:val="nil"/>
            </w:tcBorders>
            <w:shd w:val="clear" w:color="auto" w:fill="F2F2F2" w:themeFill="background1" w:themeFillShade="F2"/>
          </w:tcPr>
          <w:p w14:paraId="30912EC9" w14:textId="25E3D7D9" w:rsidR="00DE1537" w:rsidRDefault="00DE1537" w:rsidP="00343F3E">
            <w:pPr>
              <w:pStyle w:val="BoxSource"/>
            </w:pPr>
            <w:r>
              <w:rPr>
                <w:i/>
              </w:rPr>
              <w:t>Sources</w:t>
            </w:r>
            <w:r w:rsidRPr="00167F06">
              <w:t xml:space="preserve">: </w:t>
            </w:r>
            <w:r>
              <w:t xml:space="preserve">Australian Government </w:t>
            </w:r>
            <w:r w:rsidR="007C5656" w:rsidRPr="007C5656">
              <w:rPr>
                <w:rFonts w:cs="Arial"/>
              </w:rPr>
              <w:t>(2013b)</w:t>
            </w:r>
            <w:r>
              <w:t xml:space="preserve">; EMA </w:t>
            </w:r>
            <w:r w:rsidRPr="00F94862">
              <w:rPr>
                <w:rFonts w:cs="Arial"/>
              </w:rPr>
              <w:t>(2002)</w:t>
            </w:r>
            <w:r>
              <w:t xml:space="preserve">; Ganderton </w:t>
            </w:r>
            <w:r w:rsidRPr="00666820">
              <w:rPr>
                <w:rFonts w:cs="Arial"/>
              </w:rPr>
              <w:t>(2004)</w:t>
            </w:r>
            <w:r>
              <w:t xml:space="preserve">; PC </w:t>
            </w:r>
            <w:r w:rsidRPr="00591A07">
              <w:rPr>
                <w:rFonts w:cs="Arial"/>
              </w:rPr>
              <w:t>(2014)</w:t>
            </w:r>
            <w:r>
              <w:t xml:space="preserve">; VDTF </w:t>
            </w:r>
            <w:r w:rsidRPr="00585A7D">
              <w:rPr>
                <w:rFonts w:cs="Arial"/>
              </w:rPr>
              <w:t>(2013)</w:t>
            </w:r>
            <w:r>
              <w:t>.</w:t>
            </w:r>
          </w:p>
        </w:tc>
      </w:tr>
      <w:tr w:rsidR="00DE1537" w14:paraId="135D9065"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7E4AB70E" w14:textId="77777777" w:rsidR="00DE1537" w:rsidRDefault="00DE1537" w:rsidP="00343F3E">
            <w:pPr>
              <w:pStyle w:val="Box"/>
              <w:spacing w:before="0" w:line="120" w:lineRule="exact"/>
            </w:pPr>
          </w:p>
        </w:tc>
      </w:tr>
      <w:tr w:rsidR="00DE1537" w:rsidRPr="000863A5" w14:paraId="4FB3FA88" w14:textId="77777777" w:rsidTr="00343F3E">
        <w:tc>
          <w:tcPr>
            <w:tcW w:w="8771" w:type="dxa"/>
            <w:tcBorders>
              <w:top w:val="single" w:sz="6" w:space="0" w:color="78A22F"/>
              <w:left w:val="nil"/>
              <w:bottom w:val="nil"/>
              <w:right w:val="nil"/>
            </w:tcBorders>
          </w:tcPr>
          <w:p w14:paraId="0779335C" w14:textId="77777777" w:rsidR="00DE1537" w:rsidRPr="00626D32" w:rsidRDefault="00DE1537" w:rsidP="00343F3E">
            <w:pPr>
              <w:pStyle w:val="BoxSpaceBelow"/>
            </w:pPr>
          </w:p>
        </w:tc>
      </w:tr>
    </w:tbl>
    <w:p w14:paraId="5F44B62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313DE58" w14:textId="77777777" w:rsidTr="00343F3E">
        <w:tc>
          <w:tcPr>
            <w:tcW w:w="8771" w:type="dxa"/>
            <w:tcBorders>
              <w:top w:val="single" w:sz="6" w:space="0" w:color="78A22F"/>
              <w:left w:val="nil"/>
              <w:bottom w:val="nil"/>
              <w:right w:val="nil"/>
            </w:tcBorders>
            <w:shd w:val="clear" w:color="auto" w:fill="F2F2F2" w:themeFill="background1" w:themeFillShade="F2"/>
          </w:tcPr>
          <w:p w14:paraId="6A0BD5BF" w14:textId="1B9CB7E8" w:rsidR="00DE1537" w:rsidRDefault="00DE1537" w:rsidP="00343F3E">
            <w:pPr>
              <w:pStyle w:val="BoxTitle"/>
            </w:pPr>
            <w:r>
              <w:rPr>
                <w:b w:val="0"/>
              </w:rPr>
              <w:t>Box 4.</w:t>
            </w:r>
            <w:r>
              <w:rPr>
                <w:b w:val="0"/>
                <w:noProof/>
              </w:rPr>
              <w:t>4</w:t>
            </w:r>
            <w:r>
              <w:tab/>
              <w:t>Examples of cost–benefit analysis of mitigation projects</w:t>
            </w:r>
          </w:p>
        </w:tc>
      </w:tr>
      <w:tr w:rsidR="00DE1537" w14:paraId="25937124" w14:textId="77777777" w:rsidTr="00343F3E">
        <w:trPr>
          <w:cantSplit/>
        </w:trPr>
        <w:tc>
          <w:tcPr>
            <w:tcW w:w="8771" w:type="dxa"/>
            <w:tcBorders>
              <w:top w:val="nil"/>
              <w:left w:val="nil"/>
              <w:bottom w:val="nil"/>
              <w:right w:val="nil"/>
            </w:tcBorders>
            <w:shd w:val="clear" w:color="auto" w:fill="F2F2F2" w:themeFill="background1" w:themeFillShade="F2"/>
          </w:tcPr>
          <w:p w14:paraId="0C45CDA2" w14:textId="4972DB74" w:rsidR="00DE1537" w:rsidRPr="00D84EF0" w:rsidRDefault="00DE1537" w:rsidP="00343F3E">
            <w:pPr>
              <w:pStyle w:val="Box"/>
            </w:pPr>
            <w:r w:rsidRPr="00D84EF0">
              <w:rPr>
                <w:b/>
              </w:rPr>
              <w:t xml:space="preserve">Deloitte Access </w:t>
            </w:r>
            <w:r w:rsidRPr="00397D99">
              <w:rPr>
                <w:b/>
              </w:rPr>
              <w:t>Economics (2013)</w:t>
            </w:r>
            <w:r>
              <w:t xml:space="preserve"> conducted cost–benefit analyses of physical or hard mitigation measures in three areas exposed to different natural disaster risks </w:t>
            </w:r>
            <w:r w:rsidRPr="00212802">
              <w:t>in Australia</w:t>
            </w:r>
            <w:r>
              <w:t>.</w:t>
            </w:r>
          </w:p>
          <w:p w14:paraId="6CEE7666" w14:textId="77777777" w:rsidR="00DE1537" w:rsidRPr="00BB51F4" w:rsidRDefault="00DE1537" w:rsidP="00343F3E">
            <w:pPr>
              <w:pStyle w:val="BoxListBullet"/>
              <w:rPr>
                <w:szCs w:val="24"/>
              </w:rPr>
            </w:pPr>
            <w:r>
              <w:t xml:space="preserve">Raising the Warragamba Dam wall in New South Wales by 23 metres would reduce the net present value of flood costs from $4.1 billion to $1.1 billion over the period 2013–2050, with an estimated benefit–cost ratio (BCR) of between 2.2 and 8.5. </w:t>
            </w:r>
          </w:p>
          <w:p w14:paraId="134109E3" w14:textId="77777777" w:rsidR="00DE1537" w:rsidRDefault="00DE1537" w:rsidP="00343F3E">
            <w:pPr>
              <w:pStyle w:val="BoxListBullet"/>
            </w:pPr>
            <w:r>
              <w:t>Improving resilience in areas subject to high cyclone risk in south</w:t>
            </w:r>
            <w:r>
              <w:noBreakHyphen/>
              <w:t>east Queensland by making new houses more cyclone resistant would reduce damage costs by up to two</w:t>
            </w:r>
            <w:r>
              <w:noBreakHyphen/>
              <w:t>thirds, with a BCR of up to 3 in foreshore areas where housing is at greater risk. The estimated BCRs were much higher for new houses compared with retrofitting existing houses, which supports the case for more preventative action through building codes and planning controls for new housing.</w:t>
            </w:r>
          </w:p>
          <w:p w14:paraId="4125136B" w14:textId="77777777" w:rsidR="00DE1537" w:rsidRPr="008D6F6C" w:rsidRDefault="00DE1537" w:rsidP="00343F3E">
            <w:pPr>
              <w:pStyle w:val="BoxListBullet"/>
            </w:pPr>
            <w:r>
              <w:t>In high</w:t>
            </w:r>
            <w:r>
              <w:noBreakHyphen/>
              <w:t>risk bushfire areas in Victoria, placing electricity wires underground was estimated to have a higher BCR (around 3) compared with building more resilient housing (around 1.4) and improved vegetation management (around 1.3).</w:t>
            </w:r>
          </w:p>
          <w:p w14:paraId="4666D46D" w14:textId="31F55A83" w:rsidR="00DE1537" w:rsidRDefault="00DE1537" w:rsidP="00343F3E">
            <w:pPr>
              <w:pStyle w:val="Box"/>
            </w:pPr>
            <w:r>
              <w:rPr>
                <w:b/>
              </w:rPr>
              <w:t xml:space="preserve">GHD </w:t>
            </w:r>
            <w:r w:rsidRPr="00485766">
              <w:rPr>
                <w:rFonts w:cs="Arial"/>
                <w:b/>
              </w:rPr>
              <w:t>(2006)</w:t>
            </w:r>
            <w:r>
              <w:rPr>
                <w:b/>
              </w:rPr>
              <w:t xml:space="preserve">, </w:t>
            </w:r>
            <w:r w:rsidRPr="0053736E">
              <w:t>in collaboration with Risk Frontiers</w:t>
            </w:r>
            <w:r>
              <w:t>,</w:t>
            </w:r>
            <w:r w:rsidRPr="0053736E">
              <w:t xml:space="preserve"> </w:t>
            </w:r>
            <w:r>
              <w:t>assessed</w:t>
            </w:r>
            <w:r w:rsidRPr="0053736E">
              <w:t xml:space="preserve"> a range o</w:t>
            </w:r>
            <w:r>
              <w:t>f factors that affected the risk of flooding in Invermay, a suburb of</w:t>
            </w:r>
            <w:r w:rsidRPr="0053736E">
              <w:t xml:space="preserve"> Launceston.</w:t>
            </w:r>
            <w:r>
              <w:t xml:space="preserve"> </w:t>
            </w:r>
            <w:r w:rsidRPr="00EA0AFA">
              <w:t>GHD est</w:t>
            </w:r>
            <w:r>
              <w:t>imated the economic costs of</w:t>
            </w:r>
            <w:r w:rsidRPr="00EA0AFA">
              <w:t xml:space="preserve"> flooding over a </w:t>
            </w:r>
            <w:r>
              <w:t>50</w:t>
            </w:r>
            <w:r>
              <w:noBreakHyphen/>
              <w:t xml:space="preserve">year </w:t>
            </w:r>
            <w:r w:rsidRPr="00EA0AFA">
              <w:t xml:space="preserve">period, </w:t>
            </w:r>
            <w:proofErr w:type="gramStart"/>
            <w:r w:rsidRPr="00EA0AFA">
              <w:t>then</w:t>
            </w:r>
            <w:proofErr w:type="gramEnd"/>
            <w:r w:rsidRPr="00EA0AFA">
              <w:t xml:space="preserve"> </w:t>
            </w:r>
            <w:r>
              <w:t xml:space="preserve">conducted a cost–benefit analysis (CBA) </w:t>
            </w:r>
            <w:r w:rsidRPr="007668AD">
              <w:t xml:space="preserve">of </w:t>
            </w:r>
            <w:r>
              <w:t>a</w:t>
            </w:r>
            <w:r w:rsidRPr="007668AD">
              <w:t xml:space="preserve"> mix of avoidance, pre</w:t>
            </w:r>
            <w:r>
              <w:t>vention and response measures. The recommended option, based on a comparison of the net present value of alternative options and taking into account budget constraints, involved a number of structural and non</w:t>
            </w:r>
            <w:r>
              <w:noBreakHyphen/>
              <w:t>structural measures with an estimated cost of $25 million. This comprised $15 million of engineering work (including up to $1 million on minor realignment and repairs of the levee), $7 million on purchase of high</w:t>
            </w:r>
            <w:r>
              <w:noBreakHyphen/>
              <w:t>risk properties, $1 million on appropriate planning and building controls, $1 million on emergency response measures and $1 million on other activities related to land acquisition and management.</w:t>
            </w:r>
          </w:p>
          <w:p w14:paraId="71F02A4B" w14:textId="4A3B2672" w:rsidR="00DE1537" w:rsidRPr="0079625C" w:rsidRDefault="00DE1537" w:rsidP="00343F3E">
            <w:pPr>
              <w:pStyle w:val="Box"/>
              <w:rPr>
                <w:rStyle w:val="DraftingNote"/>
                <w:b w:val="0"/>
                <w:color w:val="auto"/>
                <w:sz w:val="20"/>
                <w:u w:val="none"/>
              </w:rPr>
            </w:pPr>
            <w:r w:rsidRPr="00D84EF0">
              <w:rPr>
                <w:b/>
              </w:rPr>
              <w:t xml:space="preserve">Deloitte Access </w:t>
            </w:r>
            <w:r w:rsidRPr="007079A1">
              <w:rPr>
                <w:b/>
              </w:rPr>
              <w:t xml:space="preserve">Economics </w:t>
            </w:r>
            <w:r w:rsidR="007C5656" w:rsidRPr="007C5656">
              <w:rPr>
                <w:rFonts w:cs="Arial"/>
              </w:rPr>
              <w:t>(2014b)</w:t>
            </w:r>
            <w:r>
              <w:t xml:space="preserve"> undertook a scoping study to examine the costs and benefits of alternative bushfire mitigation policies — an increase in fuel reduction burning and the mechanical removal of vegetation. As an indicative example, a CBA of this policy was undertaken for the Blue Mountains region. This estimated that the current cost of bushfires in the region averaged about $72 million per year (the baseline) and if fuel reduction was undertaken on about 5 per cent of the landscape as well as the mechanical removal of fuel, the costs of bushfires could be reduced to $39 million per year. This could generate a net benefit of up to $34 million per year with a BCR of around six. There were a number of uncertainties around the inputs to these results, including the value of carbon emissions and the relationship between insured losses and area burnt. Deloitte Access Economics noted there was a strong case for more detailed CBA, given the high BCR from the indicative CBA and the ready availability of information to support a more detailed analysis of alternative fuel reduction policies.</w:t>
            </w:r>
          </w:p>
        </w:tc>
      </w:tr>
      <w:tr w:rsidR="00DE1537" w14:paraId="4AFF840D" w14:textId="77777777" w:rsidTr="00343F3E">
        <w:trPr>
          <w:cantSplit/>
        </w:trPr>
        <w:tc>
          <w:tcPr>
            <w:tcW w:w="8771" w:type="dxa"/>
            <w:tcBorders>
              <w:top w:val="nil"/>
              <w:left w:val="nil"/>
              <w:bottom w:val="nil"/>
              <w:right w:val="nil"/>
            </w:tcBorders>
            <w:shd w:val="clear" w:color="auto" w:fill="F2F2F2" w:themeFill="background1" w:themeFillShade="F2"/>
          </w:tcPr>
          <w:p w14:paraId="24682927" w14:textId="30BA934F" w:rsidR="00DE1537" w:rsidRDefault="00DE1537" w:rsidP="00343F3E">
            <w:pPr>
              <w:pStyle w:val="BoxSource"/>
              <w:jc w:val="left"/>
            </w:pPr>
            <w:r>
              <w:rPr>
                <w:i/>
              </w:rPr>
              <w:t>Sources</w:t>
            </w:r>
            <w:r>
              <w:t xml:space="preserve">: Deloitte Access Economics </w:t>
            </w:r>
            <w:r w:rsidR="007C5656" w:rsidRPr="007C5656">
              <w:rPr>
                <w:rFonts w:cs="Arial"/>
              </w:rPr>
              <w:t>(2013, 2014b)</w:t>
            </w:r>
            <w:r>
              <w:t xml:space="preserve">; GHD </w:t>
            </w:r>
            <w:r w:rsidRPr="007079A1">
              <w:rPr>
                <w:rFonts w:cs="Arial"/>
              </w:rPr>
              <w:t>(2006)</w:t>
            </w:r>
            <w:r>
              <w:t>.</w:t>
            </w:r>
          </w:p>
        </w:tc>
      </w:tr>
      <w:tr w:rsidR="00DE1537" w14:paraId="23E5F11C"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779BA1E" w14:textId="77777777" w:rsidR="00DE1537" w:rsidRDefault="00DE1537" w:rsidP="00343F3E">
            <w:pPr>
              <w:pStyle w:val="Box"/>
              <w:spacing w:before="0" w:line="120" w:lineRule="exact"/>
            </w:pPr>
          </w:p>
        </w:tc>
      </w:tr>
      <w:tr w:rsidR="00DE1537" w:rsidRPr="000863A5" w14:paraId="350B8CFA" w14:textId="77777777" w:rsidTr="00343F3E">
        <w:tc>
          <w:tcPr>
            <w:tcW w:w="8771" w:type="dxa"/>
            <w:tcBorders>
              <w:top w:val="single" w:sz="6" w:space="0" w:color="78A22F"/>
              <w:left w:val="nil"/>
              <w:bottom w:val="nil"/>
              <w:right w:val="nil"/>
            </w:tcBorders>
          </w:tcPr>
          <w:p w14:paraId="475F7B57" w14:textId="77777777" w:rsidR="00DE1537" w:rsidRPr="00626D32" w:rsidRDefault="00DE1537" w:rsidP="00343F3E">
            <w:pPr>
              <w:pStyle w:val="BoxSpaceBelow"/>
            </w:pPr>
          </w:p>
        </w:tc>
      </w:tr>
    </w:tbl>
    <w:p w14:paraId="172C1A88" w14:textId="77777777" w:rsidR="00DE1537" w:rsidRDefault="00DE1537">
      <w:pPr>
        <w:pStyle w:val="BoxSpaceAbove"/>
      </w:pPr>
    </w:p>
    <w:p w14:paraId="1202805E" w14:textId="77777777" w:rsidR="00DE1537" w:rsidRDefault="00DE1537">
      <w:pPr>
        <w:rPr>
          <w:rFonts w:ascii="Arial" w:hAnsi="Arial"/>
          <w:b/>
          <w:sz w:val="20"/>
          <w:szCs w:val="20"/>
        </w:rPr>
      </w:pPr>
      <w:r>
        <w:rPr>
          <w:b/>
          <w:sz w:val="20"/>
        </w:rPr>
        <w:br w:type="page"/>
      </w:r>
    </w:p>
    <w:p w14:paraId="6A1551D4" w14:textId="77777777" w:rsidR="00DE1537" w:rsidRDefault="00DE1537" w:rsidP="00343F3E">
      <w:pPr>
        <w:pStyle w:val="Heading4"/>
      </w:pPr>
      <w:r>
        <w:lastRenderedPageBreak/>
        <w:t>Using CBA and other evaluation methods</w:t>
      </w:r>
    </w:p>
    <w:p w14:paraId="4EF12C5F" w14:textId="77777777" w:rsidR="00DE1537" w:rsidRDefault="00DE1537" w:rsidP="00343F3E">
      <w:pPr>
        <w:pStyle w:val="BodyText"/>
      </w:pPr>
      <w:r>
        <w:t>There is a range of methods other than CBA that can be used to evaluate potential mitigation options or projects, including cost effectiveness and least</w:t>
      </w:r>
      <w:r>
        <w:noBreakHyphen/>
        <w:t>cost analysis, multi</w:t>
      </w:r>
      <w:r>
        <w:noBreakHyphen/>
        <w:t>criteria analysis (MCA) and computable general equilibrium modelling (box 4.5</w:t>
      </w:r>
      <w:r w:rsidRPr="00BE0272">
        <w:t>)</w:t>
      </w:r>
      <w:r>
        <w:t>. While CBA offers the most theoretically rigorous approach for policy assessment, inevitably it is impossible to quantify every aspect relevant to decisions about project selection. CBA requires supporting research to quantify the scale of impacts and estimate unit valuations of these impacts. It may involve subjectivity in the choice of discount rate, uncertainties about future cost and benefits, and difficulties estimating non</w:t>
      </w:r>
      <w:r>
        <w:noBreakHyphen/>
        <w:t>market values and accounting for distributional impacts. Notwithstanding these limitations, where CBA can be used to estimate both tangible and intangible costs and benefits in monetary terms, it is likely to lead to better informed decisions than other evaluation methods, particularly for the relative assessment of individual projects.</w:t>
      </w:r>
    </w:p>
    <w:p w14:paraId="3C7137A3"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0F3E3AB" w14:textId="77777777" w:rsidTr="00343F3E">
        <w:tc>
          <w:tcPr>
            <w:tcW w:w="8771" w:type="dxa"/>
            <w:tcBorders>
              <w:top w:val="single" w:sz="6" w:space="0" w:color="78A22F"/>
              <w:left w:val="nil"/>
              <w:bottom w:val="nil"/>
              <w:right w:val="nil"/>
            </w:tcBorders>
            <w:shd w:val="clear" w:color="auto" w:fill="F2F2F2"/>
          </w:tcPr>
          <w:p w14:paraId="5E703025" w14:textId="5697CA5C" w:rsidR="00DE1537" w:rsidRDefault="00DE1537" w:rsidP="00343F3E">
            <w:pPr>
              <w:pStyle w:val="BoxTitle"/>
            </w:pPr>
            <w:r>
              <w:rPr>
                <w:b w:val="0"/>
              </w:rPr>
              <w:t>Box 4.</w:t>
            </w:r>
            <w:r>
              <w:rPr>
                <w:b w:val="0"/>
                <w:noProof/>
              </w:rPr>
              <w:t>5</w:t>
            </w:r>
            <w:r>
              <w:tab/>
              <w:t>Other types of evaluation methods</w:t>
            </w:r>
          </w:p>
        </w:tc>
      </w:tr>
      <w:tr w:rsidR="00DE1537" w14:paraId="17D9CD33" w14:textId="77777777" w:rsidTr="00343F3E">
        <w:trPr>
          <w:cantSplit/>
        </w:trPr>
        <w:tc>
          <w:tcPr>
            <w:tcW w:w="8771" w:type="dxa"/>
            <w:tcBorders>
              <w:top w:val="nil"/>
              <w:left w:val="nil"/>
              <w:bottom w:val="nil"/>
              <w:right w:val="nil"/>
            </w:tcBorders>
            <w:shd w:val="clear" w:color="auto" w:fill="F2F2F2"/>
          </w:tcPr>
          <w:p w14:paraId="7771E3FF" w14:textId="77777777" w:rsidR="00DE1537" w:rsidRPr="001610B6" w:rsidRDefault="00DE1537" w:rsidP="00343F3E">
            <w:pPr>
              <w:pStyle w:val="Box"/>
              <w:rPr>
                <w:rStyle w:val="BoxChar"/>
              </w:rPr>
            </w:pPr>
            <w:r w:rsidRPr="003A7A51">
              <w:rPr>
                <w:b/>
              </w:rPr>
              <w:t>Cost</w:t>
            </w:r>
            <w:r w:rsidRPr="003A7A51">
              <w:rPr>
                <w:b/>
              </w:rPr>
              <w:noBreakHyphen/>
              <w:t>effectiveness and least</w:t>
            </w:r>
            <w:r>
              <w:rPr>
                <w:b/>
              </w:rPr>
              <w:noBreakHyphen/>
            </w:r>
            <w:r w:rsidRPr="003A7A51">
              <w:rPr>
                <w:b/>
              </w:rPr>
              <w:t>cost analysis</w:t>
            </w:r>
            <w:r>
              <w:t xml:space="preserve"> — t</w:t>
            </w:r>
            <w:r w:rsidRPr="001610B6">
              <w:t>hese methods are partial cost–benefit approaches that compare the relative costs of different options in reference to a specific outcome already agreed upon. A cost</w:t>
            </w:r>
            <w:r w:rsidRPr="001610B6">
              <w:noBreakHyphen/>
              <w:t>effectiveness analysis expresses the result in terms of the average cost per unit of effectiveness (for example, the average cost per life saved). However, these methods cannot be used to compare alternative projects that achieve greater net benefits by targeting different outcomes.</w:t>
            </w:r>
          </w:p>
          <w:p w14:paraId="67449569" w14:textId="77777777" w:rsidR="00DE1537" w:rsidRDefault="00DE1537" w:rsidP="00343F3E">
            <w:pPr>
              <w:pStyle w:val="Box"/>
            </w:pPr>
            <w:r w:rsidRPr="003A7A51">
              <w:rPr>
                <w:b/>
              </w:rPr>
              <w:t>Multi</w:t>
            </w:r>
            <w:r w:rsidRPr="003A7A51">
              <w:rPr>
                <w:b/>
              </w:rPr>
              <w:noBreakHyphen/>
              <w:t>criteria analysis</w:t>
            </w:r>
            <w:r>
              <w:t xml:space="preserve"> </w:t>
            </w:r>
            <w:r w:rsidRPr="003A7A51">
              <w:t>— this term describes a range of approaches that attempt to compare quantitative and qualitative impacts across different proposals, usually by defining policy objectives, determining a set of criteria to measure performance against each objective, and assigning weights and scores to the criteria. Typically, some criteria relate to market factors (such as the cost of funding a project) and some to non</w:t>
            </w:r>
            <w:r w:rsidRPr="003A7A51">
              <w:noBreakHyphen/>
              <w:t>market outcomes (such as environmental effects). Multi</w:t>
            </w:r>
            <w:r w:rsidRPr="003A7A51">
              <w:noBreakHyphen/>
              <w:t>criteria analysis is an alternative to cost–benefit analysis that is often used because it is simpler and avoids the need to assign dollar values to environmental outcomes.</w:t>
            </w:r>
          </w:p>
          <w:p w14:paraId="4D24CD03" w14:textId="77777777" w:rsidR="00DE1537" w:rsidRDefault="00DE1537" w:rsidP="00343F3E">
            <w:pPr>
              <w:pStyle w:val="Box"/>
            </w:pPr>
            <w:r w:rsidRPr="003A7A51">
              <w:rPr>
                <w:b/>
              </w:rPr>
              <w:t>Computable general equilibrium (CGE) modelling</w:t>
            </w:r>
            <w:r>
              <w:t xml:space="preserve"> </w:t>
            </w:r>
            <w:r w:rsidRPr="003A7A51">
              <w:t>— CGE models are typically used to quantify the industry or regional output and employment impacts of policies and projects. At a more aggregate level, CGE models are also used to estimate impacts on macroeconomic variables such as gross domestic/state product and household consumption, as well as changes in the trade balance or government revenue collections. CGE models can be used to report on the welfare impacts of projects through proxy measures such as net national income. However, results are often dependent on the assumptions contained in the model (such as aggregation and stylised industry models).</w:t>
            </w:r>
          </w:p>
        </w:tc>
      </w:tr>
      <w:tr w:rsidR="00DE1537" w14:paraId="7231CA22" w14:textId="77777777" w:rsidTr="00343F3E">
        <w:trPr>
          <w:cantSplit/>
        </w:trPr>
        <w:tc>
          <w:tcPr>
            <w:tcW w:w="8771" w:type="dxa"/>
            <w:tcBorders>
              <w:top w:val="nil"/>
              <w:left w:val="nil"/>
              <w:bottom w:val="nil"/>
              <w:right w:val="nil"/>
            </w:tcBorders>
            <w:shd w:val="clear" w:color="auto" w:fill="F2F2F2"/>
          </w:tcPr>
          <w:p w14:paraId="19A1E097" w14:textId="79A83717" w:rsidR="00DE1537" w:rsidRDefault="00DE1537" w:rsidP="00343F3E">
            <w:pPr>
              <w:pStyle w:val="BoxSource"/>
            </w:pPr>
            <w:r>
              <w:rPr>
                <w:i/>
              </w:rPr>
              <w:t>Sources</w:t>
            </w:r>
            <w:r w:rsidRPr="00167F06">
              <w:t>:</w:t>
            </w:r>
            <w:r>
              <w:t xml:space="preserve"> PC </w:t>
            </w:r>
            <w:r w:rsidRPr="006B7585">
              <w:rPr>
                <w:rFonts w:cs="Arial"/>
              </w:rPr>
              <w:t>(2014)</w:t>
            </w:r>
            <w:r>
              <w:t xml:space="preserve">; VDTF </w:t>
            </w:r>
            <w:r w:rsidRPr="00E72FED">
              <w:rPr>
                <w:rFonts w:cs="Arial"/>
              </w:rPr>
              <w:t>(2013)</w:t>
            </w:r>
            <w:r>
              <w:t>.</w:t>
            </w:r>
          </w:p>
        </w:tc>
      </w:tr>
      <w:tr w:rsidR="00DE1537" w14:paraId="3F7342DF" w14:textId="77777777" w:rsidTr="00343F3E">
        <w:trPr>
          <w:cantSplit/>
        </w:trPr>
        <w:tc>
          <w:tcPr>
            <w:tcW w:w="8771" w:type="dxa"/>
            <w:tcBorders>
              <w:top w:val="nil"/>
              <w:left w:val="nil"/>
              <w:bottom w:val="single" w:sz="6" w:space="0" w:color="78A22F"/>
              <w:right w:val="nil"/>
            </w:tcBorders>
            <w:shd w:val="clear" w:color="auto" w:fill="F2F2F2"/>
          </w:tcPr>
          <w:p w14:paraId="7B246CEA" w14:textId="77777777" w:rsidR="00DE1537" w:rsidRDefault="00DE1537">
            <w:pPr>
              <w:pStyle w:val="Box"/>
              <w:spacing w:before="0" w:line="120" w:lineRule="exact"/>
            </w:pPr>
          </w:p>
        </w:tc>
      </w:tr>
      <w:tr w:rsidR="00DE1537" w:rsidRPr="000863A5" w14:paraId="7EB4D53A" w14:textId="77777777" w:rsidTr="00343F3E">
        <w:tc>
          <w:tcPr>
            <w:tcW w:w="8771" w:type="dxa"/>
            <w:tcBorders>
              <w:top w:val="single" w:sz="6" w:space="0" w:color="78A22F"/>
              <w:left w:val="nil"/>
              <w:bottom w:val="nil"/>
              <w:right w:val="nil"/>
            </w:tcBorders>
          </w:tcPr>
          <w:p w14:paraId="43D93436" w14:textId="77777777" w:rsidR="00DE1537" w:rsidRPr="00626D32" w:rsidRDefault="00DE1537" w:rsidP="00343F3E">
            <w:pPr>
              <w:pStyle w:val="BoxSpaceBelow"/>
            </w:pPr>
          </w:p>
        </w:tc>
      </w:tr>
    </w:tbl>
    <w:p w14:paraId="7A52B8AC" w14:textId="77777777" w:rsidR="00380F08" w:rsidRDefault="00380F08" w:rsidP="00380F08">
      <w:pPr>
        <w:pStyle w:val="BodyText"/>
      </w:pPr>
      <w:r>
        <w:t xml:space="preserve">MCA typically involves defining policy objectives, determining a set of criteria to measure performance against each objective, and assigning weights and scores to the criteria. MCA indicates if an alternative offers benefits based on subjective criteria, rather than if it offers value for money. Some have argued that the use of subjective criteria and weights is </w:t>
      </w:r>
      <w:r>
        <w:lastRenderedPageBreak/>
        <w:t>inevitable in complex decision making, and what is important is that they are underpinned by transparent decision making, including being publicly available.</w:t>
      </w:r>
    </w:p>
    <w:p w14:paraId="5283A115" w14:textId="77777777" w:rsidR="00380F08" w:rsidRDefault="00380F08" w:rsidP="00380F08">
      <w:pPr>
        <w:pStyle w:val="Quote"/>
      </w:pPr>
      <w:r>
        <w:t xml:space="preserve">Whilst the decision outcome might not appear to be ‘optimal’ or ‘correct’ to some observers, it is at least transparent — an observer can see what criteria or attributes were used to evaluate the alternative options, and which of these criteria were considered most important to the decision maker. </w:t>
      </w:r>
      <w:proofErr w:type="gramStart"/>
      <w:r>
        <w:t>(Risk Frontiers, sub.</w:t>
      </w:r>
      <w:proofErr w:type="gramEnd"/>
      <w:r>
        <w:t> DR132, p. 20)</w:t>
      </w:r>
    </w:p>
    <w:p w14:paraId="1EC7938C" w14:textId="77777777" w:rsidR="00380F08" w:rsidRDefault="00380F08" w:rsidP="00380F08">
      <w:pPr>
        <w:pStyle w:val="BodyText"/>
      </w:pPr>
      <w:r>
        <w:t xml:space="preserve">A limitation of MCA is that attributes used are most often expressed in different or incompatible units. By contrast, CBA provides a framework to compare the costs and benefits of diverse projects (whether this involves infrastructure provision, environmental impacts or regulatory controls) on a common basis (monetary value). Benefits are measured as the aggregation of an individual’s willingness to pay and social costs reflect opportunities forgone to society </w:t>
      </w:r>
      <w:r w:rsidRPr="00BC5423">
        <w:rPr>
          <w:szCs w:val="24"/>
        </w:rPr>
        <w:t>(Dobes and Bennett 2009)</w:t>
      </w:r>
      <w:r>
        <w:t>. For these reasons, MCA should generally not be used as a substitute for CBA where the costs and benefits can be expressed in monetary terms. However, where they cannot, clearly setting out the likely outcomes of each mitigation option can allow for a more subjective assessment by the decision maker of whether benefits are likely to exceed the cost.</w:t>
      </w:r>
    </w:p>
    <w:p w14:paraId="13DF4925" w14:textId="453EE0E8" w:rsidR="00DE1537" w:rsidRDefault="00DE1537" w:rsidP="00343F3E">
      <w:pPr>
        <w:pStyle w:val="BodyText"/>
      </w:pPr>
      <w:r>
        <w:t xml:space="preserve">A common approach in many government guidelines for assessing disaster risk reduction is to use MCA as a complement to CBA to address qualitative variables such as social and environmental benefits, drawing on expert opinion such as democratic voting or a panel of experts </w:t>
      </w:r>
      <w:r w:rsidRPr="0082018F">
        <w:rPr>
          <w:szCs w:val="24"/>
        </w:rPr>
        <w:t>(Shreve and Kelman 2014)</w:t>
      </w:r>
      <w:r>
        <w:t xml:space="preserve">. Risk Frontiers </w:t>
      </w:r>
      <w:r w:rsidR="007C5656" w:rsidRPr="007C5656">
        <w:t>(2014a)</w:t>
      </w:r>
      <w:r>
        <w:t xml:space="preserve"> has developed a framework for decision making which uses MCA in combination with CBA to analyse projects where not all of the attributes of the decision can be monetised. This includes the use of CBA as a criterion or input in MCA for assessing options, and undertaking both CBA and MCA in parallel to assess alternatives under both quantitative and qualitative criteria. </w:t>
      </w:r>
    </w:p>
    <w:p w14:paraId="7805BE38" w14:textId="559D5971" w:rsidR="00DE1537" w:rsidRDefault="00DE1537" w:rsidP="00343F3E">
      <w:pPr>
        <w:pStyle w:val="BodyText"/>
      </w:pPr>
      <w:r>
        <w:t xml:space="preserve">There may be value in an MCA complementing the use of CBA, for example, where it is used in the initial stage of project appraisal to identify a shortlist of priority options that satisfy transparent criteria agreed by stakeholders. The options selected can then be subject to more rigorous and detailed analysis, where possible, using CBA. For example, as part of the </w:t>
      </w:r>
      <w:r w:rsidRPr="0033373F">
        <w:t>coastal hazard adapt</w:t>
      </w:r>
      <w:r>
        <w:t>at</w:t>
      </w:r>
      <w:r w:rsidRPr="0033373F">
        <w:t>ion strategy for Townsville City Co</w:t>
      </w:r>
      <w:r>
        <w:t>uncil (Qld),</w:t>
      </w:r>
      <w:r w:rsidRPr="0033373F">
        <w:t xml:space="preserve"> MCA was undertaken in consultation with stakeholders to develop various adap</w:t>
      </w:r>
      <w:r>
        <w:t>ta</w:t>
      </w:r>
      <w:r w:rsidRPr="0033373F">
        <w:t>tion options (retreat, accommodate, defend) for different districts</w:t>
      </w:r>
      <w:r>
        <w:t xml:space="preserve">. </w:t>
      </w:r>
      <w:r w:rsidRPr="0033373F">
        <w:t>CBA was then undertaken to estimate the economic viability (measured by NPV) of the preferred adaptation option for each locality selected relative to maintain</w:t>
      </w:r>
      <w:r>
        <w:t>ing</w:t>
      </w:r>
      <w:r w:rsidRPr="0033373F">
        <w:t xml:space="preserve"> </w:t>
      </w:r>
      <w:r>
        <w:t xml:space="preserve">the status quo </w:t>
      </w:r>
      <w:r w:rsidRPr="00022D90">
        <w:rPr>
          <w:szCs w:val="24"/>
        </w:rPr>
        <w:t>(GHD 2012)</w:t>
      </w:r>
      <w:r w:rsidRPr="00052544">
        <w:t xml:space="preserve"> </w:t>
      </w:r>
      <w:r>
        <w:t>(box 4.6)</w:t>
      </w:r>
      <w:r w:rsidRPr="0033373F">
        <w:t>.</w:t>
      </w:r>
    </w:p>
    <w:p w14:paraId="0A617238" w14:textId="77777777" w:rsidR="00AF1C48" w:rsidRDefault="00AF1C48" w:rsidP="00AF1C4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F1C48" w14:paraId="37C9D406" w14:textId="77777777" w:rsidTr="006E66CA">
        <w:tc>
          <w:tcPr>
            <w:tcW w:w="8771" w:type="dxa"/>
            <w:tcBorders>
              <w:top w:val="single" w:sz="6" w:space="0" w:color="78A22F"/>
              <w:left w:val="nil"/>
              <w:bottom w:val="nil"/>
              <w:right w:val="nil"/>
            </w:tcBorders>
            <w:shd w:val="clear" w:color="auto" w:fill="F2F2F2" w:themeFill="background1" w:themeFillShade="F2"/>
          </w:tcPr>
          <w:p w14:paraId="57677A40" w14:textId="77777777" w:rsidR="00AF1C48" w:rsidRDefault="00AF1C48" w:rsidP="006E66CA">
            <w:pPr>
              <w:pStyle w:val="BoxTitle"/>
            </w:pPr>
            <w:r>
              <w:rPr>
                <w:b w:val="0"/>
              </w:rPr>
              <w:t>Box 4.</w:t>
            </w:r>
            <w:r>
              <w:rPr>
                <w:b w:val="0"/>
                <w:noProof/>
              </w:rPr>
              <w:t>6</w:t>
            </w:r>
            <w:r>
              <w:tab/>
              <w:t>Townsville Coastal Hazard Adaptation Strategy</w:t>
            </w:r>
          </w:p>
        </w:tc>
      </w:tr>
      <w:tr w:rsidR="00AF1C48" w14:paraId="248FB7A9" w14:textId="77777777" w:rsidTr="006E66CA">
        <w:trPr>
          <w:cantSplit/>
        </w:trPr>
        <w:tc>
          <w:tcPr>
            <w:tcW w:w="8771" w:type="dxa"/>
            <w:tcBorders>
              <w:top w:val="nil"/>
              <w:left w:val="nil"/>
              <w:bottom w:val="nil"/>
              <w:right w:val="nil"/>
            </w:tcBorders>
            <w:shd w:val="clear" w:color="auto" w:fill="F2F2F2" w:themeFill="background1" w:themeFillShade="F2"/>
          </w:tcPr>
          <w:p w14:paraId="54D7BDCC" w14:textId="77777777" w:rsidR="00AF1C48" w:rsidRDefault="00AF1C48" w:rsidP="006E66CA">
            <w:pPr>
              <w:pStyle w:val="Box"/>
            </w:pPr>
            <w:r>
              <w:t xml:space="preserve">The Townsville Coastal Hazard Adaptation Strategy (CHAS) maps and identifies the potential impacts of climate change from 2012 to 2100 </w:t>
            </w:r>
            <w:r w:rsidRPr="00EA3BFF">
              <w:t>including projected sea</w:t>
            </w:r>
            <w:r>
              <w:noBreakHyphen/>
            </w:r>
            <w:r w:rsidRPr="00EA3BFF">
              <w:t>level rises, storm</w:t>
            </w:r>
            <w:r>
              <w:noBreakHyphen/>
            </w:r>
            <w:r w:rsidRPr="00EA3BFF">
              <w:t>tide inundation and erosion risks</w:t>
            </w:r>
            <w:r>
              <w:t xml:space="preserve">, and outlines measures to respond and adapt to these impacts. </w:t>
            </w:r>
            <w:r w:rsidRPr="00EA3BFF">
              <w:t xml:space="preserve">GHD </w:t>
            </w:r>
            <w:r w:rsidRPr="00EA3BFF">
              <w:rPr>
                <w:rFonts w:cs="Arial"/>
              </w:rPr>
              <w:t>(2012)</w:t>
            </w:r>
            <w:r>
              <w:t xml:space="preserve"> prepared the Townsville CHAS pilot project </w:t>
            </w:r>
            <w:r w:rsidRPr="00EA3BFF">
              <w:t>for the Townsville City Council</w:t>
            </w:r>
            <w:r>
              <w:t xml:space="preserve"> (Qld)</w:t>
            </w:r>
            <w:r w:rsidRPr="00EA3BFF">
              <w:t xml:space="preserve">. </w:t>
            </w:r>
          </w:p>
          <w:p w14:paraId="73993038" w14:textId="77777777" w:rsidR="00AF1C48" w:rsidRDefault="00AF1C48" w:rsidP="006E66CA">
            <w:pPr>
              <w:pStyle w:val="Box"/>
            </w:pPr>
            <w:r>
              <w:t>As part of the project, GHD undertook an economic appraisal of coastal hazard adaptation options which involved the use of both multi</w:t>
            </w:r>
            <w:r>
              <w:noBreakHyphen/>
              <w:t>criteria analysis (MCA) and cost–benefit analysis. Adaptation options for input to the MCA were developed through a number of stakeholder workshops. This involved developing a set of social, environmental and economic criteria for decision making; developing a scoring system based on performance against the criteria; weighting of each criterion; weighted scoring; and sensitivity analysis to check whether different weightings affected the ordering of preferred options. The decision</w:t>
            </w:r>
            <w:r>
              <w:noBreakHyphen/>
              <w:t>making criteria and scoring weights were based on stakeholder input. The final criteria adopted were:</w:t>
            </w:r>
          </w:p>
          <w:p w14:paraId="56DBD0E0" w14:textId="77777777" w:rsidR="00AF1C48" w:rsidRDefault="00AF1C48" w:rsidP="006E66CA">
            <w:pPr>
              <w:pStyle w:val="BoxListBullet"/>
            </w:pPr>
            <w:r>
              <w:t xml:space="preserve">adaptation effectiveness — the severity of inundation on humans, property and infrastructure </w:t>
            </w:r>
          </w:p>
          <w:p w14:paraId="49E8F6DE" w14:textId="77777777" w:rsidR="00AF1C48" w:rsidRDefault="00AF1C48" w:rsidP="006E66CA">
            <w:pPr>
              <w:pStyle w:val="BoxListBullet"/>
            </w:pPr>
            <w:r>
              <w:t>climate uncertainty — the flexibility to respond to uncertain climate outcomes</w:t>
            </w:r>
          </w:p>
          <w:p w14:paraId="09538628" w14:textId="77777777" w:rsidR="00AF1C48" w:rsidRDefault="00AF1C48" w:rsidP="006E66CA">
            <w:pPr>
              <w:pStyle w:val="BoxListBullet"/>
            </w:pPr>
            <w:r>
              <w:t>social and environmental impacts including the impacts on access to coastal areas for recreation, indirect economic and industry impacts, and impacts on natural ecosystems and cultural heritage</w:t>
            </w:r>
          </w:p>
          <w:p w14:paraId="644E6866" w14:textId="77777777" w:rsidR="00AF1C48" w:rsidRDefault="00AF1C48" w:rsidP="006E66CA">
            <w:pPr>
              <w:pStyle w:val="BoxListBullet"/>
            </w:pPr>
            <w:proofErr w:type="gramStart"/>
            <w:r>
              <w:t>complexity</w:t>
            </w:r>
            <w:proofErr w:type="gramEnd"/>
            <w:r>
              <w:t xml:space="preserve"> and cost including capital costs, complexity of implementation and operating and maintenance costs.</w:t>
            </w:r>
          </w:p>
          <w:p w14:paraId="2F07EFEA" w14:textId="77777777" w:rsidR="00AF1C48" w:rsidRDefault="00AF1C48" w:rsidP="006E66CA">
            <w:pPr>
              <w:pStyle w:val="Box"/>
            </w:pPr>
            <w:r>
              <w:t xml:space="preserve">The MCA considered three ‘active’ options to manage risks — retreat, defend or accommodate — in 26 localities across Townsville. The MCA found that the preferred option was retreat in 14 localities. Cost–benefit analysis was then undertaken for the preferred option in each locality. The net present value of the preferred option was estimated relative to maintaining the status quo (the base case). </w:t>
            </w:r>
          </w:p>
          <w:p w14:paraId="5E8BBC32" w14:textId="77777777" w:rsidR="00AF1C48" w:rsidRDefault="00AF1C48" w:rsidP="006E66CA">
            <w:pPr>
              <w:pStyle w:val="Box"/>
            </w:pPr>
            <w:r>
              <w:t xml:space="preserve">GHD estimated the net present value of implementing the preferred option in each year between 2012 and 2100. For preferred options with a high benefit–cost ratio (BCR), it tended to be optimal to implement the option in the late 2020s. For preferred options with low BCRs, it tended to be optimal to implement the option towards the end of the century. </w:t>
            </w:r>
          </w:p>
          <w:p w14:paraId="31BFC25A" w14:textId="77777777" w:rsidR="00AF1C48" w:rsidRDefault="00AF1C48" w:rsidP="006E66CA">
            <w:pPr>
              <w:pStyle w:val="Box"/>
            </w:pPr>
            <w:r w:rsidRPr="00BA6795">
              <w:t>The BCR</w:t>
            </w:r>
            <w:r>
              <w:t>s of preferred options were</w:t>
            </w:r>
            <w:r w:rsidRPr="00BA6795">
              <w:t xml:space="preserve"> quite sensitive to the discount rate used. For example, if the ‘defend’ option for Townsville was implemented in 2020, </w:t>
            </w:r>
            <w:r>
              <w:t xml:space="preserve">it was estimated to yield </w:t>
            </w:r>
            <w:r w:rsidRPr="00BA6795">
              <w:t>a BCR of about 6</w:t>
            </w:r>
            <w:r>
              <w:t xml:space="preserve"> using</w:t>
            </w:r>
            <w:r w:rsidRPr="00BA6795">
              <w:t xml:space="preserve"> a 1.4 per cent discount rate, a BCR of about 3.5 with a discount rate of 4 per cent and a BCR of about 1.5 with a discount rate of 9 per cent. BCRs were </w:t>
            </w:r>
            <w:r>
              <w:t>also sensitive to projected sea</w:t>
            </w:r>
            <w:r>
              <w:noBreakHyphen/>
            </w:r>
            <w:r w:rsidRPr="00BA6795">
              <w:t>level rises and population growth.</w:t>
            </w:r>
            <w:r>
              <w:t xml:space="preserve"> </w:t>
            </w:r>
          </w:p>
        </w:tc>
      </w:tr>
      <w:tr w:rsidR="00AF1C48" w14:paraId="779A19BD" w14:textId="77777777" w:rsidTr="006E66CA">
        <w:trPr>
          <w:cantSplit/>
        </w:trPr>
        <w:tc>
          <w:tcPr>
            <w:tcW w:w="8771" w:type="dxa"/>
            <w:tcBorders>
              <w:top w:val="nil"/>
              <w:left w:val="nil"/>
              <w:bottom w:val="nil"/>
              <w:right w:val="nil"/>
            </w:tcBorders>
            <w:shd w:val="clear" w:color="auto" w:fill="F2F2F2" w:themeFill="background1" w:themeFillShade="F2"/>
          </w:tcPr>
          <w:p w14:paraId="38859461" w14:textId="77777777" w:rsidR="00AF1C48" w:rsidRDefault="00AF1C48" w:rsidP="006E66CA">
            <w:pPr>
              <w:pStyle w:val="BoxSource"/>
            </w:pPr>
            <w:r>
              <w:rPr>
                <w:i/>
              </w:rPr>
              <w:t>Source</w:t>
            </w:r>
            <w:r w:rsidRPr="00167F06">
              <w:t>:</w:t>
            </w:r>
            <w:r>
              <w:t xml:space="preserve"> GHD </w:t>
            </w:r>
            <w:r w:rsidRPr="000E7957">
              <w:rPr>
                <w:rFonts w:cs="Arial"/>
              </w:rPr>
              <w:t>(2012)</w:t>
            </w:r>
            <w:r>
              <w:t>.</w:t>
            </w:r>
          </w:p>
        </w:tc>
      </w:tr>
      <w:tr w:rsidR="00AF1C48" w14:paraId="6BAD5F09" w14:textId="77777777" w:rsidTr="006E66CA">
        <w:trPr>
          <w:cantSplit/>
        </w:trPr>
        <w:tc>
          <w:tcPr>
            <w:tcW w:w="8771" w:type="dxa"/>
            <w:tcBorders>
              <w:top w:val="nil"/>
              <w:left w:val="nil"/>
              <w:bottom w:val="single" w:sz="6" w:space="0" w:color="78A22F"/>
              <w:right w:val="nil"/>
            </w:tcBorders>
            <w:shd w:val="clear" w:color="auto" w:fill="F2F2F2" w:themeFill="background1" w:themeFillShade="F2"/>
          </w:tcPr>
          <w:p w14:paraId="6DDA52F4" w14:textId="77777777" w:rsidR="00AF1C48" w:rsidRDefault="00AF1C48" w:rsidP="006E66CA">
            <w:pPr>
              <w:pStyle w:val="Box"/>
              <w:spacing w:before="0" w:line="120" w:lineRule="exact"/>
            </w:pPr>
          </w:p>
        </w:tc>
      </w:tr>
      <w:tr w:rsidR="00AF1C48" w:rsidRPr="000863A5" w14:paraId="7B946249" w14:textId="77777777" w:rsidTr="006E66CA">
        <w:tc>
          <w:tcPr>
            <w:tcW w:w="8771" w:type="dxa"/>
            <w:tcBorders>
              <w:top w:val="single" w:sz="6" w:space="0" w:color="78A22F"/>
              <w:left w:val="nil"/>
              <w:bottom w:val="nil"/>
              <w:right w:val="nil"/>
            </w:tcBorders>
          </w:tcPr>
          <w:p w14:paraId="7523DAF8" w14:textId="77777777" w:rsidR="00AF1C48" w:rsidRPr="00626D32" w:rsidRDefault="00AF1C48" w:rsidP="006E66CA">
            <w:pPr>
              <w:pStyle w:val="BoxSpaceBelow"/>
            </w:pPr>
          </w:p>
        </w:tc>
      </w:tr>
    </w:tbl>
    <w:p w14:paraId="0F5F69E0" w14:textId="40456C1F" w:rsidR="00DE1537" w:rsidRDefault="00DE1537" w:rsidP="00343F3E">
      <w:pPr>
        <w:pStyle w:val="BodyText"/>
      </w:pPr>
      <w:r>
        <w:t>CGE models can also play a useful role as a complement to CBA to assess the indirect benefits of large investment projects that are likely to have economy</w:t>
      </w:r>
      <w:r>
        <w:noBreakHyphen/>
        <w:t>wide impacts. However, most mitigation projects are unlikely to have economy</w:t>
      </w:r>
      <w:r>
        <w:noBreakHyphen/>
        <w:t>wide impacts. Further, CGE modelling is complex and has a number of limitations. For example, such models typically only represent flows of market</w:t>
      </w:r>
      <w:r>
        <w:noBreakHyphen/>
        <w:t>based goods and do not account for non</w:t>
      </w:r>
      <w:r>
        <w:noBreakHyphen/>
        <w:t xml:space="preserve">market losses such as environmental costs and loss of human life and injury associated with natural disasters. In addition, they often require industry and regional aggregation and stylised representations of industry technologies </w:t>
      </w:r>
      <w:r w:rsidRPr="006B7585">
        <w:rPr>
          <w:szCs w:val="24"/>
        </w:rPr>
        <w:t>(PC 2014)</w:t>
      </w:r>
      <w:r>
        <w:t xml:space="preserve">. As such, CGE modelling is not </w:t>
      </w:r>
      <w:r>
        <w:lastRenderedPageBreak/>
        <w:t xml:space="preserve">suited to assessing individual mitigation projects, particularly those that have highly localised impacts. </w:t>
      </w:r>
    </w:p>
    <w:p w14:paraId="413C719A" w14:textId="64C68B91" w:rsidR="00AF1C48" w:rsidRPr="00725E49" w:rsidRDefault="00DE1537" w:rsidP="00343F3E">
      <w:pPr>
        <w:pStyle w:val="BodyText"/>
      </w:pPr>
      <w:r>
        <w:t>CGE modelling was undertaken to quantify the regional impacts of flooding events in Queensland in 2010, 2011 and 2013. This involved estimating</w:t>
      </w:r>
      <w:r w:rsidRPr="00725E49">
        <w:t xml:space="preserve"> the flow</w:t>
      </w:r>
      <w:r>
        <w:noBreakHyphen/>
      </w:r>
      <w:r w:rsidRPr="00725E49">
        <w:t>on effects from direct economic losses (production and infrastructure losses</w:t>
      </w:r>
      <w:r>
        <w:t>)</w:t>
      </w:r>
      <w:r w:rsidRPr="00725E49">
        <w:t xml:space="preserve"> in the period </w:t>
      </w:r>
      <w:r>
        <w:t>following the disaster events</w:t>
      </w:r>
      <w:r w:rsidRPr="00725E49">
        <w:t xml:space="preserve">, and the estimated impact on real regional gross product relative to a forecast baseline of the regional economy. </w:t>
      </w:r>
      <w:r>
        <w:t>This was used to support policy responses including assessment of the impacts of a specified reconstruction schedule. As noted by the Queensland Government (sub. 95), this approach does not account for non</w:t>
      </w:r>
      <w:r>
        <w:noBreakHyphen/>
        <w:t>market losses and hence does not provide a complete measure of the effect on economic welfare.</w:t>
      </w:r>
    </w:p>
    <w:p w14:paraId="56414189" w14:textId="77777777" w:rsidR="00DE1537" w:rsidRDefault="00DE1537" w:rsidP="00343F3E">
      <w:pPr>
        <w:pStyle w:val="Heading3"/>
      </w:pPr>
      <w:r>
        <w:t>Options to manage uncertainty</w:t>
      </w:r>
    </w:p>
    <w:p w14:paraId="207C0461" w14:textId="77777777" w:rsidR="00DE1537" w:rsidRDefault="00DE1537" w:rsidP="00343F3E">
      <w:pPr>
        <w:pStyle w:val="BodyText"/>
      </w:pPr>
      <w:r>
        <w:t>There are three types of risk to be considered in evaluating the likely effectiveness of mitigation options.</w:t>
      </w:r>
    </w:p>
    <w:p w14:paraId="50C0CE63" w14:textId="77777777" w:rsidR="00DE1537" w:rsidRDefault="00DE1537" w:rsidP="00343F3E">
      <w:pPr>
        <w:pStyle w:val="ListBullet"/>
      </w:pPr>
      <w:r>
        <w:t>Existing risk — risk currently faced by the community, such as exposure to floods.</w:t>
      </w:r>
    </w:p>
    <w:p w14:paraId="0FBA7AF1" w14:textId="77777777" w:rsidR="00DE1537" w:rsidRDefault="00DE1537" w:rsidP="00343F3E">
      <w:pPr>
        <w:pStyle w:val="ListBullet"/>
      </w:pPr>
      <w:r>
        <w:t>Future risk — changes in risk over time, for example, due to future development on floodplains or the impacts of climate change.</w:t>
      </w:r>
    </w:p>
    <w:p w14:paraId="000B3444" w14:textId="2B872848" w:rsidR="00DE1537" w:rsidRDefault="00DE1537" w:rsidP="00343F3E">
      <w:pPr>
        <w:pStyle w:val="ListBullet"/>
      </w:pPr>
      <w:r>
        <w:t xml:space="preserve">Residual risk — the remaining risk after a mitigation option has been implemented, for example, more severe flooding than a levee was planned to mitigate </w:t>
      </w:r>
      <w:r w:rsidRPr="00F22097">
        <w:rPr>
          <w:szCs w:val="24"/>
        </w:rPr>
        <w:t>(BTRE 2002)</w:t>
      </w:r>
      <w:r>
        <w:t>.</w:t>
      </w:r>
    </w:p>
    <w:p w14:paraId="48E0B778" w14:textId="77777777" w:rsidR="00DE1537" w:rsidRDefault="00DE1537" w:rsidP="00343F3E">
      <w:pPr>
        <w:pStyle w:val="BodyText"/>
      </w:pPr>
      <w:r>
        <w:t xml:space="preserve">There is significant uncertainty associated with the impact of mitigation projects on these risks. For example, there is typically uncertainty relating to the timing and strength of hazards, the effectiveness of mitigation measures, future economic and social environments, and the future values of benefits and costs. </w:t>
      </w:r>
    </w:p>
    <w:p w14:paraId="6FEB5B39" w14:textId="77777777" w:rsidR="00DE1537" w:rsidRDefault="00DE1537" w:rsidP="00343F3E">
      <w:pPr>
        <w:pStyle w:val="BodyText"/>
      </w:pPr>
      <w:r>
        <w:t xml:space="preserve">There are several options to deal with such uncertainties in policy analysis (supplementary paper 3). A common approach is to use sensitivity analysis to examine how alternative assumptions or data sources affect BCRs or NPVs. This can help to identify projects that are likely to have net benefits under a range of plausible scenarios. </w:t>
      </w:r>
    </w:p>
    <w:p w14:paraId="33177F03" w14:textId="4F4D90D8" w:rsidR="00DE1537" w:rsidRDefault="00DE1537" w:rsidP="00343F3E">
      <w:pPr>
        <w:pStyle w:val="BodyText"/>
      </w:pPr>
      <w:r>
        <w:t xml:space="preserve">A related but less thorough approach is scenario analysis, which can be used to set out the impacts of policy options under a number of different future scenarios (for example, different climate change impacts or settlement patterns). Where numerous variables are subject to uncertainty, scenario planning can provide a reasonable idea of how changes in the state of the world might influence policy outcomes. Sensitivity analysis and scenario planning can help to identify ‘no regrets’ actions that will have benefits that exceed their costs under any future scenario </w:t>
      </w:r>
      <w:r w:rsidRPr="00861758">
        <w:rPr>
          <w:szCs w:val="24"/>
        </w:rPr>
        <w:t>(PC 2012)</w:t>
      </w:r>
      <w:r>
        <w:t>.</w:t>
      </w:r>
      <w:r w:rsidDel="00D31591">
        <w:t xml:space="preserve"> </w:t>
      </w:r>
    </w:p>
    <w:p w14:paraId="27705FBF" w14:textId="5D7BE685" w:rsidR="00DE1537" w:rsidRDefault="00DE1537" w:rsidP="00343F3E">
      <w:pPr>
        <w:pStyle w:val="BodyText"/>
      </w:pPr>
      <w:r>
        <w:t xml:space="preserve">Flexible approaches in natural disaster mitigation might involve altering the timing of mitigation actions. In some cases, it may be preferable to wait for better information to become available, or until risks reach a particular level before responding </w:t>
      </w:r>
      <w:r w:rsidRPr="00F22097">
        <w:rPr>
          <w:szCs w:val="24"/>
        </w:rPr>
        <w:t>(Fankhauser, Smith and Tol 1999)</w:t>
      </w:r>
      <w:r>
        <w:t xml:space="preserve">. The use of ‘real options’ is such an approach, which involves </w:t>
      </w:r>
      <w:r>
        <w:lastRenderedPageBreak/>
        <w:t>implementing relatively low</w:t>
      </w:r>
      <w:r>
        <w:noBreakHyphen/>
        <w:t>cost strategies or projects that allow for further action to be taken in the future should the need arise. Such an approach is likely to be most useful when the upfront cost of an investment is high but the benefits are uncertain. Potential flexible approaches could include:</w:t>
      </w:r>
    </w:p>
    <w:p w14:paraId="1D15EB12" w14:textId="77777777" w:rsidR="00DE1537" w:rsidRDefault="00DE1537" w:rsidP="00343F3E">
      <w:pPr>
        <w:pStyle w:val="ListBullet"/>
      </w:pPr>
      <w:r>
        <w:t>identifying options that allow for flexible responses as new information emerges (such as setting aside land for building flood levees or other mitigation works, but delaying construction until the risk is better understood)</w:t>
      </w:r>
    </w:p>
    <w:p w14:paraId="6CE7CC5B" w14:textId="77777777" w:rsidR="00DE1537" w:rsidRDefault="00DE1537" w:rsidP="00343F3E">
      <w:pPr>
        <w:pStyle w:val="ListBullet"/>
      </w:pPr>
      <w:proofErr w:type="gramStart"/>
      <w:r>
        <w:t>building</w:t>
      </w:r>
      <w:proofErr w:type="gramEnd"/>
      <w:r>
        <w:t xml:space="preserve"> infrastructure that can be replaced cost effectively after a natural disaster, until (and if) mitigation options become more cost</w:t>
      </w:r>
      <w:r>
        <w:noBreakHyphen/>
        <w:t>effective.</w:t>
      </w:r>
    </w:p>
    <w:p w14:paraId="1397AF74" w14:textId="77777777" w:rsidR="00DE1537" w:rsidRDefault="00DE1537" w:rsidP="00343F3E">
      <w:pPr>
        <w:pStyle w:val="BodyText"/>
      </w:pPr>
      <w:r>
        <w:t>The inherent flexibility of real options can justify some degree of initial precautionary action without incurring the immediate costs of fully financing a deterministic solution. For example, the construction of a wide foundation for a seawall provides the flexibility to use sandbags or build seawalls of a particular height depending on circumstances and future events. A comparatively expensive and inflexible option could be the immediate construction of a ten metre wall, which may be difficult to justify in the long term (Dr Leo Dobes, sub. 1, attachment 1).</w:t>
      </w:r>
    </w:p>
    <w:p w14:paraId="3D32BA4D" w14:textId="77777777" w:rsidR="00DE1537" w:rsidRPr="004539A5" w:rsidRDefault="00DE1537" w:rsidP="00343F3E">
      <w:pPr>
        <w:pStyle w:val="BodyText"/>
      </w:pPr>
      <w:r>
        <w:t>Although governments need to provision for flexible approaches to mitigation, this can be difficult because exercising real options can take many years and reserving funds can mean there are forgone opportunity costs of other policy priorities with significant social benefits. On the other hand, the failure to earmark funds in advance may result in some worthy projects being abandoned in the future (Dr Leo Dobes, sub. 1).</w:t>
      </w:r>
    </w:p>
    <w:p w14:paraId="5E21E88C" w14:textId="270C916C" w:rsidR="00DE1537" w:rsidRDefault="00DE1537" w:rsidP="00343F3E">
      <w:pPr>
        <w:pStyle w:val="BodyText"/>
      </w:pPr>
      <w:r>
        <w:t xml:space="preserve">An example of a real options approach is the Townsville Coastal Hazard Adaptation Strategy pilot project (box 4.6). This involved the assessment of risk management options to </w:t>
      </w:r>
      <w:proofErr w:type="gramStart"/>
      <w:r>
        <w:t>mitigate</w:t>
      </w:r>
      <w:proofErr w:type="gramEnd"/>
      <w:r>
        <w:t xml:space="preserve"> against hazards created by sea</w:t>
      </w:r>
      <w:r>
        <w:noBreakHyphen/>
        <w:t xml:space="preserve">level rise and storm surges. The CBA </w:t>
      </w:r>
      <w:proofErr w:type="gramStart"/>
      <w:r>
        <w:t>methodology used for projects attempts to not only identify</w:t>
      </w:r>
      <w:proofErr w:type="gramEnd"/>
      <w:r>
        <w:t xml:space="preserve"> the NPV of future investment decisions, but also to determine optimum timeframes. This enables communities to continue to make productive use of existing development in hazard areas and only enact an alternative plan once a trigger point has been reached </w:t>
      </w:r>
      <w:r w:rsidRPr="00446229">
        <w:t>(Queensland Government 2012)</w:t>
      </w:r>
      <w:r>
        <w:t>.</w:t>
      </w:r>
    </w:p>
    <w:p w14:paraId="55E33520" w14:textId="77777777" w:rsidR="00DE1537" w:rsidRDefault="00DE1537" w:rsidP="00343F3E">
      <w:pPr>
        <w:pStyle w:val="Heading3"/>
      </w:pPr>
      <w:r>
        <w:t>Hard and soft mitigation</w:t>
      </w:r>
    </w:p>
    <w:p w14:paraId="0879E68B" w14:textId="77777777" w:rsidR="00DE1537" w:rsidRDefault="00DE1537" w:rsidP="00343F3E">
      <w:pPr>
        <w:pStyle w:val="BodyText"/>
      </w:pPr>
      <w:r>
        <w:t>There can often be challenges for decision makers to find the right balance between hard mitigation (such as construction of flood levees and dams, or hardening existing assets), and soft measures that modify behaviour or embed risk into decision making (such as risk awareness campaigns, education, early</w:t>
      </w:r>
      <w:r>
        <w:noBreakHyphen/>
        <w:t>warning systems or land use planning) (section 4.1). Some participants commented on the importance of non</w:t>
      </w:r>
      <w:r>
        <w:noBreakHyphen/>
        <w:t xml:space="preserve">structural and behavioural modification approaches to mitigation. The Regional Australia Institute (sub. 61, p. 13) commented that consideration should be given to types of activities that act as ‘passive yet important tools to mitigate against future disaster risk’, such as urban planning and land use policy. The Tasmanian Government (sub. 115) commented that </w:t>
      </w:r>
      <w:r>
        <w:lastRenderedPageBreak/>
        <w:t xml:space="preserve">mitigation benefits are dependent on the type of hazard and should not focus solely on structural mitigation. </w:t>
      </w:r>
    </w:p>
    <w:p w14:paraId="478E14C6" w14:textId="77777777" w:rsidR="00DE1537" w:rsidRDefault="00DE1537" w:rsidP="00343F3E">
      <w:pPr>
        <w:pStyle w:val="BodyText"/>
      </w:pPr>
      <w:r>
        <w:t>Post</w:t>
      </w:r>
      <w:r>
        <w:noBreakHyphen/>
        <w:t xml:space="preserve">draft submissions further emphasised the importance of soft mitigation, and in particular community education and other preparedness measures. </w:t>
      </w:r>
      <w:proofErr w:type="gramStart"/>
      <w:r>
        <w:t>St John Ambulance (sub.</w:t>
      </w:r>
      <w:proofErr w:type="gramEnd"/>
      <w:r>
        <w:t xml:space="preserve"> DR141) commented that although information communication (such as hazard information provided on rates notices) is an essential part of mitigation, it does not replace the need for comprehensive education programs. </w:t>
      </w:r>
      <w:proofErr w:type="gramStart"/>
      <w:r>
        <w:t>The Australian Psychological Society (sub.</w:t>
      </w:r>
      <w:proofErr w:type="gramEnd"/>
      <w:r>
        <w:t> DR144) advocated for greater emphasis on mitigation activities that aim to improve household and psychological preparedness. This includes helping households to develop effective and relatively simple emergency plans and assisting individuals and communities to ‘skill</w:t>
      </w:r>
      <w:r>
        <w:noBreakHyphen/>
        <w:t>up’ to reduce psychological costs following disasters.</w:t>
      </w:r>
    </w:p>
    <w:p w14:paraId="30BFC533" w14:textId="73E42C86" w:rsidR="00DE1537" w:rsidRDefault="00DE1537" w:rsidP="00343F3E">
      <w:pPr>
        <w:pStyle w:val="BodyText"/>
      </w:pPr>
      <w:r>
        <w:t>Physical or hard approaches to disaster mitigation, such as building infrastructure or retrofitting existing buildings, tend to be more amenable to quantitative CBA. The evaluation of mitigation options</w:t>
      </w:r>
      <w:r w:rsidRPr="006B58EE">
        <w:t xml:space="preserve"> </w:t>
      </w:r>
      <w:r>
        <w:t xml:space="preserve">might be biased </w:t>
      </w:r>
      <w:r w:rsidRPr="006B58EE">
        <w:t xml:space="preserve">towards </w:t>
      </w:r>
      <w:r>
        <w:t>hard mitigation</w:t>
      </w:r>
      <w:r w:rsidRPr="006B58EE">
        <w:t xml:space="preserve"> based on the perception that direct benefits are larger than intangible benefits.</w:t>
      </w:r>
      <w:r>
        <w:t xml:space="preserve"> However, soft approaches may yield larger mitigation benefits where they result in the avoidance of hazard risk. Some studies have pointed out that non</w:t>
      </w:r>
      <w:r>
        <w:noBreakHyphen/>
        <w:t xml:space="preserve">structural or property modification programs for flood mitigation are less expensive and less environmentally intrusive than structural mitigation </w:t>
      </w:r>
      <w:r w:rsidRPr="00A11A4B">
        <w:rPr>
          <w:szCs w:val="24"/>
        </w:rPr>
        <w:t>(BTRE 2002)</w:t>
      </w:r>
      <w:r>
        <w:t xml:space="preserve">. The Tasmanian Government (sub. 115) noted that research by the former Bushfire Cooperative Research Centre suggested that community preparedness campaigns are effective in reducing potential for property losses. </w:t>
      </w:r>
    </w:p>
    <w:p w14:paraId="47FD0421" w14:textId="7BF766C9" w:rsidR="00DE1537" w:rsidRDefault="00DE1537" w:rsidP="00343F3E">
      <w:pPr>
        <w:pStyle w:val="Heading2"/>
      </w:pPr>
      <w:bookmarkStart w:id="63" w:name="_Toc406424332"/>
      <w:r>
        <w:t>4.</w:t>
      </w:r>
      <w:r>
        <w:rPr>
          <w:noProof/>
        </w:rPr>
        <w:t>4</w:t>
      </w:r>
      <w:r>
        <w:tab/>
        <w:t>Institutional and governance arrangements for mitigation decision making</w:t>
      </w:r>
      <w:bookmarkEnd w:id="63"/>
    </w:p>
    <w:p w14:paraId="50942E38" w14:textId="77777777" w:rsidR="00DE1537" w:rsidRDefault="00DE1537" w:rsidP="00343F3E">
      <w:pPr>
        <w:pStyle w:val="BodyText"/>
      </w:pPr>
      <w:r>
        <w:t>Getting institutional and governance arrangements for planning, selecting, implementing and funding mitigation activities right is essential to ensure that the most optimal outcomes are achieved. Good governance arrangements create strong incentives to select projects that are most likely to generate the greatest net benefits to the community. Appropriate institutional settings and planning frameworks are important to prioritise risk treatments across different hazards and to improve the coordination of various options including preparedness measures, physical mitigation and regulation of the built environment.</w:t>
      </w:r>
    </w:p>
    <w:p w14:paraId="5FBDF814" w14:textId="77777777" w:rsidR="00DE1537" w:rsidRPr="00224460" w:rsidRDefault="00DE1537" w:rsidP="00343F3E">
      <w:pPr>
        <w:pStyle w:val="Heading3"/>
      </w:pPr>
      <w:r>
        <w:t>Current arrangements</w:t>
      </w:r>
    </w:p>
    <w:p w14:paraId="15E2FA06" w14:textId="77777777" w:rsidR="00DE1537" w:rsidRDefault="00DE1537" w:rsidP="00343F3E">
      <w:pPr>
        <w:pStyle w:val="BodyText"/>
      </w:pPr>
      <w:r>
        <w:t>Under current natural disaster funding arrangements, there are</w:t>
      </w:r>
      <w:r w:rsidRPr="0012041C">
        <w:t xml:space="preserve"> </w:t>
      </w:r>
      <w:r>
        <w:t>typically s</w:t>
      </w:r>
      <w:r w:rsidRPr="0012041C">
        <w:t>epar</w:t>
      </w:r>
      <w:r>
        <w:t>ate funding allocations and decision</w:t>
      </w:r>
      <w:r>
        <w:noBreakHyphen/>
      </w:r>
      <w:r w:rsidRPr="0012041C">
        <w:t xml:space="preserve">making frameworks </w:t>
      </w:r>
      <w:r>
        <w:t>for mitigation and recovery expenditure at the Australian, state and territory government</w:t>
      </w:r>
      <w:r w:rsidRPr="0012041C">
        <w:t xml:space="preserve"> level</w:t>
      </w:r>
      <w:r>
        <w:t xml:space="preserve">s. </w:t>
      </w:r>
    </w:p>
    <w:p w14:paraId="3F9E7B17" w14:textId="6BF4FC6B" w:rsidR="00DE1537" w:rsidRDefault="00DE1537" w:rsidP="00343F3E">
      <w:pPr>
        <w:pStyle w:val="BodyText"/>
      </w:pPr>
      <w:r>
        <w:t xml:space="preserve">The National Partnership Agreement on Natural Disaster Resilience (NPANDR) is the key funding mechanism through which the Australian Government provides assistance to the </w:t>
      </w:r>
      <w:r>
        <w:lastRenderedPageBreak/>
        <w:t>states and territories</w:t>
      </w:r>
      <w:r w:rsidRPr="0094549F">
        <w:t xml:space="preserve"> </w:t>
      </w:r>
      <w:r>
        <w:t xml:space="preserve">to invest in mitigation and </w:t>
      </w:r>
      <w:r w:rsidRPr="009850AD">
        <w:t>implement the National Strategy for Disaster Resilience</w:t>
      </w:r>
      <w:r>
        <w:t>.</w:t>
      </w:r>
      <w:r w:rsidRPr="009850AD">
        <w:t xml:space="preserve"> </w:t>
      </w:r>
      <w:r>
        <w:t>Under the NPANDR, the Australian Government will provide up to half of the estimated costs of mitigation activities specified in state and territory implementation plans. E</w:t>
      </w:r>
      <w:r w:rsidRPr="00CB41DC">
        <w:t xml:space="preserve">ach jurisdiction’s funding </w:t>
      </w:r>
      <w:r>
        <w:t xml:space="preserve">allocation under the NPANDR </w:t>
      </w:r>
      <w:r w:rsidRPr="00CB41DC">
        <w:t>is capped, based on population, costs of disasters</w:t>
      </w:r>
      <w:r>
        <w:t>,</w:t>
      </w:r>
      <w:r w:rsidRPr="00CB41DC">
        <w:t xml:space="preserve"> relative disadvantage</w:t>
      </w:r>
      <w:r>
        <w:t xml:space="preserve"> and adjusted to provide</w:t>
      </w:r>
      <w:r w:rsidRPr="00CB41DC">
        <w:t xml:space="preserve"> a</w:t>
      </w:r>
      <w:r>
        <w:t>n adequate</w:t>
      </w:r>
      <w:r w:rsidRPr="00CB41DC">
        <w:t xml:space="preserve"> minimum </w:t>
      </w:r>
      <w:r>
        <w:t>level</w:t>
      </w:r>
      <w:r w:rsidRPr="00CB41DC">
        <w:t xml:space="preserve"> </w:t>
      </w:r>
      <w:r>
        <w:t xml:space="preserve">to the territories and Tasmania </w:t>
      </w:r>
      <w:r w:rsidRPr="00B46476">
        <w:rPr>
          <w:szCs w:val="24"/>
        </w:rPr>
        <w:t>(COAG 2009)</w:t>
      </w:r>
      <w:r>
        <w:t>. The states and territories have chosen to administer the majority of this funding through competitive grants schemes. Grants are generally provided to a range of state agencies, local governments, and non</w:t>
      </w:r>
      <w:r>
        <w:noBreakHyphen/>
        <w:t>government organisations in accordance with NPANDR objectives and priorities identified in statewide risk assessments. Australian Government assistance is also provided through the Betterment provisions under the Natural Disaster Relief and Recovery Arrangements (NDRRA) and various other programs (supplementary paper 2).</w:t>
      </w:r>
    </w:p>
    <w:p w14:paraId="3DE50310" w14:textId="77777777" w:rsidR="00DE1537" w:rsidRDefault="00DE1537" w:rsidP="00343F3E">
      <w:pPr>
        <w:pStyle w:val="BodyText"/>
      </w:pPr>
      <w:r>
        <w:t>Responsibility for mitigation often falls across multiple agencies and different levels of government. Mitigation and resilience functions and activities are often governed through state, territory and local government legislation, strategic plans and policies. Most state and territory government mitigation expenditure is undertaken through general infrastructure spending programs</w:t>
      </w:r>
      <w:r w:rsidRPr="00DC4550">
        <w:t xml:space="preserve"> </w:t>
      </w:r>
      <w:r>
        <w:t>without assistance from the Australian Government. These activities may not be identified explicitly as mitigation or funded through mitigation</w:t>
      </w:r>
      <w:r>
        <w:noBreakHyphen/>
        <w:t xml:space="preserve">specific funding programs. As noted by the NSW Government (sub. 103), a substantive amount of work done to mitigate and prepare for natural disasters is undertaken through the normal purpose and business of government agencies, and involves community engagement strategies with funding support through budgetary appropriations. </w:t>
      </w:r>
    </w:p>
    <w:p w14:paraId="15B35142" w14:textId="77777777" w:rsidR="00DE1537" w:rsidRDefault="00DE1537" w:rsidP="00343F3E">
      <w:pPr>
        <w:pStyle w:val="BodyText"/>
      </w:pPr>
      <w:r>
        <w:t>Local governments generally have responsibilities for implementing land use planning, zoning, development and building controls in accordance with relevant state and territory legislation and policies. Local governments also play a significant role in managing a variety of assets and mitigation measures (ALGA, sub. 52).</w:t>
      </w:r>
    </w:p>
    <w:p w14:paraId="1B411FA7" w14:textId="77777777" w:rsidR="00DE1537" w:rsidRDefault="00DE1537" w:rsidP="00343F3E">
      <w:pPr>
        <w:pStyle w:val="BodyText"/>
      </w:pPr>
      <w:r>
        <w:t>Some jurisdictions have established bodies with a more specific role in mitigation. For example, South Australia’s State Emergency Management Arrangements establish a mitigation advisory group. The Government of</w:t>
      </w:r>
      <w:r w:rsidRPr="00575954">
        <w:t xml:space="preserve"> </w:t>
      </w:r>
      <w:r>
        <w:t xml:space="preserve">South Australia (sub. 67) also provides funding for mitigation projects proposed by local governments through bodies including the Stormwater Management Authority and the Coastal Protection Board. </w:t>
      </w:r>
    </w:p>
    <w:p w14:paraId="2C6818DE" w14:textId="77777777" w:rsidR="00DE1537" w:rsidRDefault="00DE1537" w:rsidP="00343F3E">
      <w:pPr>
        <w:pStyle w:val="BodyText"/>
      </w:pPr>
      <w:r>
        <w:t>G</w:t>
      </w:r>
      <w:r w:rsidRPr="001E4A25">
        <w:t xml:space="preserve">overnance arrangements for mitigation funding </w:t>
      </w:r>
      <w:r>
        <w:t xml:space="preserve">differ across </w:t>
      </w:r>
      <w:r w:rsidRPr="001E4A25">
        <w:t xml:space="preserve">countries. </w:t>
      </w:r>
      <w:r>
        <w:t>In most federations, national governments generally</w:t>
      </w:r>
      <w:r w:rsidRPr="001E4A25">
        <w:t xml:space="preserve"> allocate funding to subnational governments through fixed allocations or on a project</w:t>
      </w:r>
      <w:r>
        <w:noBreakHyphen/>
      </w:r>
      <w:r w:rsidRPr="001E4A25">
        <w:t>by</w:t>
      </w:r>
      <w:r>
        <w:noBreakHyphen/>
      </w:r>
      <w:r w:rsidRPr="001E4A25">
        <w:t xml:space="preserve">project </w:t>
      </w:r>
      <w:r>
        <w:t>basis. Nationa</w:t>
      </w:r>
      <w:r w:rsidRPr="001E4A25">
        <w:t>l governments</w:t>
      </w:r>
      <w:r>
        <w:t xml:space="preserve"> generally</w:t>
      </w:r>
      <w:r w:rsidRPr="001E4A25">
        <w:t xml:space="preserve"> impose requirements on state or local governments as a condition of funding mitigation. For example, in the United States, Canada and New Zealand, subnational governments are typically required to demonstrate that mitigation projects have net benefits or align with national mitigation strategies to be eligible for national government</w:t>
      </w:r>
      <w:r>
        <w:t xml:space="preserve"> funding</w:t>
      </w:r>
      <w:r w:rsidRPr="001E4A25">
        <w:t xml:space="preserve">. National governments often provide guidance for doing this, although subnational governments </w:t>
      </w:r>
      <w:r w:rsidRPr="001E4A25">
        <w:lastRenderedPageBreak/>
        <w:t>have varying levels of autonomy in how they select, assess and prioritise mitigation options</w:t>
      </w:r>
      <w:r>
        <w:t xml:space="preserve"> (supplementary paper 8)</w:t>
      </w:r>
      <w:r w:rsidRPr="001E4A25">
        <w:t>.</w:t>
      </w:r>
    </w:p>
    <w:p w14:paraId="308ED644" w14:textId="77777777" w:rsidR="00DE1537" w:rsidRDefault="00DE1537" w:rsidP="00343F3E">
      <w:pPr>
        <w:pStyle w:val="Heading4"/>
      </w:pPr>
      <w:r>
        <w:t>Top</w:t>
      </w:r>
      <w:r>
        <w:noBreakHyphen/>
        <w:t>down and bottom</w:t>
      </w:r>
      <w:r>
        <w:noBreakHyphen/>
        <w:t xml:space="preserve">up approaches to mitigation </w:t>
      </w:r>
    </w:p>
    <w:p w14:paraId="72BEAB78" w14:textId="77777777" w:rsidR="00DE1537" w:rsidRDefault="00DE1537" w:rsidP="00343F3E">
      <w:pPr>
        <w:pStyle w:val="BodyText"/>
      </w:pPr>
      <w:r>
        <w:t>Inquiry participants suggested both ‘top</w:t>
      </w:r>
      <w:r>
        <w:noBreakHyphen/>
        <w:t>down’ and ‘bottom</w:t>
      </w:r>
      <w:r>
        <w:noBreakHyphen/>
        <w:t>up’ approaches to decision</w:t>
      </w:r>
      <w:r>
        <w:noBreakHyphen/>
        <w:t>making and funding arrangements for mitigation. Other participants endorsed a partnership approach with the Australian Government to invest in mitigation initiatives (for example, Rockhampton City Council (Qld), sub. 68; Victorian Government, sub. 113).</w:t>
      </w:r>
    </w:p>
    <w:p w14:paraId="17C50059" w14:textId="77777777" w:rsidR="00DE1537" w:rsidRDefault="00DE1537" w:rsidP="00343F3E">
      <w:pPr>
        <w:pStyle w:val="BodyText"/>
      </w:pPr>
      <w:r>
        <w:t>Many considered that mitigation should be community led and reflect local circumstances (for example, the Australian national, state and territory Councils of Social Service, sub. </w:t>
      </w:r>
      <w:proofErr w:type="gramStart"/>
      <w:r>
        <w:t>DR197; ALGA, sub.</w:t>
      </w:r>
      <w:proofErr w:type="gramEnd"/>
      <w:r>
        <w:t> </w:t>
      </w:r>
      <w:proofErr w:type="gramStart"/>
      <w:r>
        <w:t>52; Blue Mountains City Council (NSW), sub.</w:t>
      </w:r>
      <w:proofErr w:type="gramEnd"/>
      <w:r>
        <w:t xml:space="preserve"> 28). Dr Leo </w:t>
      </w:r>
      <w:r w:rsidRPr="001A7005">
        <w:t>Dobes (sub.</w:t>
      </w:r>
      <w:r>
        <w:t> </w:t>
      </w:r>
      <w:r w:rsidRPr="001A7005">
        <w:t>1</w:t>
      </w:r>
      <w:r>
        <w:t>,</w:t>
      </w:r>
      <w:r w:rsidRPr="001A7005">
        <w:t xml:space="preserve"> attach</w:t>
      </w:r>
      <w:r>
        <w:t>ment </w:t>
      </w:r>
      <w:r w:rsidRPr="001A7005">
        <w:t xml:space="preserve">1) </w:t>
      </w:r>
      <w:r>
        <w:t>commented that there are a large number of variables that contribute to the uncertainty of expected climate change impacts, many of which are unobservable to planners. Given this, it is unlikely that top</w:t>
      </w:r>
      <w:r>
        <w:noBreakHyphen/>
        <w:t>down programs will deliver efficient outcomes, despite the best intentions of governments and the scientific community</w:t>
      </w:r>
      <w:r w:rsidRPr="00557691">
        <w:t>.</w:t>
      </w:r>
      <w:r>
        <w:t xml:space="preserve"> </w:t>
      </w:r>
    </w:p>
    <w:p w14:paraId="7BAB236E" w14:textId="77777777" w:rsidR="00DE1537" w:rsidRDefault="00DE1537" w:rsidP="00343F3E">
      <w:pPr>
        <w:pStyle w:val="BodyText"/>
      </w:pPr>
      <w:r>
        <w:t>Some evidence on the impacts of disaster mitigation supports a top</w:t>
      </w:r>
      <w:r>
        <w:noBreakHyphen/>
        <w:t xml:space="preserve">down approach to prioritising options which enables investment to be highly targeted to those areas where the greatest net benefit can be achieved. A study undertaken by the Department of Environment and the CSIRO (sub. 72) assessed current and future risks </w:t>
      </w:r>
      <w:r w:rsidRPr="00AA3DEA">
        <w:t xml:space="preserve">to residential housing stock from different natural disasters, and </w:t>
      </w:r>
      <w:r>
        <w:t>the damages avoided from a series of</w:t>
      </w:r>
      <w:r w:rsidRPr="00AA3DEA">
        <w:t xml:space="preserve"> mitigation</w:t>
      </w:r>
      <w:r>
        <w:t xml:space="preserve"> measures</w:t>
      </w:r>
      <w:r w:rsidRPr="00AA3DEA">
        <w:t xml:space="preserve">. </w:t>
      </w:r>
      <w:r>
        <w:t xml:space="preserve">The study showed that in all cases the majority of benefits from mitigation came from a small number of statistical divisions. This suggests there would be benefit in undertaking more targeted studies to identify what specific measures should be taken in these critical areas to guide potential investment. </w:t>
      </w:r>
    </w:p>
    <w:p w14:paraId="6F7B2FA4" w14:textId="77777777" w:rsidR="00DE1537" w:rsidRDefault="00DE1537" w:rsidP="00343F3E">
      <w:pPr>
        <w:pStyle w:val="BodyText"/>
      </w:pPr>
      <w:r>
        <w:t>A number of participants suggested that mitigation should be more strategic at the Australian, state and territory government levels and supported with national decision</w:t>
      </w:r>
      <w:r>
        <w:noBreakHyphen/>
        <w:t xml:space="preserve">making frameworks and improved data sharing and information across jurisdictions. For example, the National Sea Change Taskforce (sub. 18) proposed a coordinated, collaborative national approach to natural disaster mitigation, resilience and recovery through COAG, and an intergovernmental agreement defining roles and responsibilities of each level of government. The </w:t>
      </w:r>
      <w:r w:rsidRPr="0038461C">
        <w:t>Australian Business Roundtable for Disaster Resilience and Safer Communities (sub.</w:t>
      </w:r>
      <w:r>
        <w:t> </w:t>
      </w:r>
      <w:r w:rsidRPr="0038461C">
        <w:t>22)</w:t>
      </w:r>
      <w:r>
        <w:t xml:space="preserve"> recommended that </w:t>
      </w:r>
      <w:r w:rsidRPr="0038461C">
        <w:t>a National Resilience Advisor</w:t>
      </w:r>
      <w:r>
        <w:t xml:space="preserve"> be appointed </w:t>
      </w:r>
      <w:r w:rsidRPr="00FD11DB">
        <w:t>to coordinate</w:t>
      </w:r>
      <w:r>
        <w:t xml:space="preserve"> </w:t>
      </w:r>
      <w:r w:rsidRPr="00FD11DB">
        <w:t>mitigati</w:t>
      </w:r>
      <w:r>
        <w:t xml:space="preserve">on activities </w:t>
      </w:r>
      <w:r w:rsidRPr="0038461C">
        <w:t>across all level</w:t>
      </w:r>
      <w:r>
        <w:t>s</w:t>
      </w:r>
      <w:r w:rsidRPr="0038461C">
        <w:t xml:space="preserve"> of government, businesses</w:t>
      </w:r>
      <w:r>
        <w:t xml:space="preserve"> </w:t>
      </w:r>
      <w:r w:rsidRPr="0038461C">
        <w:t>and the community</w:t>
      </w:r>
      <w:r>
        <w:t>. In addition, it recommended that governments commit to a long</w:t>
      </w:r>
      <w:r>
        <w:noBreakHyphen/>
        <w:t>term consolidated fund for pre</w:t>
      </w:r>
      <w:r>
        <w:noBreakHyphen/>
        <w:t xml:space="preserve">disaster resilience and mitigation activities. It also proposed that local activities can be supported through data sharing and information gathering facilitated by an organisation at the national level. </w:t>
      </w:r>
      <w:proofErr w:type="gramStart"/>
      <w:r>
        <w:t>The Wentworth Group of Concerned Scientists (sub.</w:t>
      </w:r>
      <w:proofErr w:type="gramEnd"/>
      <w:r>
        <w:t xml:space="preserve"> DR192) argued that there is a key role for the Australian Government in supporting extreme event science and communicating this </w:t>
      </w:r>
      <w:r>
        <w:lastRenderedPageBreak/>
        <w:t xml:space="preserve">information to state and local governments to help facilitate better land use planning, advice to insurers and other mitigation actions. </w:t>
      </w:r>
    </w:p>
    <w:p w14:paraId="63DF8A02" w14:textId="77777777" w:rsidR="00DE1537" w:rsidRDefault="00DE1537" w:rsidP="00343F3E">
      <w:pPr>
        <w:pStyle w:val="BodyText"/>
      </w:pPr>
      <w:r>
        <w:t>Some local governments argued that a more coordinated approach is needed at the state level to provide guidance on resilience objectives. The Municipal Association of Victoria (sub. 98, p. 28) submitted that:</w:t>
      </w:r>
    </w:p>
    <w:p w14:paraId="11BE4A11" w14:textId="77777777" w:rsidR="00DE1537" w:rsidRPr="00AC02EC" w:rsidRDefault="00DE1537" w:rsidP="00343F3E">
      <w:pPr>
        <w:pStyle w:val="Quote"/>
      </w:pPr>
      <w:r>
        <w:t>The MAV is not aware of any evaluation of projects at the state or national levels. As a member of the Victorian grant allocation panel the MAV has some awareness of the projects funded through the program and can take proactive steps to facilitate sharing of outcomes throughout the sector, but there is no formal process for ensuring lessons or innovation are shared.</w:t>
      </w:r>
    </w:p>
    <w:p w14:paraId="4C2C31C3" w14:textId="77777777" w:rsidR="00DE1537" w:rsidRDefault="00DE1537" w:rsidP="00343F3E">
      <w:pPr>
        <w:pStyle w:val="BodyText"/>
      </w:pPr>
      <w:r>
        <w:t>The Government of South Australia (sub. 67) suggested both a top</w:t>
      </w:r>
      <w:r>
        <w:noBreakHyphen/>
        <w:t>down and bottom</w:t>
      </w:r>
      <w:r>
        <w:noBreakHyphen/>
        <w:t xml:space="preserve">up approach to investment in mitigation and resilience measures. A </w:t>
      </w:r>
      <w:r w:rsidRPr="005E5F95">
        <w:t>top</w:t>
      </w:r>
      <w:r w:rsidRPr="005E5F95">
        <w:softHyphen/>
      </w:r>
      <w:r>
        <w:softHyphen/>
      </w:r>
      <w:r>
        <w:noBreakHyphen/>
      </w:r>
      <w:r w:rsidRPr="005E5F95">
        <w:t>down</w:t>
      </w:r>
      <w:r>
        <w:t xml:space="preserve"> approach was proposed for some national and state disaster risk management programs, including the Emergency Risk Mitigation Scheme for priority risk treatments identified in state hazard plans. Other programs, including the National Disaster Resilience Grants Program, would be promoted as competitive funds for bottom</w:t>
      </w:r>
      <w:r>
        <w:noBreakHyphen/>
        <w:t>up initiatives that result from state and territory risk assessments and also from proposals by non</w:t>
      </w:r>
      <w:r>
        <w:noBreakHyphen/>
        <w:t>government, community and volunteer organisations.</w:t>
      </w:r>
    </w:p>
    <w:p w14:paraId="567DD989" w14:textId="77777777" w:rsidR="00DE1537" w:rsidRPr="00AC02EC" w:rsidRDefault="00DE1537" w:rsidP="00343F3E">
      <w:pPr>
        <w:pStyle w:val="BodyText"/>
        <w:rPr>
          <w:sz w:val="22"/>
        </w:rPr>
      </w:pPr>
      <w:r>
        <w:t>There are several initiatives in place to facilitate a top</w:t>
      </w:r>
      <w:r>
        <w:noBreakHyphen/>
        <w:t xml:space="preserve">down approach to prioritising mitigation. For example, in 2012, jurisdictions implemented the </w:t>
      </w:r>
      <w:r w:rsidRPr="00FB4DBC">
        <w:rPr>
          <w:i/>
        </w:rPr>
        <w:t>Enhancing Disaster Resilience in the Built Environment</w:t>
      </w:r>
      <w:r>
        <w:t xml:space="preserve"> project, which was overseen by the Australia–New Zealand Emergency Management Committee. This </w:t>
      </w:r>
      <w:r>
        <w:rPr>
          <w:rStyle w:val="s16"/>
        </w:rPr>
        <w:t>involved a review of existing land use planning, building and emergency management legislation, a gap analysis of current arrangements, and the production of a ‘roadmap’ document identifying priorities for future improvement.</w:t>
      </w:r>
      <w:r>
        <w:t xml:space="preserve"> The Australian, state and territory governments are currently developing capability and investment plans to implement this roadmap</w:t>
      </w:r>
      <w:r w:rsidRPr="001B53F0">
        <w:t xml:space="preserve"> </w:t>
      </w:r>
      <w:r>
        <w:t xml:space="preserve">(supplementary paper 6). The Northern Territory Government (sub. 117) commented that this will provide an important mechanism for prioritising natural disaster mitigation options in relation to the built environment. </w:t>
      </w:r>
    </w:p>
    <w:p w14:paraId="350F327D" w14:textId="77777777" w:rsidR="00DE1537" w:rsidRDefault="00DE1537">
      <w:pPr>
        <w:pStyle w:val="Heading4"/>
      </w:pPr>
      <w:r>
        <w:t>Betterment funding</w:t>
      </w:r>
    </w:p>
    <w:p w14:paraId="2310B775" w14:textId="77777777" w:rsidR="00DE1537" w:rsidRDefault="00DE1537" w:rsidP="00343F3E">
      <w:pPr>
        <w:pStyle w:val="BodyText"/>
        <w:tabs>
          <w:tab w:val="left" w:pos="3544"/>
        </w:tabs>
      </w:pPr>
      <w:r>
        <w:t>The allocation of Betterment funding is guided by past disaster events since it applies only to pre</w:t>
      </w:r>
      <w:r>
        <w:noBreakHyphen/>
        <w:t>existing assets. The Betterment provision in the NDRRA allows reimbursement of a portion of the costs to restore an essential public asset damaged by an eligible disaster event to a more disaster</w:t>
      </w:r>
      <w:r>
        <w:noBreakHyphen/>
        <w:t>resilient state. Betterment can potentially reduce the scale of damage to government</w:t>
      </w:r>
      <w:r>
        <w:noBreakHyphen/>
        <w:t>owned assets resulting from future disasters.</w:t>
      </w:r>
    </w:p>
    <w:p w14:paraId="535AD95F" w14:textId="77777777" w:rsidR="00DE1537" w:rsidRDefault="00DE1537" w:rsidP="00343F3E">
      <w:pPr>
        <w:pStyle w:val="BodyText"/>
        <w:tabs>
          <w:tab w:val="left" w:pos="3544"/>
        </w:tabs>
      </w:pPr>
      <w:proofErr w:type="gramStart"/>
      <w:r>
        <w:t>To date, only one project has been approved, with a value of $780 000 (Attorney</w:t>
      </w:r>
      <w:r>
        <w:noBreakHyphen/>
        <w:t>General’s Department, sub. 90).</w:t>
      </w:r>
      <w:proofErr w:type="gramEnd"/>
      <w:r>
        <w:t xml:space="preserve"> A number of participants considered the current Betterment provisions do not provide incentives to rebuild in a resilient manner (ABRDRSC, sub. 22; AGRI, sub. 39; Department of Finance, sub. 92; DIRD, sub. 99; FNQROC, sub. 36; NSW Government, sub. 114; Queensland Government, sub. 31; Sunshine Coast Council (Qld) </w:t>
      </w:r>
      <w:r>
        <w:lastRenderedPageBreak/>
        <w:t>sub. 112, Victorian Government, sub. 113). There are several explanations for the limited uptake of Betterment funding.</w:t>
      </w:r>
    </w:p>
    <w:p w14:paraId="5F51F17E" w14:textId="77777777" w:rsidR="00DE1537" w:rsidRDefault="00DE1537" w:rsidP="00343F3E">
      <w:pPr>
        <w:pStyle w:val="ListBullet"/>
      </w:pPr>
      <w:r>
        <w:t>There is no</w:t>
      </w:r>
      <w:r w:rsidRPr="00931044">
        <w:t xml:space="preserve"> budget allocation by the Australian Government</w:t>
      </w:r>
      <w:r>
        <w:t xml:space="preserve"> for Betterment activities, which</w:t>
      </w:r>
      <w:r w:rsidRPr="00931044">
        <w:t xml:space="preserve"> means that Betterment must be funded by offsetting savings elsewhere</w:t>
      </w:r>
      <w:r>
        <w:t>.</w:t>
      </w:r>
      <w:r w:rsidRPr="00931044">
        <w:t xml:space="preserve"> </w:t>
      </w:r>
    </w:p>
    <w:p w14:paraId="65AA62C3" w14:textId="77777777" w:rsidR="00DE1537" w:rsidRDefault="00DE1537" w:rsidP="00343F3E">
      <w:pPr>
        <w:pStyle w:val="ListBullet"/>
      </w:pPr>
      <w:r>
        <w:t>The Australian Government contributes a lower proportion of the cost of Betterment works than it does for rebuilding assets to their pre</w:t>
      </w:r>
      <w:r>
        <w:noBreakHyphen/>
        <w:t xml:space="preserve">disaster standard. The Department of Infrastructure and Regional Development (sub. 99) commented that, in practice, reduced reimbursement for Betterment works and the ready availability of funds from an external source for rebuilding, act as a disincentive to use restoration works to improve the resilience of an asset. </w:t>
      </w:r>
      <w:r w:rsidRPr="00C841D2">
        <w:t>Similarly, the Department of Fi</w:t>
      </w:r>
      <w:r>
        <w:t>nance (sub. </w:t>
      </w:r>
      <w:r w:rsidRPr="00C841D2">
        <w:t xml:space="preserve">92) commented that the current arrangements create a strong incentive to undertake restoration activities, even if the </w:t>
      </w:r>
      <w:r>
        <w:t>better long</w:t>
      </w:r>
      <w:r>
        <w:noBreakHyphen/>
      </w:r>
      <w:r w:rsidRPr="00C841D2">
        <w:t>term alternative option is expenditure on more disaster</w:t>
      </w:r>
      <w:r>
        <w:noBreakHyphen/>
        <w:t>resilient assets</w:t>
      </w:r>
      <w:r w:rsidRPr="00C841D2">
        <w:t xml:space="preserve"> which attracts a lower level of </w:t>
      </w:r>
      <w:r>
        <w:t>Australian Government</w:t>
      </w:r>
      <w:r w:rsidRPr="00C841D2">
        <w:t xml:space="preserve"> contribution.</w:t>
      </w:r>
    </w:p>
    <w:p w14:paraId="549BB392" w14:textId="77777777" w:rsidR="00DE1537" w:rsidRDefault="00DE1537" w:rsidP="00343F3E">
      <w:pPr>
        <w:pStyle w:val="ListBullet"/>
      </w:pPr>
      <w:r>
        <w:t>Betterment funding</w:t>
      </w:r>
      <w:r w:rsidRPr="00282F46">
        <w:t xml:space="preserve"> is only </w:t>
      </w:r>
      <w:r>
        <w:t>available</w:t>
      </w:r>
      <w:r w:rsidRPr="00282F46">
        <w:t xml:space="preserve"> if the </w:t>
      </w:r>
      <w:r>
        <w:t>Australian Government</w:t>
      </w:r>
      <w:r w:rsidRPr="00282F46">
        <w:t xml:space="preserve"> is satisfied with the cost</w:t>
      </w:r>
      <w:r>
        <w:t xml:space="preserve"> effectiveness of the proposal and that increased disaster resilience of the asset will mitigate the impact of future natural disasters. This means that the administrative burden is higher than that required to rebuild to the pre</w:t>
      </w:r>
      <w:r>
        <w:noBreakHyphen/>
        <w:t xml:space="preserve">disaster standard. </w:t>
      </w:r>
    </w:p>
    <w:p w14:paraId="7444D4FB" w14:textId="77777777" w:rsidR="00DE1537" w:rsidRDefault="00DE1537" w:rsidP="00343F3E">
      <w:pPr>
        <w:pStyle w:val="ListBullet"/>
      </w:pPr>
      <w:r>
        <w:t>There appears to be considerable confusion over what constitutes Betterment as distinct from the restoration or reconstruction to a pre</w:t>
      </w:r>
      <w:r>
        <w:noBreakHyphen/>
        <w:t>disaster standard. In some cases, the application of current engineering standards for the restoration of public assets will result in a higher standard than that which existed pre</w:t>
      </w:r>
      <w:r>
        <w:noBreakHyphen/>
        <w:t>disaster (IPWEA, sub. 30). The Sunshine Coast Council (Qld) (sub. 112) commented on a lack of clarity on agreed Betterment engineering standards and expertise available under the NDRRA to support the approval of engineering standards developed at the council level. Several participants supported greater clarity and guidance to improve the application of consistent current engineering standards (supplementary paper 6).</w:t>
      </w:r>
    </w:p>
    <w:p w14:paraId="0FABA56F" w14:textId="77777777" w:rsidR="00DE1537" w:rsidRDefault="00DE1537" w:rsidP="00343F3E">
      <w:pPr>
        <w:pStyle w:val="ListBullet"/>
      </w:pPr>
      <w:r>
        <w:t>Communities have high expectations that essential public assets will be restored quickly following natural disasters. This creates disincentives for governments to undertake Betterment actions that involve longer timeframes.</w:t>
      </w:r>
    </w:p>
    <w:p w14:paraId="46F65DBA" w14:textId="77777777" w:rsidR="00DE1537" w:rsidRDefault="00DE1537" w:rsidP="00343F3E">
      <w:pPr>
        <w:pStyle w:val="BodyText"/>
      </w:pPr>
      <w:r>
        <w:t>Overall, the Betterment provisions of the NDRRA are</w:t>
      </w:r>
      <w:r w:rsidRPr="00212B4B">
        <w:t xml:space="preserve"> poorly understood and rarely used. </w:t>
      </w:r>
      <w:r w:rsidRPr="00931044">
        <w:t>The lack of a specific funding allocation and the lower level of funding compared to the funding that is available for restoration to the pre</w:t>
      </w:r>
      <w:r>
        <w:noBreakHyphen/>
      </w:r>
      <w:r w:rsidRPr="00931044">
        <w:t>disaster standard are significant impediments to its use.</w:t>
      </w:r>
    </w:p>
    <w:p w14:paraId="0A44E5D9" w14:textId="787824ED" w:rsidR="00DE1537" w:rsidRDefault="00DE1537" w:rsidP="00343F3E">
      <w:pPr>
        <w:pStyle w:val="BodyText"/>
      </w:pPr>
      <w:r>
        <w:t xml:space="preserve">Partly in response to these challenges, special arrangements for betterment funding have been adopted in Queensland. The Queensland Betterment Fund, jointly funded by the Australian and Queensland Governments, was established to provide a streamlined process for local government authorities to seek funding for </w:t>
      </w:r>
      <w:r w:rsidR="00F701D4">
        <w:t xml:space="preserve">betterment projects (box 4.7). </w:t>
      </w:r>
    </w:p>
    <w:p w14:paraId="1032700E"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6DAC910" w14:textId="77777777" w:rsidTr="00343F3E">
        <w:tc>
          <w:tcPr>
            <w:tcW w:w="8771" w:type="dxa"/>
            <w:tcBorders>
              <w:top w:val="single" w:sz="6" w:space="0" w:color="78A22F"/>
              <w:left w:val="nil"/>
              <w:bottom w:val="nil"/>
              <w:right w:val="nil"/>
            </w:tcBorders>
            <w:shd w:val="clear" w:color="auto" w:fill="F2F2F2" w:themeFill="background1" w:themeFillShade="F2"/>
          </w:tcPr>
          <w:p w14:paraId="7A0181BA" w14:textId="2DC5D1D0" w:rsidR="00DE1537" w:rsidRDefault="00DE1537">
            <w:pPr>
              <w:pStyle w:val="BoxTitle"/>
            </w:pPr>
            <w:r>
              <w:rPr>
                <w:b w:val="0"/>
              </w:rPr>
              <w:t>Box 4.</w:t>
            </w:r>
            <w:r>
              <w:rPr>
                <w:b w:val="0"/>
                <w:noProof/>
              </w:rPr>
              <w:t>7</w:t>
            </w:r>
            <w:r>
              <w:tab/>
              <w:t>Queensland Betterment Fund</w:t>
            </w:r>
          </w:p>
        </w:tc>
      </w:tr>
      <w:tr w:rsidR="00DE1537" w14:paraId="34424B31" w14:textId="77777777" w:rsidTr="00343F3E">
        <w:trPr>
          <w:cantSplit/>
        </w:trPr>
        <w:tc>
          <w:tcPr>
            <w:tcW w:w="8771" w:type="dxa"/>
            <w:tcBorders>
              <w:top w:val="nil"/>
              <w:left w:val="nil"/>
              <w:bottom w:val="nil"/>
              <w:right w:val="nil"/>
            </w:tcBorders>
            <w:shd w:val="clear" w:color="auto" w:fill="F2F2F2" w:themeFill="background1" w:themeFillShade="F2"/>
          </w:tcPr>
          <w:p w14:paraId="32603478" w14:textId="77777777" w:rsidR="00DE1537" w:rsidRDefault="00DE1537" w:rsidP="00343F3E">
            <w:pPr>
              <w:pStyle w:val="Box"/>
            </w:pPr>
            <w:r>
              <w:t>Following the natural disaster events of January 2013 (Tropical Cyclone Oswald and associated flooding), the Australian and Queensland Governments signed a National Partnership Agreement which recognised the need for betterment to be a more streamlined process. The Queensland Government initially sought a contribution of $100 million from the Australian Government, to be matched by the State, for a $200 million fund to undertake betterment projects for assets damaged by the 2013 natural disasters. The Australian Government approved funding of $40 million provided under category D of the National Disaster Relief and Recovery Arrangements (NDRRA) which was then subsequently matched by the State to create the current $80 million fund.</w:t>
            </w:r>
          </w:p>
          <w:p w14:paraId="2FC9A847" w14:textId="77777777" w:rsidR="00DE1537" w:rsidRDefault="00DE1537" w:rsidP="00343F3E">
            <w:pPr>
              <w:pStyle w:val="Box"/>
            </w:pPr>
            <w:r>
              <w:t>The fund has been managed by the Queensland Reconstruction Authority. Local governments seeking funding are required to prepare submissions which are assessed by the authority for completeness, eligibility and value for money. This includes analysis of financial and non</w:t>
            </w:r>
            <w:r>
              <w:noBreakHyphen/>
              <w:t xml:space="preserve">financial benefits of the proposal such as prior damage, loss of utility and impacts on the economic and social wellbeing of the community. </w:t>
            </w:r>
          </w:p>
          <w:p w14:paraId="6649669C" w14:textId="77777777" w:rsidR="00DE1537" w:rsidRDefault="00DE1537" w:rsidP="00343F3E">
            <w:pPr>
              <w:pStyle w:val="Box"/>
            </w:pPr>
            <w:r>
              <w:t>Governance arrangements for the fund are outlined in the Betterment Framework. Ministerial approval is required for the marginal increase in costs associated with increasing the resilience of the asset and not the total costs of the project (including restoration). This includes two thresholds for approvals:</w:t>
            </w:r>
          </w:p>
          <w:p w14:paraId="28F25F11" w14:textId="77777777" w:rsidR="00DE1537" w:rsidRDefault="00DE1537" w:rsidP="00343F3E">
            <w:pPr>
              <w:pStyle w:val="BoxListBullet"/>
              <w:rPr>
                <w:caps/>
                <w:spacing w:val="-4"/>
              </w:rPr>
            </w:pPr>
            <w:r>
              <w:t>The Queensland Minister for Local Government, Community Recovery and Resilience can approve projects with costs up to $2 million. Approved projects can be selected for review by the Australian Government Reconstruction Inspectorate.</w:t>
            </w:r>
          </w:p>
          <w:p w14:paraId="7535D455" w14:textId="77777777" w:rsidR="00DE1537" w:rsidRDefault="00DE1537" w:rsidP="00343F3E">
            <w:pPr>
              <w:pStyle w:val="BoxListBullet"/>
              <w:rPr>
                <w:caps/>
                <w:spacing w:val="-4"/>
              </w:rPr>
            </w:pPr>
            <w:r>
              <w:t>Any additional resilience cost above the $2 million contribution would require approval of the State Cabinet Budget Review Committee in conjunction with the Australian Government.</w:t>
            </w:r>
          </w:p>
          <w:p w14:paraId="2D1FB3D2" w14:textId="77777777" w:rsidR="00DE1537" w:rsidRPr="000F3137" w:rsidRDefault="00DE1537" w:rsidP="00343F3E">
            <w:pPr>
              <w:pStyle w:val="Box"/>
            </w:pPr>
            <w:r>
              <w:t>Following</w:t>
            </w:r>
            <w:r w:rsidRPr="00CB41DC">
              <w:t xml:space="preserve"> announcement of the betterment fund, local gover</w:t>
            </w:r>
            <w:r>
              <w:t>nments submitted more than 1400 </w:t>
            </w:r>
            <w:r w:rsidRPr="00CB41DC">
              <w:t xml:space="preserve">project proposals with an estimated total value of over $1 billion. </w:t>
            </w:r>
            <w:r>
              <w:t xml:space="preserve">The majority of the fund has now been allocated to </w:t>
            </w:r>
            <w:proofErr w:type="gramStart"/>
            <w:r>
              <w:t>approved</w:t>
            </w:r>
            <w:proofErr w:type="gramEnd"/>
            <w:r>
              <w:t xml:space="preserve"> projects that include a betterment component. The majority of these projects are for improvements to roads, culverts/floodways and bridges</w:t>
            </w:r>
            <w:r w:rsidRPr="00CB41DC">
              <w:t>.</w:t>
            </w:r>
            <w:r>
              <w:t xml:space="preserve"> As at November 2014, there were 222 approved projects with an estimated total cost of approximately $157 million. This included $78.9 million in betterment funding, with the balance funded through Category B NDRRA funding and council contributions of almost $12 million. The average cost of approved projects is approximately $2.4 million and the median cost is $1.9 million. There is a considerably large range in the cost of individual projects.</w:t>
            </w:r>
          </w:p>
        </w:tc>
      </w:tr>
      <w:tr w:rsidR="00DE1537" w14:paraId="5F2FF51E" w14:textId="77777777" w:rsidTr="00343F3E">
        <w:trPr>
          <w:cantSplit/>
        </w:trPr>
        <w:tc>
          <w:tcPr>
            <w:tcW w:w="8771" w:type="dxa"/>
            <w:tcBorders>
              <w:top w:val="nil"/>
              <w:left w:val="nil"/>
              <w:bottom w:val="nil"/>
              <w:right w:val="nil"/>
            </w:tcBorders>
            <w:shd w:val="clear" w:color="auto" w:fill="F2F2F2" w:themeFill="background1" w:themeFillShade="F2"/>
          </w:tcPr>
          <w:p w14:paraId="6E4B70B6" w14:textId="28C38CAD" w:rsidR="00DE1537" w:rsidRPr="007F3998" w:rsidRDefault="00DE1537" w:rsidP="00343F3E">
            <w:pPr>
              <w:pStyle w:val="BoxSource"/>
            </w:pPr>
            <w:r>
              <w:rPr>
                <w:i/>
              </w:rPr>
              <w:t>Sources</w:t>
            </w:r>
            <w:r w:rsidRPr="00167F06">
              <w:t>:</w:t>
            </w:r>
            <w:r>
              <w:t xml:space="preserve"> DIRD (sub. 99); QRA </w:t>
            </w:r>
            <w:r w:rsidR="007C5656" w:rsidRPr="007C5656">
              <w:rPr>
                <w:rFonts w:cs="Arial"/>
              </w:rPr>
              <w:t>(2014b, 2014c)</w:t>
            </w:r>
            <w:r>
              <w:t>; Queensland Government (sub. 31, attachment 3; sub. 95).</w:t>
            </w:r>
          </w:p>
        </w:tc>
      </w:tr>
      <w:tr w:rsidR="00DE1537" w14:paraId="7821BEE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DDB7B9B" w14:textId="77777777" w:rsidR="00DE1537" w:rsidRDefault="00DE1537">
            <w:pPr>
              <w:pStyle w:val="Box"/>
              <w:spacing w:before="0" w:line="120" w:lineRule="exact"/>
            </w:pPr>
          </w:p>
        </w:tc>
      </w:tr>
      <w:tr w:rsidR="00DE1537" w:rsidRPr="000863A5" w14:paraId="5F164004" w14:textId="77777777" w:rsidTr="00343F3E">
        <w:tc>
          <w:tcPr>
            <w:tcW w:w="8771" w:type="dxa"/>
            <w:tcBorders>
              <w:top w:val="single" w:sz="6" w:space="0" w:color="78A22F"/>
              <w:left w:val="nil"/>
              <w:bottom w:val="nil"/>
              <w:right w:val="nil"/>
            </w:tcBorders>
          </w:tcPr>
          <w:p w14:paraId="41A481D9" w14:textId="77777777" w:rsidR="00DE1537" w:rsidRPr="00626D32" w:rsidRDefault="00DE1537" w:rsidP="00343F3E">
            <w:pPr>
              <w:pStyle w:val="BoxSpaceBelow"/>
            </w:pPr>
          </w:p>
        </w:tc>
      </w:tr>
    </w:tbl>
    <w:p w14:paraId="744AD709" w14:textId="77777777" w:rsidR="00F701D4" w:rsidRDefault="00F701D4" w:rsidP="00F701D4">
      <w:pPr>
        <w:pStyle w:val="BodyText"/>
      </w:pPr>
      <w:r w:rsidRPr="00F0129D">
        <w:t xml:space="preserve">The Queensland Government </w:t>
      </w:r>
      <w:r>
        <w:t>(sub. 31) submitted</w:t>
      </w:r>
      <w:r w:rsidRPr="00F0129D">
        <w:t xml:space="preserve"> that </w:t>
      </w:r>
      <w:r>
        <w:t>its</w:t>
      </w:r>
      <w:r w:rsidRPr="00F0129D">
        <w:t xml:space="preserve"> Betterment </w:t>
      </w:r>
      <w:r>
        <w:t>F</w:t>
      </w:r>
      <w:r w:rsidRPr="00F0129D">
        <w:t>ramework offers advantages in terms of the timeliness of assessment processes and allows local governments to factor betterment works into their reconstruction schedule and begin works as soon as possible</w:t>
      </w:r>
      <w:r>
        <w:t xml:space="preserve">. </w:t>
      </w:r>
      <w:r w:rsidRPr="00F0129D">
        <w:t>Further, it proposed an extension of the Bett</w:t>
      </w:r>
      <w:r>
        <w:t>erment Fund to state government</w:t>
      </w:r>
      <w:r>
        <w:noBreakHyphen/>
      </w:r>
      <w:r w:rsidRPr="00F0129D">
        <w:t>owned road assets and high</w:t>
      </w:r>
      <w:r>
        <w:noBreakHyphen/>
      </w:r>
      <w:r w:rsidRPr="00F0129D">
        <w:t>risk, high</w:t>
      </w:r>
      <w:r>
        <w:noBreakHyphen/>
      </w:r>
      <w:r w:rsidRPr="00F0129D">
        <w:t xml:space="preserve">cost assets subject to </w:t>
      </w:r>
      <w:r>
        <w:t xml:space="preserve">repeated </w:t>
      </w:r>
      <w:r w:rsidRPr="00F0129D">
        <w:t xml:space="preserve">damage from NDRRA </w:t>
      </w:r>
      <w:r>
        <w:t xml:space="preserve">eligible </w:t>
      </w:r>
      <w:r w:rsidRPr="00F0129D">
        <w:t xml:space="preserve">events. </w:t>
      </w:r>
      <w:r>
        <w:t>The Department of Infrastructure and Regional Development (sub. 99) submitted that the Betterment Fund was effective in encouraging co</w:t>
      </w:r>
      <w:r>
        <w:noBreakHyphen/>
        <w:t xml:space="preserve">contributions from local governments and capitalising on opportunities to combine restoration works with betterment costs. </w:t>
      </w:r>
    </w:p>
    <w:p w14:paraId="76285E71" w14:textId="77777777" w:rsidR="00F701D4" w:rsidRDefault="00F701D4" w:rsidP="00F701D4">
      <w:pPr>
        <w:pStyle w:val="BodyText"/>
      </w:pPr>
      <w:r>
        <w:lastRenderedPageBreak/>
        <w:t xml:space="preserve">The experience with the Queensland Betterment Fund demonstrates that the allocation of specific funds for betterment purposes provides significant impetus for local governments to increase the resilience of damaged assets. Indeed, the fund was oversubscribed — the value of project applications seeking funding ($1.2 billion) far outweighed the amount available. </w:t>
      </w:r>
    </w:p>
    <w:p w14:paraId="73A2BFA7" w14:textId="77777777" w:rsidR="00DE1537" w:rsidRDefault="00DE1537" w:rsidP="00343F3E">
      <w:pPr>
        <w:pStyle w:val="BodyText"/>
      </w:pPr>
      <w:r>
        <w:t>The use of such a fund requires sound governance and decision</w:t>
      </w:r>
      <w:r>
        <w:noBreakHyphen/>
        <w:t>making processes to assess competing claims for resources. Although the Queensland Reconstruction Authority assessed applications for funding, ultimately project approval was subject to ministerial approval.</w:t>
      </w:r>
      <w:r w:rsidRPr="00340997">
        <w:rPr>
          <w:rStyle w:val="FootnoteReference"/>
        </w:rPr>
        <w:footnoteReference w:id="13"/>
      </w:r>
      <w:r>
        <w:t xml:space="preserve"> While there is some information on assessment criteria, it is not clear how these were used to rank and select competing betterment projects. The Commission considers that public disclosure of the eligibility criteria and outcomes for allocation of betterment funding are important to ensure transparency and the accountability of the decision</w:t>
      </w:r>
      <w:r>
        <w:noBreakHyphen/>
        <w:t xml:space="preserve">making process. </w:t>
      </w:r>
    </w:p>
    <w:p w14:paraId="459F6094" w14:textId="77777777" w:rsidR="00DE1537" w:rsidRDefault="00DE1537" w:rsidP="00343F3E">
      <w:pPr>
        <w:pStyle w:val="BodyText"/>
      </w:pPr>
      <w:r>
        <w:t xml:space="preserve">If specific betterment funds similar to the Queensland Betterment Fund are used more extensively by state and territory governments, they should adopt transparent and robust institutional and governance arrangements for project selection, including transparent selection criteria, publication of submissions and decisions, and relative merit assessment and prioritisation based on CBA. </w:t>
      </w:r>
      <w:r w:rsidRPr="00A0260B">
        <w:t>Assessments regarding whether to invest in betterment should be made on a case</w:t>
      </w:r>
      <w:r>
        <w:noBreakHyphen/>
      </w:r>
      <w:r w:rsidRPr="00A0260B">
        <w:t>by</w:t>
      </w:r>
      <w:r>
        <w:noBreakHyphen/>
      </w:r>
      <w:r w:rsidRPr="00A0260B">
        <w:t>case basis where net benefits can be demonstrated and the investment is supported through a jurisdiction’s long</w:t>
      </w:r>
      <w:r>
        <w:noBreakHyphen/>
      </w:r>
      <w:r w:rsidRPr="00A0260B">
        <w:t>term asset management plan</w:t>
      </w:r>
      <w:r>
        <w:t xml:space="preserve"> (discussed below)</w:t>
      </w:r>
      <w:r w:rsidRPr="00A0260B">
        <w:t>.</w:t>
      </w:r>
    </w:p>
    <w:p w14:paraId="0E48F1CC" w14:textId="77777777" w:rsidR="00DE1537" w:rsidRPr="00224460" w:rsidRDefault="00DE1537" w:rsidP="00343F3E">
      <w:pPr>
        <w:pStyle w:val="Heading3"/>
      </w:pPr>
      <w:r>
        <w:t xml:space="preserve">Assessing alternative institutional models </w:t>
      </w:r>
    </w:p>
    <w:p w14:paraId="1F70E565" w14:textId="77777777" w:rsidR="00DE1537" w:rsidRDefault="00DE1537" w:rsidP="00343F3E">
      <w:pPr>
        <w:pStyle w:val="BodyText"/>
      </w:pPr>
      <w:r>
        <w:t>There are several governance and institutional options for identifying, prioritising and funding mitigation activities. A strong argument has been made by inquiry participants to better integrate recovery and mitigation efforts, and to better coordinate mitigation activities.</w:t>
      </w:r>
      <w:r w:rsidRPr="00B07534">
        <w:t xml:space="preserve"> </w:t>
      </w:r>
      <w:r>
        <w:t xml:space="preserve">Some participants suggested that existing agencies should be given more explicit responsibility for mitigation. For example, the Rockhampton Regional Council (Qld) (sub. 68) suggested extending the scope of the Queensland Reconstruction Authority’s functions from recovery and reconstruction to include natural disaster risk management and mitigation. </w:t>
      </w:r>
    </w:p>
    <w:p w14:paraId="491D15B4" w14:textId="77777777" w:rsidR="00DE1537" w:rsidRDefault="00DE1537" w:rsidP="00343F3E">
      <w:pPr>
        <w:pStyle w:val="BodyText"/>
      </w:pPr>
      <w:r>
        <w:t>Others suggested that mitigation programs should be more closely integrated with other infrastructure programs, rather than treated as independent activities. The Insurance Council of Australia (sub. 57) submitted that mitigation infrastructure should be managed by bodies that have responsibility and expertise in managing large</w:t>
      </w:r>
      <w:r>
        <w:noBreakHyphen/>
        <w:t xml:space="preserve">scale infrastructure </w:t>
      </w:r>
      <w:r>
        <w:lastRenderedPageBreak/>
        <w:t xml:space="preserve">projects, which provides opportunities to integrate mitigation objectives in the assessment of proposals for other types of infrastructure. </w:t>
      </w:r>
      <w:r w:rsidRPr="007C76EE">
        <w:t xml:space="preserve">The Department of Infrastructure and Regional Development </w:t>
      </w:r>
      <w:r w:rsidRPr="00671DCA">
        <w:t>(sub.</w:t>
      </w:r>
      <w:r w:rsidRPr="006F48EB">
        <w:t> 99, p. 11) argued that ‘the parameters for disaster recovery funding should encourage its expenditure to more closely align with the government’s broader infrastructure investment agenda’.</w:t>
      </w:r>
    </w:p>
    <w:p w14:paraId="7BD67533" w14:textId="77777777" w:rsidR="00DE1537" w:rsidRDefault="00DE1537" w:rsidP="00343F3E">
      <w:pPr>
        <w:pStyle w:val="BodyText"/>
      </w:pPr>
      <w:r w:rsidRPr="005804D1">
        <w:t xml:space="preserve">As a general principle, mitigation objectives and priorities should be </w:t>
      </w:r>
      <w:r w:rsidRPr="000C7CFD">
        <w:t>considered</w:t>
      </w:r>
      <w:r w:rsidRPr="005804D1">
        <w:t xml:space="preserve"> as part of the usual business of government, including as part of general infrastructure plann</w:t>
      </w:r>
      <w:r w:rsidRPr="000C691E">
        <w:t>ing and project approval processes.</w:t>
      </w:r>
      <w:r>
        <w:t xml:space="preserve"> To do this, state, territory and local governments need to have detailed asset registers and asset management plans consistent with their long</w:t>
      </w:r>
      <w:r>
        <w:noBreakHyphen/>
        <w:t xml:space="preserve">term financial plans. Natural disaster risk mitigation objectives should be embedded into aspects of asset management decisions, including the acquisition, operation and maintenance of assets. Maintenance plans can be used to define the level and frequency of maintenance and technical specifications required for upgrading assets to improve resilience to future natural disasters. </w:t>
      </w:r>
      <w:r w:rsidRPr="00AC02EC">
        <w:t xml:space="preserve">Asset registers should provide an estimate of the current replacement value </w:t>
      </w:r>
      <w:r>
        <w:t xml:space="preserve">of assets </w:t>
      </w:r>
      <w:r w:rsidRPr="00AC02EC">
        <w:t xml:space="preserve">and be subject to regular independent audit. </w:t>
      </w:r>
      <w:r>
        <w:t>Having this information will enable state, territory and local governments to make more efficient decisions about reconstruction, betterment or abandonment of assets if they are damaged by a natural disaster.</w:t>
      </w:r>
    </w:p>
    <w:p w14:paraId="6D5B2B6C" w14:textId="77777777" w:rsidR="00DE1537" w:rsidRDefault="00DE1537" w:rsidP="00343F3E">
      <w:pPr>
        <w:pStyle w:val="BodyText"/>
      </w:pPr>
      <w:r>
        <w:t>Although arguments are made for both top</w:t>
      </w:r>
      <w:r>
        <w:noBreakHyphen/>
        <w:t>down and bottom</w:t>
      </w:r>
      <w:r>
        <w:noBreakHyphen/>
        <w:t xml:space="preserve">up approaches to mitigation, both can be appropriate given the type and scale of the hazard and should not be considered as mutually exclusive. Local governments and communities play a key role in identifying and implementing mitigation options. However, the effects of natural hazards often extend over jurisdictional boundaries. Measures that are specific to an individual local government may not be the optimal approach to mitigating some disaster risks. For example, controls on development in hazard prone areas that pertain only to land within a local government area will not reduce the impacts of some types of natural disasters that occur over a much broader region. As noted by the Municipal Association of Victoria (sub. 98), local governments are geographically limited in their exercise of their constitutional powers, although they can and do sometimes engage and cooperate with neighbouring municipalities. </w:t>
      </w:r>
    </w:p>
    <w:p w14:paraId="5D9DBEDA" w14:textId="77777777" w:rsidR="00DE1537" w:rsidRDefault="00DE1537" w:rsidP="00343F3E">
      <w:pPr>
        <w:pStyle w:val="BodyText"/>
      </w:pPr>
      <w:r>
        <w:t>Therefore, some level of coordination is required at a regional, or state or territory, level. It is also important that this is based on robust decision</w:t>
      </w:r>
      <w:r>
        <w:noBreakHyphen/>
        <w:t xml:space="preserve">making frameworks that incorporate CBA to determine the best way to allocate limited funding. In this respect, the states and territories are generally best placed to </w:t>
      </w:r>
      <w:r w:rsidRPr="00FD11DB">
        <w:t>coo</w:t>
      </w:r>
      <w:r>
        <w:t>rdinate, identify and prioritise</w:t>
      </w:r>
      <w:r w:rsidRPr="00FD11DB">
        <w:t xml:space="preserve"> mitigation activities</w:t>
      </w:r>
      <w:r>
        <w:t xml:space="preserve"> in their jurisdictions on the basis that they have constitutional responsibility for most service delivery (local governments are essentially an extension of state governments) and currently oversee or manage most natural disaster mitigation programs. Furthermore, the states have legislative power over complementary tools to assist mitigation such as land use planning, and have a greater capacity than the Australian Government to engage with local government and understand the conditions and needs of local communities. </w:t>
      </w:r>
    </w:p>
    <w:p w14:paraId="07AF8B56" w14:textId="77777777" w:rsidR="00DE1537" w:rsidRDefault="00DE1537" w:rsidP="00343F3E">
      <w:pPr>
        <w:pStyle w:val="BodyText"/>
      </w:pPr>
      <w:proofErr w:type="gramStart"/>
      <w:r>
        <w:lastRenderedPageBreak/>
        <w:t>The Independent Pricing and Regulatory Tribunal (sub.</w:t>
      </w:r>
      <w:proofErr w:type="gramEnd"/>
      <w:r>
        <w:t> DR159) supported this view based on their observations about the capacity and capability of smaller local governments to undertake cost</w:t>
      </w:r>
      <w:r>
        <w:noBreakHyphen/>
        <w:t>benefit analysis. The Australian Government Reconstruction Inspectorate (trans., Brisbane, p. 113) also supported the principle of subsidiarity.</w:t>
      </w:r>
    </w:p>
    <w:p w14:paraId="7481296C" w14:textId="77777777" w:rsidR="00DE1537" w:rsidRPr="00D17BFD" w:rsidRDefault="00DE1537" w:rsidP="00343F3E">
      <w:pPr>
        <w:pStyle w:val="Quote"/>
      </w:pPr>
      <w:r>
        <w:t>… [A]</w:t>
      </w:r>
      <w:proofErr w:type="gramStart"/>
      <w:r w:rsidRPr="00083E68">
        <w:t>ny</w:t>
      </w:r>
      <w:proofErr w:type="gramEnd"/>
      <w:r w:rsidRPr="00083E68">
        <w:t xml:space="preserve"> recommended model should allow responsible jurisdictions to make decisions about resource application in that timely way. It’s very difficult to make that from Canberra when you’ve got a shire up in Cook or something like that. There are peculiarities to the local situation and the more we separate the </w:t>
      </w:r>
      <w:proofErr w:type="gramStart"/>
      <w:r w:rsidRPr="00083E68">
        <w:t>people</w:t>
      </w:r>
      <w:proofErr w:type="gramEnd"/>
      <w:r w:rsidRPr="00083E68">
        <w:t xml:space="preserve"> who’ve got the capacity and the best insight to make those activities, the more we diminish the timeliness and the responsive best</w:t>
      </w:r>
      <w:r>
        <w:noBreakHyphen/>
      </w:r>
      <w:r w:rsidRPr="00083E68">
        <w:t>value solutions that can be achieved.</w:t>
      </w:r>
      <w:r>
        <w:t xml:space="preserve"> </w:t>
      </w:r>
    </w:p>
    <w:p w14:paraId="1A1F0381" w14:textId="77777777" w:rsidR="00DE1537" w:rsidRDefault="00DE1537">
      <w:pPr>
        <w:pStyle w:val="BodyText"/>
      </w:pPr>
      <w:r>
        <w:t>The</w:t>
      </w:r>
      <w:r w:rsidRPr="003142F9">
        <w:t xml:space="preserve"> </w:t>
      </w:r>
      <w:r>
        <w:t>Australian Government</w:t>
      </w:r>
      <w:r w:rsidRPr="003142F9">
        <w:t xml:space="preserve"> can support </w:t>
      </w:r>
      <w:r>
        <w:t>mitigation activities undertaken by other levels of government</w:t>
      </w:r>
      <w:r w:rsidRPr="003142F9">
        <w:t xml:space="preserve"> through the prov</w:t>
      </w:r>
      <w:r>
        <w:t xml:space="preserve">ision of </w:t>
      </w:r>
      <w:r w:rsidRPr="003142F9">
        <w:t>information</w:t>
      </w:r>
      <w:r>
        <w:t xml:space="preserve"> at the national level</w:t>
      </w:r>
      <w:r w:rsidRPr="003142F9">
        <w:t xml:space="preserve"> and by assisting </w:t>
      </w:r>
      <w:r>
        <w:t>in the development of</w:t>
      </w:r>
      <w:r w:rsidRPr="003142F9">
        <w:t xml:space="preserve"> </w:t>
      </w:r>
      <w:r w:rsidRPr="00560446">
        <w:t>decision</w:t>
      </w:r>
      <w:r>
        <w:noBreakHyphen/>
      </w:r>
      <w:r w:rsidRPr="00560446">
        <w:t xml:space="preserve">making frameworks and tools to </w:t>
      </w:r>
      <w:r>
        <w:t xml:space="preserve">assess </w:t>
      </w:r>
      <w:r w:rsidRPr="00560446">
        <w:t xml:space="preserve">mitigation </w:t>
      </w:r>
      <w:r>
        <w:t>investments</w:t>
      </w:r>
      <w:r w:rsidRPr="00560446">
        <w:t>.</w:t>
      </w:r>
      <w:r>
        <w:t xml:space="preserve"> </w:t>
      </w:r>
    </w:p>
    <w:p w14:paraId="32D63BAA" w14:textId="77777777" w:rsidR="00DE1537" w:rsidRDefault="00DE1537">
      <w:pPr>
        <w:pStyle w:val="BodyText"/>
      </w:pPr>
      <w:r>
        <w:t>The Australian Government also has an incentive to increase its own expenditure on mitigation, as recommended in chapter 3, to potentially reduce its fiscal exposure from natural disaster relief and recovery costs. Where the Australian Government considers that particular mitigation investments are required to manage a material fiscal risk or exceptional natural disaster risk, it could allocate funds for these projects through the usual budget process and with appropriate co</w:t>
      </w:r>
      <w:r>
        <w:noBreakHyphen/>
        <w:t>contributions from state and local governments.</w:t>
      </w:r>
    </w:p>
    <w:p w14:paraId="5FBBAD64" w14:textId="77777777" w:rsidR="00DE1537" w:rsidRPr="00D636CE" w:rsidRDefault="00DE1537">
      <w:pPr>
        <w:pStyle w:val="BodyText"/>
      </w:pPr>
      <w:r>
        <w:t>There is merit in the Australian Government providing additional mitigation funding to the states and territories to reduce the overall future economic costs of natural disasters (subject to the aforementioned assessment). Additional mitigation would also assist with the reduction in post</w:t>
      </w:r>
      <w:r>
        <w:noBreakHyphen/>
        <w:t>disaster support and manage the Australian Government’s fiscal risk exposure. Increased funding should be conditional on matched funding contributions from the states and territories, and robust and transparent</w:t>
      </w:r>
      <w:r w:rsidRPr="00AC02EC">
        <w:t xml:space="preserve"> institutional and governance arrangements </w:t>
      </w:r>
      <w:r>
        <w:t>for identifying and selecting mitigation projects. </w:t>
      </w:r>
      <w:r w:rsidRPr="00D636CE">
        <w:t xml:space="preserve">This would include: </w:t>
      </w:r>
    </w:p>
    <w:p w14:paraId="3DF7BDDB" w14:textId="77777777" w:rsidR="00DE1537" w:rsidRDefault="00DE1537" w:rsidP="00343F3E">
      <w:pPr>
        <w:pStyle w:val="ListBullet"/>
      </w:pPr>
      <w:r>
        <w:t>asset management plans that incorporate natural disaster risk mitigation objectives, consistent with long</w:t>
      </w:r>
      <w:r>
        <w:noBreakHyphen/>
        <w:t>term financial plans</w:t>
      </w:r>
    </w:p>
    <w:p w14:paraId="643B3CF1" w14:textId="77777777" w:rsidR="00DE1537" w:rsidRDefault="00DE1537" w:rsidP="00343F3E">
      <w:pPr>
        <w:pStyle w:val="ListBullet"/>
      </w:pPr>
      <w:r>
        <w:t>effective processes for identifying, prioritising and coordinating mitigation projects at the state and territory level</w:t>
      </w:r>
    </w:p>
    <w:p w14:paraId="4F9DE734" w14:textId="77777777" w:rsidR="00DE1537" w:rsidRPr="003C5C6E" w:rsidRDefault="00DE1537">
      <w:pPr>
        <w:pStyle w:val="ListBullet"/>
      </w:pPr>
      <w:r>
        <w:t xml:space="preserve">project </w:t>
      </w:r>
      <w:r w:rsidRPr="000C4103">
        <w:t xml:space="preserve">proposals </w:t>
      </w:r>
      <w:r>
        <w:t xml:space="preserve">(including those proposed by state, territory and local governments) </w:t>
      </w:r>
      <w:r w:rsidRPr="000C4103">
        <w:t xml:space="preserve">supported with robust and transparent evaluations (including </w:t>
      </w:r>
      <w:r>
        <w:t>CBA</w:t>
      </w:r>
      <w:r w:rsidRPr="000C4103">
        <w:t xml:space="preserve"> and assessment of non</w:t>
      </w:r>
      <w:r>
        <w:noBreakHyphen/>
      </w:r>
      <w:r w:rsidRPr="000C4103">
        <w:t xml:space="preserve">quantifiable impacts), subject to public consultation and public disclosure of </w:t>
      </w:r>
      <w:r>
        <w:t xml:space="preserve">analysis and </w:t>
      </w:r>
      <w:r w:rsidRPr="000C4103">
        <w:t>decisions</w:t>
      </w:r>
    </w:p>
    <w:p w14:paraId="77BBA72E" w14:textId="77777777" w:rsidR="00DE1537" w:rsidRPr="003C5C6E" w:rsidRDefault="00DE1537">
      <w:pPr>
        <w:pStyle w:val="ListBullet"/>
      </w:pPr>
      <w:r w:rsidRPr="000C4103">
        <w:t>consideratio</w:t>
      </w:r>
      <w:r>
        <w:t xml:space="preserve">n being </w:t>
      </w:r>
      <w:r w:rsidRPr="000C4103">
        <w:t>given to alternative or complementary mitigation options (including both structural and non</w:t>
      </w:r>
      <w:r>
        <w:noBreakHyphen/>
      </w:r>
      <w:r w:rsidRPr="000C4103">
        <w:t>structural measures)</w:t>
      </w:r>
    </w:p>
    <w:p w14:paraId="75098220" w14:textId="77777777" w:rsidR="00DE1537" w:rsidRPr="003C5C6E" w:rsidRDefault="00DE1537" w:rsidP="00343F3E">
      <w:pPr>
        <w:pStyle w:val="ListBullet"/>
      </w:pPr>
      <w:r w:rsidRPr="000C4103">
        <w:t>use of private funding sources where it is feasible and efficient to do so (including charging beneficiaries)</w:t>
      </w:r>
    </w:p>
    <w:p w14:paraId="08D1ED8E" w14:textId="77777777" w:rsidR="00DE1537" w:rsidRDefault="00DE1537" w:rsidP="00343F3E">
      <w:pPr>
        <w:pStyle w:val="ListBullet"/>
      </w:pPr>
      <w:proofErr w:type="gramStart"/>
      <w:r w:rsidRPr="000C4103">
        <w:t>transparent</w:t>
      </w:r>
      <w:proofErr w:type="gramEnd"/>
      <w:r w:rsidRPr="000C4103">
        <w:t xml:space="preserve"> ex</w:t>
      </w:r>
      <w:r>
        <w:noBreakHyphen/>
      </w:r>
      <w:r w:rsidRPr="000C4103">
        <w:t>post evaluations of mitigation projects</w:t>
      </w:r>
      <w:r>
        <w:t>.</w:t>
      </w:r>
    </w:p>
    <w:p w14:paraId="789311A9" w14:textId="77777777" w:rsidR="00DE1537" w:rsidRPr="003C5C6E" w:rsidRDefault="00DE1537" w:rsidP="00343F3E">
      <w:pPr>
        <w:pStyle w:val="BodyText"/>
      </w:pPr>
      <w:r>
        <w:lastRenderedPageBreak/>
        <w:t>State, territory and local governments can also partner with insurers to share information and to help identify mitigation options and private funding options (including through reduced insurance premiums (section 4.5))</w:t>
      </w:r>
      <w:r w:rsidRPr="000C4103">
        <w:t xml:space="preserve">. </w:t>
      </w:r>
    </w:p>
    <w:p w14:paraId="3D197FA0" w14:textId="77777777" w:rsidR="00DE1537" w:rsidRDefault="00DE1537" w:rsidP="00343F3E">
      <w:pPr>
        <w:pStyle w:val="BodyText"/>
      </w:pPr>
      <w:r>
        <w:t xml:space="preserve">Local governments should be supported by their state or territory government where required to improve their capabilities to adopt asset management planning frameworks that incorporate natural disaster risk, and to undertake robust CBA to support project proposals. </w:t>
      </w:r>
    </w:p>
    <w:p w14:paraId="1641E0F0" w14:textId="77777777" w:rsidR="00DE1537" w:rsidRDefault="00DE1537" w:rsidP="00343F3E">
      <w:pPr>
        <w:pStyle w:val="Heading3"/>
      </w:pPr>
      <w:r>
        <w:t>Allocation of Australian Government mitigation funding</w:t>
      </w:r>
    </w:p>
    <w:p w14:paraId="785F196C" w14:textId="77777777" w:rsidR="00DE1537" w:rsidRDefault="00DE1537" w:rsidP="00343F3E">
      <w:pPr>
        <w:pStyle w:val="BodyText"/>
      </w:pPr>
      <w:r>
        <w:t>In the draft report, the Commission recommended that the Australian Government increase the funding it provides to states and territories for mitigation, and that this funding be distributed among the states and territories on a per</w:t>
      </w:r>
      <w:r>
        <w:noBreakHyphen/>
        <w:t>capita basis. Project selection and distribution of funds within states would be based on risk assessment and cost</w:t>
      </w:r>
      <w:r>
        <w:noBreakHyphen/>
        <w:t>benefit analysis. The proposed approach to distribution was based on a number of factors, including that:</w:t>
      </w:r>
    </w:p>
    <w:p w14:paraId="735F33F3" w14:textId="77777777" w:rsidR="00DE1537" w:rsidRDefault="00DE1537" w:rsidP="00343F3E">
      <w:pPr>
        <w:pStyle w:val="ListBullet"/>
      </w:pPr>
      <w:r>
        <w:t>trends in past insurance losses from natural disasters over the last four decades have been not too dissimilar from a per</w:t>
      </w:r>
      <w:r>
        <w:noBreakHyphen/>
        <w:t>capita distribution</w:t>
      </w:r>
    </w:p>
    <w:p w14:paraId="2658EAE3" w14:textId="77777777" w:rsidR="00DE1537" w:rsidRDefault="00DE1537" w:rsidP="00343F3E">
      <w:pPr>
        <w:pStyle w:val="ListBullet"/>
      </w:pPr>
      <w:r>
        <w:t xml:space="preserve">the main driver of natural disaster costs is the exposure and vulnerability of communities, which is largely a function of population </w:t>
      </w:r>
    </w:p>
    <w:p w14:paraId="3C37D8D0" w14:textId="77777777" w:rsidR="00DE1537" w:rsidRDefault="00DE1537" w:rsidP="00343F3E">
      <w:pPr>
        <w:pStyle w:val="ListBullet"/>
      </w:pPr>
      <w:proofErr w:type="gramStart"/>
      <w:r>
        <w:t>per</w:t>
      </w:r>
      <w:proofErr w:type="gramEnd"/>
      <w:r>
        <w:t xml:space="preserve"> capita is the basis for distributing most other government transfers.</w:t>
      </w:r>
    </w:p>
    <w:p w14:paraId="45856EF1" w14:textId="77777777" w:rsidR="00DE1537" w:rsidRDefault="00DE1537" w:rsidP="00343F3E">
      <w:pPr>
        <w:pStyle w:val="BodyText"/>
      </w:pPr>
      <w:r>
        <w:t>Although there was broad support for increased mitigation funding from the Australian Government, the majority of participants argued for this funding to be distributed based on risk levels, rather than on a per</w:t>
      </w:r>
      <w:r>
        <w:noBreakHyphen/>
        <w:t>capita basis (box 4.8).</w:t>
      </w:r>
    </w:p>
    <w:p w14:paraId="68FC38D8" w14:textId="1B3D3D4D" w:rsidR="00DE1537" w:rsidRDefault="00DE1537" w:rsidP="00343F3E">
      <w:pPr>
        <w:pStyle w:val="BodyText"/>
      </w:pPr>
      <w:r w:rsidRPr="005E48AE">
        <w:t xml:space="preserve">The objective of the increased mitigation funding is to decrease the future economic costs of natural disasters in Australia as opposed to simply reducing the Australian Government’s budget exposure. At least in principle, the ideal approach for distribution of mitigation funding among jurisdictions would be based on comparable risk assessments that take into account levels of hazard risk, potential economic costs of natural disasters, and the net benefits of mitigation options. </w:t>
      </w:r>
    </w:p>
    <w:p w14:paraId="2F1DAF7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FF2406C" w14:textId="77777777" w:rsidTr="00343F3E">
        <w:tc>
          <w:tcPr>
            <w:tcW w:w="8771" w:type="dxa"/>
            <w:tcBorders>
              <w:top w:val="single" w:sz="6" w:space="0" w:color="78A22F"/>
              <w:left w:val="nil"/>
              <w:bottom w:val="nil"/>
              <w:right w:val="nil"/>
            </w:tcBorders>
            <w:shd w:val="clear" w:color="auto" w:fill="F2F2F2"/>
          </w:tcPr>
          <w:p w14:paraId="20E1C293" w14:textId="4B443351" w:rsidR="00DE1537" w:rsidRDefault="00DE1537" w:rsidP="00343F3E">
            <w:pPr>
              <w:pStyle w:val="BoxTitle"/>
            </w:pPr>
            <w:r>
              <w:rPr>
                <w:b w:val="0"/>
              </w:rPr>
              <w:t>Box 4.</w:t>
            </w:r>
            <w:r>
              <w:rPr>
                <w:b w:val="0"/>
                <w:noProof/>
              </w:rPr>
              <w:t>8</w:t>
            </w:r>
            <w:r>
              <w:tab/>
              <w:t>Participant views on allocating mitigation funding</w:t>
            </w:r>
          </w:p>
        </w:tc>
      </w:tr>
      <w:tr w:rsidR="00DE1537" w14:paraId="690E5BF9" w14:textId="77777777" w:rsidTr="00343F3E">
        <w:trPr>
          <w:cantSplit/>
        </w:trPr>
        <w:tc>
          <w:tcPr>
            <w:tcW w:w="8771" w:type="dxa"/>
            <w:tcBorders>
              <w:top w:val="nil"/>
              <w:left w:val="nil"/>
              <w:bottom w:val="nil"/>
              <w:right w:val="nil"/>
            </w:tcBorders>
            <w:shd w:val="clear" w:color="auto" w:fill="F2F2F2"/>
          </w:tcPr>
          <w:p w14:paraId="5B9E197E" w14:textId="77777777" w:rsidR="00DE1537" w:rsidRDefault="00DE1537" w:rsidP="00343F3E">
            <w:pPr>
              <w:pStyle w:val="BoxQuote"/>
            </w:pPr>
            <w:r>
              <w:t>The Queensland Government also considers that Commonwealth annual mitigation expenditure should be allocated to states or projects according to their relative risk profiles rather than on a per capita basis … These funds should be allocated based on national levels of risk rather than population, in order to appropriately and effectively target the most exposed and vulnerable communities and assets nation</w:t>
            </w:r>
            <w:r>
              <w:noBreakHyphen/>
              <w:t xml:space="preserve">wide. (Queensland Government, sub. DR184, p. 18) </w:t>
            </w:r>
          </w:p>
          <w:p w14:paraId="5B44E1B2" w14:textId="77777777" w:rsidR="00DE1537" w:rsidRDefault="00DE1537" w:rsidP="00343F3E">
            <w:pPr>
              <w:pStyle w:val="BoxQuote"/>
            </w:pPr>
            <w:r w:rsidRPr="002E4A02">
              <w:t>The Tasmanian Government does not support the proposal to distribute future mitigation funds to jurisdictions on a per capita basis. The allocation of any future mitigation funds should be on a risk basis in accordance with the curr</w:t>
            </w:r>
            <w:r>
              <w:t>ent formula used for the National</w:t>
            </w:r>
            <w:r w:rsidRPr="002E4A02">
              <w:t xml:space="preserve"> Partnership Agreement on Natural Disaster Resilience. </w:t>
            </w:r>
            <w:r>
              <w:t xml:space="preserve">This formula recognises that there are many factors that affect risk other than population, such as climate, geography and the environment. (Tasmanian Government, sub. DR223, </w:t>
            </w:r>
            <w:r w:rsidRPr="002E4A02">
              <w:t>p.</w:t>
            </w:r>
            <w:r>
              <w:t> </w:t>
            </w:r>
            <w:r w:rsidRPr="002E4A02">
              <w:t>6)</w:t>
            </w:r>
          </w:p>
          <w:p w14:paraId="7C934B38" w14:textId="77777777" w:rsidR="00DE1537" w:rsidRPr="00CF7D2D" w:rsidRDefault="00DE1537" w:rsidP="00343F3E">
            <w:pPr>
              <w:pStyle w:val="BoxQuote"/>
            </w:pPr>
            <w:r w:rsidRPr="00CF7D2D">
              <w:t>The South Australian Government does not support any adjustments from a per capita allocation of</w:t>
            </w:r>
            <w:r>
              <w:t xml:space="preserve"> </w:t>
            </w:r>
            <w:r w:rsidRPr="00CF7D2D">
              <w:t>mitigation funding if resultant savings in disaster losses can be made until the metrics of how savings</w:t>
            </w:r>
            <w:r>
              <w:t xml:space="preserve"> </w:t>
            </w:r>
            <w:r w:rsidRPr="00CF7D2D">
              <w:t>are calculated are developed and agreed to nationally.</w:t>
            </w:r>
            <w:r>
              <w:t xml:space="preserve"> (Government of South Australia, sub. DR109, p. 4)</w:t>
            </w:r>
          </w:p>
          <w:p w14:paraId="39B99037" w14:textId="77777777" w:rsidR="00DE1537" w:rsidRPr="00934700" w:rsidRDefault="00DE1537" w:rsidP="00343F3E">
            <w:pPr>
              <w:pStyle w:val="BoxQuote"/>
            </w:pPr>
            <w:r>
              <w:t>Victoria welcomes an increase in mitigation funding, and is supportive of the proposed allocation of funding on a per capita basis, provided smaller jurisdictions receive a meaningful quantum under that allocation. Victoria would support this funding being administered under the National Disaster Resilience Program (NDRP). (Victorian Government, sub. DR215, p. 8)</w:t>
            </w:r>
          </w:p>
          <w:p w14:paraId="1EDE64F9" w14:textId="77777777" w:rsidR="00DE1537" w:rsidRPr="009C1F24" w:rsidRDefault="00DE1537" w:rsidP="00343F3E">
            <w:pPr>
              <w:pStyle w:val="BoxQuote"/>
            </w:pPr>
            <w:r>
              <w:t>The per capita funding model for mitigation proposed should be complemented with a geographic risk assessment given the impacts of natural hazards are highly dependent on geographic location and localised physical environment circumstances. (ALGA, sub. DR173, p. 7)</w:t>
            </w:r>
          </w:p>
          <w:p w14:paraId="54D479E0" w14:textId="77777777" w:rsidR="00DE1537" w:rsidRDefault="00DE1537" w:rsidP="00343F3E">
            <w:pPr>
              <w:pStyle w:val="BoxQuote"/>
            </w:pPr>
            <w:r>
              <w:t>The ‘per capita’</w:t>
            </w:r>
            <w:r w:rsidRPr="000B6B90">
              <w:t xml:space="preserve"> proposal is a</w:t>
            </w:r>
            <w:r>
              <w:t xml:space="preserve"> </w:t>
            </w:r>
            <w:r w:rsidRPr="000B6B90">
              <w:t>retrograde step as the curren</w:t>
            </w:r>
            <w:r>
              <w:t>t</w:t>
            </w:r>
            <w:r w:rsidRPr="000B6B90">
              <w:t xml:space="preserve"> model for the allocation of mitigation funds to states and territories</w:t>
            </w:r>
            <w:r w:rsidRPr="00351474">
              <w:t xml:space="preserve"> is </w:t>
            </w:r>
            <w:r>
              <w:t>‘</w:t>
            </w:r>
            <w:r w:rsidRPr="00351474">
              <w:t xml:space="preserve">based on historic allocations, populations, costs of disasters and relative disadvantage and adjusted by agreement </w:t>
            </w:r>
            <w:r w:rsidRPr="000B6B90">
              <w:t>to provide a minimum share for the territories and Tasmania</w:t>
            </w:r>
            <w:r>
              <w:t>’.</w:t>
            </w:r>
            <w:r w:rsidRPr="000B6B90">
              <w:t xml:space="preserve"> </w:t>
            </w:r>
            <w:r>
              <w:t>(McGowan and Tiernan, sub. DR123, p. 4)</w:t>
            </w:r>
          </w:p>
          <w:p w14:paraId="765462E9" w14:textId="77777777" w:rsidR="00DE1537" w:rsidRDefault="00DE1537" w:rsidP="00343F3E">
            <w:pPr>
              <w:pStyle w:val="BoxQuote"/>
            </w:pPr>
            <w:r>
              <w:t>… [I]</w:t>
            </w:r>
            <w:r w:rsidRPr="00AF0A59">
              <w:t>f the only available proactive mitigation funding is directed entirely to the States and Territories on a per capita basis, there could be limited funding for nationally significant projects. For example, those currently supported under the National Emergency Management Program, such as the Fire Danger Rating system review, or the National Warnings Project, may be placed at risk because States and Territories may find it difficult to direct funds to these kinds of projects instead of their more local strategies</w:t>
            </w:r>
            <w:r>
              <w:t>. (BNH</w:t>
            </w:r>
            <w:r w:rsidRPr="00351474">
              <w:t>CRC</w:t>
            </w:r>
            <w:r>
              <w:t>,</w:t>
            </w:r>
            <w:r w:rsidRPr="00351474">
              <w:t xml:space="preserve"> </w:t>
            </w:r>
            <w:r>
              <w:t>sub. </w:t>
            </w:r>
            <w:r w:rsidRPr="00351474">
              <w:t>DR172</w:t>
            </w:r>
            <w:r>
              <w:t>, p. 1</w:t>
            </w:r>
            <w:r w:rsidRPr="00351474">
              <w:t>)</w:t>
            </w:r>
          </w:p>
          <w:p w14:paraId="1E636B00" w14:textId="77777777" w:rsidR="00DE1537" w:rsidRPr="00A84A68" w:rsidRDefault="00DE1537" w:rsidP="00343F3E">
            <w:pPr>
              <w:pStyle w:val="BoxQuote"/>
            </w:pPr>
            <w:r>
              <w:t>… [M]</w:t>
            </w:r>
            <w:r w:rsidRPr="00E914F5">
              <w:t>itigation funding should be allocated on a priority basis using a</w:t>
            </w:r>
            <w:r>
              <w:t xml:space="preserve"> </w:t>
            </w:r>
            <w:r w:rsidRPr="00E914F5">
              <w:t>cost–benefit analysis to provide funds to those projects that provide the greatest return, which should</w:t>
            </w:r>
            <w:r>
              <w:t xml:space="preserve"> </w:t>
            </w:r>
            <w:r w:rsidRPr="00E914F5">
              <w:t>include the social return.</w:t>
            </w:r>
            <w:r>
              <w:t xml:space="preserve"> (IAG, sub. DR158, p. 7)</w:t>
            </w:r>
          </w:p>
          <w:p w14:paraId="670C971F" w14:textId="77777777" w:rsidR="00DE1537" w:rsidRPr="00351474" w:rsidRDefault="00DE1537" w:rsidP="00343F3E">
            <w:pPr>
              <w:pStyle w:val="BoxQuote"/>
            </w:pPr>
            <w:r>
              <w:t>Th</w:t>
            </w:r>
            <w:r w:rsidRPr="00351474">
              <w:t>ere is a range of factors that would need to be considered in determining which mitigation projects</w:t>
            </w:r>
            <w:r>
              <w:t xml:space="preserve"> </w:t>
            </w:r>
            <w:r w:rsidRPr="00351474">
              <w:t xml:space="preserve">offer the best value for money on a national basis. This is particularly true in industrial and commercial areas that support substantial employment and economic production, but have low levels of resident population. Accordingly, there would need to be a range of criteria that consider economic damages to private and public assets as well as loss of life. </w:t>
            </w:r>
            <w:r>
              <w:t>(FMA, sub. DR166, pp. 3–4)</w:t>
            </w:r>
          </w:p>
        </w:tc>
      </w:tr>
      <w:tr w:rsidR="00DE1537" w14:paraId="6AE4D48D" w14:textId="77777777" w:rsidTr="00343F3E">
        <w:trPr>
          <w:cantSplit/>
        </w:trPr>
        <w:tc>
          <w:tcPr>
            <w:tcW w:w="8771" w:type="dxa"/>
            <w:tcBorders>
              <w:top w:val="nil"/>
              <w:left w:val="nil"/>
              <w:bottom w:val="single" w:sz="6" w:space="0" w:color="78A22F"/>
              <w:right w:val="nil"/>
            </w:tcBorders>
            <w:shd w:val="clear" w:color="auto" w:fill="F2F2F2"/>
          </w:tcPr>
          <w:p w14:paraId="66EB45E2" w14:textId="77777777" w:rsidR="00DE1537" w:rsidRDefault="00DE1537" w:rsidP="00343F3E">
            <w:pPr>
              <w:pStyle w:val="Box"/>
              <w:spacing w:before="0" w:line="120" w:lineRule="exact"/>
            </w:pPr>
          </w:p>
        </w:tc>
      </w:tr>
      <w:tr w:rsidR="00DE1537" w:rsidRPr="000863A5" w14:paraId="11415C3A" w14:textId="77777777" w:rsidTr="00343F3E">
        <w:tc>
          <w:tcPr>
            <w:tcW w:w="8771" w:type="dxa"/>
            <w:tcBorders>
              <w:top w:val="single" w:sz="6" w:space="0" w:color="78A22F"/>
              <w:left w:val="nil"/>
              <w:bottom w:val="nil"/>
              <w:right w:val="nil"/>
            </w:tcBorders>
          </w:tcPr>
          <w:p w14:paraId="67BB232D" w14:textId="77777777" w:rsidR="00DE1537" w:rsidRPr="00626D32" w:rsidRDefault="00DE1537" w:rsidP="00343F3E">
            <w:pPr>
              <w:pStyle w:val="BoxSpaceBelow"/>
            </w:pPr>
          </w:p>
        </w:tc>
      </w:tr>
    </w:tbl>
    <w:p w14:paraId="137BDF9C" w14:textId="77777777" w:rsidR="00DE1537" w:rsidRPr="005E48AE" w:rsidRDefault="00DE1537" w:rsidP="00343F3E">
      <w:pPr>
        <w:pStyle w:val="BodyText"/>
      </w:pPr>
      <w:r w:rsidRPr="005E48AE">
        <w:t>Arguments can be made both for and against alternative methods for allocating mitigation funding. A per capita distribution would be simple to administer and is a proxy, in part, for the degree of exposure and vulnerability of communities. However, such a distribution would not be reflective of relative levels of future hazard risk or the effectiveness of past mitigation measures. A forward looking risk</w:t>
      </w:r>
      <w:r w:rsidRPr="005E48AE">
        <w:noBreakHyphen/>
        <w:t xml:space="preserve">based distribution could account for different hazard profiles between states but is likely to involve complexity and substantial </w:t>
      </w:r>
      <w:r w:rsidRPr="005E48AE">
        <w:lastRenderedPageBreak/>
        <w:t>information requirements. Table 4.3 provides a comparison of each jurisdiction’s estimated share using alternative distribution methods.</w:t>
      </w:r>
    </w:p>
    <w:p w14:paraId="123E228A"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CD4A716" w14:textId="77777777" w:rsidTr="00343F3E">
        <w:tc>
          <w:tcPr>
            <w:tcW w:w="8771" w:type="dxa"/>
            <w:tcBorders>
              <w:top w:val="single" w:sz="6" w:space="0" w:color="78A22F"/>
              <w:left w:val="nil"/>
              <w:bottom w:val="nil"/>
              <w:right w:val="nil"/>
            </w:tcBorders>
            <w:shd w:val="clear" w:color="auto" w:fill="auto"/>
          </w:tcPr>
          <w:p w14:paraId="74BFCAD1" w14:textId="7A747E89" w:rsidR="00DE1537" w:rsidRPr="00784A05" w:rsidRDefault="00DE1537" w:rsidP="00343F3E">
            <w:pPr>
              <w:pStyle w:val="TableTitle"/>
            </w:pPr>
            <w:r>
              <w:rPr>
                <w:b w:val="0"/>
              </w:rPr>
              <w:t>Table 4.</w:t>
            </w:r>
            <w:r>
              <w:rPr>
                <w:b w:val="0"/>
                <w:noProof/>
              </w:rPr>
              <w:t>3</w:t>
            </w:r>
            <w:r>
              <w:tab/>
              <w:t>Alternative distributions of mitigation funding by jurisdiction</w:t>
            </w:r>
          </w:p>
        </w:tc>
      </w:tr>
      <w:tr w:rsidR="00DE1537" w14:paraId="13D81948"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5"/>
              <w:gridCol w:w="1701"/>
              <w:gridCol w:w="1702"/>
              <w:gridCol w:w="1843"/>
              <w:gridCol w:w="1986"/>
            </w:tblGrid>
            <w:tr w:rsidR="00DE1537" w14:paraId="26AC4EBA" w14:textId="77777777" w:rsidTr="00343F3E">
              <w:tc>
                <w:tcPr>
                  <w:tcW w:w="739" w:type="pct"/>
                  <w:tcBorders>
                    <w:top w:val="single" w:sz="6" w:space="0" w:color="BFBFBF"/>
                    <w:bottom w:val="single" w:sz="6" w:space="0" w:color="BFBFBF"/>
                  </w:tcBorders>
                  <w:shd w:val="clear" w:color="auto" w:fill="auto"/>
                  <w:tcMar>
                    <w:top w:w="28" w:type="dxa"/>
                  </w:tcMar>
                </w:tcPr>
                <w:p w14:paraId="051AFE3E" w14:textId="77777777" w:rsidR="00DE1537" w:rsidRDefault="00DE1537" w:rsidP="00343F3E">
                  <w:pPr>
                    <w:pStyle w:val="TableColumnHeading"/>
                    <w:jc w:val="left"/>
                  </w:pPr>
                  <w:r>
                    <w:t>Jurisdiction</w:t>
                  </w:r>
                </w:p>
              </w:tc>
              <w:tc>
                <w:tcPr>
                  <w:tcW w:w="4261" w:type="pct"/>
                  <w:gridSpan w:val="4"/>
                  <w:tcBorders>
                    <w:top w:val="single" w:sz="6" w:space="0" w:color="BFBFBF"/>
                    <w:bottom w:val="single" w:sz="6" w:space="0" w:color="BFBFBF"/>
                  </w:tcBorders>
                </w:tcPr>
                <w:p w14:paraId="77983EC0" w14:textId="77777777" w:rsidR="00DE1537" w:rsidRDefault="00DE1537" w:rsidP="00343F3E">
                  <w:pPr>
                    <w:pStyle w:val="TableColumnHeading"/>
                    <w:ind w:right="28"/>
                    <w:jc w:val="center"/>
                  </w:pPr>
                  <w:r>
                    <w:t>Method of distribution</w:t>
                  </w:r>
                </w:p>
              </w:tc>
            </w:tr>
            <w:tr w:rsidR="00DE1537" w14:paraId="202078CA" w14:textId="77777777" w:rsidTr="00343F3E">
              <w:tc>
                <w:tcPr>
                  <w:tcW w:w="739" w:type="pct"/>
                  <w:tcBorders>
                    <w:top w:val="single" w:sz="6" w:space="0" w:color="BFBFBF"/>
                    <w:bottom w:val="single" w:sz="6" w:space="0" w:color="BFBFBF"/>
                  </w:tcBorders>
                </w:tcPr>
                <w:p w14:paraId="3B54FC87" w14:textId="77777777" w:rsidR="00DE1537" w:rsidRDefault="00DE1537" w:rsidP="00343F3E">
                  <w:pPr>
                    <w:pStyle w:val="TableColumnHeading"/>
                  </w:pPr>
                </w:p>
              </w:tc>
              <w:tc>
                <w:tcPr>
                  <w:tcW w:w="1002" w:type="pct"/>
                  <w:tcBorders>
                    <w:top w:val="single" w:sz="6" w:space="0" w:color="BFBFBF"/>
                    <w:bottom w:val="single" w:sz="6" w:space="0" w:color="BFBFBF"/>
                  </w:tcBorders>
                </w:tcPr>
                <w:p w14:paraId="4668A168" w14:textId="77777777" w:rsidR="00DE1537" w:rsidRDefault="00DE1537" w:rsidP="00343F3E">
                  <w:pPr>
                    <w:pStyle w:val="TableColumnHeading"/>
                  </w:pPr>
                  <w:r>
                    <w:t>Per capita</w:t>
                  </w:r>
                  <w:r w:rsidRPr="008E77FE">
                    <w:rPr>
                      <w:rStyle w:val="NoteLabel"/>
                    </w:rPr>
                    <w:t>a</w:t>
                  </w:r>
                </w:p>
              </w:tc>
              <w:tc>
                <w:tcPr>
                  <w:tcW w:w="1003" w:type="pct"/>
                  <w:tcBorders>
                    <w:top w:val="single" w:sz="6" w:space="0" w:color="BFBFBF"/>
                    <w:bottom w:val="single" w:sz="6" w:space="0" w:color="BFBFBF"/>
                  </w:tcBorders>
                </w:tcPr>
                <w:p w14:paraId="3704EEDE" w14:textId="77777777" w:rsidR="00DE1537" w:rsidRPr="004D2952" w:rsidRDefault="00DE1537" w:rsidP="00343F3E">
                  <w:pPr>
                    <w:pStyle w:val="TableColumnHeading"/>
                    <w:rPr>
                      <w:b/>
                    </w:rPr>
                  </w:pPr>
                  <w:r>
                    <w:t>Deflated insurance losses</w:t>
                  </w:r>
                  <w:r>
                    <w:rPr>
                      <w:rStyle w:val="NoteLabel"/>
                    </w:rPr>
                    <w:t>b</w:t>
                  </w:r>
                </w:p>
              </w:tc>
              <w:tc>
                <w:tcPr>
                  <w:tcW w:w="1086" w:type="pct"/>
                  <w:tcBorders>
                    <w:top w:val="single" w:sz="6" w:space="0" w:color="BFBFBF"/>
                    <w:bottom w:val="single" w:sz="6" w:space="0" w:color="BFBFBF"/>
                  </w:tcBorders>
                </w:tcPr>
                <w:p w14:paraId="534C9D8E" w14:textId="77777777" w:rsidR="00DE1537" w:rsidRDefault="00DE1537" w:rsidP="00343F3E">
                  <w:pPr>
                    <w:pStyle w:val="TableColumnHeading"/>
                  </w:pPr>
                  <w:r>
                    <w:t>NPANDR (current allocation)</w:t>
                  </w:r>
                  <w:r>
                    <w:rPr>
                      <w:rStyle w:val="NoteLabel"/>
                    </w:rPr>
                    <w:t>c</w:t>
                  </w:r>
                </w:p>
              </w:tc>
              <w:tc>
                <w:tcPr>
                  <w:tcW w:w="1171" w:type="pct"/>
                  <w:tcBorders>
                    <w:top w:val="single" w:sz="6" w:space="0" w:color="BFBFBF"/>
                    <w:bottom w:val="single" w:sz="6" w:space="0" w:color="BFBFBF"/>
                  </w:tcBorders>
                </w:tcPr>
                <w:p w14:paraId="3D45216F" w14:textId="77777777" w:rsidR="00DE1537" w:rsidRDefault="00DE1537" w:rsidP="00343F3E">
                  <w:pPr>
                    <w:pStyle w:val="TableColumnHeading"/>
                  </w:pPr>
                  <w:r>
                    <w:t>Risk Frontiers proportional loss contribution by state</w:t>
                  </w:r>
                  <w:r>
                    <w:rPr>
                      <w:rStyle w:val="NoteLabel"/>
                    </w:rPr>
                    <w:t>d</w:t>
                  </w:r>
                </w:p>
              </w:tc>
            </w:tr>
            <w:tr w:rsidR="00DE1537" w14:paraId="34DB3CA7" w14:textId="77777777" w:rsidTr="00343F3E">
              <w:tc>
                <w:tcPr>
                  <w:tcW w:w="739" w:type="pct"/>
                  <w:tcBorders>
                    <w:top w:val="single" w:sz="6" w:space="0" w:color="BFBFBF"/>
                  </w:tcBorders>
                </w:tcPr>
                <w:p w14:paraId="18C6B294" w14:textId="77777777" w:rsidR="00DE1537" w:rsidRDefault="00DE1537" w:rsidP="00343F3E">
                  <w:pPr>
                    <w:pStyle w:val="TableUnitsRow"/>
                    <w:jc w:val="left"/>
                  </w:pPr>
                </w:p>
              </w:tc>
              <w:tc>
                <w:tcPr>
                  <w:tcW w:w="1002" w:type="pct"/>
                  <w:tcBorders>
                    <w:top w:val="single" w:sz="6" w:space="0" w:color="BFBFBF"/>
                  </w:tcBorders>
                </w:tcPr>
                <w:p w14:paraId="19BD9F66" w14:textId="77777777" w:rsidR="00DE1537" w:rsidRDefault="00DE1537" w:rsidP="00343F3E">
                  <w:pPr>
                    <w:pStyle w:val="TableUnitsRow"/>
                  </w:pPr>
                  <w:r>
                    <w:t>%</w:t>
                  </w:r>
                </w:p>
              </w:tc>
              <w:tc>
                <w:tcPr>
                  <w:tcW w:w="1003" w:type="pct"/>
                  <w:tcBorders>
                    <w:top w:val="single" w:sz="6" w:space="0" w:color="BFBFBF"/>
                  </w:tcBorders>
                </w:tcPr>
                <w:p w14:paraId="1A98D869" w14:textId="77777777" w:rsidR="00DE1537" w:rsidRDefault="00DE1537" w:rsidP="00343F3E">
                  <w:pPr>
                    <w:pStyle w:val="TableUnitsRow"/>
                  </w:pPr>
                  <w:r>
                    <w:t>%</w:t>
                  </w:r>
                </w:p>
              </w:tc>
              <w:tc>
                <w:tcPr>
                  <w:tcW w:w="1086" w:type="pct"/>
                  <w:tcBorders>
                    <w:top w:val="single" w:sz="6" w:space="0" w:color="BFBFBF"/>
                  </w:tcBorders>
                </w:tcPr>
                <w:p w14:paraId="74B2EB24" w14:textId="77777777" w:rsidR="00DE1537" w:rsidRDefault="00DE1537" w:rsidP="00343F3E">
                  <w:pPr>
                    <w:pStyle w:val="TableUnitsRow"/>
                  </w:pPr>
                  <w:r>
                    <w:t>%</w:t>
                  </w:r>
                </w:p>
              </w:tc>
              <w:tc>
                <w:tcPr>
                  <w:tcW w:w="1171" w:type="pct"/>
                  <w:tcBorders>
                    <w:top w:val="single" w:sz="6" w:space="0" w:color="BFBFBF"/>
                  </w:tcBorders>
                </w:tcPr>
                <w:p w14:paraId="0EF3AA5C" w14:textId="77777777" w:rsidR="00DE1537" w:rsidRDefault="00DE1537" w:rsidP="00343F3E">
                  <w:pPr>
                    <w:pStyle w:val="TableUnitsRow"/>
                    <w:ind w:right="28"/>
                  </w:pPr>
                  <w:r>
                    <w:t>%</w:t>
                  </w:r>
                </w:p>
              </w:tc>
            </w:tr>
            <w:tr w:rsidR="00DE1537" w14:paraId="01668814" w14:textId="77777777" w:rsidTr="00343F3E">
              <w:tc>
                <w:tcPr>
                  <w:tcW w:w="739" w:type="pct"/>
                  <w:shd w:val="pct5" w:color="auto" w:fill="auto"/>
                </w:tcPr>
                <w:p w14:paraId="59B2931B" w14:textId="77777777" w:rsidR="00DE1537" w:rsidRDefault="00DE1537" w:rsidP="00343F3E">
                  <w:pPr>
                    <w:pStyle w:val="TableBodyText"/>
                    <w:jc w:val="left"/>
                  </w:pPr>
                  <w:r>
                    <w:t>NSW</w:t>
                  </w:r>
                </w:p>
              </w:tc>
              <w:tc>
                <w:tcPr>
                  <w:tcW w:w="1002" w:type="pct"/>
                  <w:shd w:val="pct5" w:color="auto" w:fill="auto"/>
                </w:tcPr>
                <w:p w14:paraId="32C254BE" w14:textId="77777777" w:rsidR="00DE1537" w:rsidRDefault="00DE1537" w:rsidP="00343F3E">
                  <w:pPr>
                    <w:pStyle w:val="TableBodyText"/>
                  </w:pPr>
                  <w:r>
                    <w:t>32</w:t>
                  </w:r>
                </w:p>
              </w:tc>
              <w:tc>
                <w:tcPr>
                  <w:tcW w:w="1003" w:type="pct"/>
                  <w:shd w:val="pct5" w:color="auto" w:fill="auto"/>
                </w:tcPr>
                <w:p w14:paraId="6439C002" w14:textId="77777777" w:rsidR="00DE1537" w:rsidRDefault="00DE1537" w:rsidP="00343F3E">
                  <w:pPr>
                    <w:pStyle w:val="TableBodyText"/>
                  </w:pPr>
                  <w:r>
                    <w:t>37</w:t>
                  </w:r>
                </w:p>
              </w:tc>
              <w:tc>
                <w:tcPr>
                  <w:tcW w:w="1086" w:type="pct"/>
                  <w:shd w:val="pct5" w:color="auto" w:fill="auto"/>
                </w:tcPr>
                <w:p w14:paraId="1687F567" w14:textId="77777777" w:rsidR="00DE1537" w:rsidRDefault="00DE1537" w:rsidP="00343F3E">
                  <w:pPr>
                    <w:pStyle w:val="TableBodyText"/>
                  </w:pPr>
                  <w:r>
                    <w:t>26</w:t>
                  </w:r>
                </w:p>
              </w:tc>
              <w:tc>
                <w:tcPr>
                  <w:tcW w:w="1171" w:type="pct"/>
                  <w:shd w:val="pct5" w:color="auto" w:fill="auto"/>
                </w:tcPr>
                <w:p w14:paraId="78DE40BD" w14:textId="77777777" w:rsidR="00DE1537" w:rsidRDefault="00DE1537" w:rsidP="00343F3E">
                  <w:pPr>
                    <w:pStyle w:val="TableBodyText"/>
                    <w:ind w:right="28"/>
                  </w:pPr>
                  <w:r>
                    <w:t>35</w:t>
                  </w:r>
                </w:p>
              </w:tc>
            </w:tr>
            <w:tr w:rsidR="00DE1537" w14:paraId="1454EB64" w14:textId="77777777" w:rsidTr="00343F3E">
              <w:tc>
                <w:tcPr>
                  <w:tcW w:w="739" w:type="pct"/>
                  <w:shd w:val="clear" w:color="auto" w:fill="auto"/>
                </w:tcPr>
                <w:p w14:paraId="557F0CA7" w14:textId="77777777" w:rsidR="00DE1537" w:rsidRDefault="00DE1537" w:rsidP="00343F3E">
                  <w:pPr>
                    <w:pStyle w:val="TableBodyText"/>
                    <w:jc w:val="left"/>
                  </w:pPr>
                  <w:r>
                    <w:t>Vic</w:t>
                  </w:r>
                </w:p>
              </w:tc>
              <w:tc>
                <w:tcPr>
                  <w:tcW w:w="1002" w:type="pct"/>
                </w:tcPr>
                <w:p w14:paraId="06155503" w14:textId="77777777" w:rsidR="00DE1537" w:rsidRDefault="00DE1537" w:rsidP="00343F3E">
                  <w:pPr>
                    <w:pStyle w:val="TableBodyText"/>
                  </w:pPr>
                  <w:r>
                    <w:t>25</w:t>
                  </w:r>
                </w:p>
              </w:tc>
              <w:tc>
                <w:tcPr>
                  <w:tcW w:w="1003" w:type="pct"/>
                </w:tcPr>
                <w:p w14:paraId="7B6B1A12" w14:textId="77777777" w:rsidR="00DE1537" w:rsidRDefault="00DE1537" w:rsidP="00343F3E">
                  <w:pPr>
                    <w:pStyle w:val="TableBodyText"/>
                  </w:pPr>
                  <w:r>
                    <w:t>16</w:t>
                  </w:r>
                </w:p>
              </w:tc>
              <w:tc>
                <w:tcPr>
                  <w:tcW w:w="1086" w:type="pct"/>
                  <w:shd w:val="clear" w:color="auto" w:fill="auto"/>
                </w:tcPr>
                <w:p w14:paraId="56D41767" w14:textId="77777777" w:rsidR="00DE1537" w:rsidRDefault="00DE1537" w:rsidP="00343F3E">
                  <w:pPr>
                    <w:pStyle w:val="TableBodyText"/>
                  </w:pPr>
                  <w:r>
                    <w:t>16</w:t>
                  </w:r>
                </w:p>
              </w:tc>
              <w:tc>
                <w:tcPr>
                  <w:tcW w:w="1171" w:type="pct"/>
                  <w:shd w:val="clear" w:color="auto" w:fill="auto"/>
                </w:tcPr>
                <w:p w14:paraId="2192B5CB" w14:textId="77777777" w:rsidR="00DE1537" w:rsidRDefault="00DE1537" w:rsidP="00343F3E">
                  <w:pPr>
                    <w:pStyle w:val="TableBodyText"/>
                    <w:ind w:right="28"/>
                  </w:pPr>
                  <w:r>
                    <w:t>16</w:t>
                  </w:r>
                </w:p>
              </w:tc>
            </w:tr>
            <w:tr w:rsidR="00DE1537" w14:paraId="2AFC14D4" w14:textId="77777777" w:rsidTr="00343F3E">
              <w:tc>
                <w:tcPr>
                  <w:tcW w:w="739" w:type="pct"/>
                  <w:shd w:val="pct5" w:color="auto" w:fill="auto"/>
                </w:tcPr>
                <w:p w14:paraId="18D7091D" w14:textId="77777777" w:rsidR="00DE1537" w:rsidRDefault="00DE1537" w:rsidP="00343F3E">
                  <w:pPr>
                    <w:pStyle w:val="TableBodyText"/>
                    <w:jc w:val="left"/>
                  </w:pPr>
                  <w:r>
                    <w:t>Qld</w:t>
                  </w:r>
                </w:p>
              </w:tc>
              <w:tc>
                <w:tcPr>
                  <w:tcW w:w="1002" w:type="pct"/>
                  <w:shd w:val="pct5" w:color="auto" w:fill="auto"/>
                </w:tcPr>
                <w:p w14:paraId="0C855057" w14:textId="77777777" w:rsidR="00DE1537" w:rsidRDefault="00DE1537" w:rsidP="00343F3E">
                  <w:pPr>
                    <w:pStyle w:val="TableBodyText"/>
                  </w:pPr>
                  <w:r>
                    <w:t>20</w:t>
                  </w:r>
                </w:p>
              </w:tc>
              <w:tc>
                <w:tcPr>
                  <w:tcW w:w="1003" w:type="pct"/>
                  <w:shd w:val="pct5" w:color="auto" w:fill="auto"/>
                </w:tcPr>
                <w:p w14:paraId="7167D2EC" w14:textId="77777777" w:rsidR="00DE1537" w:rsidRDefault="00DE1537" w:rsidP="00343F3E">
                  <w:pPr>
                    <w:pStyle w:val="TableBodyText"/>
                  </w:pPr>
                  <w:r>
                    <w:t>32</w:t>
                  </w:r>
                </w:p>
              </w:tc>
              <w:tc>
                <w:tcPr>
                  <w:tcW w:w="1086" w:type="pct"/>
                  <w:shd w:val="pct5" w:color="auto" w:fill="auto"/>
                </w:tcPr>
                <w:p w14:paraId="3713A637" w14:textId="77777777" w:rsidR="00DE1537" w:rsidRDefault="00DE1537" w:rsidP="00343F3E">
                  <w:pPr>
                    <w:pStyle w:val="TableBodyText"/>
                  </w:pPr>
                  <w:r>
                    <w:t>23</w:t>
                  </w:r>
                </w:p>
              </w:tc>
              <w:tc>
                <w:tcPr>
                  <w:tcW w:w="1171" w:type="pct"/>
                  <w:shd w:val="pct5" w:color="auto" w:fill="auto"/>
                </w:tcPr>
                <w:p w14:paraId="07DC56D6" w14:textId="77777777" w:rsidR="00DE1537" w:rsidRDefault="00DE1537" w:rsidP="00343F3E">
                  <w:pPr>
                    <w:pStyle w:val="TableBodyText"/>
                    <w:ind w:right="28"/>
                  </w:pPr>
                  <w:r>
                    <w:t>27</w:t>
                  </w:r>
                </w:p>
              </w:tc>
            </w:tr>
            <w:tr w:rsidR="00DE1537" w14:paraId="69313D16" w14:textId="77777777" w:rsidTr="00343F3E">
              <w:tc>
                <w:tcPr>
                  <w:tcW w:w="739" w:type="pct"/>
                  <w:shd w:val="clear" w:color="auto" w:fill="auto"/>
                </w:tcPr>
                <w:p w14:paraId="23B7CEA0" w14:textId="77777777" w:rsidR="00DE1537" w:rsidRDefault="00DE1537" w:rsidP="00343F3E">
                  <w:pPr>
                    <w:pStyle w:val="TableBodyText"/>
                    <w:jc w:val="left"/>
                  </w:pPr>
                  <w:r>
                    <w:t>SA</w:t>
                  </w:r>
                </w:p>
              </w:tc>
              <w:tc>
                <w:tcPr>
                  <w:tcW w:w="1002" w:type="pct"/>
                </w:tcPr>
                <w:p w14:paraId="5D7EA026" w14:textId="77777777" w:rsidR="00DE1537" w:rsidRDefault="00DE1537" w:rsidP="00343F3E">
                  <w:pPr>
                    <w:pStyle w:val="TableBodyText"/>
                  </w:pPr>
                  <w:r>
                    <w:t>7</w:t>
                  </w:r>
                </w:p>
              </w:tc>
              <w:tc>
                <w:tcPr>
                  <w:tcW w:w="1003" w:type="pct"/>
                </w:tcPr>
                <w:p w14:paraId="5DD2AB58" w14:textId="77777777" w:rsidR="00DE1537" w:rsidRDefault="00DE1537" w:rsidP="00343F3E">
                  <w:pPr>
                    <w:pStyle w:val="TableBodyText"/>
                  </w:pPr>
                  <w:r>
                    <w:t>1</w:t>
                  </w:r>
                </w:p>
              </w:tc>
              <w:tc>
                <w:tcPr>
                  <w:tcW w:w="1086" w:type="pct"/>
                  <w:shd w:val="clear" w:color="auto" w:fill="auto"/>
                </w:tcPr>
                <w:p w14:paraId="76042B21" w14:textId="77777777" w:rsidR="00DE1537" w:rsidRDefault="00DE1537" w:rsidP="00343F3E">
                  <w:pPr>
                    <w:pStyle w:val="TableBodyText"/>
                  </w:pPr>
                  <w:r>
                    <w:t>8</w:t>
                  </w:r>
                </w:p>
              </w:tc>
              <w:tc>
                <w:tcPr>
                  <w:tcW w:w="1171" w:type="pct"/>
                  <w:shd w:val="clear" w:color="auto" w:fill="auto"/>
                </w:tcPr>
                <w:p w14:paraId="18F77ADD" w14:textId="77777777" w:rsidR="00DE1537" w:rsidRDefault="00DE1537" w:rsidP="00343F3E">
                  <w:pPr>
                    <w:pStyle w:val="TableBodyText"/>
                    <w:ind w:right="28"/>
                  </w:pPr>
                  <w:r>
                    <w:t>4</w:t>
                  </w:r>
                </w:p>
              </w:tc>
            </w:tr>
            <w:tr w:rsidR="00DE1537" w14:paraId="5862AA7E" w14:textId="77777777" w:rsidTr="00343F3E">
              <w:tc>
                <w:tcPr>
                  <w:tcW w:w="739" w:type="pct"/>
                  <w:shd w:val="pct5" w:color="auto" w:fill="auto"/>
                </w:tcPr>
                <w:p w14:paraId="210155CD" w14:textId="77777777" w:rsidR="00DE1537" w:rsidRDefault="00DE1537" w:rsidP="00343F3E">
                  <w:pPr>
                    <w:pStyle w:val="TableBodyText"/>
                    <w:jc w:val="left"/>
                  </w:pPr>
                  <w:r>
                    <w:t>WA</w:t>
                  </w:r>
                </w:p>
              </w:tc>
              <w:tc>
                <w:tcPr>
                  <w:tcW w:w="1002" w:type="pct"/>
                  <w:shd w:val="pct5" w:color="auto" w:fill="auto"/>
                </w:tcPr>
                <w:p w14:paraId="4B456706" w14:textId="77777777" w:rsidR="00DE1537" w:rsidRDefault="00DE1537" w:rsidP="00343F3E">
                  <w:pPr>
                    <w:pStyle w:val="TableBodyText"/>
                  </w:pPr>
                  <w:r>
                    <w:t>11</w:t>
                  </w:r>
                </w:p>
              </w:tc>
              <w:tc>
                <w:tcPr>
                  <w:tcW w:w="1003" w:type="pct"/>
                  <w:shd w:val="pct5" w:color="auto" w:fill="auto"/>
                </w:tcPr>
                <w:p w14:paraId="408E2AF2" w14:textId="77777777" w:rsidR="00DE1537" w:rsidRDefault="00DE1537" w:rsidP="00343F3E">
                  <w:pPr>
                    <w:pStyle w:val="TableBodyText"/>
                  </w:pPr>
                  <w:r>
                    <w:t>6</w:t>
                  </w:r>
                </w:p>
              </w:tc>
              <w:tc>
                <w:tcPr>
                  <w:tcW w:w="1086" w:type="pct"/>
                  <w:shd w:val="pct5" w:color="auto" w:fill="auto"/>
                </w:tcPr>
                <w:p w14:paraId="2912509F" w14:textId="77777777" w:rsidR="00DE1537" w:rsidRDefault="00DE1537" w:rsidP="00343F3E">
                  <w:pPr>
                    <w:pStyle w:val="TableBodyText"/>
                  </w:pPr>
                  <w:r>
                    <w:t>12</w:t>
                  </w:r>
                </w:p>
              </w:tc>
              <w:tc>
                <w:tcPr>
                  <w:tcW w:w="1171" w:type="pct"/>
                  <w:shd w:val="pct5" w:color="auto" w:fill="auto"/>
                </w:tcPr>
                <w:p w14:paraId="3EAB9AE9" w14:textId="77777777" w:rsidR="00DE1537" w:rsidRDefault="00DE1537" w:rsidP="00343F3E">
                  <w:pPr>
                    <w:pStyle w:val="TableBodyText"/>
                    <w:ind w:right="28"/>
                  </w:pPr>
                  <w:r>
                    <w:t>14</w:t>
                  </w:r>
                </w:p>
              </w:tc>
            </w:tr>
            <w:tr w:rsidR="00DE1537" w14:paraId="332F81A5" w14:textId="77777777" w:rsidTr="00343F3E">
              <w:tc>
                <w:tcPr>
                  <w:tcW w:w="739" w:type="pct"/>
                  <w:shd w:val="clear" w:color="auto" w:fill="auto"/>
                </w:tcPr>
                <w:p w14:paraId="5C339969" w14:textId="77777777" w:rsidR="00DE1537" w:rsidRDefault="00DE1537" w:rsidP="00343F3E">
                  <w:pPr>
                    <w:pStyle w:val="TableBodyText"/>
                    <w:jc w:val="left"/>
                  </w:pPr>
                  <w:r>
                    <w:t>Tas</w:t>
                  </w:r>
                </w:p>
              </w:tc>
              <w:tc>
                <w:tcPr>
                  <w:tcW w:w="1002" w:type="pct"/>
                </w:tcPr>
                <w:p w14:paraId="429131BA" w14:textId="77777777" w:rsidR="00DE1537" w:rsidRDefault="00DE1537" w:rsidP="00343F3E">
                  <w:pPr>
                    <w:pStyle w:val="TableBodyText"/>
                  </w:pPr>
                  <w:r>
                    <w:t>2</w:t>
                  </w:r>
                </w:p>
              </w:tc>
              <w:tc>
                <w:tcPr>
                  <w:tcW w:w="1003" w:type="pct"/>
                </w:tcPr>
                <w:p w14:paraId="572D8B94" w14:textId="77777777" w:rsidR="00DE1537" w:rsidRDefault="00DE1537" w:rsidP="00343F3E">
                  <w:pPr>
                    <w:pStyle w:val="TableBodyText"/>
                  </w:pPr>
                  <w:r>
                    <w:t>1</w:t>
                  </w:r>
                </w:p>
              </w:tc>
              <w:tc>
                <w:tcPr>
                  <w:tcW w:w="1086" w:type="pct"/>
                  <w:shd w:val="clear" w:color="auto" w:fill="auto"/>
                </w:tcPr>
                <w:p w14:paraId="095092E6" w14:textId="77777777" w:rsidR="00DE1537" w:rsidRDefault="00DE1537" w:rsidP="00343F3E">
                  <w:pPr>
                    <w:pStyle w:val="TableBodyText"/>
                  </w:pPr>
                  <w:r>
                    <w:t>5</w:t>
                  </w:r>
                </w:p>
              </w:tc>
              <w:tc>
                <w:tcPr>
                  <w:tcW w:w="1171" w:type="pct"/>
                  <w:shd w:val="clear" w:color="auto" w:fill="auto"/>
                </w:tcPr>
                <w:p w14:paraId="732024C5" w14:textId="77777777" w:rsidR="00DE1537" w:rsidRDefault="00DE1537" w:rsidP="00343F3E">
                  <w:pPr>
                    <w:pStyle w:val="TableBodyText"/>
                    <w:ind w:right="28"/>
                  </w:pPr>
                  <w:r>
                    <w:t>1</w:t>
                  </w:r>
                </w:p>
              </w:tc>
            </w:tr>
            <w:tr w:rsidR="00DE1537" w14:paraId="300EADA8" w14:textId="77777777" w:rsidTr="00343F3E">
              <w:tc>
                <w:tcPr>
                  <w:tcW w:w="739" w:type="pct"/>
                  <w:shd w:val="pct5" w:color="auto" w:fill="auto"/>
                </w:tcPr>
                <w:p w14:paraId="408D55F5" w14:textId="77777777" w:rsidR="00DE1537" w:rsidRDefault="00DE1537" w:rsidP="00343F3E">
                  <w:pPr>
                    <w:pStyle w:val="TableBodyText"/>
                    <w:jc w:val="left"/>
                  </w:pPr>
                  <w:r>
                    <w:t>NT</w:t>
                  </w:r>
                </w:p>
              </w:tc>
              <w:tc>
                <w:tcPr>
                  <w:tcW w:w="1002" w:type="pct"/>
                  <w:shd w:val="pct5" w:color="auto" w:fill="auto"/>
                </w:tcPr>
                <w:p w14:paraId="092768A1" w14:textId="77777777" w:rsidR="00DE1537" w:rsidRDefault="00DE1537" w:rsidP="00343F3E">
                  <w:pPr>
                    <w:pStyle w:val="TableBodyText"/>
                  </w:pPr>
                  <w:r>
                    <w:t>1</w:t>
                  </w:r>
                </w:p>
              </w:tc>
              <w:tc>
                <w:tcPr>
                  <w:tcW w:w="1003" w:type="pct"/>
                  <w:shd w:val="pct5" w:color="auto" w:fill="auto"/>
                </w:tcPr>
                <w:p w14:paraId="47E5AD0C" w14:textId="77777777" w:rsidR="00DE1537" w:rsidRDefault="00DE1537" w:rsidP="00343F3E">
                  <w:pPr>
                    <w:pStyle w:val="TableBodyText"/>
                  </w:pPr>
                  <w:r>
                    <w:t>6</w:t>
                  </w:r>
                </w:p>
              </w:tc>
              <w:tc>
                <w:tcPr>
                  <w:tcW w:w="1086" w:type="pct"/>
                  <w:shd w:val="pct5" w:color="auto" w:fill="auto"/>
                </w:tcPr>
                <w:p w14:paraId="512C86EA" w14:textId="77777777" w:rsidR="00DE1537" w:rsidRDefault="00DE1537" w:rsidP="00343F3E">
                  <w:pPr>
                    <w:pStyle w:val="TableBodyText"/>
                  </w:pPr>
                  <w:r>
                    <w:t>5</w:t>
                  </w:r>
                </w:p>
              </w:tc>
              <w:tc>
                <w:tcPr>
                  <w:tcW w:w="1171" w:type="pct"/>
                  <w:shd w:val="pct5" w:color="auto" w:fill="auto"/>
                </w:tcPr>
                <w:p w14:paraId="3440ABE1" w14:textId="77777777" w:rsidR="00DE1537" w:rsidRDefault="00DE1537" w:rsidP="00343F3E">
                  <w:pPr>
                    <w:pStyle w:val="TableBodyText"/>
                    <w:ind w:right="28"/>
                  </w:pPr>
                  <w:r>
                    <w:t>1</w:t>
                  </w:r>
                </w:p>
              </w:tc>
            </w:tr>
            <w:tr w:rsidR="00DE1537" w14:paraId="397540C0" w14:textId="77777777" w:rsidTr="00343F3E">
              <w:tc>
                <w:tcPr>
                  <w:tcW w:w="739" w:type="pct"/>
                  <w:tcBorders>
                    <w:bottom w:val="single" w:sz="6" w:space="0" w:color="BFBFBF"/>
                  </w:tcBorders>
                  <w:shd w:val="clear" w:color="auto" w:fill="auto"/>
                </w:tcPr>
                <w:p w14:paraId="3E28D47B" w14:textId="77777777" w:rsidR="00DE1537" w:rsidRDefault="00DE1537" w:rsidP="00343F3E">
                  <w:pPr>
                    <w:pStyle w:val="TableBodyText"/>
                    <w:jc w:val="left"/>
                  </w:pPr>
                  <w:r>
                    <w:t>ACT</w:t>
                  </w:r>
                </w:p>
              </w:tc>
              <w:tc>
                <w:tcPr>
                  <w:tcW w:w="1002" w:type="pct"/>
                  <w:tcBorders>
                    <w:bottom w:val="single" w:sz="6" w:space="0" w:color="BFBFBF"/>
                  </w:tcBorders>
                </w:tcPr>
                <w:p w14:paraId="3F6C5357" w14:textId="77777777" w:rsidR="00DE1537" w:rsidRDefault="00DE1537" w:rsidP="00343F3E">
                  <w:pPr>
                    <w:pStyle w:val="TableBodyText"/>
                  </w:pPr>
                  <w:r>
                    <w:t>2</w:t>
                  </w:r>
                </w:p>
              </w:tc>
              <w:tc>
                <w:tcPr>
                  <w:tcW w:w="1003" w:type="pct"/>
                  <w:tcBorders>
                    <w:bottom w:val="single" w:sz="6" w:space="0" w:color="BFBFBF"/>
                  </w:tcBorders>
                </w:tcPr>
                <w:p w14:paraId="39C61695" w14:textId="77777777" w:rsidR="00DE1537" w:rsidRDefault="00DE1537" w:rsidP="00343F3E">
                  <w:pPr>
                    <w:pStyle w:val="TableBodyText"/>
                  </w:pPr>
                  <w:r>
                    <w:t>1</w:t>
                  </w:r>
                </w:p>
              </w:tc>
              <w:tc>
                <w:tcPr>
                  <w:tcW w:w="1086" w:type="pct"/>
                  <w:tcBorders>
                    <w:bottom w:val="single" w:sz="6" w:space="0" w:color="BFBFBF"/>
                  </w:tcBorders>
                  <w:shd w:val="clear" w:color="auto" w:fill="auto"/>
                </w:tcPr>
                <w:p w14:paraId="7F5D3422" w14:textId="77777777" w:rsidR="00DE1537" w:rsidRDefault="00DE1537" w:rsidP="00343F3E">
                  <w:pPr>
                    <w:pStyle w:val="TableBodyText"/>
                  </w:pPr>
                  <w:r>
                    <w:t>5</w:t>
                  </w:r>
                </w:p>
              </w:tc>
              <w:tc>
                <w:tcPr>
                  <w:tcW w:w="1171" w:type="pct"/>
                  <w:tcBorders>
                    <w:bottom w:val="single" w:sz="6" w:space="0" w:color="BFBFBF"/>
                  </w:tcBorders>
                  <w:shd w:val="clear" w:color="auto" w:fill="auto"/>
                </w:tcPr>
                <w:p w14:paraId="35A5ECAC" w14:textId="77777777" w:rsidR="00DE1537" w:rsidRDefault="00DE1537" w:rsidP="00343F3E">
                  <w:pPr>
                    <w:pStyle w:val="TableBodyText"/>
                    <w:ind w:right="28"/>
                  </w:pPr>
                  <w:r>
                    <w:t>1</w:t>
                  </w:r>
                </w:p>
              </w:tc>
            </w:tr>
          </w:tbl>
          <w:p w14:paraId="6241DD6A" w14:textId="77777777" w:rsidR="00DE1537" w:rsidRDefault="00DE1537" w:rsidP="00343F3E">
            <w:pPr>
              <w:pStyle w:val="Box"/>
            </w:pPr>
          </w:p>
        </w:tc>
      </w:tr>
      <w:tr w:rsidR="00DE1537" w14:paraId="35F47BAC" w14:textId="77777777" w:rsidTr="00343F3E">
        <w:trPr>
          <w:cantSplit/>
        </w:trPr>
        <w:tc>
          <w:tcPr>
            <w:tcW w:w="8771" w:type="dxa"/>
            <w:tcBorders>
              <w:top w:val="nil"/>
              <w:left w:val="nil"/>
              <w:bottom w:val="nil"/>
              <w:right w:val="nil"/>
            </w:tcBorders>
            <w:shd w:val="clear" w:color="auto" w:fill="auto"/>
          </w:tcPr>
          <w:p w14:paraId="644E969A" w14:textId="77777777" w:rsidR="00DE1537" w:rsidRDefault="00DE1537" w:rsidP="00343F3E">
            <w:pPr>
              <w:pStyle w:val="Note"/>
              <w:rPr>
                <w:i/>
              </w:rPr>
            </w:pPr>
            <w:proofErr w:type="gramStart"/>
            <w:r w:rsidRPr="008E77FE">
              <w:rPr>
                <w:rStyle w:val="NoteLabel"/>
              </w:rPr>
              <w:t>a</w:t>
            </w:r>
            <w:proofErr w:type="gramEnd"/>
            <w:r>
              <w:t xml:space="preserve"> Shares based on estimated residential population data from 2011 Census. </w:t>
            </w:r>
            <w:proofErr w:type="gramStart"/>
            <w:r>
              <w:rPr>
                <w:rStyle w:val="NoteLabel"/>
              </w:rPr>
              <w:t>b</w:t>
            </w:r>
            <w:proofErr w:type="gramEnd"/>
            <w:r>
              <w:rPr>
                <w:rStyle w:val="NoteLabel"/>
              </w:rPr>
              <w:t xml:space="preserve"> </w:t>
            </w:r>
            <w:r>
              <w:t xml:space="preserve">Shares based on the individual contribution of each state and territory to total national insurance losses (deflated by CPI). </w:t>
            </w:r>
            <w:proofErr w:type="gramStart"/>
            <w:r>
              <w:rPr>
                <w:rStyle w:val="NoteLabel"/>
              </w:rPr>
              <w:t>c</w:t>
            </w:r>
            <w:proofErr w:type="gramEnd"/>
            <w:r>
              <w:t xml:space="preserve"> Shares based on current allocation of NPANDR funding. </w:t>
            </w:r>
            <w:r>
              <w:rPr>
                <w:rStyle w:val="NoteLabel"/>
              </w:rPr>
              <w:t>d</w:t>
            </w:r>
            <w:r>
              <w:t xml:space="preserve"> Shares calculated as the individual contribution of each state and territory to the Australian Average Annual Loss, which corresponds to the sum of all simulated losses divided by the length of the simulated record (50 000 years).</w:t>
            </w:r>
          </w:p>
        </w:tc>
      </w:tr>
      <w:tr w:rsidR="00DE1537" w14:paraId="50974383" w14:textId="77777777" w:rsidTr="00343F3E">
        <w:trPr>
          <w:cantSplit/>
        </w:trPr>
        <w:tc>
          <w:tcPr>
            <w:tcW w:w="8771" w:type="dxa"/>
            <w:tcBorders>
              <w:top w:val="nil"/>
              <w:left w:val="nil"/>
              <w:bottom w:val="nil"/>
              <w:right w:val="nil"/>
            </w:tcBorders>
            <w:shd w:val="clear" w:color="auto" w:fill="auto"/>
          </w:tcPr>
          <w:p w14:paraId="7F393445" w14:textId="2EFB4E79" w:rsidR="00DE1537" w:rsidRDefault="00DE1537" w:rsidP="00343F3E">
            <w:pPr>
              <w:pStyle w:val="Source"/>
            </w:pPr>
            <w:r>
              <w:rPr>
                <w:i/>
              </w:rPr>
              <w:t>Sources</w:t>
            </w:r>
            <w:r w:rsidRPr="00091A63">
              <w:t>:</w:t>
            </w:r>
            <w:r>
              <w:t xml:space="preserve"> ICA </w:t>
            </w:r>
            <w:r w:rsidR="007C5656" w:rsidRPr="007C5656">
              <w:rPr>
                <w:rFonts w:cs="Arial"/>
              </w:rPr>
              <w:t>(2014e)</w:t>
            </w:r>
            <w:r>
              <w:t xml:space="preserve">; </w:t>
            </w:r>
            <w:r w:rsidRPr="008D64F3">
              <w:t>Risk Frontiers</w:t>
            </w:r>
            <w:r>
              <w:t xml:space="preserve"> unpublished data</w:t>
            </w:r>
            <w:r w:rsidRPr="008D64F3">
              <w:t xml:space="preserve"> </w:t>
            </w:r>
            <w:r>
              <w:t>(pers. comm., 12 November 2014)</w:t>
            </w:r>
            <w:r w:rsidRPr="008D64F3">
              <w:t>; Productivity Commission estimates.</w:t>
            </w:r>
          </w:p>
        </w:tc>
      </w:tr>
      <w:tr w:rsidR="00DE1537" w14:paraId="371366E5" w14:textId="77777777" w:rsidTr="00343F3E">
        <w:trPr>
          <w:cantSplit/>
        </w:trPr>
        <w:tc>
          <w:tcPr>
            <w:tcW w:w="8771" w:type="dxa"/>
            <w:tcBorders>
              <w:top w:val="nil"/>
              <w:left w:val="nil"/>
              <w:bottom w:val="single" w:sz="6" w:space="0" w:color="78A22F"/>
              <w:right w:val="nil"/>
            </w:tcBorders>
            <w:shd w:val="clear" w:color="auto" w:fill="auto"/>
          </w:tcPr>
          <w:p w14:paraId="5605C996" w14:textId="77777777" w:rsidR="00DE1537" w:rsidRDefault="00DE1537" w:rsidP="00343F3E">
            <w:pPr>
              <w:pStyle w:val="Box"/>
              <w:spacing w:before="0" w:line="120" w:lineRule="exact"/>
            </w:pPr>
          </w:p>
        </w:tc>
      </w:tr>
      <w:tr w:rsidR="00DE1537" w:rsidRPr="000863A5" w14:paraId="242D4FD3" w14:textId="77777777" w:rsidTr="00343F3E">
        <w:tc>
          <w:tcPr>
            <w:tcW w:w="8771" w:type="dxa"/>
            <w:tcBorders>
              <w:top w:val="single" w:sz="6" w:space="0" w:color="78A22F"/>
              <w:left w:val="nil"/>
              <w:bottom w:val="nil"/>
              <w:right w:val="nil"/>
            </w:tcBorders>
          </w:tcPr>
          <w:p w14:paraId="7E5F2C24" w14:textId="77777777" w:rsidR="00DE1537" w:rsidRPr="00626D32" w:rsidRDefault="00DE1537" w:rsidP="00343F3E">
            <w:pPr>
              <w:pStyle w:val="BoxSpaceBelow"/>
            </w:pPr>
          </w:p>
        </w:tc>
      </w:tr>
    </w:tbl>
    <w:p w14:paraId="795C16F5" w14:textId="77777777" w:rsidR="00DE1537" w:rsidRPr="005E48AE" w:rsidRDefault="00DE1537" w:rsidP="00343F3E">
      <w:pPr>
        <w:pStyle w:val="BodyText"/>
      </w:pPr>
      <w:r w:rsidRPr="005E48AE">
        <w:t>Although there appears to be strong support for a risk</w:t>
      </w:r>
      <w:r w:rsidRPr="005E48AE">
        <w:noBreakHyphen/>
        <w:t>based distribution, there is no common understanding of what constitutes, or should inform, such a distribution. Some stakeholders assess risk, and the subsequent need for mitigation funding, based on past natural disaster events, while others take the view that it should be based on future disaster risks (for example, based on catastrophe loss modelling). For some stakeholders, the objective of risk</w:t>
      </w:r>
      <w:r w:rsidRPr="005E48AE">
        <w:noBreakHyphen/>
        <w:t xml:space="preserve">based mitigation funding is to </w:t>
      </w:r>
      <w:proofErr w:type="gramStart"/>
      <w:r w:rsidRPr="005E48AE">
        <w:t>mitigate</w:t>
      </w:r>
      <w:proofErr w:type="gramEnd"/>
      <w:r w:rsidRPr="005E48AE">
        <w:t xml:space="preserve"> against community</w:t>
      </w:r>
      <w:r w:rsidRPr="005E48AE">
        <w:noBreakHyphen/>
        <w:t>wide risks, while for others the priority is to reduce potential future NDRRA liabilities that largely relate to essential public assets.</w:t>
      </w:r>
    </w:p>
    <w:p w14:paraId="5CE9B5E1" w14:textId="69E2DE89" w:rsidR="00DE1537" w:rsidRPr="005E48AE" w:rsidRDefault="00DE1537" w:rsidP="00343F3E">
      <w:pPr>
        <w:pStyle w:val="BodyText"/>
      </w:pPr>
      <w:r>
        <w:t>Some i</w:t>
      </w:r>
      <w:r w:rsidRPr="005E48AE">
        <w:t>nquiry participants suggested that risk assessments based on the National Emergency Risk Assessment Guidelines (NERAG) could form the basis of risk</w:t>
      </w:r>
      <w:r w:rsidRPr="005E48AE">
        <w:noBreakHyphen/>
        <w:t xml:space="preserve">based prioritisation for mitigation projects (Government of South Australia, sub. DR209). The NERAG provide a methodology to assess risk from emergency events. Although the NERAG focus primarily on risk assessment rather than risk management, they are intended to provide comparable outputs to improve decision making for prioritising risk mitigation activities (NEMC 2010). Some participants did not support the NERAG as a risk assessment tool. </w:t>
      </w:r>
      <w:proofErr w:type="gramStart"/>
      <w:r w:rsidRPr="005E48AE">
        <w:t>For example, the Queensland Government (sub.</w:t>
      </w:r>
      <w:proofErr w:type="gramEnd"/>
      <w:r w:rsidRPr="005E48AE">
        <w:t> DR184) argued that NERAG</w:t>
      </w:r>
      <w:r w:rsidRPr="005E48AE">
        <w:noBreakHyphen/>
        <w:t xml:space="preserve">based assessments would not be suitable for interstate risk comparisons because </w:t>
      </w:r>
      <w:r w:rsidRPr="005E48AE">
        <w:lastRenderedPageBreak/>
        <w:t xml:space="preserve">of inherent subjectivity and the absence of any moderation between individual state assessments. </w:t>
      </w:r>
    </w:p>
    <w:p w14:paraId="0CF362C4" w14:textId="77777777" w:rsidR="00DE1537" w:rsidRPr="005E48AE" w:rsidRDefault="00DE1537" w:rsidP="00343F3E">
      <w:pPr>
        <w:pStyle w:val="BodyText"/>
      </w:pPr>
      <w:r w:rsidRPr="005E48AE">
        <w:t>The Commission considers that further work is required to develop a suitable methodology to distribute mitigation funding based on forward looking statewide risk assessments conducted on a nationally consistent basis. As an interim measure, the Commission proposes that mitigation funding be initially distributed to the states and territories based on the current allocation of NPANDR funds. This distribution appears to have broad support among jurisdictions, and takes into account risk</w:t>
      </w:r>
      <w:r w:rsidRPr="005E48AE">
        <w:noBreakHyphen/>
        <w:t xml:space="preserve">related factors such as population and past disaster costs. </w:t>
      </w:r>
    </w:p>
    <w:p w14:paraId="7020AD80" w14:textId="77777777" w:rsidR="00DE1537" w:rsidRPr="005E48AE" w:rsidRDefault="00DE1537" w:rsidP="00343F3E">
      <w:pPr>
        <w:pStyle w:val="BodyText"/>
      </w:pPr>
      <w:r w:rsidRPr="005E48AE">
        <w:t>As part of the broader funding reforms, the Australian Government should develop a more refined and forward looking risk</w:t>
      </w:r>
      <w:r w:rsidRPr="005E48AE">
        <w:noBreakHyphen/>
        <w:t>based formula for the allocation of mitigation funding, in consultation with the states and territories (chapter</w:t>
      </w:r>
      <w:r>
        <w:t> </w:t>
      </w:r>
      <w:r w:rsidRPr="005E48AE">
        <w:t>5). Mitigation funding should be distributed among jurisdictions on the basis of where the net benefits to the community are likely to be greatest in terms of reducing the economic costs of disasters (including damage to private and public property, injury and loss of life). The formula should account for relative levels of future natural hazard risk across jurisdictions, the community’s vulnerability and exposure to different types of natural hazards, and the likely effectiveness of mitigation. The development of the allocation model should draw on catastrophe loss modelling (as required for greater budget transparency) and evidence of the effectiveness of past mitigation measures.</w:t>
      </w:r>
    </w:p>
    <w:p w14:paraId="30ACFF76" w14:textId="11359795" w:rsidR="00DE1537" w:rsidRDefault="00DE1537" w:rsidP="00343F3E">
      <w:pPr>
        <w:pStyle w:val="Heading2"/>
      </w:pPr>
      <w:bookmarkStart w:id="64" w:name="_Toc406424333"/>
      <w:r>
        <w:t>4.</w:t>
      </w:r>
      <w:r>
        <w:rPr>
          <w:noProof/>
        </w:rPr>
        <w:t>5</w:t>
      </w:r>
      <w:r>
        <w:tab/>
        <w:t>Funding and financing mechanisms</w:t>
      </w:r>
      <w:bookmarkEnd w:id="64"/>
    </w:p>
    <w:p w14:paraId="77D1245C" w14:textId="77777777" w:rsidR="00DE1537" w:rsidRDefault="00DE1537" w:rsidP="00343F3E">
      <w:pPr>
        <w:pStyle w:val="BodyText"/>
      </w:pPr>
      <w:r>
        <w:t xml:space="preserve">The overall objective of funding and financing arrangements for mitigation should be to increase the wellbeing of the community by reducing the net costs of natural disasters, while ensuring an efficient allocation of the costs. Responsibilities for financing and funding natural disaster risk management are spread across households, businesses, all levels of government, insurers and the broader community. </w:t>
      </w:r>
    </w:p>
    <w:p w14:paraId="2D6CDD1A" w14:textId="77777777" w:rsidR="00DE1537" w:rsidRPr="00402662" w:rsidRDefault="00DE1537">
      <w:pPr>
        <w:pStyle w:val="ListBullet"/>
      </w:pPr>
      <w:r>
        <w:t>F</w:t>
      </w:r>
      <w:r w:rsidRPr="00402662">
        <w:t xml:space="preserve">inancing refers to the supply of capital to pay the upfront investment costs of natural disaster </w:t>
      </w:r>
      <w:r>
        <w:t xml:space="preserve">risk </w:t>
      </w:r>
      <w:r w:rsidRPr="00402662">
        <w:t>management</w:t>
      </w:r>
      <w:r>
        <w:t>.</w:t>
      </w:r>
    </w:p>
    <w:p w14:paraId="446AF5B4" w14:textId="77777777" w:rsidR="00DE1537" w:rsidRPr="00F21FD0" w:rsidRDefault="00DE1537">
      <w:pPr>
        <w:pStyle w:val="ListBullet"/>
      </w:pPr>
      <w:r>
        <w:t>F</w:t>
      </w:r>
      <w:r w:rsidRPr="00F278C6">
        <w:t xml:space="preserve">unding refers to the revenue sources and streams used to repay the financing costs </w:t>
      </w:r>
      <w:r w:rsidRPr="008E41BF">
        <w:t xml:space="preserve">of </w:t>
      </w:r>
      <w:r w:rsidRPr="00B87CFA">
        <w:t xml:space="preserve">the mitigation </w:t>
      </w:r>
      <w:r w:rsidRPr="00AC02EC">
        <w:t>activity or over the life of an asset.</w:t>
      </w:r>
      <w:r>
        <w:t xml:space="preserve"> </w:t>
      </w:r>
    </w:p>
    <w:p w14:paraId="5660CA43" w14:textId="77777777" w:rsidR="00DE1537" w:rsidRDefault="00DE1537" w:rsidP="00343F3E">
      <w:pPr>
        <w:pStyle w:val="Heading3"/>
      </w:pPr>
      <w:r>
        <w:t>Pr</w:t>
      </w:r>
      <w:r w:rsidRPr="00A37B30">
        <w:t>inciples</w:t>
      </w:r>
      <w:r>
        <w:t xml:space="preserve"> for allocating costs </w:t>
      </w:r>
    </w:p>
    <w:p w14:paraId="5A3C5E4E" w14:textId="77777777" w:rsidR="00DE1537" w:rsidRDefault="00DE1537" w:rsidP="00343F3E">
      <w:pPr>
        <w:pStyle w:val="BodyText"/>
      </w:pPr>
      <w:r>
        <w:t>Although natural hazards are outside the control of any party, some may have influence over the level of exposure to the hazard and hence the potential damages that will arise in the event of a natural disaster. Efficient funding arrangements for mitigation activities should be based on cost</w:t>
      </w:r>
      <w:r>
        <w:noBreakHyphen/>
        <w:t xml:space="preserve">sharing principles that require the party that can most influence the level of risk to fund mitigation activities. A similar framework was proposed for the NSW </w:t>
      </w:r>
      <w:r>
        <w:lastRenderedPageBreak/>
        <w:t xml:space="preserve">Government for cost recovery of land management services (IPART, sub. 26). This approach involves identifying those parties that influence the risk of exposure to natural disasters and the beneficiaries of measures to </w:t>
      </w:r>
      <w:proofErr w:type="gramStart"/>
      <w:r>
        <w:t>mitigate</w:t>
      </w:r>
      <w:proofErr w:type="gramEnd"/>
      <w:r>
        <w:t xml:space="preserve"> against risk. </w:t>
      </w:r>
    </w:p>
    <w:p w14:paraId="58FABABD" w14:textId="77777777" w:rsidR="00DE1537" w:rsidRDefault="00DE1537">
      <w:pPr>
        <w:pStyle w:val="ListBullet"/>
      </w:pPr>
      <w:r>
        <w:t xml:space="preserve">In the first instance, costs should be allocated to parties that influence the risk or that have the most control over the risk (including government agencies). </w:t>
      </w:r>
    </w:p>
    <w:p w14:paraId="25DACDC9" w14:textId="77777777" w:rsidR="00DE1537" w:rsidRDefault="00DE1537">
      <w:pPr>
        <w:pStyle w:val="ListBullet"/>
      </w:pPr>
      <w:r>
        <w:t>Where this is not possible or there are no risk creators, then the beneficiary should pay (with costs allocated to direct beneficiaries before indirect beneficiaries).</w:t>
      </w:r>
    </w:p>
    <w:p w14:paraId="56156BCA" w14:textId="77777777" w:rsidR="00DE1537" w:rsidRDefault="00DE1537">
      <w:pPr>
        <w:pStyle w:val="ListBullet"/>
      </w:pPr>
      <w:r>
        <w:t xml:space="preserve">Only if neither of these options </w:t>
      </w:r>
      <w:proofErr w:type="gramStart"/>
      <w:r>
        <w:t>are</w:t>
      </w:r>
      <w:proofErr w:type="gramEnd"/>
      <w:r>
        <w:t xml:space="preserve"> feasible should costs be funded through taxation sources. </w:t>
      </w:r>
    </w:p>
    <w:p w14:paraId="0ED50113" w14:textId="77777777" w:rsidR="00DE1537" w:rsidRDefault="00DE1537" w:rsidP="00343F3E">
      <w:pPr>
        <w:pStyle w:val="BodyText"/>
      </w:pPr>
      <w:r>
        <w:t xml:space="preserve">Cost allocation based on these principles provides a price signal to the identified party (whether risk influencer or beneficiary) of the costs of their decisions or actions and therefore, provides incentives to alter risky behaviour. </w:t>
      </w:r>
    </w:p>
    <w:p w14:paraId="1C96DD78" w14:textId="77777777" w:rsidR="00DE1537" w:rsidRDefault="00DE1537" w:rsidP="00343F3E">
      <w:pPr>
        <w:pStyle w:val="Heading3"/>
      </w:pPr>
      <w:r>
        <w:t>Government funding</w:t>
      </w:r>
    </w:p>
    <w:p w14:paraId="62BAF479" w14:textId="77777777" w:rsidR="00DE1537" w:rsidRDefault="00DE1537" w:rsidP="00343F3E">
      <w:pPr>
        <w:pStyle w:val="BodyText"/>
      </w:pPr>
      <w:r>
        <w:t>Government funding for natural disaster mitigation can be recouped in several ways. Ultimately, it has to come from charging those that can influence risk, the beneficiaries, or the wider community through taxation and other sources of public revenue.</w:t>
      </w:r>
    </w:p>
    <w:p w14:paraId="3941A26B" w14:textId="77777777" w:rsidR="00DE1537" w:rsidRDefault="00DE1537" w:rsidP="00343F3E">
      <w:pPr>
        <w:pStyle w:val="Heading4"/>
      </w:pPr>
      <w:r>
        <w:t>User charging and ‘beneficiaries pay’</w:t>
      </w:r>
    </w:p>
    <w:p w14:paraId="2600C242" w14:textId="77777777" w:rsidR="00DE1537" w:rsidRDefault="00DE1537" w:rsidP="00343F3E">
      <w:pPr>
        <w:pStyle w:val="BodyText"/>
      </w:pPr>
      <w:r>
        <w:t>In principle, user charges (prices) based on the cost of provision should be the default option for funding mitigation as they provide a clear signal about the cost of mitigation and incentives for more efficient use of a service or asset. However, some types of mitigation have characteristics similar to social infrastructure (for example, education and health), such as the inability to price externalities and non</w:t>
      </w:r>
      <w:r>
        <w:noBreakHyphen/>
        <w:t>market benefits. There may be limited scope to implement efficient user charging for social infrastructure, unlike the case for economic infrastructure (for example, electricity and water distribution) where it is widely and discretely used. However, there can still be scope to recover at least some of the costs</w:t>
      </w:r>
      <w:r w:rsidRPr="00F37CE8">
        <w:t xml:space="preserve"> </w:t>
      </w:r>
      <w:r>
        <w:t xml:space="preserve">by </w:t>
      </w:r>
      <w:r w:rsidRPr="00F37CE8">
        <w:t>direct</w:t>
      </w:r>
      <w:r>
        <w:t>ly</w:t>
      </w:r>
      <w:r w:rsidRPr="00F37CE8">
        <w:t xml:space="preserve"> charging</w:t>
      </w:r>
      <w:r>
        <w:t xml:space="preserve"> the beneficiaries. </w:t>
      </w:r>
    </w:p>
    <w:p w14:paraId="06291A39" w14:textId="77777777" w:rsidR="00DE1537" w:rsidRDefault="00DE1537" w:rsidP="00343F3E">
      <w:pPr>
        <w:pStyle w:val="BodyText"/>
      </w:pPr>
      <w:r>
        <w:t>There are several ways that local (and state and territory) governments can charge the beneficiaries of natural disaster mitigation. These include land taxes and municipal rates, as well as developer charges and betterment levies. In addition, where mitigation provides benefits to the community over a considerable period of time (as is generally the case for infrastructure), it may be appropriate to finance the upfront costs through borrowing. Repayment of the debt over time (using revenue collected from rates, levies or other taxes) allows the costs of the asset to be matched with the benefits from the consumption of the services over the life of the asset, thereby promoting intergenerational equity.</w:t>
      </w:r>
    </w:p>
    <w:p w14:paraId="71DFB1AE" w14:textId="77777777" w:rsidR="00DE1537" w:rsidRDefault="00DE1537" w:rsidP="00343F3E">
      <w:pPr>
        <w:pStyle w:val="Heading5"/>
      </w:pPr>
      <w:r>
        <w:lastRenderedPageBreak/>
        <w:t>Rates and property charges</w:t>
      </w:r>
    </w:p>
    <w:p w14:paraId="2DB04A29" w14:textId="77777777" w:rsidR="00DE1537" w:rsidRDefault="00DE1537" w:rsidP="00343F3E">
      <w:pPr>
        <w:pStyle w:val="BodyText"/>
      </w:pPr>
      <w:r>
        <w:t xml:space="preserve">Municipal rates </w:t>
      </w:r>
      <w:r w:rsidRPr="009B061B">
        <w:t xml:space="preserve">are an efficient source of revenue </w:t>
      </w:r>
      <w:r>
        <w:t xml:space="preserve">for local governments to fund mitigation. Rates are generally levied on the capital improved value of land, which is an immobile resource, and hence </w:t>
      </w:r>
      <w:r w:rsidRPr="009B061B">
        <w:t xml:space="preserve">do not </w:t>
      </w:r>
      <w:r>
        <w:t>influence</w:t>
      </w:r>
      <w:r w:rsidRPr="009B061B">
        <w:t xml:space="preserve"> </w:t>
      </w:r>
      <w:r>
        <w:t>land use decisions</w:t>
      </w:r>
      <w:r w:rsidRPr="009B061B">
        <w:t>.</w:t>
      </w:r>
      <w:r>
        <w:t xml:space="preserve"> Local governments can do this via general rates (where those that benefit from mitigation cannot be identified or excluded, or where there are community ‘flow on’ benefits) or through differentiated rates levied on residents who benefit directly from mitigation. Councils can also recover mitigation costs </w:t>
      </w:r>
      <w:r w:rsidRPr="000F1414">
        <w:t>via developer charges or c</w:t>
      </w:r>
      <w:r>
        <w:t xml:space="preserve">ontributions (which are usually </w:t>
      </w:r>
      <w:r w:rsidRPr="000F1414">
        <w:t>capitalise</w:t>
      </w:r>
      <w:r>
        <w:t xml:space="preserve">d in the property value). This can be an equitable approach where costs </w:t>
      </w:r>
      <w:r w:rsidRPr="000F1414">
        <w:t xml:space="preserve">are directly attributable to individual property </w:t>
      </w:r>
      <w:r>
        <w:t xml:space="preserve">owners. As noted by the Lockyer Valley Regional Council (Qld) (sub. 108), increasingly disaster management activities are core services of local government </w:t>
      </w:r>
      <w:r w:rsidRPr="00BE480D">
        <w:t>funded through the general rate revenue bas</w:t>
      </w:r>
      <w:r>
        <w:t>e</w:t>
      </w:r>
      <w:r w:rsidRPr="00BE480D">
        <w:t xml:space="preserve"> as part of other</w:t>
      </w:r>
      <w:r>
        <w:t xml:space="preserve"> services and programs. This is primarily through infrastructure programs and implementation of planning schemes via development approvals. Some local governments have used or proposed special levies to fund infrastructure and other works for the purposes of mitigation (box 4.9).</w:t>
      </w:r>
    </w:p>
    <w:p w14:paraId="5F19DA96"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1C6E173" w14:textId="77777777" w:rsidTr="00343F3E">
        <w:tc>
          <w:tcPr>
            <w:tcW w:w="8771" w:type="dxa"/>
            <w:tcBorders>
              <w:top w:val="single" w:sz="6" w:space="0" w:color="78A22F"/>
              <w:left w:val="nil"/>
              <w:bottom w:val="nil"/>
              <w:right w:val="nil"/>
            </w:tcBorders>
            <w:shd w:val="clear" w:color="auto" w:fill="F2F2F2" w:themeFill="background1" w:themeFillShade="F2"/>
          </w:tcPr>
          <w:p w14:paraId="7DE3A892" w14:textId="4CC950C5" w:rsidR="00DE1537" w:rsidRDefault="00DE1537">
            <w:pPr>
              <w:pStyle w:val="BoxTitle"/>
            </w:pPr>
            <w:r>
              <w:rPr>
                <w:b w:val="0"/>
              </w:rPr>
              <w:t>Box 4.</w:t>
            </w:r>
            <w:r>
              <w:rPr>
                <w:b w:val="0"/>
                <w:noProof/>
              </w:rPr>
              <w:t>9</w:t>
            </w:r>
            <w:r>
              <w:tab/>
              <w:t>Local government use of special levies for mitigation works</w:t>
            </w:r>
          </w:p>
        </w:tc>
      </w:tr>
      <w:tr w:rsidR="00DE1537" w14:paraId="24457E25" w14:textId="77777777" w:rsidTr="00343F3E">
        <w:trPr>
          <w:cantSplit/>
        </w:trPr>
        <w:tc>
          <w:tcPr>
            <w:tcW w:w="8771" w:type="dxa"/>
            <w:tcBorders>
              <w:top w:val="nil"/>
              <w:left w:val="nil"/>
              <w:bottom w:val="nil"/>
              <w:right w:val="nil"/>
            </w:tcBorders>
            <w:shd w:val="clear" w:color="auto" w:fill="F2F2F2" w:themeFill="background1" w:themeFillShade="F2"/>
          </w:tcPr>
          <w:p w14:paraId="65C3CEB8" w14:textId="77777777" w:rsidR="00DE1537" w:rsidRDefault="00DE1537" w:rsidP="00343F3E">
            <w:pPr>
              <w:pStyle w:val="Box"/>
            </w:pPr>
            <w:r w:rsidRPr="00AC02EC">
              <w:rPr>
                <w:b/>
              </w:rPr>
              <w:t xml:space="preserve">Cairns Regional </w:t>
            </w:r>
            <w:r w:rsidRPr="00AA54F5">
              <w:rPr>
                <w:b/>
              </w:rPr>
              <w:t>Council</w:t>
            </w:r>
            <w:r w:rsidRPr="00D10B09">
              <w:rPr>
                <w:b/>
              </w:rPr>
              <w:t xml:space="preserve"> (Qld)</w:t>
            </w:r>
            <w:r>
              <w:t xml:space="preserve"> </w:t>
            </w:r>
            <w:r w:rsidRPr="00B83F33">
              <w:t xml:space="preserve">used the Special Levy provisions in the </w:t>
            </w:r>
            <w:r w:rsidRPr="008F1EB0">
              <w:rPr>
                <w:i/>
              </w:rPr>
              <w:t>Local Government Act 2009</w:t>
            </w:r>
            <w:r>
              <w:t xml:space="preserve"> (Qld) </w:t>
            </w:r>
            <w:r w:rsidRPr="00B83F33">
              <w:t>to fund the construc</w:t>
            </w:r>
            <w:r>
              <w:t>tion of the Holloways Beach sea</w:t>
            </w:r>
            <w:r w:rsidRPr="00B83F33">
              <w:t>wall</w:t>
            </w:r>
            <w:r>
              <w:t xml:space="preserve">, designed to protect </w:t>
            </w:r>
            <w:r w:rsidRPr="00B83F33">
              <w:t>residential properties from the effects of erosion from the sea.</w:t>
            </w:r>
            <w:r>
              <w:t xml:space="preserve"> The overall plan adopted by the Council in 2003 identified the rateable land to which the special charge was to apply. Funds from the levy were to be used to repay the costs of constructing the seawall, which was financed by a loan from the Queensland Treasury Corporation to be drawn down over a 20 year period. The Council noted this funding approach was not used for similar structures at Clifton Beach and Machans Beach, reflecting a view that the infrastructure would have benefits to the broader community (FNQROC, sub. 36). </w:t>
            </w:r>
          </w:p>
          <w:p w14:paraId="23DE4FCC" w14:textId="734E3BEE" w:rsidR="00DE1537" w:rsidRDefault="00DE1537" w:rsidP="00343F3E">
            <w:pPr>
              <w:pStyle w:val="Box"/>
            </w:pPr>
            <w:r>
              <w:t xml:space="preserve">As a result of significant erosion taking place at McEwens Beach and a number of other beaches, the former </w:t>
            </w:r>
            <w:r w:rsidRPr="00AC02EC">
              <w:rPr>
                <w:b/>
              </w:rPr>
              <w:t xml:space="preserve">Mackay City </w:t>
            </w:r>
            <w:r w:rsidRPr="00B72166">
              <w:rPr>
                <w:b/>
              </w:rPr>
              <w:t xml:space="preserve">Council </w:t>
            </w:r>
            <w:r w:rsidRPr="00D10B09">
              <w:rPr>
                <w:b/>
              </w:rPr>
              <w:t>(Qld)</w:t>
            </w:r>
            <w:r>
              <w:rPr>
                <w:b/>
              </w:rPr>
              <w:t xml:space="preserve"> </w:t>
            </w:r>
            <w:r>
              <w:t>developed a policy by which all the costs of remedial works in the form of a seawall would be solely the responsibility of the impacted or benefiting owners. Costs to be recovered via special rates or charges were determined over a period established by negotiation. The inability of residents to bear all the costs of the works led to the view that costs could be borne more equitably by the private landholder gaining benefit from the seawall’s construction and the state and local governments. The council resolved that the division of costs between each level of government and scheme beneficiaries was to be determined on a case</w:t>
            </w:r>
            <w:r>
              <w:noBreakHyphen/>
              <w:t>by</w:t>
            </w:r>
            <w:r>
              <w:noBreakHyphen/>
              <w:t xml:space="preserve">case basis </w:t>
            </w:r>
            <w:r w:rsidRPr="00775971">
              <w:rPr>
                <w:rFonts w:cs="Arial"/>
                <w:szCs w:val="24"/>
              </w:rPr>
              <w:t>(Mackay Regional Council 2009)</w:t>
            </w:r>
            <w:r>
              <w:t>.</w:t>
            </w:r>
          </w:p>
          <w:p w14:paraId="22A80E9E" w14:textId="7024E357" w:rsidR="00DE1537" w:rsidRDefault="00DE1537" w:rsidP="00343F3E">
            <w:pPr>
              <w:pStyle w:val="Box"/>
            </w:pPr>
            <w:r w:rsidRPr="00AC02EC">
              <w:rPr>
                <w:b/>
              </w:rPr>
              <w:t>Pittwater Council</w:t>
            </w:r>
            <w:r>
              <w:rPr>
                <w:b/>
              </w:rPr>
              <w:t xml:space="preserve"> (NSW)</w:t>
            </w:r>
            <w:r>
              <w:t xml:space="preserve"> proposed a special rate variation in July 2011 to cover the costs of major capital works and infrastructure upgrades to effectively replace the former Environmental Infrastructure Levy, introduced in 2002. </w:t>
            </w:r>
            <w:r w:rsidRPr="0038629B">
              <w:t xml:space="preserve">Beginning in July 2011, the proposed increase would be 5, 4 and 3 per cent each year over the existing rate structure for the next three years. The special rate variation, along with </w:t>
            </w:r>
            <w:r>
              <w:t>CPI</w:t>
            </w:r>
            <w:r w:rsidRPr="0038629B">
              <w:t xml:space="preserve"> increases in the years following</w:t>
            </w:r>
            <w:r>
              <w:t>, was</w:t>
            </w:r>
            <w:r w:rsidRPr="0038629B">
              <w:t xml:space="preserve"> intended to fund a $38</w:t>
            </w:r>
            <w:r>
              <w:t> </w:t>
            </w:r>
            <w:r w:rsidRPr="0038629B">
              <w:t>million program of infrastructure upgrades and on</w:t>
            </w:r>
            <w:r>
              <w:noBreakHyphen/>
            </w:r>
            <w:r w:rsidRPr="0038629B">
              <w:t>the</w:t>
            </w:r>
            <w:r>
              <w:noBreakHyphen/>
            </w:r>
            <w:r w:rsidRPr="0038629B">
              <w:t>ground works over the next ten years.</w:t>
            </w:r>
            <w:r>
              <w:t xml:space="preserve"> T</w:t>
            </w:r>
            <w:r w:rsidRPr="0038629B">
              <w:t xml:space="preserve">he additional funds </w:t>
            </w:r>
            <w:r>
              <w:t>were intended to</w:t>
            </w:r>
            <w:r w:rsidRPr="0038629B">
              <w:t xml:space="preserve"> be </w:t>
            </w:r>
            <w:r>
              <w:t xml:space="preserve">used for a range of projects including </w:t>
            </w:r>
            <w:proofErr w:type="gramStart"/>
            <w:r>
              <w:t>to manage</w:t>
            </w:r>
            <w:proofErr w:type="gramEnd"/>
            <w:r>
              <w:t xml:space="preserve"> bushfire and flood risks as well as emergency management measures </w:t>
            </w:r>
            <w:r w:rsidRPr="00775971">
              <w:rPr>
                <w:rFonts w:cs="Arial"/>
                <w:szCs w:val="24"/>
              </w:rPr>
              <w:t>(Pittwater Council 2012)</w:t>
            </w:r>
            <w:r>
              <w:t>.</w:t>
            </w:r>
          </w:p>
        </w:tc>
      </w:tr>
      <w:tr w:rsidR="00DE1537" w14:paraId="72F06224"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9051481" w14:textId="77777777" w:rsidR="00DE1537" w:rsidRDefault="00DE1537">
            <w:pPr>
              <w:pStyle w:val="Box"/>
              <w:spacing w:before="0" w:line="120" w:lineRule="exact"/>
            </w:pPr>
          </w:p>
        </w:tc>
      </w:tr>
      <w:tr w:rsidR="00DE1537" w:rsidRPr="000863A5" w14:paraId="7ED01670" w14:textId="77777777" w:rsidTr="00343F3E">
        <w:tc>
          <w:tcPr>
            <w:tcW w:w="8771" w:type="dxa"/>
            <w:tcBorders>
              <w:top w:val="single" w:sz="6" w:space="0" w:color="78A22F"/>
              <w:left w:val="nil"/>
              <w:bottom w:val="nil"/>
              <w:right w:val="nil"/>
            </w:tcBorders>
          </w:tcPr>
          <w:p w14:paraId="0AF1F1A6" w14:textId="77777777" w:rsidR="00DE1537" w:rsidRPr="00626D32" w:rsidRDefault="00DE1537" w:rsidP="00343F3E">
            <w:pPr>
              <w:pStyle w:val="BoxSpaceBelow"/>
            </w:pPr>
          </w:p>
        </w:tc>
      </w:tr>
    </w:tbl>
    <w:p w14:paraId="0FF9BC2E" w14:textId="14EE1B38" w:rsidR="00DE1537" w:rsidRDefault="00DE1537" w:rsidP="00343F3E">
      <w:pPr>
        <w:pStyle w:val="BodyText"/>
      </w:pPr>
      <w:r>
        <w:lastRenderedPageBreak/>
        <w:t xml:space="preserve">Some local governments have enacted policies or laws that require binding agreements to be put in place with property owners to cover the future costs of protection measures. For example, the </w:t>
      </w:r>
      <w:r w:rsidRPr="00AC02EC">
        <w:rPr>
          <w:i/>
        </w:rPr>
        <w:t>Coastal Protection Act 1979</w:t>
      </w:r>
      <w:r>
        <w:t xml:space="preserve"> (NSW) requires landowners who construct coastal protection infrastructure to cover the maintenance costs or alternatively enter into an agreement to pay the local government a coastal protection charge </w:t>
      </w:r>
      <w:r w:rsidRPr="00F21FD0">
        <w:rPr>
          <w:szCs w:val="24"/>
        </w:rPr>
        <w:t>(PC 2012)</w:t>
      </w:r>
      <w:r>
        <w:t>.</w:t>
      </w:r>
    </w:p>
    <w:p w14:paraId="7AB4DCFE" w14:textId="41CCF39A" w:rsidR="00DE1537" w:rsidRDefault="00DE1537" w:rsidP="00343F3E">
      <w:pPr>
        <w:pStyle w:val="BodyText"/>
      </w:pPr>
      <w:r>
        <w:t xml:space="preserve">Developer charges are financial contributions to the cost of acquiring land for public use, or the provision of infrastructure by others </w:t>
      </w:r>
      <w:r w:rsidRPr="00523B67">
        <w:rPr>
          <w:szCs w:val="24"/>
        </w:rPr>
        <w:t>(Chan et al. 2009)</w:t>
      </w:r>
      <w:r>
        <w:t xml:space="preserve">. These are generally upfront contributions that property developers are required to make for the infrastructure associated with the land they develop, for example, roads and sewerage systems. They can provide developers incentives to take account of a wider range of infrastructure costs, including those related to natural disaster mitigation, when deciding where and how to develop land. </w:t>
      </w:r>
    </w:p>
    <w:p w14:paraId="078EE387" w14:textId="77777777" w:rsidR="00DE1537" w:rsidRDefault="00DE1537" w:rsidP="00343F3E">
      <w:pPr>
        <w:pStyle w:val="Heading5"/>
      </w:pPr>
      <w:r w:rsidRPr="00692CDE">
        <w:t>Betterment taxes and levies</w:t>
      </w:r>
    </w:p>
    <w:p w14:paraId="0FBB7110" w14:textId="77777777" w:rsidR="00DE1537" w:rsidRDefault="00DE1537" w:rsidP="00343F3E">
      <w:pPr>
        <w:pStyle w:val="BodyText"/>
      </w:pPr>
      <w:r>
        <w:t>If there are wider and diffuse beneficiaries, governments can consider value</w:t>
      </w:r>
      <w:r>
        <w:noBreakHyphen/>
        <w:t xml:space="preserve">capture approaches to funding, such as betterment levies. A betterment levy takes the form of a supplement on property rates. When natural disaster mitigation is reflected in higher property values, betterment levies allow governments to capture some of the mitigation benefits that accrue to property owners. </w:t>
      </w:r>
    </w:p>
    <w:p w14:paraId="24ED1D13" w14:textId="71B8978D" w:rsidR="00DE1537" w:rsidRDefault="00DE1537" w:rsidP="00343F3E">
      <w:pPr>
        <w:pStyle w:val="BodyText"/>
      </w:pPr>
      <w:r>
        <w:t>Betterment levies can be an efficient means of recovering the cost of mitigation infrastructure that has diffuse benefits across local residents and businesses. These benefits can be substantial and quantifiable. Betterment levies are unlikely to have significant distortionary effects on economic activity if implemented as an increment to existing rates or taxes and as a small proportion of land value, which is an immobile resource. Betterment levies have been used to fund large</w:t>
      </w:r>
      <w:r>
        <w:noBreakHyphen/>
        <w:t xml:space="preserve">scale public infrastructure projects in Australia, but have come under political pressure from land owners and local businesses, causing the levies to be removed before infrastructure cost recovery was completed. This was the experience with levies intended to partly fund the Sydney Harbour Bridge and Melbourne Underground Rail Loop </w:t>
      </w:r>
      <w:r w:rsidRPr="006B7585">
        <w:rPr>
          <w:szCs w:val="24"/>
        </w:rPr>
        <w:t>(PC 2014)</w:t>
      </w:r>
      <w:r>
        <w:t>.</w:t>
      </w:r>
    </w:p>
    <w:p w14:paraId="37812676" w14:textId="77777777" w:rsidR="00DE1537" w:rsidRDefault="00DE1537" w:rsidP="00343F3E">
      <w:pPr>
        <w:pStyle w:val="BodyText"/>
      </w:pPr>
      <w:r>
        <w:t xml:space="preserve">Betterment levies might be considered for some types of physical mitigation infrastructure such as flood levees or seawalls where there is a sizeable group of beneficiaries and construction of the infrastructure contributes to appreciation in property values. However, in practice it is difficult to quantify the benefits of mitigation projects to local property owners and businesses. Some types of mitigation are unlikely to have any discernible effect on property values. </w:t>
      </w:r>
    </w:p>
    <w:p w14:paraId="70AD5E6C" w14:textId="77777777" w:rsidR="00DE1537" w:rsidRDefault="00DE1537" w:rsidP="00343F3E">
      <w:pPr>
        <w:pStyle w:val="BodyText"/>
      </w:pPr>
      <w:r>
        <w:t>Betterment levies are not an appropriate funding source if mitigation benefits vary markedly between properties within the levied area. If the impacts of mitigation are localised within council areas, it is likely to be more administratively simple and transparent for local governments to use council rates (including special levies) to fund such activities.</w:t>
      </w:r>
    </w:p>
    <w:p w14:paraId="460C421B" w14:textId="77777777" w:rsidR="00DE1537" w:rsidRDefault="00DE1537" w:rsidP="00343F3E">
      <w:pPr>
        <w:pStyle w:val="Heading4"/>
      </w:pPr>
      <w:r>
        <w:lastRenderedPageBreak/>
        <w:t>Taxation</w:t>
      </w:r>
    </w:p>
    <w:p w14:paraId="5F50DCCC" w14:textId="77777777" w:rsidR="00DE1537" w:rsidRDefault="00DE1537" w:rsidP="00343F3E">
      <w:pPr>
        <w:pStyle w:val="BodyText"/>
      </w:pPr>
      <w:r>
        <w:t>Governments at least partly fund some natural disaster mitigation activities by drawing on general taxation revenue where it is impractical to exclude users, wider beneficiaries are difficult to identify, or infrastructure is provided to meet equity objectives. In such cases, it is generally more efficient to source funding from broad</w:t>
      </w:r>
      <w:r>
        <w:noBreakHyphen/>
        <w:t>based taxes on income, consumption or land because such taxes have relatively low efficiency costs.</w:t>
      </w:r>
    </w:p>
    <w:p w14:paraId="3C3379E4" w14:textId="77777777" w:rsidR="00DE1537" w:rsidRDefault="00DE1537" w:rsidP="00343F3E">
      <w:pPr>
        <w:pStyle w:val="BodyText"/>
      </w:pPr>
      <w:r>
        <w:t xml:space="preserve">The Australian, state and territory governments play an important role in assisting local governments to fund mitigation in this way. The Australian Government’s greater revenue raising capacity (due to vertical fiscal imbalance) has seen it providing funding to lower levels of government for certain natural disaster management activities. State, territory and local governments have formal responsibility for most disaster management activities and provide a significant proportion of the funding. </w:t>
      </w:r>
    </w:p>
    <w:p w14:paraId="1DD7FC5E" w14:textId="77777777" w:rsidR="00DE1537" w:rsidRDefault="00DE1537" w:rsidP="00343F3E">
      <w:pPr>
        <w:pStyle w:val="Heading4"/>
      </w:pPr>
      <w:r>
        <w:t>Participant views on cost recovery</w:t>
      </w:r>
    </w:p>
    <w:p w14:paraId="01F96224" w14:textId="77777777" w:rsidR="00DE1537" w:rsidRDefault="00DE1537" w:rsidP="00343F3E">
      <w:pPr>
        <w:pStyle w:val="BodyText"/>
      </w:pPr>
      <w:r>
        <w:t>Several participants questioned the feasibility and scope to apply cost recovery based on a ‘beneficiaries</w:t>
      </w:r>
      <w:r>
        <w:noBreakHyphen/>
        <w:t>pay’ approach. This was often in the context of limitations placed on local governments raising own</w:t>
      </w:r>
      <w:r>
        <w:noBreakHyphen/>
        <w:t xml:space="preserve">source revenue or resulting from the socioeconomic profile of the affected community (discussed below). </w:t>
      </w:r>
      <w:proofErr w:type="gramStart"/>
      <w:r>
        <w:t>However, the Queensland Government (sub.</w:t>
      </w:r>
      <w:proofErr w:type="gramEnd"/>
      <w:r>
        <w:t> DR184) also argued that the theoretical basis for this approach was not appropriate because:</w:t>
      </w:r>
    </w:p>
    <w:p w14:paraId="5736B733" w14:textId="77777777" w:rsidR="00DE1537" w:rsidRDefault="00DE1537" w:rsidP="00343F3E">
      <w:pPr>
        <w:pStyle w:val="ListBullet"/>
      </w:pPr>
      <w:r w:rsidRPr="008F30EE">
        <w:t xml:space="preserve">in most cases it would be very difficult to quantify the financial benefit of mitigation </w:t>
      </w:r>
      <w:r>
        <w:t xml:space="preserve">to individuals and communities </w:t>
      </w:r>
    </w:p>
    <w:p w14:paraId="691EFB3D" w14:textId="77777777" w:rsidR="00DE1537" w:rsidRDefault="00DE1537" w:rsidP="00343F3E">
      <w:pPr>
        <w:pStyle w:val="ListBullet"/>
      </w:pPr>
      <w:r w:rsidRPr="008F30EE">
        <w:t>benefits would tend to</w:t>
      </w:r>
      <w:r>
        <w:t xml:space="preserve"> be</w:t>
      </w:r>
      <w:r w:rsidRPr="008F30EE">
        <w:t xml:space="preserve"> spread more widely tha</w:t>
      </w:r>
      <w:r>
        <w:t xml:space="preserve">n the immediate geographic area, </w:t>
      </w:r>
      <w:r w:rsidRPr="008F30EE">
        <w:t xml:space="preserve">creating externalities </w:t>
      </w:r>
    </w:p>
    <w:p w14:paraId="64995097" w14:textId="77777777" w:rsidR="00DE1537" w:rsidRPr="00681134" w:rsidRDefault="00DE1537" w:rsidP="00343F3E">
      <w:pPr>
        <w:pStyle w:val="ListBullet"/>
      </w:pPr>
      <w:proofErr w:type="gramStart"/>
      <w:r w:rsidRPr="008F30EE">
        <w:t>there</w:t>
      </w:r>
      <w:proofErr w:type="gramEnd"/>
      <w:r w:rsidRPr="008F30EE">
        <w:t xml:space="preserve"> would be no clear rationale to implement beneficiary pays arrangements for disaster mitigation, when general tax revenue is used to pay for other social services and infrastructure</w:t>
      </w:r>
      <w:r>
        <w:t xml:space="preserve">. </w:t>
      </w:r>
    </w:p>
    <w:p w14:paraId="68B58D3D" w14:textId="77777777" w:rsidR="00DE1537" w:rsidRDefault="00DE1537" w:rsidP="00343F3E">
      <w:pPr>
        <w:pStyle w:val="BodyText"/>
      </w:pPr>
      <w:r>
        <w:t>Some participants supported cost recovery for some types of mitigation, in particular, where governments are best placed to collect or analyse specialist hazard data for which the benefits accrue mostly to private users rather than the general community (Flood Management Association, sub. DR166; Government of South Australia, sub. </w:t>
      </w:r>
      <w:proofErr w:type="gramStart"/>
      <w:r>
        <w:t>DR109; Gympie Regional Council (Qld), sub.</w:t>
      </w:r>
      <w:proofErr w:type="gramEnd"/>
      <w:r>
        <w:t> </w:t>
      </w:r>
      <w:proofErr w:type="gramStart"/>
      <w:r>
        <w:t>DR152; IAG, sub.</w:t>
      </w:r>
      <w:proofErr w:type="gramEnd"/>
      <w:r>
        <w:t> </w:t>
      </w:r>
      <w:proofErr w:type="gramStart"/>
      <w:r>
        <w:t>DR196; Local Government NSW, sub.</w:t>
      </w:r>
      <w:proofErr w:type="gramEnd"/>
      <w:r>
        <w:t> DR196; WA SEMCS, sub. </w:t>
      </w:r>
      <w:proofErr w:type="gramStart"/>
      <w:r>
        <w:t>DR216; Victorian Government, sub.</w:t>
      </w:r>
      <w:proofErr w:type="gramEnd"/>
      <w:r>
        <w:t xml:space="preserve"> DR215). </w:t>
      </w:r>
    </w:p>
    <w:p w14:paraId="17F85BF1" w14:textId="77777777" w:rsidR="00DE1537" w:rsidRPr="00800658" w:rsidRDefault="00DE1537" w:rsidP="00343F3E">
      <w:pPr>
        <w:pStyle w:val="BodyText"/>
      </w:pPr>
      <w:r>
        <w:t>The Commission acknowledges that there are difficulties in uniformly applying a beneficiary</w:t>
      </w:r>
      <w:r>
        <w:noBreakHyphen/>
        <w:t xml:space="preserve">pays approach. However, before resorting to general taxation revenue, efforts should be made to explore options to at least partially recover some of the costs from those who privately and directly benefit from a mitigation activity. Where mitigation costs can be attributed to identifiable users, direct user charging is generally the most efficient funding mechanism to recover costs and provide incentives for more efficient use. The </w:t>
      </w:r>
      <w:r>
        <w:lastRenderedPageBreak/>
        <w:t>potential to apply beneficiary</w:t>
      </w:r>
      <w:r>
        <w:noBreakHyphen/>
        <w:t xml:space="preserve">pays approaches will vary depending on the type of mitigation activity, for example, whether it relates to physical infrastructure or soft mitigation measures such as early warning systems or community education. Nonetheless, there are examples in both social services and infrastructure </w:t>
      </w:r>
      <w:proofErr w:type="gramStart"/>
      <w:r>
        <w:t>policy,</w:t>
      </w:r>
      <w:proofErr w:type="gramEnd"/>
      <w:r>
        <w:t xml:space="preserve"> and for natural disaster mitigation more specifically, of cost recovery being successfully implemented.</w:t>
      </w:r>
    </w:p>
    <w:p w14:paraId="2DEBECEA" w14:textId="77777777" w:rsidR="00DE1537" w:rsidRPr="005E48AE" w:rsidRDefault="00DE1537" w:rsidP="00343F3E">
      <w:pPr>
        <w:pStyle w:val="Heading5"/>
      </w:pPr>
      <w:r w:rsidRPr="005E48AE">
        <w:t>Limitations on local governments’ ability to raise own</w:t>
      </w:r>
      <w:r w:rsidRPr="005E48AE">
        <w:noBreakHyphen/>
        <w:t xml:space="preserve">source revenue </w:t>
      </w:r>
    </w:p>
    <w:p w14:paraId="4EECA7F8" w14:textId="77777777" w:rsidR="00DE1537" w:rsidRDefault="00DE1537" w:rsidP="00343F3E">
      <w:pPr>
        <w:pStyle w:val="BodyText"/>
      </w:pPr>
      <w:r>
        <w:t xml:space="preserve">Many </w:t>
      </w:r>
      <w:proofErr w:type="gramStart"/>
      <w:r>
        <w:t>councils</w:t>
      </w:r>
      <w:proofErr w:type="gramEnd"/>
      <w:r>
        <w:t xml:space="preserve"> argue that they have limited capacity to raise own</w:t>
      </w:r>
      <w:r>
        <w:noBreakHyphen/>
        <w:t>source revenue for mitigation and restoration of damaged infrastructure — either in the form of general taxation revenues or grants, or by placing levies on specific properties (Douglas Shire Council (Qld), sub. </w:t>
      </w:r>
      <w:proofErr w:type="gramStart"/>
      <w:r>
        <w:t>DR189; Mackay Regional Council (Qld), sub.</w:t>
      </w:r>
      <w:proofErr w:type="gramEnd"/>
      <w:r>
        <w:t> </w:t>
      </w:r>
      <w:proofErr w:type="gramStart"/>
      <w:r>
        <w:t>DR133; Moree Plains Shire Council (NSW), sub.</w:t>
      </w:r>
      <w:proofErr w:type="gramEnd"/>
      <w:r>
        <w:t> DR138; Municipal Association of Victoria, sub. </w:t>
      </w:r>
      <w:proofErr w:type="gramStart"/>
      <w:r>
        <w:t>DR162; Murweh Shire Council (Qld), sub.</w:t>
      </w:r>
      <w:proofErr w:type="gramEnd"/>
      <w:r>
        <w:t> </w:t>
      </w:r>
      <w:proofErr w:type="gramStart"/>
      <w:r>
        <w:t>DR178; Western Downs Regional Council (Qld), sub.</w:t>
      </w:r>
      <w:proofErr w:type="gramEnd"/>
      <w:r>
        <w:t xml:space="preserve"> DR180). The Australian Local Government Association (sub. 52) argued that councils’ ability to raise additional revenue from rates is increasingly crowded out by the growth of state land taxes and limits on rates subsidies to pensioners. Some participants pointed to existing restrictions on raising rates revenue (including rate pegging) (Blue Mountains City Council (NSW), sub. 28; LGNSW, sub. 81). </w:t>
      </w:r>
    </w:p>
    <w:p w14:paraId="67F4C290" w14:textId="53CCFFE8" w:rsidR="00DE1537" w:rsidRDefault="00DE1537" w:rsidP="00343F3E">
      <w:pPr>
        <w:pStyle w:val="BodyText"/>
      </w:pPr>
      <w:r>
        <w:t>There are generally few legislative constraints on councils to seek variation in rates or impose separate or special rates to fund mitigation works. For example, t</w:t>
      </w:r>
      <w:r w:rsidRPr="00BE480D">
        <w:t xml:space="preserve">he </w:t>
      </w:r>
      <w:r w:rsidRPr="00BE0272">
        <w:rPr>
          <w:i/>
        </w:rPr>
        <w:t>Local Government Act 1993</w:t>
      </w:r>
      <w:r>
        <w:t xml:space="preserve"> (NSW)</w:t>
      </w:r>
      <w:r w:rsidRPr="00BE480D">
        <w:t xml:space="preserve"> makes provision for t</w:t>
      </w:r>
      <w:r>
        <w:t xml:space="preserve">he application of special rates </w:t>
      </w:r>
      <w:r w:rsidRPr="00BE480D">
        <w:t>which may be applied for m</w:t>
      </w:r>
      <w:r>
        <w:t xml:space="preserve">itigation purposes. NSW councils can also apply to the Independent Pricing and Regulatory Tribunal (IPART) for a special variation to increase their rates by more than the annual rate peg after engaging with their communities </w:t>
      </w:r>
      <w:r w:rsidRPr="00D101C4">
        <w:rPr>
          <w:szCs w:val="24"/>
        </w:rPr>
        <w:t>(IPART 2014)</w:t>
      </w:r>
      <w:r>
        <w:t xml:space="preserve">. </w:t>
      </w:r>
    </w:p>
    <w:p w14:paraId="33D8F69D" w14:textId="77777777" w:rsidR="00DE1537" w:rsidRPr="00BB0C1F" w:rsidRDefault="00DE1537" w:rsidP="00343F3E">
      <w:pPr>
        <w:pStyle w:val="BodyText"/>
      </w:pPr>
      <w:r>
        <w:t xml:space="preserve">In some cases, there are legislative restrictions on the fees that local government can charge for provision of goods and services. This includes developer charges, which in the case of New South Wales and Queensland, are capped by state governments. NSW councils can apply to IPART for a contribution above the capped amount. </w:t>
      </w:r>
    </w:p>
    <w:p w14:paraId="2579B8E2" w14:textId="77777777" w:rsidR="00DE1537" w:rsidRDefault="00DE1537" w:rsidP="00343F3E">
      <w:pPr>
        <w:pStyle w:val="BodyText"/>
      </w:pPr>
      <w:proofErr w:type="gramStart"/>
      <w:r>
        <w:t>IPART (sub.</w:t>
      </w:r>
      <w:proofErr w:type="gramEnd"/>
      <w:r>
        <w:t> DR159, p. 4) noted that many NSW councils have zero or very low debt, which implies that historically ratepayers have incurred higher rates than necessary to fund long</w:t>
      </w:r>
      <w:r>
        <w:noBreakHyphen/>
        <w:t xml:space="preserve">life capital investment which would benefit future generations. </w:t>
      </w:r>
    </w:p>
    <w:p w14:paraId="49B67365" w14:textId="77777777" w:rsidR="00DE1537" w:rsidRPr="00924AF6" w:rsidRDefault="00DE1537" w:rsidP="00343F3E">
      <w:pPr>
        <w:pStyle w:val="Quote"/>
      </w:pPr>
      <w:r>
        <w:t>Councils have not been spending on renewal of infrastructure, and there are now backlogs. Potentially councils could borrow to fund capital investment to reduce the backlogs … Debt enables benefits and costs of long</w:t>
      </w:r>
      <w:r>
        <w:noBreakHyphen/>
        <w:t>life assets to be shared more equitably between current and future generations of ratepayers.</w:t>
      </w:r>
    </w:p>
    <w:p w14:paraId="7775B37E" w14:textId="14ACEC71" w:rsidR="00DE1537" w:rsidRDefault="00DE1537" w:rsidP="00343F3E">
      <w:pPr>
        <w:pStyle w:val="BodyText"/>
      </w:pPr>
      <w:r w:rsidRPr="002321CA">
        <w:t>There i</w:t>
      </w:r>
      <w:r w:rsidRPr="00A45C68">
        <w:t>s scope for some councils to raise additional revenue through own sources, particularly municipal rates</w:t>
      </w:r>
      <w:r w:rsidRPr="00121DBC">
        <w:t xml:space="preserve">. </w:t>
      </w:r>
      <w:r>
        <w:t xml:space="preserve">Comrie </w:t>
      </w:r>
      <w:r w:rsidRPr="00F46A5D">
        <w:rPr>
          <w:szCs w:val="24"/>
        </w:rPr>
        <w:t>(2013, p. 4)</w:t>
      </w:r>
      <w:r>
        <w:t xml:space="preserve"> stated that:</w:t>
      </w:r>
    </w:p>
    <w:p w14:paraId="7973E5C0" w14:textId="77777777" w:rsidR="00DE1537" w:rsidRDefault="00DE1537" w:rsidP="00343F3E">
      <w:pPr>
        <w:pStyle w:val="Quote"/>
      </w:pPr>
      <w:r>
        <w:t xml:space="preserve">… councils often have more capacity than they appreciate to address perceived asset renewal needs and increased service level preferences … Scope also exists for many councils to generate additional revenue from user charges that are primarily of a private good character. </w:t>
      </w:r>
      <w:r>
        <w:lastRenderedPageBreak/>
        <w:t>Not all councils that need more revenue have the capacity to generate it from their own</w:t>
      </w:r>
      <w:r>
        <w:noBreakHyphen/>
        <w:t>sources.</w:t>
      </w:r>
    </w:p>
    <w:p w14:paraId="6E41F60D" w14:textId="77777777" w:rsidR="00DE1537" w:rsidRDefault="00DE1537" w:rsidP="00343F3E">
      <w:pPr>
        <w:pStyle w:val="BodyText"/>
      </w:pPr>
      <w:r>
        <w:t xml:space="preserve">Given the diversity in revenue sources and the revenue raising capacity of councils, the scope to recover mitigation costs through rates or user charges will vary substantially across local governments. This will depend on the socioeconomic profile of their residents and businesses (fiscal capacity) and their willingness to pay for council services. </w:t>
      </w:r>
    </w:p>
    <w:p w14:paraId="738941F0" w14:textId="5D9A348A" w:rsidR="00DE1537" w:rsidRDefault="00DE1537" w:rsidP="00343F3E">
      <w:pPr>
        <w:pStyle w:val="BodyText"/>
      </w:pPr>
      <w:r>
        <w:t xml:space="preserve">The Commission </w:t>
      </w:r>
      <w:r w:rsidRPr="00B52FC6">
        <w:rPr>
          <w:szCs w:val="24"/>
        </w:rPr>
        <w:t>(PC</w:t>
      </w:r>
      <w:r w:rsidRPr="00BA2754">
        <w:rPr>
          <w:szCs w:val="24"/>
        </w:rPr>
        <w:t> 2008)</w:t>
      </w:r>
      <w:r>
        <w:t xml:space="preserve"> has previously estimated local government fiscal capacity based on the after</w:t>
      </w:r>
      <w:r>
        <w:noBreakHyphen/>
        <w:t xml:space="preserve">tax personal and business incomes of local communities. This showed substantial variation between different types of councils. On average, urban fringe councils were found to have the lowest levels of fiscal capacity. Capital city councils had the highest levels of average fiscal capacity, largely attributed to their high levels of business income and comparatively small residential populations. Some remote local governments had high levels of fiscal capacity because of substantial business income from mining and petroleum activity in their area, while other remote local governments, such as Indigenous councils, had particularly low income levels. </w:t>
      </w:r>
    </w:p>
    <w:p w14:paraId="73B37FB5" w14:textId="12C007D7" w:rsidR="00DE1537" w:rsidRDefault="00DE1537">
      <w:pPr>
        <w:pStyle w:val="BodyText"/>
      </w:pPr>
      <w:r>
        <w:t>A review of the financial sustainability of NSW local governments found there was significant variation in the level of own</w:t>
      </w:r>
      <w:r>
        <w:noBreakHyphen/>
        <w:t xml:space="preserve">source revenue generated by different types of councils </w:t>
      </w:r>
      <w:r w:rsidRPr="00E5315C">
        <w:rPr>
          <w:szCs w:val="24"/>
        </w:rPr>
        <w:t>(NSW Treasury Corporation 2013)</w:t>
      </w:r>
      <w:r>
        <w:t>. In 2012, own</w:t>
      </w:r>
      <w:r>
        <w:noBreakHyphen/>
        <w:t>source revenue accounted for approximately 75 per cent of total revenue for urban councils, but only around 54 per cent for rural councils.</w:t>
      </w:r>
      <w:r>
        <w:rPr>
          <w:rStyle w:val="FootnoteReference"/>
        </w:rPr>
        <w:footnoteReference w:id="14"/>
      </w:r>
      <w:r>
        <w:t xml:space="preserve"> The analysis of revenue sources supports the view that there is a strong correlation between population density and the generation of own</w:t>
      </w:r>
      <w:r>
        <w:noBreakHyphen/>
        <w:t>source revenue.</w:t>
      </w:r>
    </w:p>
    <w:p w14:paraId="483735C5" w14:textId="77777777" w:rsidR="00DE1537" w:rsidRDefault="00DE1537" w:rsidP="00343F3E">
      <w:pPr>
        <w:pStyle w:val="Heading3"/>
      </w:pPr>
      <w:r>
        <w:t xml:space="preserve">The role of insurance </w:t>
      </w:r>
    </w:p>
    <w:p w14:paraId="09169984" w14:textId="77777777" w:rsidR="00DE1537" w:rsidRDefault="00DE1537" w:rsidP="00343F3E">
      <w:pPr>
        <w:pStyle w:val="BodyText"/>
      </w:pPr>
      <w:r>
        <w:t xml:space="preserve">The price signals provided by insurance can encourage risk mitigation. The insurance industry </w:t>
      </w:r>
      <w:r w:rsidRPr="00532FD9">
        <w:t>plays a role in communicating</w:t>
      </w:r>
      <w:r>
        <w:t xml:space="preserve"> levels of risk to</w:t>
      </w:r>
      <w:r w:rsidRPr="00532FD9">
        <w:t xml:space="preserve"> policy holders</w:t>
      </w:r>
      <w:r>
        <w:t xml:space="preserve"> </w:t>
      </w:r>
      <w:r w:rsidRPr="00532FD9">
        <w:t xml:space="preserve">and can encourage and support risk mitigating behaviour </w:t>
      </w:r>
      <w:r>
        <w:t xml:space="preserve">by households and businesses </w:t>
      </w:r>
      <w:r w:rsidRPr="00532FD9">
        <w:t>through incentives such as reduced premiums and/or excesses.</w:t>
      </w:r>
      <w:r>
        <w:t xml:space="preserve"> </w:t>
      </w:r>
    </w:p>
    <w:p w14:paraId="430C135A" w14:textId="77777777" w:rsidR="00DE1537" w:rsidRDefault="00DE1537" w:rsidP="00343F3E">
      <w:pPr>
        <w:pStyle w:val="BodyText"/>
      </w:pPr>
      <w:r>
        <w:t>There is evidence that disaster mitigation improves accessibility and reduces the costs of insurance. Large</w:t>
      </w:r>
      <w:r>
        <w:noBreakHyphen/>
        <w:t>scale flood mitigation programs have reduced the cost of average premiums in a number of towns in Queensland, such as Roma and Rockhampton (IAG, sub. 24; Suncorp Group, sub. 71) (supplementary paper 5).</w:t>
      </w:r>
      <w:r w:rsidRPr="001C1A78">
        <w:t xml:space="preserve"> </w:t>
      </w:r>
      <w:r>
        <w:t xml:space="preserve">Suncorp Group (sub. 71) submitted that such projects can reduce the amount of capital required to underwrite risks, thus resulting in lower costs for insurers. This may attract new market entrants or provide incentives for existing insurers to offer broader cover under existing policies, potentially leading to greater competition in the insurance market. </w:t>
      </w:r>
    </w:p>
    <w:p w14:paraId="414F3897" w14:textId="77777777" w:rsidR="00DE1537" w:rsidRDefault="00DE1537" w:rsidP="00343F3E">
      <w:pPr>
        <w:pStyle w:val="BodyText"/>
      </w:pPr>
      <w:r>
        <w:lastRenderedPageBreak/>
        <w:t>Although these examples relate to large</w:t>
      </w:r>
      <w:r>
        <w:noBreakHyphen/>
        <w:t>scale structural projects, other types of disaster mitigation projects can also lead to lower premiums over time. For example, stronger building codes and better urban planning can reduce natural disaster risks for future developments, which could result in lower insurance premiums. In one example, provided by</w:t>
      </w:r>
      <w:r w:rsidRPr="00E430C3">
        <w:t xml:space="preserve"> </w:t>
      </w:r>
      <w:r>
        <w:t xml:space="preserve">the </w:t>
      </w:r>
      <w:r w:rsidRPr="00E430C3">
        <w:t>Insurance Council of Australia (sub.</w:t>
      </w:r>
      <w:r>
        <w:t> </w:t>
      </w:r>
      <w:r w:rsidRPr="00E430C3">
        <w:t>57</w:t>
      </w:r>
      <w:r>
        <w:t>), raising floor heights to reduce the risk of flood damage was shown to result in a significant difference in premiums when comparing properties of the same sum</w:t>
      </w:r>
      <w:r>
        <w:noBreakHyphen/>
        <w:t xml:space="preserve">insured value. </w:t>
      </w:r>
    </w:p>
    <w:p w14:paraId="173ACAFB" w14:textId="77777777" w:rsidR="00DE1537" w:rsidRDefault="00DE1537" w:rsidP="00343F3E">
      <w:pPr>
        <w:pStyle w:val="BodyText"/>
      </w:pPr>
      <w:r>
        <w:t>However, there is some evidence that mitigation measures undertaken by households may not result in lower premiums, particularly where insurers have limited information about the vulnerability of individual properties to natural hazards. Some participants argued that insurance premiums are set based on general parameters (such as building type) and postcode</w:t>
      </w:r>
      <w:r>
        <w:noBreakHyphen/>
        <w:t xml:space="preserve">based risk assessments, rather than mitigation actions taken at the individual property level (supplementary paper 5). </w:t>
      </w:r>
      <w:r w:rsidRPr="00D84CA5">
        <w:t>Insurers should work to increase the transparency of their insurance premiums</w:t>
      </w:r>
      <w:r>
        <w:t>, and</w:t>
      </w:r>
      <w:r w:rsidRPr="00D84CA5">
        <w:t xml:space="preserve"> </w:t>
      </w:r>
      <w:r>
        <w:t>large</w:t>
      </w:r>
      <w:r>
        <w:noBreakHyphen/>
        <w:t>scale mitigation projects undertaken by governments should be evaluated, including assessing impacts on insurance premiums.</w:t>
      </w:r>
    </w:p>
    <w:p w14:paraId="4589B5A8" w14:textId="77777777" w:rsidR="00DE1537" w:rsidRPr="00FC3908" w:rsidRDefault="00DE1537" w:rsidP="00343F3E">
      <w:pPr>
        <w:pStyle w:val="BodyText"/>
      </w:pPr>
      <w:r w:rsidRPr="00FC3908">
        <w:t xml:space="preserve">Insurers </w:t>
      </w:r>
      <w:r w:rsidRPr="00D90902">
        <w:t>benefit</w:t>
      </w:r>
      <w:r>
        <w:t xml:space="preserve"> </w:t>
      </w:r>
      <w:r w:rsidRPr="00AC02EC">
        <w:t>in the short term and</w:t>
      </w:r>
      <w:r w:rsidRPr="00FC3908">
        <w:t xml:space="preserve"> indirectly</w:t>
      </w:r>
      <w:r>
        <w:t xml:space="preserve"> </w:t>
      </w:r>
      <w:r w:rsidRPr="00FC3908">
        <w:t>from increased expenditure on mitigation and hence should be willing to partner with</w:t>
      </w:r>
      <w:r>
        <w:t xml:space="preserve"> state and</w:t>
      </w:r>
      <w:r w:rsidRPr="00FC3908">
        <w:t xml:space="preserve"> local governments to encourage mitigation. Indeed, there has been support from participants for industry and governments to share expertise and information to better understand and collaborate </w:t>
      </w:r>
      <w:r>
        <w:t xml:space="preserve">on disaster risk management. </w:t>
      </w:r>
      <w:r w:rsidRPr="00FC3908">
        <w:t>Insurance Australia Group (sub.</w:t>
      </w:r>
      <w:r>
        <w:t> </w:t>
      </w:r>
      <w:r w:rsidRPr="00FC3908">
        <w:t xml:space="preserve">24) commented that in addition to </w:t>
      </w:r>
      <w:r>
        <w:t xml:space="preserve">facilitating the transfer of </w:t>
      </w:r>
      <w:r w:rsidRPr="00FC3908">
        <w:t>risk, the insurance industry can play a greater role in community risk management by sharing expertise to assist with prioritisation of funding and risk management</w:t>
      </w:r>
      <w:r>
        <w:t>.</w:t>
      </w:r>
      <w:r w:rsidRPr="00FC3908">
        <w:t xml:space="preserve"> This includes </w:t>
      </w:r>
      <w:r>
        <w:t xml:space="preserve">informing land use planning and mitigation decisions, and </w:t>
      </w:r>
      <w:r w:rsidRPr="00FC3908">
        <w:t>analysing the likel</w:t>
      </w:r>
      <w:r>
        <w:t>y impact of proposed resilience</w:t>
      </w:r>
      <w:r>
        <w:noBreakHyphen/>
      </w:r>
      <w:r w:rsidRPr="00FC3908">
        <w:t xml:space="preserve">building measures on insurance premiums. </w:t>
      </w:r>
    </w:p>
    <w:p w14:paraId="4F0AC9E5" w14:textId="26256346" w:rsidR="00C44CEE" w:rsidRDefault="00DE1537" w:rsidP="00343F3E">
      <w:pPr>
        <w:pStyle w:val="BodyText"/>
      </w:pPr>
      <w:r>
        <w:t>T</w:t>
      </w:r>
      <w:r w:rsidRPr="00FC3908">
        <w:t xml:space="preserve">here are </w:t>
      </w:r>
      <w:r>
        <w:t xml:space="preserve">partnerships between </w:t>
      </w:r>
      <w:r w:rsidRPr="00FC3908">
        <w:t>industry</w:t>
      </w:r>
      <w:r>
        <w:t xml:space="preserve"> and state and </w:t>
      </w:r>
      <w:r w:rsidRPr="00FC3908">
        <w:t>local government</w:t>
      </w:r>
      <w:r>
        <w:t>s</w:t>
      </w:r>
      <w:r w:rsidRPr="00FC3908">
        <w:t xml:space="preserve"> </w:t>
      </w:r>
      <w:r>
        <w:t>that are currently in</w:t>
      </w:r>
      <w:r w:rsidRPr="00FC3908">
        <w:t xml:space="preserve"> development</w:t>
      </w:r>
      <w:r>
        <w:t>, or being considered,</w:t>
      </w:r>
      <w:r w:rsidRPr="00FC3908">
        <w:t xml:space="preserve"> to</w:t>
      </w:r>
      <w:r>
        <w:t xml:space="preserve"> </w:t>
      </w:r>
      <w:r w:rsidRPr="00FC3908">
        <w:t>address a lack of information regarding the built environment</w:t>
      </w:r>
      <w:r>
        <w:t>.</w:t>
      </w:r>
      <w:r w:rsidRPr="00FC3908">
        <w:t xml:space="preserve"> </w:t>
      </w:r>
      <w:r>
        <w:t>F</w:t>
      </w:r>
      <w:r w:rsidRPr="00FC3908">
        <w:t xml:space="preserve">or example, the </w:t>
      </w:r>
      <w:r>
        <w:t>Insurance Council of Australia’s</w:t>
      </w:r>
      <w:r w:rsidRPr="00FC3908">
        <w:t xml:space="preserve"> Property Resilience and Exposure Program</w:t>
      </w:r>
      <w:r>
        <w:t xml:space="preserve"> </w:t>
      </w:r>
      <w:proofErr w:type="gramStart"/>
      <w:r>
        <w:t>provides</w:t>
      </w:r>
      <w:proofErr w:type="gramEnd"/>
      <w:r>
        <w:t xml:space="preserve"> information on the resilience of housing stock to both industry and local governments. This is intended to improve the hazard information relied on by insurers in pricing risk and also the information used by local governments for development controls and town planning (ICA, sub. </w:t>
      </w:r>
      <w:r w:rsidRPr="00FC3908">
        <w:t>57)</w:t>
      </w:r>
      <w:r>
        <w:t>. Insurance Australia Group (sub. 24) noted that</w:t>
      </w:r>
      <w:r w:rsidRPr="00FC3908">
        <w:t xml:space="preserve"> </w:t>
      </w:r>
      <w:r>
        <w:t>CGU offered to share the findings of strata</w:t>
      </w:r>
      <w:r>
        <w:noBreakHyphen/>
        <w:t>building risk assessments in north Queensland with government, councils and other stakeholders to improve knowledge of building codes, materials and other mitigation which impact on insurance premiums.</w:t>
      </w:r>
    </w:p>
    <w:p w14:paraId="035E43EF" w14:textId="77777777" w:rsidR="00C44CEE" w:rsidRDefault="00C44CEE">
      <w:pPr>
        <w:rPr>
          <w:szCs w:val="20"/>
        </w:rPr>
      </w:pPr>
      <w:r>
        <w:br w:type="page"/>
      </w:r>
    </w:p>
    <w:p w14:paraId="6BF02430" w14:textId="77777777" w:rsidR="00DE1537" w:rsidRPr="00FC3908" w:rsidRDefault="00DE1537" w:rsidP="00343F3E">
      <w:pPr>
        <w:pStyle w:val="BodyText"/>
      </w:pPr>
      <w:r>
        <w:lastRenderedPageBreak/>
        <w:t xml:space="preserve">The Commission recommends that state and territory governments, local governments and insurers explore opportunities for </w:t>
      </w:r>
      <w:r w:rsidRPr="00FC3908">
        <w:t xml:space="preserve">further collaboration </w:t>
      </w:r>
      <w:r>
        <w:t xml:space="preserve">and </w:t>
      </w:r>
      <w:r w:rsidRPr="00FC3908">
        <w:t xml:space="preserve">informal partnerships. </w:t>
      </w:r>
      <w:r>
        <w:t xml:space="preserve">Consideration could be given to the </w:t>
      </w:r>
      <w:r w:rsidRPr="0067693D">
        <w:t>Trusted Information Sharing Network</w:t>
      </w:r>
      <w:r>
        <w:t xml:space="preserve"> model, and involve</w:t>
      </w:r>
      <w:r w:rsidRPr="00FC3908">
        <w:t>:</w:t>
      </w:r>
    </w:p>
    <w:p w14:paraId="76A94902" w14:textId="77777777" w:rsidR="00DE1537" w:rsidRPr="00FC3908" w:rsidRDefault="00DE1537" w:rsidP="00343F3E">
      <w:pPr>
        <w:pStyle w:val="ListBullet"/>
      </w:pPr>
      <w:r w:rsidRPr="00FC3908">
        <w:t>governments sharing natural hazard data</w:t>
      </w:r>
      <w:r>
        <w:t xml:space="preserve"> that</w:t>
      </w:r>
      <w:r w:rsidRPr="00FC3908">
        <w:t xml:space="preserve"> they already hold and </w:t>
      </w:r>
      <w:r>
        <w:t>land use</w:t>
      </w:r>
      <w:r w:rsidRPr="00FC3908">
        <w:t xml:space="preserve"> planning and mitigation to reduce risk exposure and vulnerability</w:t>
      </w:r>
    </w:p>
    <w:p w14:paraId="5762D06E" w14:textId="77777777" w:rsidR="00DE1537" w:rsidRDefault="00DE1537" w:rsidP="00343F3E">
      <w:pPr>
        <w:pStyle w:val="ListBullet"/>
      </w:pPr>
      <w:r w:rsidRPr="00FC3908">
        <w:t>insurers sharing expertise and information</w:t>
      </w:r>
      <w:r>
        <w:t xml:space="preserve"> (for example, claims data)</w:t>
      </w:r>
      <w:r w:rsidRPr="00FC3908">
        <w:t xml:space="preserve"> to inform </w:t>
      </w:r>
      <w:r>
        <w:t>land use</w:t>
      </w:r>
      <w:r w:rsidRPr="00FC3908">
        <w:t xml:space="preserve"> planning and mitigation decisions</w:t>
      </w:r>
    </w:p>
    <w:p w14:paraId="04E2EBCC" w14:textId="77777777" w:rsidR="00DE1537" w:rsidRPr="00FC3908" w:rsidRDefault="00DE1537" w:rsidP="00343F3E">
      <w:pPr>
        <w:pStyle w:val="ListBullet"/>
      </w:pPr>
      <w:proofErr w:type="gramStart"/>
      <w:r w:rsidRPr="005D11BF">
        <w:t>collaboration</w:t>
      </w:r>
      <w:proofErr w:type="gramEnd"/>
      <w:r w:rsidRPr="005D11BF">
        <w:t xml:space="preserve"> to inform households of the risks that they face and to encourage private funding of mitigation through incentives such as reduced premiums.</w:t>
      </w:r>
    </w:p>
    <w:p w14:paraId="107CB0CD" w14:textId="77777777" w:rsidR="00DE1537" w:rsidRPr="000910C4" w:rsidRDefault="00DE1537" w:rsidP="00343F3E">
      <w:pPr>
        <w:pStyle w:val="BodyText"/>
      </w:pPr>
      <w:r w:rsidRPr="000910C4">
        <w:t>To improve coordination, these partnerships could be formed between the Insurance Council of Australia and state</w:t>
      </w:r>
      <w:r>
        <w:noBreakHyphen/>
        <w:t xml:space="preserve">based </w:t>
      </w:r>
      <w:r w:rsidRPr="000910C4">
        <w:t>local government associations (or regional organisations of councils). This would not preclude direct partnerships between individual insurers and local governments.</w:t>
      </w:r>
      <w:r>
        <w:t xml:space="preserve"> There was general support from participants, including both governments and insurers, for collaboration. However, some insurers expressed a strong preference for national coordination and more centralised forms of information sharing (chapter 4).</w:t>
      </w:r>
    </w:p>
    <w:p w14:paraId="1A976B16" w14:textId="77777777" w:rsidR="00DE1537" w:rsidRDefault="00DE1537" w:rsidP="00DE1537">
      <w:pPr>
        <w:sectPr w:rsidR="00DE1537" w:rsidSect="00DE1537">
          <w:headerReference w:type="even" r:id="rId68"/>
          <w:headerReference w:type="default" r:id="rId69"/>
          <w:footerReference w:type="even" r:id="rId70"/>
          <w:footerReference w:type="default" r:id="rId71"/>
          <w:type w:val="oddPage"/>
          <w:pgSz w:w="11907" w:h="16840" w:code="9"/>
          <w:pgMar w:top="1985" w:right="1304" w:bottom="1247" w:left="1814" w:header="1701" w:footer="397" w:gutter="0"/>
          <w:pgNumType w:chapSep="period"/>
          <w:cols w:space="720"/>
          <w:docGrid w:linePitch="326"/>
        </w:sectPr>
      </w:pPr>
    </w:p>
    <w:p w14:paraId="3DF3F0D3" w14:textId="77777777" w:rsidR="00DE1537" w:rsidRDefault="00DE1537" w:rsidP="00343F3E">
      <w:pPr>
        <w:pStyle w:val="Heading1"/>
        <w:spacing w:before="0"/>
      </w:pPr>
      <w:bookmarkStart w:id="65" w:name="_Toc406424334"/>
      <w:r>
        <w:lastRenderedPageBreak/>
        <w:t>5</w:t>
      </w:r>
      <w:r>
        <w:tab/>
        <w:t>Insurance and natural disasters</w:t>
      </w:r>
      <w:bookmarkEnd w:id="65"/>
    </w:p>
    <w:p w14:paraId="526AB394" w14:textId="19CDC15D" w:rsidR="00DE1537" w:rsidRDefault="00DE1537" w:rsidP="00343F3E">
      <w:pPr>
        <w:pStyle w:val="Heading2"/>
      </w:pPr>
      <w:bookmarkStart w:id="66" w:name="_Toc406424335"/>
      <w:r>
        <w:t>5.</w:t>
      </w:r>
      <w:r>
        <w:rPr>
          <w:noProof/>
        </w:rPr>
        <w:t>1</w:t>
      </w:r>
      <w:r>
        <w:tab/>
        <w:t>Introduction and key points</w:t>
      </w:r>
      <w:bookmarkEnd w:id="66"/>
    </w:p>
    <w:p w14:paraId="6278284E" w14:textId="77777777" w:rsidR="00DE1537" w:rsidRDefault="00DE1537" w:rsidP="00343F3E">
      <w:pPr>
        <w:pStyle w:val="BodyText"/>
      </w:pPr>
      <w:r>
        <w:t xml:space="preserve">This supplementary paper discusses the role that insurance plays in helping households, businesses and governments manage natural disaster risks. Section 5.2 provides an overview of how insurance helps parties manage natural disaster risks. Section 5.3 discusses governments’ insurance arrangements and whether current natural disaster funding arrangements distort governments’ insurance decisions. Sections 5.4 and 5.5 discuss possible distortions in the residential and business insurance markets and other issues, such as insurance coverage and affordability that could reduce the effectiveness of insurance in managing risks. </w:t>
      </w:r>
    </w:p>
    <w:p w14:paraId="36AF159F" w14:textId="77777777" w:rsidR="00DE1537" w:rsidRDefault="00DE1537" w:rsidP="00343F3E">
      <w:pPr>
        <w:pStyle w:val="BodyText"/>
      </w:pPr>
      <w:r>
        <w:t>This supplementary paper makes several key points.</w:t>
      </w:r>
    </w:p>
    <w:p w14:paraId="75DD5411" w14:textId="77777777" w:rsidR="00DE1537" w:rsidRDefault="00DE1537" w:rsidP="00343F3E">
      <w:pPr>
        <w:pStyle w:val="ListBullet"/>
      </w:pPr>
      <w:r>
        <w:t>Insurance plays an important role in helping parties to manage natural disaster risk.</w:t>
      </w:r>
    </w:p>
    <w:p w14:paraId="46EF122D" w14:textId="77777777" w:rsidR="00DE1537" w:rsidRDefault="00DE1537" w:rsidP="00343F3E">
      <w:pPr>
        <w:pStyle w:val="ListBullet2"/>
      </w:pPr>
      <w:r>
        <w:t>Insurance allows parties to fund the transfer of some of their residual risks to another party who can diversify and better manage these risks.</w:t>
      </w:r>
    </w:p>
    <w:p w14:paraId="5C9927E1" w14:textId="77777777" w:rsidR="00DE1537" w:rsidRDefault="00DE1537" w:rsidP="00343F3E">
      <w:pPr>
        <w:pStyle w:val="ListBullet2"/>
      </w:pPr>
      <w:r>
        <w:t>The cost of insurance communicates to the policyholder their level of risk and provides an incentive to reduce their risk, where such action will be recognised with a lower premium.</w:t>
      </w:r>
    </w:p>
    <w:p w14:paraId="7A9BD347" w14:textId="77777777" w:rsidR="00DE1537" w:rsidRDefault="00DE1537" w:rsidP="00343F3E">
      <w:pPr>
        <w:pStyle w:val="ListBullet"/>
      </w:pPr>
      <w:r>
        <w:t>State, territory and local governments generally have adequate insurance arrangements (a combination of self</w:t>
      </w:r>
      <w:r>
        <w:noBreakHyphen/>
        <w:t>insurance and commercial reinsurance) for most of their non</w:t>
      </w:r>
      <w:r>
        <w:noBreakHyphen/>
        <w:t>road assets. The Victorian and ACT Governments are the only governments that have insurance for road assets.</w:t>
      </w:r>
    </w:p>
    <w:p w14:paraId="47054440" w14:textId="77777777" w:rsidR="00DE1537" w:rsidRDefault="00DE1537" w:rsidP="00343F3E">
      <w:pPr>
        <w:pStyle w:val="ListBullet2"/>
      </w:pPr>
      <w:r>
        <w:t>Traditional commercial insurance is often not available for road assets because of a lack of information about the roads, uncertainty about distinguishing maintenance from reconstruction, the level of exposure to natural disaster risks, and some roads are damaged on a repeated basis.</w:t>
      </w:r>
    </w:p>
    <w:p w14:paraId="30183606" w14:textId="77777777" w:rsidR="00DE1537" w:rsidRDefault="00DE1537" w:rsidP="00343F3E">
      <w:pPr>
        <w:pStyle w:val="ListBullet"/>
      </w:pPr>
      <w:r>
        <w:t>It is likely that the Natural Disaster Relief and Recovery Arrangements (NDRRA), and other funding provided to state and territory governments, reduce their marginal incentive to obtain adequate insurance.</w:t>
      </w:r>
    </w:p>
    <w:p w14:paraId="2BDD57CD" w14:textId="77777777" w:rsidR="00DE1537" w:rsidRDefault="00DE1537" w:rsidP="00343F3E">
      <w:pPr>
        <w:pStyle w:val="ListBullet"/>
      </w:pPr>
      <w:r>
        <w:t>The quality and amount of information available to insurers and the risk analysis that they can undertake have improved in recent years, leading to better pricing of natural hazard risks.</w:t>
      </w:r>
    </w:p>
    <w:p w14:paraId="657E2238" w14:textId="77777777" w:rsidR="00DE1537" w:rsidRDefault="00DE1537" w:rsidP="00343F3E">
      <w:pPr>
        <w:pStyle w:val="ListBullet"/>
      </w:pPr>
      <w:r>
        <w:t>Market and government failures, such as information asymmetries, a lack of competition and insurance taxes, can reduce the effectiveness of insurance as a risk management tool, including by distorting prices.</w:t>
      </w:r>
    </w:p>
    <w:p w14:paraId="32F3BAE0" w14:textId="77777777" w:rsidR="00DE1537" w:rsidRDefault="00DE1537" w:rsidP="00343F3E">
      <w:pPr>
        <w:pStyle w:val="ListBullet2"/>
      </w:pPr>
      <w:r>
        <w:lastRenderedPageBreak/>
        <w:t>State and territory insurance taxes distort price signals and contribute to affordability problems and underinsurance.</w:t>
      </w:r>
    </w:p>
    <w:p w14:paraId="4B54F8DE" w14:textId="77777777" w:rsidR="00DE1537" w:rsidRDefault="00DE1537" w:rsidP="00343F3E">
      <w:pPr>
        <w:pStyle w:val="ListBullet2"/>
      </w:pPr>
      <w:r>
        <w:t>Some consumers appear to not have a good understanding of their level of risk or of their insurance policy.</w:t>
      </w:r>
    </w:p>
    <w:p w14:paraId="15DC4028" w14:textId="77777777" w:rsidR="00DE1537" w:rsidRDefault="00DE1537" w:rsidP="00343F3E">
      <w:pPr>
        <w:pStyle w:val="ListBullet"/>
      </w:pPr>
      <w:r>
        <w:t>Effective mitigation measures can reduce the cost of insurance. However, the effect of mitigation on insurance costs can be limited if there is insufficient information, or if reinsurers do not recognise small</w:t>
      </w:r>
      <w:r>
        <w:noBreakHyphen/>
        <w:t>scale mitigation measures in the price they charge insurers. Further improvements in risk information and removing market distortions would improve the relationship between mitigation and the cost of insurance.</w:t>
      </w:r>
    </w:p>
    <w:p w14:paraId="3D95FA66" w14:textId="77777777" w:rsidR="00DE1537" w:rsidRDefault="00DE1537" w:rsidP="00343F3E">
      <w:pPr>
        <w:pStyle w:val="ListBullet"/>
      </w:pPr>
      <w:r>
        <w:t>The increasing cost of insurance is being driven by a number of factors such as better pricing of risk in high</w:t>
      </w:r>
      <w:r>
        <w:noBreakHyphen/>
        <w:t>risk areas, the inclusion of flood cover in insurance policies and large natural disasters in recent years.</w:t>
      </w:r>
    </w:p>
    <w:p w14:paraId="3DB3F9EA" w14:textId="77777777" w:rsidR="00DE1537" w:rsidRDefault="00DE1537" w:rsidP="00343F3E">
      <w:pPr>
        <w:pStyle w:val="ListBullet2"/>
      </w:pPr>
      <w:r>
        <w:t>Governments should not address affordability concerns by providing subsidies, especially to high</w:t>
      </w:r>
      <w:r>
        <w:noBreakHyphen/>
        <w:t>risk households. Subsidies reduce the effectiveness of insurance in communicating and managing risk.</w:t>
      </w:r>
    </w:p>
    <w:p w14:paraId="3C875E33" w14:textId="77777777" w:rsidR="00DE1537" w:rsidRPr="00453057" w:rsidRDefault="00DE1537" w:rsidP="00343F3E">
      <w:pPr>
        <w:pStyle w:val="ListBullet"/>
      </w:pPr>
      <w:r>
        <w:t>There is limited evidence on the extent to which non</w:t>
      </w:r>
      <w:r>
        <w:noBreakHyphen/>
        <w:t>insurance and underinsurance are a problem. While a significant proportion of households appear to be underinsured, it is not known how many are making a fully informed choice and how many are underinsured due to market distortions (especially information asymmetry) or cognitive barriers.</w:t>
      </w:r>
    </w:p>
    <w:p w14:paraId="30359C5A" w14:textId="35AE20EC" w:rsidR="00DE1537" w:rsidRDefault="00DE1537" w:rsidP="00343F3E">
      <w:pPr>
        <w:pStyle w:val="Heading2"/>
      </w:pPr>
      <w:bookmarkStart w:id="67" w:name="_Toc406424336"/>
      <w:r>
        <w:t>5.</w:t>
      </w:r>
      <w:r>
        <w:rPr>
          <w:noProof/>
        </w:rPr>
        <w:t>2</w:t>
      </w:r>
      <w:r>
        <w:tab/>
        <w:t>The role of insurance in risk management</w:t>
      </w:r>
      <w:bookmarkEnd w:id="67"/>
    </w:p>
    <w:p w14:paraId="13BBE9A9" w14:textId="77777777" w:rsidR="00DE1537" w:rsidRPr="00BE6D1B" w:rsidRDefault="00DE1537" w:rsidP="00343F3E">
      <w:pPr>
        <w:pStyle w:val="BodyText"/>
      </w:pPr>
      <w:r>
        <w:t xml:space="preserve">Insurance helps parties to manage their residual risk by facilitating the transfer of some of the risk to another party, an insurer. The policyholder pays a premium to the insurer to take on the risk and, in return, the insurer covers the policyholder for certain losses when an agreed event occurs (thereby financing the risk). </w:t>
      </w:r>
      <w:r w:rsidRPr="00FB6320">
        <w:t xml:space="preserve">Through pooling risks, insurers can diversify the risks they face, making the claims on the pool more manageable. </w:t>
      </w:r>
      <w:r>
        <w:t>As insurance facilitates the transfer of risk, it does not reduce the overall level of risk faced by all parties.</w:t>
      </w:r>
    </w:p>
    <w:p w14:paraId="2AFFBE61" w14:textId="77777777" w:rsidR="00DE1537" w:rsidRDefault="00DE1537" w:rsidP="00343F3E">
      <w:pPr>
        <w:pStyle w:val="BodyText"/>
      </w:pPr>
      <w:r>
        <w:t>Insurance premiums are priced to reflect the risk the policyholder faces, which is ultimately transferred to the insurer. Where the insurance market is working well and insurers have enough information to adequately price risk, the premium provides the policyholder with a price signal, which can act as an incentive to treat and reduce their natural disaster risk, and lower the cost of their insurance.</w:t>
      </w:r>
    </w:p>
    <w:p w14:paraId="30375BBE" w14:textId="77777777" w:rsidR="00DE1537" w:rsidRDefault="00DE1537" w:rsidP="00343F3E">
      <w:pPr>
        <w:pStyle w:val="BodyText"/>
      </w:pPr>
      <w:r>
        <w:t xml:space="preserve">Insurers calculate risk and the premium using information such as projections of future hazards and details about policyholders’ properties. As such, information plays an important role in insurance. If good information is not available, market failures such as adverse selection and moral hazard might arise (supplementary paper 3), insurers might price defensively, or insurance might be underprovided or not provided at all. </w:t>
      </w:r>
    </w:p>
    <w:p w14:paraId="56C74CF5" w14:textId="2629B668" w:rsidR="00DE1537" w:rsidRDefault="00DE1537" w:rsidP="00343F3E">
      <w:pPr>
        <w:pStyle w:val="BodyText"/>
      </w:pPr>
      <w:r>
        <w:lastRenderedPageBreak/>
        <w:t xml:space="preserve">Insurers might not provide insurance, or charge significantly higher premiums, if they cannot diversify risk across policyholders (Treasury, sub. 91). </w:t>
      </w:r>
      <w:proofErr w:type="gramStart"/>
      <w:r>
        <w:t>While some insurable risks are generally uncorrelated (such as motor accidents), natural disaster risks can be highly correlated in space and time.</w:t>
      </w:r>
      <w:proofErr w:type="gramEnd"/>
      <w:r>
        <w:t xml:space="preserve"> To address this, much of the natural disaster risk in Australia is transferred to reinsurers who diversify their risk globally (Risk Frontiers, sub. 19). </w:t>
      </w:r>
      <w:r w:rsidRPr="000B1D28">
        <w:t xml:space="preserve">Insurers might also not provide insurance if the market does not have the capital to support the </w:t>
      </w:r>
      <w:r>
        <w:t xml:space="preserve">potential </w:t>
      </w:r>
      <w:r w:rsidRPr="000B1D28">
        <w:t>losses</w:t>
      </w:r>
      <w:r>
        <w:t xml:space="preserve"> </w:t>
      </w:r>
      <w:r w:rsidRPr="000B1D28">
        <w:rPr>
          <w:szCs w:val="24"/>
        </w:rPr>
        <w:t>(Department of Finance and Deregulation 2012)</w:t>
      </w:r>
      <w:r w:rsidRPr="000B1D28">
        <w:t xml:space="preserve">. </w:t>
      </w:r>
    </w:p>
    <w:p w14:paraId="36E0310A" w14:textId="77777777" w:rsidR="00DE1537" w:rsidRDefault="00DE1537" w:rsidP="00343F3E">
      <w:pPr>
        <w:pStyle w:val="BodyText"/>
      </w:pPr>
      <w:r>
        <w:t>The unavailability of insurance also sends an important signal to parties. Where markets are working well, unavailability of insurance communicates to the party that their natural disaster risk is too high, and provides an incentive to reduce their exposure to risk through, for example, mitigation.</w:t>
      </w:r>
    </w:p>
    <w:p w14:paraId="51C624E6" w14:textId="77777777" w:rsidR="00DE1537" w:rsidRDefault="00DE1537" w:rsidP="00343F3E">
      <w:pPr>
        <w:pStyle w:val="BodyText"/>
      </w:pPr>
      <w:r>
        <w:t>Insurance does not always involve transferring the risk to another party. Parties can self</w:t>
      </w:r>
      <w:r>
        <w:noBreakHyphen/>
        <w:t>insure. Self</w:t>
      </w:r>
      <w:r>
        <w:noBreakHyphen/>
        <w:t>insurance involves setting aside capital to compensate for potential future losses (box 5.1). Where financing of natural disaster recovery costs occurs ex post, such as through increases in taxation (in the case of governments) or budget reallocation, this is generally not a form of self</w:t>
      </w:r>
      <w:r>
        <w:noBreakHyphen/>
        <w:t>insurance and actually constitutes non</w:t>
      </w:r>
      <w:r>
        <w:noBreakHyphen/>
        <w:t xml:space="preserve">insurance. </w:t>
      </w:r>
    </w:p>
    <w:p w14:paraId="3982645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992EFB4" w14:textId="77777777" w:rsidTr="00343F3E">
        <w:tc>
          <w:tcPr>
            <w:tcW w:w="8771" w:type="dxa"/>
            <w:tcBorders>
              <w:top w:val="single" w:sz="6" w:space="0" w:color="78A22F"/>
              <w:left w:val="nil"/>
              <w:bottom w:val="nil"/>
              <w:right w:val="nil"/>
            </w:tcBorders>
            <w:shd w:val="clear" w:color="auto" w:fill="F2F2F2" w:themeFill="background1" w:themeFillShade="F2"/>
          </w:tcPr>
          <w:p w14:paraId="5A50672C" w14:textId="4FCC98BB" w:rsidR="00DE1537" w:rsidRDefault="00DE1537" w:rsidP="00343F3E">
            <w:pPr>
              <w:pStyle w:val="BoxTitle"/>
            </w:pPr>
            <w:r>
              <w:rPr>
                <w:b w:val="0"/>
              </w:rPr>
              <w:t>Box 5.</w:t>
            </w:r>
            <w:r>
              <w:rPr>
                <w:b w:val="0"/>
                <w:noProof/>
              </w:rPr>
              <w:t>1</w:t>
            </w:r>
            <w:r>
              <w:tab/>
              <w:t>What is self</w:t>
            </w:r>
            <w:r>
              <w:noBreakHyphen/>
              <w:t>insurance?</w:t>
            </w:r>
          </w:p>
        </w:tc>
      </w:tr>
      <w:tr w:rsidR="00DE1537" w14:paraId="01D79EAA" w14:textId="77777777" w:rsidTr="00343F3E">
        <w:trPr>
          <w:cantSplit/>
        </w:trPr>
        <w:tc>
          <w:tcPr>
            <w:tcW w:w="8771" w:type="dxa"/>
            <w:tcBorders>
              <w:top w:val="nil"/>
              <w:left w:val="nil"/>
              <w:bottom w:val="nil"/>
              <w:right w:val="nil"/>
            </w:tcBorders>
            <w:shd w:val="clear" w:color="auto" w:fill="F2F2F2" w:themeFill="background1" w:themeFillShade="F2"/>
          </w:tcPr>
          <w:p w14:paraId="7502BBBB" w14:textId="77777777" w:rsidR="00DE1537" w:rsidRDefault="00DE1537" w:rsidP="00343F3E">
            <w:pPr>
              <w:pStyle w:val="Box"/>
            </w:pPr>
            <w:r>
              <w:t>Rather than transferring risk to an insurer, a party can decide to self</w:t>
            </w:r>
            <w:r>
              <w:noBreakHyphen/>
              <w:t>insure. Self</w:t>
            </w:r>
            <w:r>
              <w:noBreakHyphen/>
              <w:t>insurance involves setting aside capital (before the event) to cover the losses of a natural disaster event. Self</w:t>
            </w:r>
            <w:r>
              <w:noBreakHyphen/>
              <w:t>insurance does not necessarily mean that a party has no commercial insurance. A party might choose to take out insurance for part of the risk and use self</w:t>
            </w:r>
            <w:r>
              <w:noBreakHyphen/>
              <w:t xml:space="preserve">insurance to manage the rest. </w:t>
            </w:r>
          </w:p>
          <w:p w14:paraId="04E8F1FE" w14:textId="77777777" w:rsidR="00DE1537" w:rsidRDefault="00DE1537" w:rsidP="00343F3E">
            <w:pPr>
              <w:pStyle w:val="Box"/>
            </w:pPr>
            <w:r>
              <w:t>Effective risk management requires the party to explicitly trade</w:t>
            </w:r>
            <w:r>
              <w:noBreakHyphen/>
              <w:t>off different options for funding and financing natural disasters. Self</w:t>
            </w:r>
            <w:r>
              <w:noBreakHyphen/>
              <w:t>insurance is just one possible approach. For self</w:t>
            </w:r>
            <w:r>
              <w:noBreakHyphen/>
              <w:t xml:space="preserve">insurance to be an effective risk management option, appropriate analysis needs to be undertaken, including identifying, analysing and evaluating the risks (including governments undertaking asset and liability modelling), and assessing the costs and benefits of different options. </w:t>
            </w:r>
          </w:p>
          <w:p w14:paraId="779856E4" w14:textId="77777777" w:rsidR="00DE1537" w:rsidRDefault="00DE1537" w:rsidP="00343F3E">
            <w:pPr>
              <w:pStyle w:val="Box"/>
            </w:pPr>
            <w:r>
              <w:t>The advantage of commercial insurance arrangements is that when the market is working well, insurance companies can diversify their risk pool, lowering the cost of insurance. However, self</w:t>
            </w:r>
            <w:r>
              <w:noBreakHyphen/>
              <w:t>insurance can be a more efficient outcome in a number of cases. For example, self</w:t>
            </w:r>
            <w:r>
              <w:noBreakHyphen/>
              <w:t>insurance could be more efficient if market or government distortions drive up the cost of commercial insurance, making self</w:t>
            </w:r>
            <w:r>
              <w:noBreakHyphen/>
              <w:t>insurance a more affordable option. Self</w:t>
            </w:r>
            <w:r>
              <w:noBreakHyphen/>
              <w:t>insurance might also be a better option (or the only option) where insurance companies will not offer insurance, such as where information asymmetries result in the asset owner having a better understanding of the risk than insurers. Asset owners might also be better off self</w:t>
            </w:r>
            <w:r>
              <w:noBreakHyphen/>
              <w:t xml:space="preserve">insuring where losses can be reliably predicted, or where they have high frequency and low severity. </w:t>
            </w:r>
          </w:p>
          <w:p w14:paraId="2A4A5CD2" w14:textId="77777777" w:rsidR="00DE1537" w:rsidRDefault="00DE1537" w:rsidP="00343F3E">
            <w:pPr>
              <w:pStyle w:val="Box"/>
            </w:pPr>
            <w:r>
              <w:t>Where financing of a natural disaster happens ex post, such as through budget reallocation, this is not a form of self</w:t>
            </w:r>
            <w:r>
              <w:noBreakHyphen/>
              <w:t>insurance. Supplementary paper 2 discusses in more detail how governments finance natural disaster recovery costs.</w:t>
            </w:r>
          </w:p>
        </w:tc>
      </w:tr>
      <w:tr w:rsidR="00DE1537" w14:paraId="23B077B6" w14:textId="77777777" w:rsidTr="00343F3E">
        <w:trPr>
          <w:cantSplit/>
        </w:trPr>
        <w:tc>
          <w:tcPr>
            <w:tcW w:w="8771" w:type="dxa"/>
            <w:tcBorders>
              <w:top w:val="nil"/>
              <w:left w:val="nil"/>
              <w:bottom w:val="nil"/>
              <w:right w:val="nil"/>
            </w:tcBorders>
            <w:shd w:val="clear" w:color="auto" w:fill="F2F2F2" w:themeFill="background1" w:themeFillShade="F2"/>
          </w:tcPr>
          <w:p w14:paraId="47EE7FFA" w14:textId="28F10291" w:rsidR="00DE1537" w:rsidRDefault="00DE1537" w:rsidP="00343F3E">
            <w:pPr>
              <w:pStyle w:val="BoxSource"/>
            </w:pPr>
            <w:r>
              <w:rPr>
                <w:i/>
              </w:rPr>
              <w:t>Sources</w:t>
            </w:r>
            <w:r w:rsidRPr="00167F06">
              <w:t>:</w:t>
            </w:r>
            <w:r>
              <w:t xml:space="preserve"> Goode </w:t>
            </w:r>
            <w:r w:rsidRPr="00542843">
              <w:rPr>
                <w:rFonts w:cs="Arial"/>
              </w:rPr>
              <w:t>(1999)</w:t>
            </w:r>
            <w:r>
              <w:t xml:space="preserve">; North and Bennett </w:t>
            </w:r>
            <w:r w:rsidRPr="000D26C1">
              <w:rPr>
                <w:rFonts w:cs="Arial"/>
              </w:rPr>
              <w:t>(2002)</w:t>
            </w:r>
            <w:r>
              <w:t xml:space="preserve">; VDTF </w:t>
            </w:r>
            <w:r w:rsidRPr="00113793">
              <w:rPr>
                <w:rFonts w:cs="Arial"/>
              </w:rPr>
              <w:t>(2007)</w:t>
            </w:r>
            <w:r>
              <w:t>.</w:t>
            </w:r>
          </w:p>
        </w:tc>
      </w:tr>
      <w:tr w:rsidR="00DE1537" w14:paraId="7F26EFF4"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3ED3C16" w14:textId="77777777" w:rsidR="00DE1537" w:rsidRDefault="00DE1537" w:rsidP="00343F3E">
            <w:pPr>
              <w:pStyle w:val="Box"/>
              <w:spacing w:before="0" w:line="120" w:lineRule="exact"/>
            </w:pPr>
          </w:p>
        </w:tc>
      </w:tr>
      <w:tr w:rsidR="00DE1537" w:rsidRPr="000863A5" w14:paraId="3DFD56EC" w14:textId="77777777" w:rsidTr="00343F3E">
        <w:tc>
          <w:tcPr>
            <w:tcW w:w="8771" w:type="dxa"/>
            <w:tcBorders>
              <w:top w:val="single" w:sz="6" w:space="0" w:color="78A22F"/>
              <w:left w:val="nil"/>
              <w:bottom w:val="nil"/>
              <w:right w:val="nil"/>
            </w:tcBorders>
          </w:tcPr>
          <w:p w14:paraId="13D06D49" w14:textId="77777777" w:rsidR="00DE1537" w:rsidRPr="00626D32" w:rsidRDefault="00DE1537" w:rsidP="00343F3E">
            <w:pPr>
              <w:pStyle w:val="BoxSpaceBelow"/>
            </w:pPr>
          </w:p>
        </w:tc>
      </w:tr>
    </w:tbl>
    <w:p w14:paraId="3AFC6790" w14:textId="77777777" w:rsidR="00DE1537" w:rsidRDefault="00DE1537" w:rsidP="00343F3E">
      <w:pPr>
        <w:pStyle w:val="BodyText"/>
      </w:pPr>
      <w:r>
        <w:lastRenderedPageBreak/>
        <w:t xml:space="preserve">In cases where insurance of public assets does not cover the full costs of reconstruction following a natural disaster, governments often act as an ‘insurer of last resort’ and provide financial support to cover losses. For example, under the NDRRA, the Australian Government provides funding to state and territory governments for restoration or replacement of essential public assets above what is covered by insurance, where eligibility requirements are met. </w:t>
      </w:r>
    </w:p>
    <w:p w14:paraId="001DD243" w14:textId="04ED4F1C" w:rsidR="00DE1537" w:rsidRDefault="00DE1537" w:rsidP="00343F3E">
      <w:pPr>
        <w:pStyle w:val="Heading2"/>
      </w:pPr>
      <w:bookmarkStart w:id="68" w:name="_Toc406424337"/>
      <w:r>
        <w:t>5.</w:t>
      </w:r>
      <w:r>
        <w:rPr>
          <w:noProof/>
        </w:rPr>
        <w:t>3</w:t>
      </w:r>
      <w:r>
        <w:tab/>
        <w:t>Are governments’ insurance arrangements consistent with effective risk management?</w:t>
      </w:r>
      <w:bookmarkEnd w:id="68"/>
    </w:p>
    <w:p w14:paraId="13180ABE" w14:textId="77777777" w:rsidR="00DE1537" w:rsidRDefault="00DE1537" w:rsidP="00343F3E">
      <w:pPr>
        <w:pStyle w:val="BodyText"/>
      </w:pPr>
      <w:r>
        <w:t>The insurance arrangements of the Australian, state, territory and local governments vary in the type of arrangement, what is covered, and the level of cover. Types of insurance that are relevant to natural disasters include property insurance, and public liability and professional indemnity insurance. The discussion in this section mostly focuses on governments’ property insurance arrangements.</w:t>
      </w:r>
    </w:p>
    <w:p w14:paraId="1C60C98F" w14:textId="77777777" w:rsidR="00DE1537" w:rsidRDefault="00DE1537" w:rsidP="00343F3E">
      <w:pPr>
        <w:pStyle w:val="Heading3"/>
      </w:pPr>
      <w:r>
        <w:t>Governments’ insurance arrangements</w:t>
      </w:r>
    </w:p>
    <w:p w14:paraId="48212D13" w14:textId="0C5C5E44" w:rsidR="00DE1537" w:rsidRDefault="00DE1537" w:rsidP="00343F3E">
      <w:pPr>
        <w:pStyle w:val="BodyText"/>
      </w:pPr>
      <w:r>
        <w:t>Most governments have self</w:t>
      </w:r>
      <w:r>
        <w:noBreakHyphen/>
        <w:t>insurance arrangements, often managed through a statutory captive insurer, and some of these governments purchase commercial catastrophe reinsurance for large</w:t>
      </w:r>
      <w:r>
        <w:noBreakHyphen/>
        <w:t xml:space="preserve">scale events (box 5.2). The Australian Government and the state and territory governments (apart from the Northern Territory Government) all have captive insurers, which provide insurance services to government agencies </w:t>
      </w:r>
      <w:r w:rsidR="007C5656" w:rsidRPr="007C5656">
        <w:rPr>
          <w:szCs w:val="24"/>
        </w:rPr>
        <w:t>(Department of Finance and Deregulation 2012; Department of Finance 2014a)</w:t>
      </w:r>
      <w:r>
        <w:t xml:space="preserve">. Within states, many local governments insure through a mutual pooling arrangement, such as with Local Government Insurance Services in Western Australia. Some local governments do not insure with the mutual pool in their state and have purely commercial insurance arrangements </w:t>
      </w:r>
      <w:r w:rsidRPr="00247A15">
        <w:rPr>
          <w:szCs w:val="24"/>
        </w:rPr>
        <w:t>(Department of Finance and Deregulation</w:t>
      </w:r>
      <w:r w:rsidRPr="002A19B0">
        <w:rPr>
          <w:szCs w:val="24"/>
        </w:rPr>
        <w:t> 2012)</w:t>
      </w:r>
      <w:r>
        <w:t xml:space="preserve">. </w:t>
      </w:r>
    </w:p>
    <w:p w14:paraId="3BCB11D0" w14:textId="096B4532" w:rsidR="00DE1537" w:rsidRDefault="00DE1537" w:rsidP="00343F3E">
      <w:pPr>
        <w:pStyle w:val="BodyText"/>
      </w:pPr>
      <w:r>
        <w:t>What governments insure varies. Most have some level of insurance coverage for their non</w:t>
      </w:r>
      <w:r>
        <w:noBreakHyphen/>
        <w:t>road assets. As well, the Australian Government and most state and territory governments (apart from Tasmania and the Northern Territory) purchase catastrophe reinsurance for large</w:t>
      </w:r>
      <w:r>
        <w:noBreakHyphen/>
        <w:t>scale events. However, some governments do not insure all of their non</w:t>
      </w:r>
      <w:r>
        <w:noBreakHyphen/>
        <w:t>road assets. In addition, sub</w:t>
      </w:r>
      <w:r>
        <w:noBreakHyphen/>
        <w:t xml:space="preserve">limits can often apply for certain events, particularly floods </w:t>
      </w:r>
      <w:r w:rsidRPr="00945E74">
        <w:rPr>
          <w:szCs w:val="24"/>
        </w:rPr>
        <w:t>(Department of Finance and Deregulation 2012)</w:t>
      </w:r>
      <w:r>
        <w:t>.</w:t>
      </w:r>
    </w:p>
    <w:p w14:paraId="78771F37" w14:textId="536FB4DB" w:rsidR="00DE1537" w:rsidRDefault="00DE1537" w:rsidP="00343F3E">
      <w:pPr>
        <w:pStyle w:val="BodyText"/>
      </w:pPr>
      <w:r>
        <w:t xml:space="preserve">The Victorian and ACT Governments are the only governments that insure their roads. However, some governments do have insurance for select bridges </w:t>
      </w:r>
      <w:r w:rsidRPr="00945E74">
        <w:rPr>
          <w:szCs w:val="24"/>
        </w:rPr>
        <w:t>(Department of Finance and Deregulation 2012)</w:t>
      </w:r>
      <w:r>
        <w:t xml:space="preserve">. </w:t>
      </w:r>
    </w:p>
    <w:p w14:paraId="0CF58C33" w14:textId="093CDB40" w:rsidR="00DE1537" w:rsidRDefault="00DE1537" w:rsidP="00343F3E">
      <w:pPr>
        <w:pStyle w:val="BodyText"/>
      </w:pPr>
      <w:r>
        <w:t>In most cases, government</w:t>
      </w:r>
      <w:r>
        <w:noBreakHyphen/>
        <w:t xml:space="preserve">owned corporations do not insure with the captive insurer and instead have commercial insurance arrangements. For example, the Power and Water Corporation and the Darwin Port Corporation in the Northern Territory have commercial </w:t>
      </w:r>
      <w:r>
        <w:lastRenderedPageBreak/>
        <w:t xml:space="preserve">insurance arrangements </w:t>
      </w:r>
      <w:r w:rsidRPr="00FF497C">
        <w:rPr>
          <w:szCs w:val="24"/>
        </w:rPr>
        <w:t>(Northern Territory Government 2011)</w:t>
      </w:r>
      <w:r>
        <w:t>. This is important for competitive neutrality. Furthermore, assets managed by government</w:t>
      </w:r>
      <w:r>
        <w:noBreakHyphen/>
        <w:t xml:space="preserve">owned corporations are unlikely to be </w:t>
      </w:r>
      <w:r w:rsidRPr="00C85F24">
        <w:t>eligible for restoration or replacement under the NDRRA</w:t>
      </w:r>
      <w:r>
        <w:t>,</w:t>
      </w:r>
      <w:r w:rsidRPr="00C85F24">
        <w:t xml:space="preserve"> as they are unlikely to meet the definition of an ‘essential public asset’ </w:t>
      </w:r>
      <w:r w:rsidR="007C5656" w:rsidRPr="007C5656">
        <w:rPr>
          <w:szCs w:val="24"/>
        </w:rPr>
        <w:t>(Attorney-General’s Department 2012b)</w:t>
      </w:r>
      <w:r w:rsidRPr="00C85F24">
        <w:t>.</w:t>
      </w:r>
    </w:p>
    <w:p w14:paraId="431046BC"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6748752" w14:textId="77777777" w:rsidTr="00343F3E">
        <w:tc>
          <w:tcPr>
            <w:tcW w:w="8771" w:type="dxa"/>
            <w:tcBorders>
              <w:top w:val="single" w:sz="6" w:space="0" w:color="78A22F"/>
              <w:left w:val="nil"/>
              <w:bottom w:val="nil"/>
              <w:right w:val="nil"/>
            </w:tcBorders>
            <w:shd w:val="clear" w:color="auto" w:fill="F2F2F2" w:themeFill="background1" w:themeFillShade="F2"/>
          </w:tcPr>
          <w:p w14:paraId="62767BB4" w14:textId="5EC3AA36" w:rsidR="00DE1537" w:rsidRDefault="00DE1537" w:rsidP="00343F3E">
            <w:pPr>
              <w:pStyle w:val="BoxTitle"/>
            </w:pPr>
            <w:r>
              <w:rPr>
                <w:b w:val="0"/>
              </w:rPr>
              <w:t>Box 5.</w:t>
            </w:r>
            <w:r>
              <w:rPr>
                <w:b w:val="0"/>
                <w:noProof/>
              </w:rPr>
              <w:t>2</w:t>
            </w:r>
            <w:r>
              <w:tab/>
              <w:t>Captive insurers</w:t>
            </w:r>
          </w:p>
        </w:tc>
      </w:tr>
      <w:tr w:rsidR="00DE1537" w14:paraId="10462797" w14:textId="77777777" w:rsidTr="00343F3E">
        <w:trPr>
          <w:cantSplit/>
        </w:trPr>
        <w:tc>
          <w:tcPr>
            <w:tcW w:w="8771" w:type="dxa"/>
            <w:tcBorders>
              <w:top w:val="nil"/>
              <w:left w:val="nil"/>
              <w:bottom w:val="nil"/>
              <w:right w:val="nil"/>
            </w:tcBorders>
            <w:shd w:val="clear" w:color="auto" w:fill="F2F2F2" w:themeFill="background1" w:themeFillShade="F2"/>
          </w:tcPr>
          <w:p w14:paraId="6F785A4F" w14:textId="77777777" w:rsidR="00DE1537" w:rsidRDefault="00DE1537" w:rsidP="00343F3E">
            <w:pPr>
              <w:pStyle w:val="Box"/>
            </w:pPr>
            <w:r>
              <w:t>The Australian, state and territory governments (except for the Northern Territory Government) have captive insurance authorities that provide insurance and risk management services to government agencies. Insurance is generally provided for property, public liability and professional indemnity.</w:t>
            </w:r>
          </w:p>
          <w:p w14:paraId="772D7CC3" w14:textId="77777777" w:rsidR="00DE1537" w:rsidRDefault="00DE1537" w:rsidP="00343F3E">
            <w:pPr>
              <w:pStyle w:val="Box"/>
            </w:pPr>
            <w:r>
              <w:t>How captive insurers operate, and how insurance arrangements work, varies between jurisdictions. Captive insurers usually provide services to all government agencies, which are often required to insure with the captive insurer. For example, Victorian Government departments and public entities are required to insure their assets through the Victorian Managed Insurance Authority (VMIA). In some cases, such as in New South Wales, the captive insurer also provides insurance services to some government</w:t>
            </w:r>
            <w:r>
              <w:noBreakHyphen/>
              <w:t>owned corporations. However, in other jurisdictions, such as Queensland and Tasmania, government</w:t>
            </w:r>
            <w:r>
              <w:noBreakHyphen/>
              <w:t>owned corporations have commercial private</w:t>
            </w:r>
            <w:r>
              <w:noBreakHyphen/>
              <w:t xml:space="preserve">sector insurance arrangements. </w:t>
            </w:r>
          </w:p>
          <w:p w14:paraId="27182C9E" w14:textId="77777777" w:rsidR="00DE1537" w:rsidRDefault="00DE1537" w:rsidP="00343F3E">
            <w:pPr>
              <w:pStyle w:val="Box"/>
            </w:pPr>
            <w:r>
              <w:t xml:space="preserve">As part of insuring with the captive insurer, government agencies often have risk management requirements imposed on them. For example, in Victoria, agencies are required to maintain asset registers and develop and implement a risk management strategy. The VMIA assists agencies in fulfilling these </w:t>
            </w:r>
            <w:proofErr w:type="gramStart"/>
            <w:r>
              <w:t>requirements,</w:t>
            </w:r>
            <w:proofErr w:type="gramEnd"/>
            <w:r>
              <w:t xml:space="preserve"> and monitors, assesses and reports on their risk management strategies to the Victorian Government.</w:t>
            </w:r>
          </w:p>
          <w:p w14:paraId="657472E7" w14:textId="77777777" w:rsidR="00DE1537" w:rsidRDefault="00DE1537" w:rsidP="00343F3E">
            <w:pPr>
              <w:pStyle w:val="Box"/>
            </w:pPr>
            <w:r>
              <w:t>Agencies covered</w:t>
            </w:r>
            <w:r w:rsidRPr="0041489B">
              <w:t xml:space="preserve"> by the captive insurer are </w:t>
            </w:r>
            <w:r>
              <w:t>usually</w:t>
            </w:r>
            <w:r w:rsidRPr="0041489B">
              <w:t xml:space="preserve"> required to pay premiums. These premiums are often based on the level of risk to assets and/or the claims experience of the agency, similar to how private insurance premiums are calculated. For example, premiums paid by Tasmanian Government agencies to the Tasmanian Risk Management Fund are determined by an independent actuary and take into account risk exposure, claims experience and </w:t>
            </w:r>
            <w:r>
              <w:t xml:space="preserve">the </w:t>
            </w:r>
            <w:r w:rsidRPr="0041489B">
              <w:t>nominated excess amount</w:t>
            </w:r>
            <w:r>
              <w:t>.</w:t>
            </w:r>
          </w:p>
          <w:p w14:paraId="3F68E907" w14:textId="77777777" w:rsidR="00DE1537" w:rsidRDefault="00DE1537" w:rsidP="00343F3E">
            <w:pPr>
              <w:pStyle w:val="Box"/>
            </w:pPr>
            <w:r w:rsidRPr="00317FF4">
              <w:t xml:space="preserve">Captive insurers generally cover </w:t>
            </w:r>
            <w:r>
              <w:t>losses</w:t>
            </w:r>
            <w:r w:rsidRPr="00317FF4">
              <w:t xml:space="preserve"> up to a certain limit from </w:t>
            </w:r>
            <w:r>
              <w:t>their</w:t>
            </w:r>
            <w:r w:rsidRPr="00317FF4">
              <w:t xml:space="preserve"> retention</w:t>
            </w:r>
            <w:r>
              <w:t xml:space="preserve"> (the retention can be thought of as an insurance excess)</w:t>
            </w:r>
            <w:r w:rsidRPr="00317FF4">
              <w:t>. In addition, captive insurers in state</w:t>
            </w:r>
            <w:r>
              <w:t>s</w:t>
            </w:r>
            <w:r w:rsidRPr="00317FF4">
              <w:t xml:space="preserve"> and territories, except for Tasmania and the Northern Territory, have commercial reinsurance arrangements that cover up to </w:t>
            </w:r>
            <w:r>
              <w:t>a higher</w:t>
            </w:r>
            <w:r w:rsidRPr="00317FF4">
              <w:t xml:space="preserve"> limit for catastrophic events. For example, </w:t>
            </w:r>
            <w:r>
              <w:t xml:space="preserve">the </w:t>
            </w:r>
            <w:r w:rsidRPr="00317FF4">
              <w:t xml:space="preserve">South Australian Government Financing Authority has </w:t>
            </w:r>
            <w:proofErr w:type="gramStart"/>
            <w:r w:rsidRPr="00317FF4">
              <w:t>a retention</w:t>
            </w:r>
            <w:proofErr w:type="gramEnd"/>
            <w:r w:rsidRPr="00317FF4">
              <w:t xml:space="preserve"> of $15</w:t>
            </w:r>
            <w:r>
              <w:t> </w:t>
            </w:r>
            <w:r w:rsidRPr="00317FF4">
              <w:t>million and a property reinsurance limit of $750</w:t>
            </w:r>
            <w:r>
              <w:t> </w:t>
            </w:r>
            <w:r w:rsidRPr="00317FF4">
              <w:t>million.</w:t>
            </w:r>
          </w:p>
          <w:p w14:paraId="36C0749B" w14:textId="77777777" w:rsidR="00DE1537" w:rsidRPr="00E02879" w:rsidRDefault="00DE1537" w:rsidP="00343F3E">
            <w:pPr>
              <w:pStyle w:val="Box"/>
            </w:pPr>
            <w:r>
              <w:t xml:space="preserve">The level of the retention and reinsurance amount is often informed by hazard data and modelling. For example, the South Australian Government Financing Authority has used catastrophe modelling undertaken by Aon to inform its reinsurance decision. In addition, the VMIA uses claims data, geospatial data on roads and other critical assets, and modelling of catastrophic loss exposure to forecast the maximum foreseeable loss for an event. </w:t>
            </w:r>
          </w:p>
        </w:tc>
      </w:tr>
      <w:tr w:rsidR="00DE1537" w14:paraId="63FB46DF" w14:textId="77777777" w:rsidTr="00343F3E">
        <w:trPr>
          <w:cantSplit/>
        </w:trPr>
        <w:tc>
          <w:tcPr>
            <w:tcW w:w="8771" w:type="dxa"/>
            <w:tcBorders>
              <w:top w:val="nil"/>
              <w:left w:val="nil"/>
              <w:bottom w:val="nil"/>
              <w:right w:val="nil"/>
            </w:tcBorders>
            <w:shd w:val="clear" w:color="auto" w:fill="F2F2F2" w:themeFill="background1" w:themeFillShade="F2"/>
          </w:tcPr>
          <w:p w14:paraId="6E69980E" w14:textId="3FDB6970" w:rsidR="00DE1537" w:rsidRDefault="00DE1537" w:rsidP="00343F3E">
            <w:pPr>
              <w:pStyle w:val="BoxSource"/>
            </w:pPr>
            <w:r>
              <w:rPr>
                <w:i/>
              </w:rPr>
              <w:t>Sources</w:t>
            </w:r>
            <w:r w:rsidRPr="00167F06">
              <w:t xml:space="preserve">: </w:t>
            </w:r>
            <w:r>
              <w:t xml:space="preserve">Department of Finance and Deregulation </w:t>
            </w:r>
            <w:r w:rsidRPr="00667A09">
              <w:rPr>
                <w:rFonts w:cs="Arial"/>
              </w:rPr>
              <w:t>(2012)</w:t>
            </w:r>
            <w:r>
              <w:t xml:space="preserve">; ERC </w:t>
            </w:r>
            <w:r w:rsidRPr="00A45433">
              <w:rPr>
                <w:rFonts w:cs="Arial"/>
              </w:rPr>
              <w:t>(2011)</w:t>
            </w:r>
            <w:r>
              <w:t xml:space="preserve">; Finity Consulting </w:t>
            </w:r>
            <w:r w:rsidRPr="00667A09">
              <w:rPr>
                <w:rFonts w:cs="Arial"/>
              </w:rPr>
              <w:t>(2011, 2012)</w:t>
            </w:r>
            <w:r>
              <w:t xml:space="preserve">; Government of South Australia (sub. 67); NSW Self Insurance Corporation </w:t>
            </w:r>
            <w:r w:rsidRPr="00667A09">
              <w:rPr>
                <w:rFonts w:cs="Arial"/>
              </w:rPr>
              <w:t>(2014)</w:t>
            </w:r>
            <w:r>
              <w:t xml:space="preserve">; SAFA </w:t>
            </w:r>
            <w:r w:rsidRPr="00317FF4">
              <w:rPr>
                <w:rFonts w:cs="Arial"/>
              </w:rPr>
              <w:t>(2013)</w:t>
            </w:r>
            <w:r>
              <w:t xml:space="preserve">; Victorian Government (sub. 113); VMIA </w:t>
            </w:r>
            <w:r w:rsidRPr="005B3768">
              <w:rPr>
                <w:rFonts w:cs="Arial"/>
              </w:rPr>
              <w:t>(2013)</w:t>
            </w:r>
            <w:r>
              <w:t>.</w:t>
            </w:r>
          </w:p>
        </w:tc>
      </w:tr>
      <w:tr w:rsidR="00DE1537" w14:paraId="1925832D"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39DAC788" w14:textId="77777777" w:rsidR="00DE1537" w:rsidRDefault="00DE1537">
            <w:pPr>
              <w:pStyle w:val="Box"/>
              <w:spacing w:before="0" w:line="120" w:lineRule="exact"/>
            </w:pPr>
          </w:p>
        </w:tc>
      </w:tr>
      <w:tr w:rsidR="00DE1537" w:rsidRPr="000863A5" w14:paraId="032181D3" w14:textId="77777777" w:rsidTr="00343F3E">
        <w:tc>
          <w:tcPr>
            <w:tcW w:w="8771" w:type="dxa"/>
            <w:tcBorders>
              <w:top w:val="single" w:sz="6" w:space="0" w:color="78A22F"/>
              <w:left w:val="nil"/>
              <w:bottom w:val="nil"/>
              <w:right w:val="nil"/>
            </w:tcBorders>
          </w:tcPr>
          <w:p w14:paraId="4F2615DC" w14:textId="77777777" w:rsidR="00DE1537" w:rsidRPr="00626D32" w:rsidRDefault="00DE1537" w:rsidP="00343F3E">
            <w:pPr>
              <w:pStyle w:val="BoxSpaceBelow"/>
            </w:pPr>
          </w:p>
        </w:tc>
      </w:tr>
    </w:tbl>
    <w:p w14:paraId="377E3A85" w14:textId="77777777" w:rsidR="00DE1537" w:rsidRPr="00043779" w:rsidRDefault="00DE1537" w:rsidP="00343F3E">
      <w:pPr>
        <w:pStyle w:val="BodyText"/>
      </w:pPr>
      <w:r>
        <w:lastRenderedPageBreak/>
        <w:t>Governments in their submissions to this inquiry agreed that insuring their assets is an important part of effectively managing risks (for example, Blue Mountains City Council (NSW), sub. </w:t>
      </w:r>
      <w:proofErr w:type="gramStart"/>
      <w:r>
        <w:t>DR204; Cook Shire Council (Qld), sub.</w:t>
      </w:r>
      <w:proofErr w:type="gramEnd"/>
      <w:r>
        <w:t> </w:t>
      </w:r>
      <w:proofErr w:type="gramStart"/>
      <w:r>
        <w:t>DR128; Queensland Government, sub.</w:t>
      </w:r>
      <w:proofErr w:type="gramEnd"/>
      <w:r>
        <w:t> DR184). That said</w:t>
      </w:r>
      <w:proofErr w:type="gramStart"/>
      <w:r>
        <w:t>,</w:t>
      </w:r>
      <w:proofErr w:type="gramEnd"/>
      <w:r>
        <w:t xml:space="preserve"> m</w:t>
      </w:r>
      <w:r w:rsidRPr="00043779">
        <w:t xml:space="preserve">any </w:t>
      </w:r>
      <w:r>
        <w:t xml:space="preserve">inquiry participants </w:t>
      </w:r>
      <w:r w:rsidRPr="00043779">
        <w:t>raised issues with underinsurance, non</w:t>
      </w:r>
      <w:r w:rsidRPr="00043779">
        <w:noBreakHyphen/>
        <w:t xml:space="preserve">insurance and affordability of </w:t>
      </w:r>
      <w:r w:rsidRPr="00F921AC">
        <w:t>insurance</w:t>
      </w:r>
      <w:r>
        <w:t xml:space="preserve"> for government</w:t>
      </w:r>
      <w:r>
        <w:noBreakHyphen/>
        <w:t>owned assets</w:t>
      </w:r>
      <w:r w:rsidRPr="00F921AC">
        <w:t>.</w:t>
      </w:r>
      <w:r w:rsidRPr="00992329">
        <w:t xml:space="preserve"> </w:t>
      </w:r>
      <w:r w:rsidRPr="00A22917">
        <w:t xml:space="preserve">Some governments claimed </w:t>
      </w:r>
      <w:r>
        <w:t>that</w:t>
      </w:r>
      <w:r w:rsidRPr="00A22917">
        <w:t xml:space="preserve"> some assets are not insurable</w:t>
      </w:r>
      <w:r>
        <w:t xml:space="preserve"> because their risk profile is too difficult to determine</w:t>
      </w:r>
      <w:r w:rsidRPr="00043779">
        <w:t>. For example</w:t>
      </w:r>
      <w:r>
        <w:t>, the Queensland Government (sub. 31, p. 4) stated that</w:t>
      </w:r>
      <w:r w:rsidRPr="00043779">
        <w:t>:</w:t>
      </w:r>
    </w:p>
    <w:p w14:paraId="0097C302" w14:textId="77777777" w:rsidR="00DE1537" w:rsidRDefault="00DE1537" w:rsidP="00343F3E">
      <w:pPr>
        <w:pStyle w:val="Quote"/>
      </w:pPr>
      <w:r>
        <w:t xml:space="preserve">While the purchase of insurance by individuals and asset owners is strongly endorsed and promoted by the Queensland Government as a risk management measure, the ability to insure some public assets in Queensland, particularly roads, is difficult — if not impossible — because the risk profile for this infrastructure is problematic and difficult to determine. Consequently, some road assets in Queensland’s 170,000km road network are uninsurable, and alternative ways to provide better protection and resilience are required. </w:t>
      </w:r>
    </w:p>
    <w:p w14:paraId="5920E12B" w14:textId="77777777" w:rsidR="00DE1537" w:rsidRDefault="00DE1537" w:rsidP="00343F3E">
      <w:pPr>
        <w:pStyle w:val="BodyText"/>
      </w:pPr>
      <w:r>
        <w:t xml:space="preserve">Another reason put forward is that insurance for some assets, especially roads, is unaffordable for many governments, particularly local governments. </w:t>
      </w:r>
    </w:p>
    <w:p w14:paraId="5D6B065D" w14:textId="77777777" w:rsidR="00DE1537" w:rsidRDefault="00DE1537" w:rsidP="00343F3E">
      <w:pPr>
        <w:pStyle w:val="Quote"/>
      </w:pPr>
      <w:r w:rsidRPr="0045064B">
        <w:t xml:space="preserve">South Australian Councils have been moving towards insurance of all built assets apart from roads. The Insurance Review conducted in 2011 demonstrated that an economic argument was difficult to mount for road insurance. </w:t>
      </w:r>
      <w:proofErr w:type="gramStart"/>
      <w:r w:rsidRPr="0045064B">
        <w:t xml:space="preserve">Premiums indicated by insurers would </w:t>
      </w:r>
      <w:r>
        <w:t>[</w:t>
      </w:r>
      <w:r w:rsidRPr="0045064B">
        <w:t>be</w:t>
      </w:r>
      <w:r>
        <w:t xml:space="preserve"> so]</w:t>
      </w:r>
      <w:r w:rsidRPr="0045064B">
        <w:t xml:space="preserve"> high that they would be out of the reach of Councils.</w:t>
      </w:r>
      <w:proofErr w:type="gramEnd"/>
      <w:r>
        <w:t xml:space="preserve"> (LGASA, sub. 13, p. 10)</w:t>
      </w:r>
    </w:p>
    <w:p w14:paraId="6DDFF79F" w14:textId="77777777" w:rsidR="00DE1537" w:rsidRPr="0062322E" w:rsidRDefault="00DE1537" w:rsidP="00343F3E">
      <w:pPr>
        <w:pStyle w:val="Quote"/>
      </w:pPr>
      <w:r w:rsidRPr="005D0531">
        <w:t>In the case of East Gippsland the estimated cost to replace infrastructure damaged since only 2011 is in the order of $16 million. Even assuming that East Gippsland Shire could purchase insurance to cover the damage incurred, it is likely that the premiums would be extremely high. There is a distinct likelihood that given our risk exposure and history of events that East Gippsland Shire would be in effect uninsurable.</w:t>
      </w:r>
      <w:r>
        <w:t xml:space="preserve"> (East Gippsland Shire Council (Vic), sub. DR183, p. 6)</w:t>
      </w:r>
    </w:p>
    <w:p w14:paraId="442B86CC" w14:textId="1DF1CE95" w:rsidR="00DE1537" w:rsidRDefault="00DE1537" w:rsidP="00343F3E">
      <w:pPr>
        <w:pStyle w:val="BodyText"/>
      </w:pPr>
      <w:r>
        <w:t xml:space="preserve">Some inquiry participants also had concerns that the NDRRA create moral hazard and reduce the marginal incentive for state and local governments to take out insurance and undertake effective risk management. This is because these governments do not face the full cost of restoring essential public assets where eligibility requirements are met </w:t>
      </w:r>
      <w:r w:rsidR="007C5656" w:rsidRPr="007C5656">
        <w:rPr>
          <w:szCs w:val="24"/>
        </w:rPr>
        <w:t>(Attorney-General’s Department 2012b)</w:t>
      </w:r>
      <w:r>
        <w:t>. For example, the Australian Government Reconstruction Inspectorate (sub. 39, p. 8) stated that:</w:t>
      </w:r>
    </w:p>
    <w:p w14:paraId="54DF197F" w14:textId="77777777" w:rsidR="00DE1537" w:rsidRDefault="00DE1537" w:rsidP="00343F3E">
      <w:pPr>
        <w:pStyle w:val="Quote"/>
      </w:pPr>
      <w:r w:rsidRPr="00452A86">
        <w:t xml:space="preserve">The NDRRA appear to have created a structural disincentive to investing in insurance and other risk management measures by any jurisdiction which fully understands how it can make use of their provisions. </w:t>
      </w:r>
    </w:p>
    <w:p w14:paraId="0DE211BB" w14:textId="77777777" w:rsidR="00DE1537" w:rsidRDefault="00DE1537" w:rsidP="00343F3E">
      <w:pPr>
        <w:pStyle w:val="BodyText"/>
      </w:pPr>
      <w:proofErr w:type="gramStart"/>
      <w:r>
        <w:t>The WA State Emergency Management Committee Secretariat (sub.</w:t>
      </w:r>
      <w:proofErr w:type="gramEnd"/>
      <w:r>
        <w:t> DR216, p. 10) stated that:</w:t>
      </w:r>
    </w:p>
    <w:p w14:paraId="34CED853" w14:textId="77777777" w:rsidR="00DE1537" w:rsidRDefault="00DE1537" w:rsidP="00343F3E">
      <w:pPr>
        <w:pStyle w:val="Quote"/>
      </w:pPr>
      <w:r>
        <w:t>… [it]</w:t>
      </w:r>
      <w:r w:rsidRPr="00DB2C97">
        <w:t xml:space="preserve"> agrees that the natural disaster funding arrangements </w:t>
      </w:r>
      <w:r>
        <w:t>[lower]</w:t>
      </w:r>
      <w:r w:rsidRPr="00DB2C97">
        <w:t xml:space="preserve"> the incentive for Government agencies to insure their assets and that most have not explored the full range of instruments for insuring roads.</w:t>
      </w:r>
    </w:p>
    <w:p w14:paraId="7E4DB420" w14:textId="77777777" w:rsidR="00DE1537" w:rsidRDefault="00DE1537" w:rsidP="00343F3E">
      <w:pPr>
        <w:pStyle w:val="BodyText"/>
      </w:pPr>
      <w:r>
        <w:t xml:space="preserve">A response given to a House of Representatives Standing Committee on Economics inquiry into the flood levy by a Queensland Government official suggested that the </w:t>
      </w:r>
      <w:r>
        <w:lastRenderedPageBreak/>
        <w:t>NDRRA had influenced the Queensland Government’s decision to not take out catastrophe reinsurance before 2011.</w:t>
      </w:r>
    </w:p>
    <w:p w14:paraId="060436E0" w14:textId="1C90C516" w:rsidR="00DE1537" w:rsidRDefault="00DE1537" w:rsidP="00343F3E">
      <w:pPr>
        <w:pStyle w:val="Quote"/>
      </w:pPr>
      <w:r>
        <w:t xml:space="preserve">We did not take that decision in relation to [reinsurance of] natural disaster events because of longstanding arrangements which are in place for natural disaster[s] at a national level. </w:t>
      </w:r>
      <w:r w:rsidRPr="00A7633C">
        <w:t>(HRSCE 2011, p. 29)</w:t>
      </w:r>
    </w:p>
    <w:p w14:paraId="6AB9DD9A" w14:textId="77777777" w:rsidR="00DE1537" w:rsidRDefault="00DE1537" w:rsidP="00343F3E">
      <w:pPr>
        <w:pStyle w:val="BodyText"/>
      </w:pPr>
      <w:r>
        <w:t>There is also international evidence that funding from national governments reduces the incentive for sub</w:t>
      </w:r>
      <w:r>
        <w:noBreakHyphen/>
        <w:t>national governments to take out insurance. The New Zealand Auditor</w:t>
      </w:r>
      <w:r>
        <w:noBreakHyphen/>
        <w:t>General reviewed insurance arrangements for public assets and found that the availability of central government funding resulted in local authorities not insuring some assets (supplementary paper 8).</w:t>
      </w:r>
    </w:p>
    <w:p w14:paraId="77775FEB" w14:textId="77777777" w:rsidR="00DE1537" w:rsidRDefault="00DE1537" w:rsidP="00343F3E">
      <w:pPr>
        <w:pStyle w:val="BodyText"/>
      </w:pPr>
      <w:r>
        <w:t>However, state and local governments submitted that the NDRRA do not influence insurance decisions (for example, Bundaberg Regional Council (Qld), sub. </w:t>
      </w:r>
      <w:proofErr w:type="gramStart"/>
      <w:r>
        <w:t>DR168; NSW Government, sub.</w:t>
      </w:r>
      <w:proofErr w:type="gramEnd"/>
      <w:r>
        <w:t> </w:t>
      </w:r>
      <w:proofErr w:type="gramStart"/>
      <w:r>
        <w:t>103; Queensland Government, sub.</w:t>
      </w:r>
      <w:proofErr w:type="gramEnd"/>
      <w:r>
        <w:t> 95). The Government of South Australia (sub. 67, p. 35) asserted that ‘t</w:t>
      </w:r>
      <w:r w:rsidRPr="00593064">
        <w:t>he decision on how much cover to purchase is not influenced by the existence of funding under the NDRRA</w:t>
      </w:r>
      <w:r>
        <w:t xml:space="preserve">’. The Australian Local Government Association (sub. 52, p. 20) stated that: </w:t>
      </w:r>
    </w:p>
    <w:p w14:paraId="39A7A7B1" w14:textId="77777777" w:rsidR="00DE1537" w:rsidRDefault="00DE1537" w:rsidP="00343F3E">
      <w:pPr>
        <w:pStyle w:val="Quote"/>
      </w:pPr>
      <w:r w:rsidRPr="00593064">
        <w:t>Local government associations have previously advised that generally, council decisions on the level and type of cover have not been influenced by the availability of disaster relief provided by states/territories.</w:t>
      </w:r>
    </w:p>
    <w:p w14:paraId="6FD90BBD" w14:textId="77777777" w:rsidR="00DE1537" w:rsidRDefault="00DE1537" w:rsidP="00343F3E">
      <w:pPr>
        <w:pStyle w:val="BodyText"/>
      </w:pPr>
      <w:r>
        <w:t>Instead, governments argued a lack of insurance cover for roads was due to factors such as:</w:t>
      </w:r>
    </w:p>
    <w:p w14:paraId="74A434B6" w14:textId="77777777" w:rsidR="00DE1537" w:rsidRDefault="00DE1537" w:rsidP="00343F3E">
      <w:pPr>
        <w:pStyle w:val="ListBullet"/>
      </w:pPr>
      <w:r>
        <w:t>the market not being developed enough</w:t>
      </w:r>
    </w:p>
    <w:p w14:paraId="5A872F43" w14:textId="77777777" w:rsidR="00DE1537" w:rsidRDefault="00DE1537" w:rsidP="00343F3E">
      <w:pPr>
        <w:pStyle w:val="ListBullet"/>
      </w:pPr>
      <w:r>
        <w:t>the high cost relative to perceived risk</w:t>
      </w:r>
    </w:p>
    <w:p w14:paraId="0F2D1501" w14:textId="77777777" w:rsidR="00DE1537" w:rsidRDefault="00DE1537" w:rsidP="00343F3E">
      <w:pPr>
        <w:pStyle w:val="ListBullet"/>
      </w:pPr>
      <w:r>
        <w:t>high deductibles in relation to flood and earthquake insurance</w:t>
      </w:r>
    </w:p>
    <w:p w14:paraId="4F8B7DE9" w14:textId="77777777" w:rsidR="00DE1537" w:rsidRDefault="00DE1537" w:rsidP="00343F3E">
      <w:pPr>
        <w:pStyle w:val="ListBullet"/>
      </w:pPr>
      <w:proofErr w:type="gramStart"/>
      <w:r>
        <w:t>in</w:t>
      </w:r>
      <w:proofErr w:type="gramEnd"/>
      <w:r>
        <w:t xml:space="preserve"> many cases, the inability to get flood and earthquake cover (ALGA, sub. 52; Cassowary Coast Regional Council (Qld) sub. DR140; LGAQ, sub. DR188, trans., Brisbane, p. 74; Local Government NSW, sub. DR196; Queensland Government, sub. 31; Sunshine Coast Council (Qld), sub. DR153).</w:t>
      </w:r>
    </w:p>
    <w:p w14:paraId="356A367A" w14:textId="77777777" w:rsidR="00DE1537" w:rsidRDefault="00DE1537" w:rsidP="00343F3E">
      <w:pPr>
        <w:pStyle w:val="Heading3"/>
      </w:pPr>
      <w:r>
        <w:t>Review of governments’ insurance arrangements</w:t>
      </w:r>
    </w:p>
    <w:p w14:paraId="46B8B033" w14:textId="03D28F60" w:rsidR="00DE1537" w:rsidRPr="006E2625" w:rsidRDefault="00DE1537" w:rsidP="00343F3E">
      <w:pPr>
        <w:pStyle w:val="BodyText"/>
      </w:pPr>
      <w:r w:rsidRPr="006E2625">
        <w:t xml:space="preserve">The NDRRA are intended to complement natural disaster management measures undertaken by states and territories, such as using insurance, rather than supplant them </w:t>
      </w:r>
      <w:r w:rsidR="007C5656" w:rsidRPr="007C5656">
        <w:rPr>
          <w:szCs w:val="24"/>
        </w:rPr>
        <w:t>(Attorney-General’s Department 2012b)</w:t>
      </w:r>
      <w:r w:rsidRPr="006E2625">
        <w:t xml:space="preserve">. A condition of assistance to state </w:t>
      </w:r>
      <w:r>
        <w:t xml:space="preserve">and territory governments </w:t>
      </w:r>
      <w:r w:rsidRPr="006E2625">
        <w:t xml:space="preserve">is that </w:t>
      </w:r>
      <w:r>
        <w:t xml:space="preserve">they </w:t>
      </w:r>
      <w:r w:rsidRPr="006E2625">
        <w:t>must have reasonably adequate capital</w:t>
      </w:r>
      <w:r>
        <w:t>,</w:t>
      </w:r>
      <w:r w:rsidRPr="006E2625">
        <w:t xml:space="preserve"> or access to capital</w:t>
      </w:r>
      <w:r>
        <w:t>,</w:t>
      </w:r>
      <w:r w:rsidRPr="006E2625">
        <w:t xml:space="preserve"> to fund liabilities or infrastructure losses before being granted access to funds</w:t>
      </w:r>
      <w:r>
        <w:t>.</w:t>
      </w:r>
      <w:r w:rsidRPr="006E2625">
        <w:t xml:space="preserve"> </w:t>
      </w:r>
      <w:r>
        <w:t>This can include</w:t>
      </w:r>
      <w:r w:rsidRPr="006E2625">
        <w:t xml:space="preserve">, but </w:t>
      </w:r>
      <w:r>
        <w:t>is not limited to:</w:t>
      </w:r>
    </w:p>
    <w:p w14:paraId="364C721D" w14:textId="77777777" w:rsidR="00DE1537" w:rsidRPr="006E2625" w:rsidRDefault="00DE1537" w:rsidP="00343F3E">
      <w:pPr>
        <w:pStyle w:val="ListBullet"/>
      </w:pPr>
      <w:r w:rsidRPr="006E2625">
        <w:t>commercial insurance</w:t>
      </w:r>
      <w:r>
        <w:t xml:space="preserve"> or </w:t>
      </w:r>
      <w:r w:rsidRPr="006E2625">
        <w:t xml:space="preserve">reinsurance </w:t>
      </w:r>
    </w:p>
    <w:p w14:paraId="2DC2975B" w14:textId="77777777" w:rsidR="00DE1537" w:rsidRPr="006E2625" w:rsidRDefault="00DE1537" w:rsidP="00343F3E">
      <w:pPr>
        <w:pStyle w:val="ListBullet"/>
      </w:pPr>
      <w:r w:rsidRPr="006E2625">
        <w:t>any state</w:t>
      </w:r>
      <w:r>
        <w:t>–</w:t>
      </w:r>
      <w:r w:rsidRPr="006E2625">
        <w:t xml:space="preserve">COAG reinsurance fund or pool </w:t>
      </w:r>
    </w:p>
    <w:p w14:paraId="1D354937" w14:textId="75184367" w:rsidR="00DE1537" w:rsidRPr="006E2625" w:rsidRDefault="00DE1537" w:rsidP="00343F3E">
      <w:pPr>
        <w:pStyle w:val="ListBullet"/>
      </w:pPr>
      <w:proofErr w:type="gramStart"/>
      <w:r w:rsidRPr="006E2625">
        <w:lastRenderedPageBreak/>
        <w:t>state</w:t>
      </w:r>
      <w:proofErr w:type="gramEnd"/>
      <w:r w:rsidRPr="006E2625">
        <w:t xml:space="preserve"> department premium contributions </w:t>
      </w:r>
      <w:r w:rsidR="007C5656" w:rsidRPr="007C5656">
        <w:rPr>
          <w:szCs w:val="24"/>
        </w:rPr>
        <w:t>(Attorney-General’s Department 2012b)</w:t>
      </w:r>
      <w:r w:rsidRPr="006E2625">
        <w:t xml:space="preserve">. </w:t>
      </w:r>
    </w:p>
    <w:p w14:paraId="20467D94" w14:textId="45CEFBA6" w:rsidR="00DE1537" w:rsidRPr="00AC6436" w:rsidRDefault="00DE1537" w:rsidP="00343F3E">
      <w:pPr>
        <w:pStyle w:val="BodyText"/>
      </w:pPr>
      <w:r w:rsidRPr="00AC6436">
        <w:t xml:space="preserve">In 2011, </w:t>
      </w:r>
      <w:proofErr w:type="gramStart"/>
      <w:r w:rsidRPr="00AC6436">
        <w:t>a requirement was introduced that states and territories must have a</w:t>
      </w:r>
      <w:r>
        <w:t xml:space="preserve"> regular independent assessment</w:t>
      </w:r>
      <w:r w:rsidRPr="00AC6436">
        <w:t xml:space="preserve"> of their insurance arrangements no greater than three years apart and submit</w:t>
      </w:r>
      <w:proofErr w:type="gramEnd"/>
      <w:r w:rsidRPr="00AC6436">
        <w:t xml:space="preserve"> </w:t>
      </w:r>
      <w:r>
        <w:t xml:space="preserve">these </w:t>
      </w:r>
      <w:r w:rsidRPr="00AC6436">
        <w:t xml:space="preserve">assessments to the Australian Government for review </w:t>
      </w:r>
      <w:r>
        <w:br/>
      </w:r>
      <w:r w:rsidRPr="00AA5241">
        <w:rPr>
          <w:szCs w:val="24"/>
        </w:rPr>
        <w:t>(Attorney-General’s Department 2011)</w:t>
      </w:r>
      <w:r w:rsidRPr="00AC6436">
        <w:t>. The Department of Finance and Deregulation (2012) undertook a review of the assessments submitted to the Australian Government in 2011</w:t>
      </w:r>
      <w:r>
        <w:t>,</w:t>
      </w:r>
      <w:r w:rsidRPr="00AC6436">
        <w:t xml:space="preserve"> to determine </w:t>
      </w:r>
      <w:r>
        <w:t>whether</w:t>
      </w:r>
      <w:r w:rsidRPr="00AC6436">
        <w:t xml:space="preserve"> state and territory insurance arrangements were appropriate. Local governments</w:t>
      </w:r>
      <w:r>
        <w:t>’</w:t>
      </w:r>
      <w:r w:rsidRPr="00AC6436">
        <w:t xml:space="preserve"> insurance arrangements were also </w:t>
      </w:r>
      <w:r>
        <w:t>assessed</w:t>
      </w:r>
      <w:r w:rsidRPr="00AC6436">
        <w:t xml:space="preserve">. </w:t>
      </w:r>
    </w:p>
    <w:p w14:paraId="4B4C4BE4" w14:textId="22E59FC4" w:rsidR="00DE1537" w:rsidRDefault="00DE1537" w:rsidP="00343F3E">
      <w:pPr>
        <w:pStyle w:val="BodyText"/>
      </w:pPr>
      <w:r>
        <w:t>The review found that all states and territories, apart from Tasmania and the Northern Territory, had adequate insurance arrangements for their non</w:t>
      </w:r>
      <w:r>
        <w:noBreakHyphen/>
        <w:t xml:space="preserve">road assets. According to the initial submissions to the review, the Tasmanian Government indicated that its agencies are covered for the first $5 million of losses under the Tasmanian Risk Management Fund </w:t>
      </w:r>
      <w:r w:rsidRPr="00272B90">
        <w:rPr>
          <w:szCs w:val="24"/>
        </w:rPr>
        <w:t>(Finity Consulting 2011)</w:t>
      </w:r>
      <w:r>
        <w:t xml:space="preserve">. In the Northern Territory, a notional budget allowance of $10 million was set aside within the Treasurer’s Advance mechanism </w:t>
      </w:r>
      <w:r w:rsidRPr="00272B90">
        <w:rPr>
          <w:szCs w:val="24"/>
        </w:rPr>
        <w:t>(Northern Territory Government 2011)</w:t>
      </w:r>
      <w:r>
        <w:t xml:space="preserve">. There was no indication of insurance arrangements above these limits. </w:t>
      </w:r>
    </w:p>
    <w:p w14:paraId="49083B5A" w14:textId="190CE319" w:rsidR="00DE1537" w:rsidRDefault="00DE1537" w:rsidP="00343F3E">
      <w:pPr>
        <w:pStyle w:val="BodyText"/>
      </w:pPr>
      <w:r>
        <w:t>The review recommended that Tasmania and the Northern Territory undertake a benchmarking process for their non</w:t>
      </w:r>
      <w:r>
        <w:noBreakHyphen/>
        <w:t>road assets, including market testing and cost–benefit analysis. Tasmania and the Northern Territory were also required to submit a follow</w:t>
      </w:r>
      <w:r>
        <w:noBreakHyphen/>
        <w:t xml:space="preserve">up independent assessment for review </w:t>
      </w:r>
      <w:r w:rsidRPr="000930B1">
        <w:rPr>
          <w:szCs w:val="24"/>
        </w:rPr>
        <w:t>(Department of Finance and Deregulation 2012)</w:t>
      </w:r>
      <w:r>
        <w:t xml:space="preserve">, but these have not been made publicly available. </w:t>
      </w:r>
      <w:proofErr w:type="gramStart"/>
      <w:r>
        <w:t>The Tasmanian Government (sub.</w:t>
      </w:r>
      <w:proofErr w:type="gramEnd"/>
      <w:r>
        <w:t> DR223) has stated it plans to complete a review of its insurance arrangements on the completion of this inquiry.</w:t>
      </w:r>
    </w:p>
    <w:p w14:paraId="5BD9B726" w14:textId="12CBBC3C" w:rsidR="00DE1537" w:rsidRDefault="00DE1537" w:rsidP="00343F3E">
      <w:pPr>
        <w:pStyle w:val="BodyText"/>
      </w:pPr>
      <w:r>
        <w:t>The review also concluded that many local governments did not have adequate flood cover for non</w:t>
      </w:r>
      <w:r>
        <w:noBreakHyphen/>
        <w:t xml:space="preserve">road assets, and there was no indication that market testing had been undertaken to assess their insurance options </w:t>
      </w:r>
      <w:r w:rsidRPr="000930B1">
        <w:rPr>
          <w:szCs w:val="24"/>
        </w:rPr>
        <w:t>(Department of Finance and Deregulation 2012)</w:t>
      </w:r>
      <w:r>
        <w:t xml:space="preserve">. </w:t>
      </w:r>
    </w:p>
    <w:p w14:paraId="4A540346" w14:textId="77777777" w:rsidR="00DE1537" w:rsidRDefault="00DE1537" w:rsidP="00343F3E">
      <w:pPr>
        <w:pStyle w:val="BodyText"/>
      </w:pPr>
      <w:r>
        <w:t>As well, the review found, as discussed above, that only the Victorian and ACT Governments had insurance for roads. It also noted that:</w:t>
      </w:r>
    </w:p>
    <w:p w14:paraId="140E5F70" w14:textId="77777777" w:rsidR="00DE1537" w:rsidRDefault="00DE1537" w:rsidP="00343F3E">
      <w:pPr>
        <w:pStyle w:val="ListBullet"/>
      </w:pPr>
      <w:r>
        <w:t>the appetite and capacity of traditional insurance arrangements for road assets in Australia is insufficient</w:t>
      </w:r>
    </w:p>
    <w:p w14:paraId="066FF859" w14:textId="77777777" w:rsidR="00DE1537" w:rsidRDefault="00DE1537" w:rsidP="00343F3E">
      <w:pPr>
        <w:pStyle w:val="ListBullet"/>
      </w:pPr>
      <w:r>
        <w:t>non</w:t>
      </w:r>
      <w:r>
        <w:noBreakHyphen/>
        <w:t>traditional insurance options are limited in their availability and, even if available, may not be cost</w:t>
      </w:r>
      <w:r>
        <w:noBreakHyphen/>
        <w:t>effective</w:t>
      </w:r>
    </w:p>
    <w:p w14:paraId="10972BB4" w14:textId="67F3F457" w:rsidR="00DE1537" w:rsidRDefault="00DE1537" w:rsidP="00343F3E">
      <w:pPr>
        <w:pStyle w:val="ListBullet"/>
      </w:pPr>
      <w:proofErr w:type="gramStart"/>
      <w:r>
        <w:t>risk</w:t>
      </w:r>
      <w:r>
        <w:noBreakHyphen/>
        <w:t>transfer</w:t>
      </w:r>
      <w:proofErr w:type="gramEnd"/>
      <w:r>
        <w:t xml:space="preserve"> options for road infrastructure may not present a viable solution for all jurisdictions in Australia </w:t>
      </w:r>
      <w:r w:rsidRPr="000930B1">
        <w:rPr>
          <w:szCs w:val="24"/>
        </w:rPr>
        <w:t>(Department of Finance and Deregulation 2012)</w:t>
      </w:r>
      <w:r>
        <w:t>.</w:t>
      </w:r>
    </w:p>
    <w:p w14:paraId="127442CE" w14:textId="654EA4E3" w:rsidR="00DE1537" w:rsidRDefault="00DE1537" w:rsidP="00343F3E">
      <w:pPr>
        <w:pStyle w:val="BodyText"/>
      </w:pPr>
      <w:r>
        <w:t xml:space="preserve">KPMG Actuarial </w:t>
      </w:r>
      <w:r w:rsidRPr="005D34E7">
        <w:t>(2012)</w:t>
      </w:r>
      <w:r>
        <w:t xml:space="preserve">, </w:t>
      </w:r>
      <w:r w:rsidRPr="007873EF">
        <w:t>which provided technical advice to the review</w:t>
      </w:r>
      <w:r>
        <w:t xml:space="preserve">, noted that there was limited evidence that insurance options for roads had been sufficiently explored by all governments. </w:t>
      </w:r>
      <w:proofErr w:type="gramStart"/>
      <w:r>
        <w:t>However, the Queensland Government (sub.</w:t>
      </w:r>
      <w:proofErr w:type="gramEnd"/>
      <w:r>
        <w:t> </w:t>
      </w:r>
      <w:proofErr w:type="gramStart"/>
      <w:r>
        <w:t>DR184) and the Government of South Australia (sub.</w:t>
      </w:r>
      <w:proofErr w:type="gramEnd"/>
      <w:r>
        <w:t> DR209) have indicated that they have investigated insuring roads in recent years, including approaching the market, and they have not been able to obtain insurance.</w:t>
      </w:r>
    </w:p>
    <w:p w14:paraId="113384F9" w14:textId="77777777" w:rsidR="00DE1537" w:rsidRPr="00FA6FCA" w:rsidRDefault="00DE1537" w:rsidP="00343F3E">
      <w:pPr>
        <w:pStyle w:val="BodyText"/>
      </w:pPr>
      <w:r>
        <w:lastRenderedPageBreak/>
        <w:t>The review also noted that even if there was sufficient appetite in the market to insure roads, many states and territories would be unlikely to meet the data requirements to obtain insurance. This would include clearly identifying the roads to be insured, the value of the roads and the full claims and loss history</w:t>
      </w:r>
      <w:r w:rsidRPr="00F8321A">
        <w:t xml:space="preserve">. </w:t>
      </w:r>
      <w:r>
        <w:t xml:space="preserve">As discussed in chapter 3, developing asset registers, which would include the types of data mentioned above, and asset management plans are important activities in undertaking effective natural disaster risk management. </w:t>
      </w:r>
    </w:p>
    <w:p w14:paraId="0080F76A" w14:textId="5796E386" w:rsidR="00DE1537" w:rsidRDefault="00DE1537" w:rsidP="00343F3E">
      <w:pPr>
        <w:pStyle w:val="BodyText"/>
      </w:pPr>
      <w:r>
        <w:t>The review put forward a number of options for funding roads outside of traditional insurance, including parametric insurance (discussed below), a national roads pool, concessional loans and an insurance</w:t>
      </w:r>
      <w:r>
        <w:noBreakHyphen/>
        <w:t xml:space="preserve">type arrangement with the Australian Government </w:t>
      </w:r>
      <w:r w:rsidRPr="00247685">
        <w:rPr>
          <w:szCs w:val="24"/>
        </w:rPr>
        <w:t>(Department of Finance and Deregulation 2012)</w:t>
      </w:r>
      <w:r>
        <w:t xml:space="preserve">. </w:t>
      </w:r>
    </w:p>
    <w:p w14:paraId="6EA03E66" w14:textId="77777777" w:rsidR="00DE1537" w:rsidRDefault="00DE1537" w:rsidP="00343F3E">
      <w:pPr>
        <w:pStyle w:val="Heading3"/>
      </w:pPr>
      <w:r>
        <w:t>Non</w:t>
      </w:r>
      <w:r>
        <w:noBreakHyphen/>
        <w:t>traditional insurance products</w:t>
      </w:r>
    </w:p>
    <w:p w14:paraId="1486C54C" w14:textId="77777777" w:rsidR="00DE1537" w:rsidRDefault="00DE1537" w:rsidP="00343F3E">
      <w:pPr>
        <w:pStyle w:val="BodyText"/>
      </w:pPr>
      <w:r>
        <w:t>Non</w:t>
      </w:r>
      <w:r>
        <w:noBreakHyphen/>
        <w:t>traditional insurance products, such as parametric or index</w:t>
      </w:r>
      <w:r>
        <w:noBreakHyphen/>
        <w:t>based insurance and catastrophe bonds, are a possible alternative to traditional insurance products for government assets (box 5.3). Non</w:t>
      </w:r>
      <w:r>
        <w:noBreakHyphen/>
        <w:t>traditional insurance products have been used by governments internationally. For example, the State Insurance Fund of Alabama has used a parametric product to insure against hurricanes. Payout was based on the wind speed of the hurricane eye as it passed through a specific geographic area (Swiss Re, sub. DR219). Other examples are canvassed in supplementary paper 8. Private companies have also used non</w:t>
      </w:r>
      <w:r>
        <w:noBreakHyphen/>
        <w:t>traditional insurance products (box 5.3).</w:t>
      </w:r>
    </w:p>
    <w:p w14:paraId="114BA564" w14:textId="7150209B" w:rsidR="00DE1537" w:rsidRDefault="00DE1537" w:rsidP="00343F3E">
      <w:pPr>
        <w:pStyle w:val="BodyText"/>
      </w:pPr>
      <w:r>
        <w:t>These products could have a number of advantages over traditional insurance for hard</w:t>
      </w:r>
      <w:r>
        <w:noBreakHyphen/>
        <w:t>to</w:t>
      </w:r>
      <w:r>
        <w:noBreakHyphen/>
        <w:t xml:space="preserve">insure assets such as roads. For example, as parametric insurance products are based on a ‘trigger point’ upon which a predetermined amount of money is paid, they could be used where information on the asset or the hazard is limited, as there is no need to provide evidence of actual losses. In addition, not requiring information on losses means that the payout could be provided quicker than under a traditional insurance product </w:t>
      </w:r>
      <w:r w:rsidRPr="003A7802">
        <w:rPr>
          <w:szCs w:val="24"/>
        </w:rPr>
        <w:t>(Department of Finance and Deregulation 2012)</w:t>
      </w:r>
      <w:r>
        <w:t xml:space="preserve">. These products also complement the traditional reinsurance market by broadening capacity </w:t>
      </w:r>
      <w:r w:rsidRPr="00813231">
        <w:rPr>
          <w:szCs w:val="24"/>
        </w:rPr>
        <w:t>(McAneney et al. 2013)</w:t>
      </w:r>
      <w:r>
        <w:t xml:space="preserve">. However, these insurance products are not used widely, and historically are more expensive than traditional insurance arrangements. In addition, whether the payout will cover the cost of the natural disaster losses is uncertain </w:t>
      </w:r>
      <w:r w:rsidRPr="003A7802">
        <w:rPr>
          <w:szCs w:val="24"/>
        </w:rPr>
        <w:t>(Department of Finance and Deregulation 2012)</w:t>
      </w:r>
      <w:r>
        <w:t xml:space="preserve">. </w:t>
      </w:r>
    </w:p>
    <w:p w14:paraId="1E14AA52" w14:textId="77777777" w:rsidR="00DE1537" w:rsidRDefault="00DE1537" w:rsidP="00343F3E">
      <w:pPr>
        <w:pStyle w:val="BodyText"/>
      </w:pPr>
      <w:r>
        <w:t>Inquiry participants had mixed views on the possibility of using non</w:t>
      </w:r>
      <w:r>
        <w:noBreakHyphen/>
        <w:t>traditional products to insure government assets in Australia. Some participants were supportive of them being investigated as an alternative to traditional insurance in the future (for example, Government of South Australia, sub. </w:t>
      </w:r>
      <w:proofErr w:type="gramStart"/>
      <w:r>
        <w:t>DR209; IPART, sub.</w:t>
      </w:r>
      <w:proofErr w:type="gramEnd"/>
      <w:r>
        <w:t> </w:t>
      </w:r>
      <w:proofErr w:type="gramStart"/>
      <w:r>
        <w:t>DR159; Swiss Re, sub.</w:t>
      </w:r>
      <w:proofErr w:type="gramEnd"/>
      <w:r>
        <w:t> </w:t>
      </w:r>
      <w:proofErr w:type="gramStart"/>
      <w:r>
        <w:t>DR219; Victorian Government, sub.</w:t>
      </w:r>
      <w:proofErr w:type="gramEnd"/>
      <w:r>
        <w:t> DR215; WA SEMCS, sub. DR216). However, other participants argued that non</w:t>
      </w:r>
      <w:r>
        <w:noBreakHyphen/>
        <w:t>traditional insurance products are not a viable option for a number of reasons including their complexity and perceived level of risk, difficulty in determining an appropriate trigger and the cost, particularly for smaller local governments (Bundaberg Regional Council (Qld), sub. </w:t>
      </w:r>
      <w:proofErr w:type="gramStart"/>
      <w:r>
        <w:t xml:space="preserve">DR168; Douglas Shire Council (Qld), </w:t>
      </w:r>
      <w:r>
        <w:lastRenderedPageBreak/>
        <w:t>sub.</w:t>
      </w:r>
      <w:proofErr w:type="gramEnd"/>
      <w:r>
        <w:t> </w:t>
      </w:r>
      <w:proofErr w:type="gramStart"/>
      <w:r>
        <w:t>DR189; LGAQ, sub.</w:t>
      </w:r>
      <w:proofErr w:type="gramEnd"/>
      <w:r>
        <w:t> </w:t>
      </w:r>
      <w:proofErr w:type="gramStart"/>
      <w:r>
        <w:t>DR188; LGASA, sub.</w:t>
      </w:r>
      <w:proofErr w:type="gramEnd"/>
      <w:r>
        <w:t> </w:t>
      </w:r>
      <w:proofErr w:type="gramStart"/>
      <w:r>
        <w:t>DR161; Queensland Government, sub.</w:t>
      </w:r>
      <w:proofErr w:type="gramEnd"/>
      <w:r>
        <w:t> </w:t>
      </w:r>
      <w:proofErr w:type="gramStart"/>
      <w:r>
        <w:t>DR184; Toowoomba Regional Council (Qld), sub.</w:t>
      </w:r>
      <w:proofErr w:type="gramEnd"/>
      <w:r>
        <w:t> DR170).</w:t>
      </w:r>
    </w:p>
    <w:p w14:paraId="19D6E016"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EDB1960" w14:textId="77777777" w:rsidTr="00343F3E">
        <w:tc>
          <w:tcPr>
            <w:tcW w:w="8771" w:type="dxa"/>
            <w:tcBorders>
              <w:top w:val="single" w:sz="6" w:space="0" w:color="78A22F"/>
              <w:left w:val="nil"/>
              <w:bottom w:val="nil"/>
              <w:right w:val="nil"/>
            </w:tcBorders>
            <w:shd w:val="clear" w:color="auto" w:fill="F2F2F2" w:themeFill="background1" w:themeFillShade="F2"/>
          </w:tcPr>
          <w:p w14:paraId="635F6CBA" w14:textId="0645F42B" w:rsidR="00DE1537" w:rsidRDefault="00DE1537" w:rsidP="00343F3E">
            <w:pPr>
              <w:pStyle w:val="BoxTitle"/>
            </w:pPr>
            <w:r>
              <w:rPr>
                <w:b w:val="0"/>
              </w:rPr>
              <w:t>Box 5.</w:t>
            </w:r>
            <w:r>
              <w:rPr>
                <w:b w:val="0"/>
                <w:noProof/>
              </w:rPr>
              <w:t>3</w:t>
            </w:r>
            <w:r>
              <w:tab/>
              <w:t>Non</w:t>
            </w:r>
            <w:r>
              <w:noBreakHyphen/>
              <w:t>traditional insurance products for natural disasters</w:t>
            </w:r>
          </w:p>
        </w:tc>
      </w:tr>
      <w:tr w:rsidR="00DE1537" w14:paraId="0B7F926C" w14:textId="77777777" w:rsidTr="00343F3E">
        <w:trPr>
          <w:cantSplit/>
        </w:trPr>
        <w:tc>
          <w:tcPr>
            <w:tcW w:w="8771" w:type="dxa"/>
            <w:tcBorders>
              <w:top w:val="nil"/>
              <w:left w:val="nil"/>
              <w:bottom w:val="nil"/>
              <w:right w:val="nil"/>
            </w:tcBorders>
            <w:shd w:val="clear" w:color="auto" w:fill="F2F2F2" w:themeFill="background1" w:themeFillShade="F2"/>
          </w:tcPr>
          <w:p w14:paraId="166950BE" w14:textId="77777777" w:rsidR="00DE1537" w:rsidRDefault="00DE1537" w:rsidP="00343F3E">
            <w:pPr>
              <w:pStyle w:val="BoxHeading1"/>
            </w:pPr>
            <w:r>
              <w:t>Parametric and index</w:t>
            </w:r>
            <w:r>
              <w:noBreakHyphen/>
              <w:t>based insurance</w:t>
            </w:r>
          </w:p>
          <w:p w14:paraId="614B4CD5" w14:textId="2074ACA2" w:rsidR="00DE1537" w:rsidRPr="00505279" w:rsidRDefault="00DE1537" w:rsidP="00343F3E">
            <w:pPr>
              <w:pStyle w:val="Box"/>
            </w:pPr>
            <w:r w:rsidRPr="00505279">
              <w:t>Under a parametric or index</w:t>
            </w:r>
            <w:r>
              <w:noBreakHyphen/>
            </w:r>
            <w:r w:rsidRPr="00505279">
              <w:t>based insurance contract, the policyholder pays a premium and the insurer agrees to make a pre</w:t>
            </w:r>
            <w:r>
              <w:noBreakHyphen/>
            </w:r>
            <w:r w:rsidRPr="00505279">
              <w:t xml:space="preserve">defined payout </w:t>
            </w:r>
            <w:r>
              <w:t xml:space="preserve">only </w:t>
            </w:r>
            <w:r w:rsidRPr="00505279">
              <w:t>when a ‘trigger’ is reached (such as a set level of rainfall or the number of days exceeding a given temperature)</w:t>
            </w:r>
            <w:r>
              <w:t xml:space="preserve"> </w:t>
            </w:r>
            <w:r w:rsidRPr="00ED3DBB">
              <w:rPr>
                <w:rFonts w:cs="Arial"/>
                <w:szCs w:val="24"/>
              </w:rPr>
              <w:t>(IMF 2008)</w:t>
            </w:r>
            <w:r w:rsidRPr="00505279">
              <w:t>. The trigger is not based directly on actions or losses of the policyholder. This can reduce information problems and transaction costs by making it relatively easy to determine when a payout should be made and the size of the payout</w:t>
            </w:r>
            <w:r>
              <w:t xml:space="preserve"> </w:t>
            </w:r>
            <w:r w:rsidRPr="00ED3DBB">
              <w:rPr>
                <w:rFonts w:cs="Arial"/>
                <w:szCs w:val="24"/>
              </w:rPr>
              <w:t>(Economics of Climate Adaptation Working Group 2009)</w:t>
            </w:r>
            <w:r w:rsidRPr="00505279">
              <w:t>. However, the policyholder will not be covered if the trigger is not reached, and thus may bear more risk (or loss) themselves.</w:t>
            </w:r>
            <w:r>
              <w:t xml:space="preserve"> </w:t>
            </w:r>
          </w:p>
          <w:p w14:paraId="20CF6FFB" w14:textId="77777777" w:rsidR="00DE1537" w:rsidRDefault="00DE1537" w:rsidP="00343F3E">
            <w:pPr>
              <w:pStyle w:val="BoxHeading1"/>
            </w:pPr>
            <w:r>
              <w:t>Catastrophe bonds</w:t>
            </w:r>
          </w:p>
          <w:p w14:paraId="5107B98A" w14:textId="5AA8445E" w:rsidR="00DE1537" w:rsidRDefault="00DE1537" w:rsidP="00343F3E">
            <w:pPr>
              <w:pStyle w:val="Box"/>
            </w:pPr>
            <w:r w:rsidRPr="00B45A40">
              <w:t>Catastrophe bonds are a financial product where a purchaser (such as a large investor) provides capital</w:t>
            </w:r>
            <w:r>
              <w:t>,</w:t>
            </w:r>
            <w:r w:rsidRPr="00B45A40">
              <w:t xml:space="preserve"> and an issuer (such as an insurer or reinsurer) pays interest. Should a pre</w:t>
            </w:r>
            <w:r>
              <w:noBreakHyphen/>
            </w:r>
            <w:r w:rsidRPr="00B45A40">
              <w:t>defined event occur — such as a large cyclone or earthquake — the purchaser forfeits some or all of the capital and/or interest to the issuer</w:t>
            </w:r>
            <w:r>
              <w:t xml:space="preserve"> </w:t>
            </w:r>
            <w:r w:rsidRPr="00ED3DBB">
              <w:rPr>
                <w:rFonts w:cs="Arial"/>
                <w:szCs w:val="24"/>
              </w:rPr>
              <w:t>(Agrawala and Fankhauser 2008)</w:t>
            </w:r>
            <w:r w:rsidRPr="00B45A40">
              <w:t>. Catastrophe bonds can draw on the resources of capital markets once a disaster occurs</w:t>
            </w:r>
            <w:r>
              <w:t xml:space="preserve"> </w:t>
            </w:r>
            <w:r w:rsidRPr="00ED3DBB">
              <w:rPr>
                <w:rFonts w:cs="Arial"/>
                <w:szCs w:val="24"/>
              </w:rPr>
              <w:t>(Michel-Kerjan and Morlaye 2008)</w:t>
            </w:r>
            <w:r w:rsidRPr="00B45A40">
              <w:t>, and can be provided in several forms, such as indemnity insurance (based on actual losses), parametric insurance (based on an independent trigger), or linked to total insurance industry losses</w:t>
            </w:r>
            <w:r>
              <w:t xml:space="preserve"> </w:t>
            </w:r>
            <w:r w:rsidRPr="00ED3DBB">
              <w:rPr>
                <w:rFonts w:cs="Arial"/>
                <w:szCs w:val="24"/>
              </w:rPr>
              <w:t>(OECD 2011)</w:t>
            </w:r>
            <w:r w:rsidRPr="00B45A40">
              <w:t>.</w:t>
            </w:r>
          </w:p>
          <w:p w14:paraId="3065B64E" w14:textId="77777777" w:rsidR="00DE1537" w:rsidRDefault="00DE1537" w:rsidP="00343F3E">
            <w:pPr>
              <w:pStyle w:val="BoxHeading1"/>
              <w:rPr>
                <w:szCs w:val="24"/>
              </w:rPr>
            </w:pPr>
            <w:r>
              <w:t>Example of a non</w:t>
            </w:r>
            <w:r>
              <w:noBreakHyphen/>
              <w:t>traditional insurance product: Roy Hill</w:t>
            </w:r>
          </w:p>
          <w:p w14:paraId="490F99A3" w14:textId="707DF136" w:rsidR="00DE1537" w:rsidRDefault="00DE1537" w:rsidP="00343F3E">
            <w:pPr>
              <w:pStyle w:val="Box"/>
            </w:pPr>
            <w:r>
              <w:t>Roy Hill Holdings Pty Ltd is currently developing an iron ore mining, rail and port project in the Pilbara region of Western Australia. To insure the construction of the project against delays caused by cyclones, Roy Hill is using a non</w:t>
            </w:r>
            <w:r>
              <w:noBreakHyphen/>
              <w:t xml:space="preserve">traditional insurance product </w:t>
            </w:r>
            <w:r w:rsidRPr="0022398F">
              <w:rPr>
                <w:rFonts w:cs="Arial"/>
                <w:szCs w:val="24"/>
              </w:rPr>
              <w:t>(Roy Hill 2012)</w:t>
            </w:r>
            <w:r>
              <w:t xml:space="preserve">. </w:t>
            </w:r>
          </w:p>
          <w:p w14:paraId="7685F11B" w14:textId="6F3D6FCC" w:rsidR="00DE1537" w:rsidRPr="00C6652B" w:rsidRDefault="00DE1537" w:rsidP="00343F3E">
            <w:pPr>
              <w:pStyle w:val="Box"/>
            </w:pPr>
            <w:r>
              <w:t>The insurance product covers Roy Hill for the impact of a named cyclone passing through a specified geographic area that includes the Roy Hill project. The cover is based on the duration the cyclone spends in the indemnification zone and the amount of cyclone</w:t>
            </w:r>
            <w:r>
              <w:noBreakHyphen/>
              <w:t xml:space="preserve">related rainfall across the Bureau of Meteorology’s weather stations. There is no requirement for Roy Hill to prove any loss or damage from the cyclone. The product has a total limit of $56 million </w:t>
            </w:r>
            <w:r w:rsidRPr="0022398F">
              <w:rPr>
                <w:rFonts w:cs="Arial"/>
                <w:szCs w:val="24"/>
              </w:rPr>
              <w:t>(Willis 2014)</w:t>
            </w:r>
            <w:r>
              <w:t>.</w:t>
            </w:r>
          </w:p>
        </w:tc>
      </w:tr>
      <w:tr w:rsidR="00DE1537" w14:paraId="610660B8" w14:textId="77777777" w:rsidTr="00343F3E">
        <w:trPr>
          <w:cantSplit/>
        </w:trPr>
        <w:tc>
          <w:tcPr>
            <w:tcW w:w="8771" w:type="dxa"/>
            <w:tcBorders>
              <w:top w:val="nil"/>
              <w:left w:val="nil"/>
              <w:bottom w:val="nil"/>
              <w:right w:val="nil"/>
            </w:tcBorders>
            <w:shd w:val="clear" w:color="auto" w:fill="F2F2F2" w:themeFill="background1" w:themeFillShade="F2"/>
          </w:tcPr>
          <w:p w14:paraId="3820E538" w14:textId="422DC0B7" w:rsidR="00DE1537" w:rsidRDefault="00DE1537" w:rsidP="00343F3E">
            <w:pPr>
              <w:pStyle w:val="BoxSource"/>
            </w:pPr>
            <w:r>
              <w:rPr>
                <w:i/>
              </w:rPr>
              <w:t>Source</w:t>
            </w:r>
            <w:r w:rsidRPr="00167F06">
              <w:t xml:space="preserve">: </w:t>
            </w:r>
            <w:r>
              <w:t xml:space="preserve">PC </w:t>
            </w:r>
            <w:r w:rsidRPr="00762F75">
              <w:rPr>
                <w:rFonts w:cs="Arial"/>
              </w:rPr>
              <w:t>(2012)</w:t>
            </w:r>
            <w:r>
              <w:t>.</w:t>
            </w:r>
          </w:p>
        </w:tc>
      </w:tr>
      <w:tr w:rsidR="00DE1537" w14:paraId="7FF2B6E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CB968B5" w14:textId="77777777" w:rsidR="00DE1537" w:rsidRDefault="00DE1537" w:rsidP="00343F3E">
            <w:pPr>
              <w:pStyle w:val="Box"/>
              <w:spacing w:before="0" w:line="120" w:lineRule="exact"/>
            </w:pPr>
          </w:p>
        </w:tc>
      </w:tr>
      <w:tr w:rsidR="00DE1537" w:rsidRPr="000863A5" w14:paraId="536E9EED" w14:textId="77777777" w:rsidTr="00343F3E">
        <w:tc>
          <w:tcPr>
            <w:tcW w:w="8771" w:type="dxa"/>
            <w:tcBorders>
              <w:top w:val="single" w:sz="6" w:space="0" w:color="78A22F"/>
              <w:left w:val="nil"/>
              <w:bottom w:val="nil"/>
              <w:right w:val="nil"/>
            </w:tcBorders>
          </w:tcPr>
          <w:p w14:paraId="1D5EA863" w14:textId="77777777" w:rsidR="00DE1537" w:rsidRPr="00626D32" w:rsidRDefault="00DE1537" w:rsidP="00343F3E">
            <w:pPr>
              <w:pStyle w:val="BoxSpaceBelow"/>
            </w:pPr>
          </w:p>
        </w:tc>
      </w:tr>
    </w:tbl>
    <w:p w14:paraId="55D3D671" w14:textId="70024793" w:rsidR="00DE1537" w:rsidRDefault="00DE1537" w:rsidP="00343F3E">
      <w:pPr>
        <w:pStyle w:val="Heading2"/>
      </w:pPr>
      <w:bookmarkStart w:id="69" w:name="_Toc406424338"/>
      <w:r>
        <w:t>5.</w:t>
      </w:r>
      <w:r>
        <w:rPr>
          <w:noProof/>
        </w:rPr>
        <w:t>4</w:t>
      </w:r>
      <w:r>
        <w:tab/>
        <w:t>Are private insurance arrangements consistent with effective risk management?</w:t>
      </w:r>
      <w:bookmarkEnd w:id="69"/>
    </w:p>
    <w:p w14:paraId="3AD69FEB" w14:textId="77777777" w:rsidR="00DE1537" w:rsidRDefault="00DE1537" w:rsidP="00343F3E">
      <w:pPr>
        <w:pStyle w:val="BodyText"/>
      </w:pPr>
      <w:r>
        <w:t xml:space="preserve">Distortions in the insurance market, such as market failures and government failures, can reduce the effectiveness of insurance for managing risk. Distortions can reduce the effectiveness of price signals and the availability of information, and impact on </w:t>
      </w:r>
      <w:r>
        <w:lastRenderedPageBreak/>
        <w:t>competition in the market. These d</w:t>
      </w:r>
      <w:r w:rsidRPr="00D94550">
        <w:t>istortions can also lead to moral hazard</w:t>
      </w:r>
      <w:r>
        <w:t>, adverse selection and underinsurance</w:t>
      </w:r>
      <w:r w:rsidRPr="00D94550">
        <w:t>.</w:t>
      </w:r>
      <w:r>
        <w:t xml:space="preserve"> </w:t>
      </w:r>
    </w:p>
    <w:p w14:paraId="56C1BF4E" w14:textId="77777777" w:rsidR="00DE1537" w:rsidRDefault="00DE1537" w:rsidP="00343F3E">
      <w:pPr>
        <w:pStyle w:val="Heading3"/>
      </w:pPr>
      <w:r>
        <w:t>Types of insurance for natural disasters</w:t>
      </w:r>
    </w:p>
    <w:p w14:paraId="61D4F15F" w14:textId="01825986" w:rsidR="00DE1537" w:rsidRPr="00DA3197" w:rsidRDefault="00DE1537" w:rsidP="00343F3E">
      <w:pPr>
        <w:pStyle w:val="BodyText"/>
      </w:pPr>
      <w:r w:rsidRPr="00791887">
        <w:t xml:space="preserve">The main type of </w:t>
      </w:r>
      <w:r>
        <w:t xml:space="preserve">household </w:t>
      </w:r>
      <w:r w:rsidRPr="00791887">
        <w:t>insurance that is relevant to natural disasters is building and contents, or property, insurance</w:t>
      </w:r>
      <w:r>
        <w:t>.</w:t>
      </w:r>
      <w:r w:rsidRPr="00791887">
        <w:t xml:space="preserve"> </w:t>
      </w:r>
      <w:r>
        <w:t>F</w:t>
      </w:r>
      <w:r w:rsidRPr="00791887">
        <w:t>or businesses</w:t>
      </w:r>
      <w:r>
        <w:t>,</w:t>
      </w:r>
      <w:r w:rsidRPr="00791887">
        <w:t xml:space="preserve"> </w:t>
      </w:r>
      <w:r>
        <w:t>they are</w:t>
      </w:r>
      <w:r w:rsidRPr="00791887">
        <w:t xml:space="preserve"> business interruption and property insurance. </w:t>
      </w:r>
      <w:r>
        <w:t xml:space="preserve">The property insurance market is widely used to manage natural disaster risks. Most households </w:t>
      </w:r>
      <w:r w:rsidRPr="00DA3197">
        <w:t>and businesses have some form of property insurance (section </w:t>
      </w:r>
      <w:r>
        <w:t>5</w:t>
      </w:r>
      <w:r w:rsidRPr="00DA3197">
        <w:t>.5). The residential property insurance market in Australia in 2012</w:t>
      </w:r>
      <w:r>
        <w:noBreakHyphen/>
      </w:r>
      <w:r w:rsidRPr="00DA3197">
        <w:t xml:space="preserve">13 was valued at about $6 billion as measured by gross </w:t>
      </w:r>
      <w:r>
        <w:t xml:space="preserve">annual </w:t>
      </w:r>
      <w:r w:rsidRPr="00DA3197">
        <w:t xml:space="preserve">premiums (Fire Services Levy Monitor 2014a). Many of the most expensive insurance claims in Australia have been weather related </w:t>
      </w:r>
      <w:r w:rsidRPr="00762F75">
        <w:rPr>
          <w:szCs w:val="24"/>
        </w:rPr>
        <w:t>(PC 2012)</w:t>
      </w:r>
      <w:r w:rsidRPr="00DA3197">
        <w:t>. Further, it has been estimated that about half of all property insurance payouts are for weather</w:t>
      </w:r>
      <w:r w:rsidRPr="00DA3197">
        <w:noBreakHyphen/>
        <w:t xml:space="preserve">related events </w:t>
      </w:r>
      <w:r w:rsidRPr="00ED3DBB">
        <w:t>(Institute of Actuaries of Australia 2011)</w:t>
      </w:r>
      <w:r w:rsidRPr="00DA3197">
        <w:t>.</w:t>
      </w:r>
    </w:p>
    <w:p w14:paraId="413CA1C7" w14:textId="03C922DE" w:rsidR="00DE1537" w:rsidRDefault="00DE1537" w:rsidP="00343F3E">
      <w:pPr>
        <w:pStyle w:val="BodyText"/>
      </w:pPr>
      <w:r w:rsidRPr="00DA3197">
        <w:t>Household building and contents insurance policies provide cover for a number of hazards</w:t>
      </w:r>
      <w:r w:rsidRPr="00791887">
        <w:t xml:space="preserve">, including theft and damage from fire, </w:t>
      </w:r>
      <w:r>
        <w:t>storms, earthquakes and cyclones</w:t>
      </w:r>
      <w:r w:rsidRPr="00791887">
        <w:t xml:space="preserve">. </w:t>
      </w:r>
      <w:r>
        <w:t xml:space="preserve">However, not all natural hazard types are covered by property insurance and this can vary between policies. </w:t>
      </w:r>
      <w:r w:rsidRPr="00791887">
        <w:t>Most policies exclude cover for landslide and ‘actions of the sea’ such as storm surge, erosion and sea</w:t>
      </w:r>
      <w:r>
        <w:noBreakHyphen/>
      </w:r>
      <w:r w:rsidRPr="00791887">
        <w:t>level rise</w:t>
      </w:r>
      <w:r>
        <w:t xml:space="preserve"> </w:t>
      </w:r>
      <w:r w:rsidRPr="00D25E08">
        <w:rPr>
          <w:szCs w:val="24"/>
        </w:rPr>
        <w:t>(</w:t>
      </w:r>
      <w:proofErr w:type="gramStart"/>
      <w:r w:rsidRPr="00D25E08">
        <w:rPr>
          <w:szCs w:val="24"/>
        </w:rPr>
        <w:t>CRCS,</w:t>
      </w:r>
      <w:proofErr w:type="gramEnd"/>
      <w:r w:rsidRPr="00D25E08">
        <w:rPr>
          <w:szCs w:val="24"/>
        </w:rPr>
        <w:t xml:space="preserve"> sub. </w:t>
      </w:r>
      <w:proofErr w:type="gramStart"/>
      <w:r w:rsidRPr="00D25E08">
        <w:rPr>
          <w:szCs w:val="24"/>
        </w:rPr>
        <w:t>DR201; PC 2012)</w:t>
      </w:r>
      <w:r w:rsidRPr="00791887">
        <w:t>.</w:t>
      </w:r>
      <w:proofErr w:type="gramEnd"/>
      <w:r>
        <w:t xml:space="preserve"> In addition, n</w:t>
      </w:r>
      <w:r w:rsidRPr="00791887">
        <w:t xml:space="preserve">ot all policies provide cover for riverine flooding, </w:t>
      </w:r>
      <w:r>
        <w:t xml:space="preserve">although the proportion </w:t>
      </w:r>
      <w:r w:rsidRPr="00791887">
        <w:t>of households with flood cover has increased in recent years</w:t>
      </w:r>
      <w:r>
        <w:t xml:space="preserve"> (section 5.5)</w:t>
      </w:r>
      <w:r w:rsidRPr="00791887">
        <w:t xml:space="preserve">. </w:t>
      </w:r>
      <w:r>
        <w:t xml:space="preserve">The level of cover offered by policies also differs. While some policies will cover the full replacement cost of the asset, other policies cover a specified sum insured. In Australia, sum insured is, and has been, the predominant type of policy available </w:t>
      </w:r>
      <w:r w:rsidRPr="00137900">
        <w:rPr>
          <w:szCs w:val="24"/>
        </w:rPr>
        <w:t>(ASIC 2005; Suncorp Group, sub. DR176)</w:t>
      </w:r>
      <w:r>
        <w:t xml:space="preserve">. Only two insurers offer full replacement cost policies (IAG, sub. DR158). </w:t>
      </w:r>
    </w:p>
    <w:p w14:paraId="4E172815" w14:textId="77777777" w:rsidR="00DE1537" w:rsidRDefault="00DE1537" w:rsidP="00343F3E">
      <w:pPr>
        <w:pStyle w:val="BodyText"/>
      </w:pPr>
      <w:r>
        <w:t xml:space="preserve">Participants raised concerns that some policyholders do not understand what type of cover they have, and what their policy does and does not cover. These issues have led to concerns about underinsurance (for example, IAG, sub. 24; Treasury, sub. 91). They are discussed in more detail in section 5.5. </w:t>
      </w:r>
    </w:p>
    <w:p w14:paraId="696990D5" w14:textId="77777777" w:rsidR="00DE1537" w:rsidRDefault="00DE1537" w:rsidP="00343F3E">
      <w:pPr>
        <w:pStyle w:val="Heading3"/>
      </w:pPr>
      <w:r>
        <w:t>Price signals are important for effective risk management</w:t>
      </w:r>
    </w:p>
    <w:p w14:paraId="11E6281A" w14:textId="77777777" w:rsidR="00DE1537" w:rsidRDefault="00DE1537" w:rsidP="00343F3E">
      <w:pPr>
        <w:pStyle w:val="BodyText"/>
      </w:pPr>
      <w:r>
        <w:t xml:space="preserve">The cost of insurance provides a price signal. This plays an important role in helping parties understand and manage their natural disaster risk by communicating the level of their risk and providing incentives, through reduced premiums, to </w:t>
      </w:r>
      <w:proofErr w:type="gramStart"/>
      <w:r>
        <w:t>mitigate</w:t>
      </w:r>
      <w:proofErr w:type="gramEnd"/>
      <w:r>
        <w:t xml:space="preserve"> against it. Distortions in the insurance market, such as taxes, information failures and regulation, reduce the effectiveness of price signals. </w:t>
      </w:r>
    </w:p>
    <w:p w14:paraId="459D366D" w14:textId="77777777" w:rsidR="00DE1537" w:rsidRDefault="00DE1537" w:rsidP="00343F3E">
      <w:pPr>
        <w:pStyle w:val="Heading4"/>
      </w:pPr>
      <w:r>
        <w:lastRenderedPageBreak/>
        <w:t>Insurance taxes</w:t>
      </w:r>
    </w:p>
    <w:p w14:paraId="3B3DCA4A" w14:textId="460016ED" w:rsidR="00DE1537" w:rsidRDefault="00DE1537" w:rsidP="00343F3E">
      <w:pPr>
        <w:pStyle w:val="BodyText"/>
      </w:pPr>
      <w:r>
        <w:t xml:space="preserve">Insurance is subject to a number of taxes including GST, and state and territory taxes and levies. All states and territories currently impose stamp duty on general insurance premiums. Current rates of stamp duty range from 4 per cent in the ACT to 11 per cent in South Australia (table 5.1). In addition, New South Wales imposes a fire services levy on residential and commercial insurance premiums and Tasmania imposes a fire services levy on commercial property insurance premiums </w:t>
      </w:r>
      <w:r w:rsidRPr="00762F75">
        <w:rPr>
          <w:szCs w:val="24"/>
        </w:rPr>
        <w:t>(PC 2012)</w:t>
      </w:r>
      <w:r>
        <w:t>.</w:t>
      </w:r>
    </w:p>
    <w:p w14:paraId="4C8658CA"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B0DC1A4" w14:textId="77777777" w:rsidTr="00343F3E">
        <w:tc>
          <w:tcPr>
            <w:tcW w:w="8771" w:type="dxa"/>
            <w:tcBorders>
              <w:top w:val="single" w:sz="6" w:space="0" w:color="78A22F"/>
              <w:left w:val="nil"/>
              <w:bottom w:val="nil"/>
              <w:right w:val="nil"/>
            </w:tcBorders>
            <w:shd w:val="clear" w:color="auto" w:fill="auto"/>
          </w:tcPr>
          <w:p w14:paraId="59092A67" w14:textId="68F07C15" w:rsidR="00DE1537" w:rsidRDefault="00DE1537" w:rsidP="00343F3E">
            <w:pPr>
              <w:pStyle w:val="TableTitle"/>
            </w:pPr>
            <w:r>
              <w:rPr>
                <w:b w:val="0"/>
              </w:rPr>
              <w:t>Table 5.</w:t>
            </w:r>
            <w:r>
              <w:rPr>
                <w:b w:val="0"/>
                <w:noProof/>
              </w:rPr>
              <w:t>1</w:t>
            </w:r>
            <w:r>
              <w:tab/>
              <w:t>State and territory general insurance taxes and levies</w:t>
            </w:r>
          </w:p>
          <w:p w14:paraId="4FAC9645" w14:textId="77777777" w:rsidR="00DE1537" w:rsidRPr="00784A05" w:rsidRDefault="00DE1537" w:rsidP="00343F3E">
            <w:pPr>
              <w:pStyle w:val="Subtitle"/>
            </w:pPr>
            <w:r>
              <w:t>2014</w:t>
            </w:r>
            <w:r>
              <w:noBreakHyphen/>
              <w:t>15</w:t>
            </w:r>
          </w:p>
        </w:tc>
      </w:tr>
      <w:tr w:rsidR="00DE1537" w14:paraId="7135F0C3" w14:textId="77777777" w:rsidTr="00343F3E">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32"/>
              <w:gridCol w:w="2371"/>
              <w:gridCol w:w="3284"/>
            </w:tblGrid>
            <w:tr w:rsidR="00DE1537" w14:paraId="51F1C45A" w14:textId="77777777" w:rsidTr="00343F3E">
              <w:tc>
                <w:tcPr>
                  <w:tcW w:w="1668" w:type="pct"/>
                  <w:tcBorders>
                    <w:top w:val="single" w:sz="6" w:space="0" w:color="BFBFBF"/>
                    <w:bottom w:val="single" w:sz="6" w:space="0" w:color="BFBFBF"/>
                  </w:tcBorders>
                  <w:shd w:val="clear" w:color="auto" w:fill="auto"/>
                </w:tcPr>
                <w:p w14:paraId="49CA6B9F" w14:textId="77777777" w:rsidR="00DE1537" w:rsidRDefault="00DE1537" w:rsidP="00343F3E">
                  <w:pPr>
                    <w:pStyle w:val="TableColumnHeading"/>
                    <w:jc w:val="left"/>
                  </w:pPr>
                  <w:r>
                    <w:t>Jurisdiction</w:t>
                  </w:r>
                </w:p>
              </w:tc>
              <w:tc>
                <w:tcPr>
                  <w:tcW w:w="1397" w:type="pct"/>
                  <w:tcBorders>
                    <w:top w:val="single" w:sz="6" w:space="0" w:color="BFBFBF"/>
                    <w:bottom w:val="single" w:sz="6" w:space="0" w:color="BFBFBF"/>
                  </w:tcBorders>
                  <w:shd w:val="clear" w:color="auto" w:fill="auto"/>
                </w:tcPr>
                <w:p w14:paraId="758F91B1" w14:textId="77777777" w:rsidR="00DE1537" w:rsidRDefault="00DE1537" w:rsidP="00343F3E">
                  <w:pPr>
                    <w:pStyle w:val="TableColumnHeading"/>
                  </w:pPr>
                  <w:r>
                    <w:t>Stamp duty (%)</w:t>
                  </w:r>
                </w:p>
              </w:tc>
              <w:tc>
                <w:tcPr>
                  <w:tcW w:w="1935" w:type="pct"/>
                  <w:tcBorders>
                    <w:top w:val="single" w:sz="6" w:space="0" w:color="BFBFBF"/>
                    <w:bottom w:val="single" w:sz="6" w:space="0" w:color="BFBFBF"/>
                  </w:tcBorders>
                  <w:shd w:val="clear" w:color="auto" w:fill="auto"/>
                </w:tcPr>
                <w:p w14:paraId="1FD538D3" w14:textId="77777777" w:rsidR="00DE1537" w:rsidRDefault="00DE1537" w:rsidP="00343F3E">
                  <w:pPr>
                    <w:pStyle w:val="TableColumnHeading"/>
                  </w:pPr>
                  <w:r>
                    <w:t>Other taxes and levies</w:t>
                  </w:r>
                </w:p>
              </w:tc>
            </w:tr>
            <w:tr w:rsidR="00DE1537" w:rsidRPr="00FC40C6" w14:paraId="3E99EDCA" w14:textId="77777777" w:rsidTr="00343F3E">
              <w:tc>
                <w:tcPr>
                  <w:tcW w:w="1668" w:type="pct"/>
                  <w:tcBorders>
                    <w:top w:val="single" w:sz="6" w:space="0" w:color="BFBFBF"/>
                  </w:tcBorders>
                </w:tcPr>
                <w:p w14:paraId="43069865" w14:textId="77777777" w:rsidR="00DE1537" w:rsidRDefault="00DE1537" w:rsidP="00343F3E">
                  <w:pPr>
                    <w:pStyle w:val="TableUnitsRow"/>
                    <w:jc w:val="left"/>
                    <w:rPr>
                      <w:szCs w:val="24"/>
                    </w:rPr>
                  </w:pPr>
                  <w:r>
                    <w:t>New South Wales</w:t>
                  </w:r>
                </w:p>
              </w:tc>
              <w:tc>
                <w:tcPr>
                  <w:tcW w:w="1397" w:type="pct"/>
                  <w:tcBorders>
                    <w:top w:val="single" w:sz="6" w:space="0" w:color="BFBFBF"/>
                  </w:tcBorders>
                </w:tcPr>
                <w:p w14:paraId="6F114383" w14:textId="77777777" w:rsidR="00DE1537" w:rsidRDefault="00DE1537" w:rsidP="00343F3E">
                  <w:pPr>
                    <w:pStyle w:val="TableUnitsRow"/>
                    <w:rPr>
                      <w:i/>
                    </w:rPr>
                  </w:pPr>
                  <w:r>
                    <w:t>9</w:t>
                  </w:r>
                </w:p>
              </w:tc>
              <w:tc>
                <w:tcPr>
                  <w:tcW w:w="1935" w:type="pct"/>
                  <w:tcBorders>
                    <w:top w:val="single" w:sz="6" w:space="0" w:color="BFBFBF"/>
                  </w:tcBorders>
                </w:tcPr>
                <w:p w14:paraId="0457FD38" w14:textId="77777777" w:rsidR="00DE1537" w:rsidRPr="00FC40C6" w:rsidRDefault="00DE1537" w:rsidP="00343F3E">
                  <w:pPr>
                    <w:pStyle w:val="TableUnitsRow"/>
                    <w:ind w:right="0"/>
                    <w:rPr>
                      <w:i/>
                    </w:rPr>
                  </w:pPr>
                  <w:r>
                    <w:t>Fire services levy. No flat rate</w:t>
                  </w:r>
                  <w:r>
                    <w:rPr>
                      <w:rStyle w:val="NoteLabel"/>
                    </w:rPr>
                    <w:t>a</w:t>
                  </w:r>
                </w:p>
              </w:tc>
            </w:tr>
            <w:tr w:rsidR="00DE1537" w:rsidRPr="00B81312" w14:paraId="520DC86B" w14:textId="77777777" w:rsidTr="00343F3E">
              <w:tc>
                <w:tcPr>
                  <w:tcW w:w="1668" w:type="pct"/>
                </w:tcPr>
                <w:p w14:paraId="32442AD0" w14:textId="77777777" w:rsidR="00DE1537" w:rsidRDefault="00DE1537" w:rsidP="00343F3E">
                  <w:pPr>
                    <w:pStyle w:val="TableBodyText"/>
                    <w:jc w:val="left"/>
                  </w:pPr>
                  <w:r>
                    <w:t>Victoria</w:t>
                  </w:r>
                </w:p>
              </w:tc>
              <w:tc>
                <w:tcPr>
                  <w:tcW w:w="1397" w:type="pct"/>
                </w:tcPr>
                <w:p w14:paraId="7C2B2B86" w14:textId="77777777" w:rsidR="00DE1537" w:rsidRDefault="00DE1537" w:rsidP="00343F3E">
                  <w:pPr>
                    <w:pStyle w:val="TableBodyText"/>
                  </w:pPr>
                  <w:r>
                    <w:t>10</w:t>
                  </w:r>
                </w:p>
              </w:tc>
              <w:tc>
                <w:tcPr>
                  <w:tcW w:w="1935" w:type="pct"/>
                </w:tcPr>
                <w:p w14:paraId="1F31BC34" w14:textId="77777777" w:rsidR="00DE1537" w:rsidRPr="00B81312" w:rsidRDefault="00DE1537" w:rsidP="00343F3E">
                  <w:pPr>
                    <w:pStyle w:val="TableBodyText"/>
                    <w:framePr w:w="2155" w:hSpace="227" w:vSpace="181" w:wrap="around" w:vAnchor="text" w:hAnchor="page" w:xAlign="outside" w:y="1"/>
                    <w:rPr>
                      <w:b/>
                    </w:rPr>
                  </w:pPr>
                  <w:r>
                    <w:rPr>
                      <w:b/>
                    </w:rPr>
                    <w:t>..</w:t>
                  </w:r>
                </w:p>
              </w:tc>
            </w:tr>
            <w:tr w:rsidR="00DE1537" w:rsidRPr="00B81312" w14:paraId="486F57B7" w14:textId="77777777" w:rsidTr="00343F3E">
              <w:tc>
                <w:tcPr>
                  <w:tcW w:w="1668" w:type="pct"/>
                  <w:shd w:val="clear" w:color="auto" w:fill="auto"/>
                </w:tcPr>
                <w:p w14:paraId="75CE8D2E" w14:textId="77777777" w:rsidR="00DE1537" w:rsidRDefault="00DE1537" w:rsidP="00343F3E">
                  <w:pPr>
                    <w:pStyle w:val="TableBodyText"/>
                    <w:jc w:val="left"/>
                  </w:pPr>
                  <w:r>
                    <w:t>Queensland</w:t>
                  </w:r>
                </w:p>
              </w:tc>
              <w:tc>
                <w:tcPr>
                  <w:tcW w:w="1397" w:type="pct"/>
                  <w:shd w:val="clear" w:color="auto" w:fill="auto"/>
                </w:tcPr>
                <w:p w14:paraId="100B1586" w14:textId="77777777" w:rsidR="00DE1537" w:rsidRDefault="00DE1537" w:rsidP="00343F3E">
                  <w:pPr>
                    <w:pStyle w:val="TableBodyText"/>
                  </w:pPr>
                  <w:r>
                    <w:t>9</w:t>
                  </w:r>
                </w:p>
              </w:tc>
              <w:tc>
                <w:tcPr>
                  <w:tcW w:w="1935" w:type="pct"/>
                  <w:shd w:val="clear" w:color="auto" w:fill="auto"/>
                </w:tcPr>
                <w:p w14:paraId="14457A3E" w14:textId="77777777" w:rsidR="00DE1537" w:rsidRPr="00B81312" w:rsidRDefault="00DE1537" w:rsidP="00343F3E">
                  <w:pPr>
                    <w:pStyle w:val="TableBodyText"/>
                    <w:framePr w:w="2155" w:hSpace="227" w:vSpace="181" w:wrap="around" w:vAnchor="text" w:hAnchor="page" w:xAlign="outside" w:y="1"/>
                    <w:rPr>
                      <w:b/>
                    </w:rPr>
                  </w:pPr>
                  <w:r>
                    <w:rPr>
                      <w:b/>
                    </w:rPr>
                    <w:t>..</w:t>
                  </w:r>
                </w:p>
              </w:tc>
            </w:tr>
            <w:tr w:rsidR="00DE1537" w:rsidRPr="00B81312" w14:paraId="371B45C8" w14:textId="77777777" w:rsidTr="00343F3E">
              <w:tc>
                <w:tcPr>
                  <w:tcW w:w="1668" w:type="pct"/>
                  <w:shd w:val="clear" w:color="auto" w:fill="auto"/>
                </w:tcPr>
                <w:p w14:paraId="7284F459" w14:textId="77777777" w:rsidR="00DE1537" w:rsidRDefault="00DE1537" w:rsidP="00343F3E">
                  <w:pPr>
                    <w:pStyle w:val="TableBodyText"/>
                    <w:jc w:val="left"/>
                  </w:pPr>
                  <w:r>
                    <w:t>South Australia</w:t>
                  </w:r>
                </w:p>
              </w:tc>
              <w:tc>
                <w:tcPr>
                  <w:tcW w:w="1397" w:type="pct"/>
                  <w:shd w:val="clear" w:color="auto" w:fill="auto"/>
                </w:tcPr>
                <w:p w14:paraId="719EF79C" w14:textId="77777777" w:rsidR="00DE1537" w:rsidRDefault="00DE1537" w:rsidP="00343F3E">
                  <w:pPr>
                    <w:pStyle w:val="TableBodyText"/>
                  </w:pPr>
                  <w:r>
                    <w:t>11</w:t>
                  </w:r>
                </w:p>
              </w:tc>
              <w:tc>
                <w:tcPr>
                  <w:tcW w:w="1935" w:type="pct"/>
                  <w:shd w:val="clear" w:color="auto" w:fill="auto"/>
                </w:tcPr>
                <w:p w14:paraId="7A8E107B" w14:textId="77777777" w:rsidR="00DE1537" w:rsidRDefault="00DE1537" w:rsidP="00343F3E">
                  <w:pPr>
                    <w:pStyle w:val="TableBodyText"/>
                    <w:framePr w:w="2155" w:hSpace="227" w:vSpace="181" w:wrap="around" w:vAnchor="text" w:hAnchor="page" w:xAlign="outside" w:y="1"/>
                    <w:rPr>
                      <w:b/>
                    </w:rPr>
                  </w:pPr>
                  <w:r>
                    <w:rPr>
                      <w:b/>
                    </w:rPr>
                    <w:t>..</w:t>
                  </w:r>
                </w:p>
              </w:tc>
            </w:tr>
            <w:tr w:rsidR="00DE1537" w:rsidRPr="00B81312" w14:paraId="0ED9B12D" w14:textId="77777777" w:rsidTr="00343F3E">
              <w:tc>
                <w:tcPr>
                  <w:tcW w:w="1668" w:type="pct"/>
                  <w:shd w:val="clear" w:color="auto" w:fill="auto"/>
                </w:tcPr>
                <w:p w14:paraId="2C50D051" w14:textId="77777777" w:rsidR="00DE1537" w:rsidRDefault="00DE1537" w:rsidP="00343F3E">
                  <w:pPr>
                    <w:pStyle w:val="TableBodyText"/>
                    <w:jc w:val="left"/>
                  </w:pPr>
                  <w:r>
                    <w:t>Western Australia</w:t>
                  </w:r>
                </w:p>
              </w:tc>
              <w:tc>
                <w:tcPr>
                  <w:tcW w:w="1397" w:type="pct"/>
                  <w:shd w:val="clear" w:color="auto" w:fill="auto"/>
                </w:tcPr>
                <w:p w14:paraId="335471EB" w14:textId="77777777" w:rsidR="00DE1537" w:rsidRDefault="00DE1537" w:rsidP="00343F3E">
                  <w:pPr>
                    <w:pStyle w:val="TableBodyText"/>
                  </w:pPr>
                  <w:r>
                    <w:t>10</w:t>
                  </w:r>
                </w:p>
              </w:tc>
              <w:tc>
                <w:tcPr>
                  <w:tcW w:w="1935" w:type="pct"/>
                  <w:shd w:val="clear" w:color="auto" w:fill="auto"/>
                </w:tcPr>
                <w:p w14:paraId="49A30A94" w14:textId="77777777" w:rsidR="00DE1537" w:rsidRPr="00B81312" w:rsidRDefault="00DE1537" w:rsidP="00343F3E">
                  <w:pPr>
                    <w:pStyle w:val="TableBodyText"/>
                    <w:framePr w:w="2155" w:hSpace="227" w:vSpace="181" w:wrap="around" w:vAnchor="text" w:hAnchor="page" w:xAlign="outside" w:y="1"/>
                    <w:rPr>
                      <w:b/>
                    </w:rPr>
                  </w:pPr>
                  <w:r>
                    <w:rPr>
                      <w:b/>
                    </w:rPr>
                    <w:t>..</w:t>
                  </w:r>
                </w:p>
              </w:tc>
            </w:tr>
            <w:tr w:rsidR="00DE1537" w14:paraId="799A1B82" w14:textId="77777777" w:rsidTr="00343F3E">
              <w:tc>
                <w:tcPr>
                  <w:tcW w:w="1668" w:type="pct"/>
                  <w:shd w:val="clear" w:color="auto" w:fill="auto"/>
                </w:tcPr>
                <w:p w14:paraId="506EC3EB" w14:textId="77777777" w:rsidR="00DE1537" w:rsidRDefault="00DE1537" w:rsidP="00343F3E">
                  <w:pPr>
                    <w:pStyle w:val="TableBodyText"/>
                    <w:jc w:val="left"/>
                  </w:pPr>
                  <w:r>
                    <w:t>Tasmania</w:t>
                  </w:r>
                </w:p>
              </w:tc>
              <w:tc>
                <w:tcPr>
                  <w:tcW w:w="1397" w:type="pct"/>
                  <w:shd w:val="clear" w:color="auto" w:fill="auto"/>
                </w:tcPr>
                <w:p w14:paraId="445EED88" w14:textId="77777777" w:rsidR="00DE1537" w:rsidRDefault="00DE1537" w:rsidP="00343F3E">
                  <w:pPr>
                    <w:pStyle w:val="TableBodyText"/>
                  </w:pPr>
                  <w:r>
                    <w:t>10</w:t>
                  </w:r>
                </w:p>
              </w:tc>
              <w:tc>
                <w:tcPr>
                  <w:tcW w:w="1935" w:type="pct"/>
                  <w:shd w:val="clear" w:color="auto" w:fill="auto"/>
                </w:tcPr>
                <w:p w14:paraId="08CB481C" w14:textId="77777777" w:rsidR="00DE1537" w:rsidRDefault="00DE1537" w:rsidP="00343F3E">
                  <w:pPr>
                    <w:pStyle w:val="TableBodyText"/>
                    <w:rPr>
                      <w:i/>
                    </w:rPr>
                  </w:pPr>
                  <w:r>
                    <w:t>Fire services levy on commercial insurance – 28 per cent</w:t>
                  </w:r>
                </w:p>
              </w:tc>
            </w:tr>
            <w:tr w:rsidR="00DE1537" w:rsidRPr="00B81312" w14:paraId="32D94A61" w14:textId="77777777" w:rsidTr="00343F3E">
              <w:tc>
                <w:tcPr>
                  <w:tcW w:w="1668" w:type="pct"/>
                  <w:shd w:val="clear" w:color="auto" w:fill="auto"/>
                </w:tcPr>
                <w:p w14:paraId="281E330E" w14:textId="77777777" w:rsidR="00DE1537" w:rsidRDefault="00DE1537" w:rsidP="00343F3E">
                  <w:pPr>
                    <w:pStyle w:val="TableBodyText"/>
                    <w:jc w:val="left"/>
                  </w:pPr>
                  <w:r>
                    <w:t>Northern Territory</w:t>
                  </w:r>
                </w:p>
              </w:tc>
              <w:tc>
                <w:tcPr>
                  <w:tcW w:w="1397" w:type="pct"/>
                  <w:shd w:val="clear" w:color="auto" w:fill="auto"/>
                </w:tcPr>
                <w:p w14:paraId="2999580F" w14:textId="77777777" w:rsidR="00DE1537" w:rsidRDefault="00DE1537" w:rsidP="00343F3E">
                  <w:pPr>
                    <w:pStyle w:val="TableBodyText"/>
                  </w:pPr>
                  <w:r>
                    <w:t>10</w:t>
                  </w:r>
                </w:p>
              </w:tc>
              <w:tc>
                <w:tcPr>
                  <w:tcW w:w="1935" w:type="pct"/>
                  <w:shd w:val="clear" w:color="auto" w:fill="auto"/>
                </w:tcPr>
                <w:p w14:paraId="7AD40539" w14:textId="77777777" w:rsidR="00DE1537" w:rsidRDefault="00DE1537" w:rsidP="00343F3E">
                  <w:pPr>
                    <w:pStyle w:val="TableBodyText"/>
                    <w:framePr w:w="2155" w:hSpace="227" w:vSpace="181" w:wrap="around" w:vAnchor="text" w:hAnchor="page" w:xAlign="outside" w:y="1"/>
                    <w:rPr>
                      <w:b/>
                    </w:rPr>
                  </w:pPr>
                  <w:r>
                    <w:rPr>
                      <w:b/>
                    </w:rPr>
                    <w:t>..</w:t>
                  </w:r>
                </w:p>
              </w:tc>
            </w:tr>
            <w:tr w:rsidR="00DE1537" w:rsidRPr="00B81312" w14:paraId="55AA8AC7" w14:textId="77777777" w:rsidTr="00343F3E">
              <w:tc>
                <w:tcPr>
                  <w:tcW w:w="1668" w:type="pct"/>
                  <w:tcBorders>
                    <w:bottom w:val="single" w:sz="6" w:space="0" w:color="BFBFBF"/>
                  </w:tcBorders>
                  <w:shd w:val="clear" w:color="auto" w:fill="auto"/>
                </w:tcPr>
                <w:p w14:paraId="550729A7" w14:textId="77777777" w:rsidR="00DE1537" w:rsidRDefault="00DE1537" w:rsidP="00343F3E">
                  <w:pPr>
                    <w:pStyle w:val="TableBodyText"/>
                    <w:jc w:val="left"/>
                  </w:pPr>
                  <w:r>
                    <w:t>ACT</w:t>
                  </w:r>
                </w:p>
              </w:tc>
              <w:tc>
                <w:tcPr>
                  <w:tcW w:w="1397" w:type="pct"/>
                  <w:tcBorders>
                    <w:bottom w:val="single" w:sz="6" w:space="0" w:color="BFBFBF"/>
                  </w:tcBorders>
                  <w:shd w:val="clear" w:color="auto" w:fill="auto"/>
                </w:tcPr>
                <w:p w14:paraId="0ED5D146" w14:textId="77777777" w:rsidR="00DE1537" w:rsidRDefault="00DE1537" w:rsidP="00343F3E">
                  <w:pPr>
                    <w:pStyle w:val="TableBodyText"/>
                  </w:pPr>
                  <w:r>
                    <w:t>4</w:t>
                  </w:r>
                </w:p>
              </w:tc>
              <w:tc>
                <w:tcPr>
                  <w:tcW w:w="1935" w:type="pct"/>
                  <w:tcBorders>
                    <w:bottom w:val="single" w:sz="6" w:space="0" w:color="BFBFBF"/>
                  </w:tcBorders>
                  <w:shd w:val="clear" w:color="auto" w:fill="auto"/>
                </w:tcPr>
                <w:p w14:paraId="3BCA2998" w14:textId="77777777" w:rsidR="00DE1537" w:rsidRPr="00B81312" w:rsidRDefault="00DE1537" w:rsidP="00343F3E">
                  <w:pPr>
                    <w:pStyle w:val="TableBodyText"/>
                    <w:framePr w:w="2155" w:hSpace="227" w:vSpace="181" w:wrap="around" w:vAnchor="text" w:hAnchor="page" w:xAlign="outside" w:y="1"/>
                    <w:rPr>
                      <w:b/>
                    </w:rPr>
                  </w:pPr>
                  <w:r>
                    <w:rPr>
                      <w:b/>
                    </w:rPr>
                    <w:t>..</w:t>
                  </w:r>
                </w:p>
              </w:tc>
            </w:tr>
          </w:tbl>
          <w:p w14:paraId="0A9AD6FA" w14:textId="77777777" w:rsidR="00DE1537" w:rsidRDefault="00DE1537" w:rsidP="00343F3E">
            <w:pPr>
              <w:pStyle w:val="Box"/>
            </w:pPr>
          </w:p>
        </w:tc>
      </w:tr>
      <w:tr w:rsidR="00DE1537" w14:paraId="7F70CA43" w14:textId="77777777" w:rsidTr="00343F3E">
        <w:trPr>
          <w:cantSplit/>
        </w:trPr>
        <w:tc>
          <w:tcPr>
            <w:tcW w:w="8771" w:type="dxa"/>
            <w:tcBorders>
              <w:top w:val="nil"/>
              <w:left w:val="nil"/>
              <w:bottom w:val="nil"/>
              <w:right w:val="nil"/>
            </w:tcBorders>
            <w:shd w:val="clear" w:color="auto" w:fill="auto"/>
          </w:tcPr>
          <w:p w14:paraId="3D624EAB" w14:textId="77777777" w:rsidR="00DE1537" w:rsidRDefault="00DE1537" w:rsidP="00343F3E">
            <w:pPr>
              <w:pStyle w:val="Note"/>
              <w:rPr>
                <w:i/>
              </w:rPr>
            </w:pPr>
            <w:r>
              <w:rPr>
                <w:b/>
              </w:rPr>
              <w:t>..</w:t>
            </w:r>
            <w:r>
              <w:t xml:space="preserve"> Not applicable — fire and emergency services levies are not imposed on insurance premiums. </w:t>
            </w:r>
            <w:r>
              <w:rPr>
                <w:rStyle w:val="NoteLabel"/>
              </w:rPr>
              <w:t>a</w:t>
            </w:r>
            <w:r>
              <w:t xml:space="preserve"> The insurance industry in New South Wales is required to contribute 73.7 per cent of Fire and Rescue NSW’s budget. </w:t>
            </w:r>
          </w:p>
        </w:tc>
      </w:tr>
      <w:tr w:rsidR="00DE1537" w14:paraId="68930354" w14:textId="77777777" w:rsidTr="00343F3E">
        <w:trPr>
          <w:cantSplit/>
        </w:trPr>
        <w:tc>
          <w:tcPr>
            <w:tcW w:w="8771" w:type="dxa"/>
            <w:tcBorders>
              <w:top w:val="nil"/>
              <w:left w:val="nil"/>
              <w:bottom w:val="nil"/>
              <w:right w:val="nil"/>
            </w:tcBorders>
            <w:shd w:val="clear" w:color="auto" w:fill="auto"/>
          </w:tcPr>
          <w:p w14:paraId="250C6BDF" w14:textId="1217F643" w:rsidR="00DE1537" w:rsidRDefault="00DE1537" w:rsidP="00343F3E">
            <w:pPr>
              <w:pStyle w:val="Source"/>
            </w:pPr>
            <w:r>
              <w:rPr>
                <w:i/>
              </w:rPr>
              <w:t>Sources</w:t>
            </w:r>
            <w:r w:rsidRPr="00167F06">
              <w:t>:</w:t>
            </w:r>
            <w:r>
              <w:t xml:space="preserve"> ACT Revenue Office </w:t>
            </w:r>
            <w:r w:rsidRPr="001A3383">
              <w:rPr>
                <w:rFonts w:cs="Arial"/>
              </w:rPr>
              <w:t>(2014)</w:t>
            </w:r>
            <w:r>
              <w:t xml:space="preserve">; Fire and Rescue NSW </w:t>
            </w:r>
            <w:r w:rsidRPr="00FD2E26">
              <w:rPr>
                <w:rFonts w:cs="Arial"/>
              </w:rPr>
              <w:t>(2011)</w:t>
            </w:r>
            <w:r>
              <w:t xml:space="preserve">; NSWOSR </w:t>
            </w:r>
            <w:r w:rsidRPr="001A3383">
              <w:rPr>
                <w:rFonts w:cs="Arial"/>
              </w:rPr>
              <w:t>(2013)</w:t>
            </w:r>
            <w:r>
              <w:t xml:space="preserve">; NTDTF </w:t>
            </w:r>
            <w:r w:rsidRPr="001A3383">
              <w:rPr>
                <w:rFonts w:cs="Arial"/>
              </w:rPr>
              <w:t>(2011)</w:t>
            </w:r>
            <w:r>
              <w:t xml:space="preserve">; QOSR </w:t>
            </w:r>
            <w:r w:rsidRPr="001A3383">
              <w:rPr>
                <w:rFonts w:cs="Arial"/>
              </w:rPr>
              <w:t>(2014)</w:t>
            </w:r>
            <w:r>
              <w:t xml:space="preserve">; RevenueSA </w:t>
            </w:r>
            <w:r w:rsidRPr="001A3383">
              <w:rPr>
                <w:rFonts w:cs="Arial"/>
              </w:rPr>
              <w:t>(2013)</w:t>
            </w:r>
            <w:r>
              <w:t xml:space="preserve">; SROV </w:t>
            </w:r>
            <w:r w:rsidRPr="001A3383">
              <w:rPr>
                <w:rFonts w:cs="Arial"/>
              </w:rPr>
              <w:t>(2014)</w:t>
            </w:r>
            <w:r>
              <w:t xml:space="preserve">; TDTF </w:t>
            </w:r>
            <w:r w:rsidRPr="001A3383">
              <w:rPr>
                <w:rFonts w:cs="Arial"/>
              </w:rPr>
              <w:t>(2014)</w:t>
            </w:r>
            <w:r>
              <w:t xml:space="preserve">; WADF </w:t>
            </w:r>
            <w:r w:rsidRPr="001A3383">
              <w:rPr>
                <w:rFonts w:cs="Arial"/>
              </w:rPr>
              <w:t>(2014)</w:t>
            </w:r>
            <w:r>
              <w:t>.</w:t>
            </w:r>
          </w:p>
        </w:tc>
      </w:tr>
      <w:tr w:rsidR="00DE1537" w14:paraId="211A207E" w14:textId="77777777" w:rsidTr="00343F3E">
        <w:trPr>
          <w:cantSplit/>
        </w:trPr>
        <w:tc>
          <w:tcPr>
            <w:tcW w:w="8771" w:type="dxa"/>
            <w:tcBorders>
              <w:top w:val="nil"/>
              <w:left w:val="nil"/>
              <w:bottom w:val="single" w:sz="6" w:space="0" w:color="78A22F"/>
              <w:right w:val="nil"/>
            </w:tcBorders>
            <w:shd w:val="clear" w:color="auto" w:fill="auto"/>
          </w:tcPr>
          <w:p w14:paraId="6AF3ABFE" w14:textId="77777777" w:rsidR="00DE1537" w:rsidRDefault="00DE1537" w:rsidP="00343F3E">
            <w:pPr>
              <w:pStyle w:val="Box"/>
              <w:spacing w:before="0" w:line="120" w:lineRule="exact"/>
            </w:pPr>
          </w:p>
        </w:tc>
      </w:tr>
      <w:tr w:rsidR="00DE1537" w:rsidRPr="000863A5" w14:paraId="4F770B66" w14:textId="77777777" w:rsidTr="00343F3E">
        <w:tc>
          <w:tcPr>
            <w:tcW w:w="8771" w:type="dxa"/>
            <w:tcBorders>
              <w:top w:val="single" w:sz="6" w:space="0" w:color="78A22F"/>
              <w:left w:val="nil"/>
              <w:bottom w:val="nil"/>
              <w:right w:val="nil"/>
            </w:tcBorders>
          </w:tcPr>
          <w:p w14:paraId="025D46F0" w14:textId="77777777" w:rsidR="00DE1537" w:rsidRPr="00626D32" w:rsidRDefault="00DE1537" w:rsidP="00343F3E">
            <w:pPr>
              <w:pStyle w:val="BoxSpaceBelow"/>
            </w:pPr>
          </w:p>
        </w:tc>
      </w:tr>
    </w:tbl>
    <w:p w14:paraId="24FD3A53" w14:textId="7EA9D5AB" w:rsidR="00DE1537" w:rsidRDefault="00DE1537" w:rsidP="00343F3E">
      <w:pPr>
        <w:pStyle w:val="BodyText"/>
      </w:pPr>
      <w:r>
        <w:t xml:space="preserve">States and territories have made changes to the taxes and levies imposed on insurance </w:t>
      </w:r>
      <w:r w:rsidRPr="00C14AB7">
        <w:t xml:space="preserve">premiums in recent years. Some states and territories have </w:t>
      </w:r>
      <w:r>
        <w:t xml:space="preserve">recently </w:t>
      </w:r>
      <w:r w:rsidRPr="00C14AB7">
        <w:t>increased stamp duties, such as Queensland, which increased stamp duty from 7.5 per cent to 9</w:t>
      </w:r>
      <w:r w:rsidRPr="004F3489">
        <w:t xml:space="preserve"> per cent </w:t>
      </w:r>
      <w:r>
        <w:t>in</w:t>
      </w:r>
      <w:r w:rsidRPr="004F3489">
        <w:t xml:space="preserve"> Au</w:t>
      </w:r>
      <w:r w:rsidRPr="00185858">
        <w:t xml:space="preserve">gust 2013 </w:t>
      </w:r>
      <w:r w:rsidRPr="009E7FDA">
        <w:rPr>
          <w:szCs w:val="24"/>
        </w:rPr>
        <w:t>(QOSR 2014)</w:t>
      </w:r>
      <w:r w:rsidRPr="00B219CC">
        <w:t>. On the</w:t>
      </w:r>
      <w:r>
        <w:t xml:space="preserve"> other hand, the ACT Government is currently phasing out all duties on general insurance and they will be abolished by July 2016 </w:t>
      </w:r>
      <w:r w:rsidRPr="00823F25">
        <w:rPr>
          <w:szCs w:val="24"/>
        </w:rPr>
        <w:t>(ACT Treasury</w:t>
      </w:r>
      <w:r w:rsidRPr="006D686D">
        <w:rPr>
          <w:szCs w:val="24"/>
        </w:rPr>
        <w:t> 2014)</w:t>
      </w:r>
      <w:r>
        <w:t>.</w:t>
      </w:r>
    </w:p>
    <w:p w14:paraId="21B34CB5" w14:textId="1CD71D4B" w:rsidR="00DE1537" w:rsidRDefault="00DE1537" w:rsidP="00343F3E">
      <w:pPr>
        <w:pStyle w:val="BodyText"/>
      </w:pPr>
      <w:r>
        <w:t xml:space="preserve">In addition, Victoria removed its fire services levy on insurance premiums in July 2013. This was in response to a recommendation by the 2009 Victorian Bushfires Royal Commission </w:t>
      </w:r>
      <w:r w:rsidR="007C5656" w:rsidRPr="007C5656">
        <w:rPr>
          <w:szCs w:val="24"/>
        </w:rPr>
        <w:t>(VBRC 2010c)</w:t>
      </w:r>
      <w:r>
        <w:t xml:space="preserve"> that it should be removed because it was inequitable and decreased the uptake of insurance. Fire services are now funded through property taxes </w:t>
      </w:r>
      <w:r w:rsidRPr="00073578">
        <w:rPr>
          <w:szCs w:val="24"/>
        </w:rPr>
        <w:t>(Fire Services Levy Monitor 2014b)</w:t>
      </w:r>
      <w:r>
        <w:t xml:space="preserve">. </w:t>
      </w:r>
    </w:p>
    <w:p w14:paraId="76928B53" w14:textId="6FB3A578" w:rsidR="00DE1537" w:rsidRDefault="00DE1537" w:rsidP="00343F3E">
      <w:pPr>
        <w:pStyle w:val="BodyText"/>
      </w:pPr>
      <w:r>
        <w:t xml:space="preserve">These taxes and levies make up a significant proportion of the cost of insurance for households. Analysis by Douglas, Bowditch and Ni </w:t>
      </w:r>
      <w:r w:rsidRPr="005A4D79">
        <w:t>(2013)</w:t>
      </w:r>
      <w:r>
        <w:t xml:space="preserve"> indicated that state taxes and levies were responsible for about 8 per cent of the value of premiums in Queensland and 24 per cent in New South Wales. </w:t>
      </w:r>
    </w:p>
    <w:p w14:paraId="6EF7EB9B" w14:textId="77777777" w:rsidR="00DE1537" w:rsidRDefault="00DE1537" w:rsidP="00343F3E">
      <w:pPr>
        <w:pStyle w:val="BodyText"/>
      </w:pPr>
      <w:r>
        <w:lastRenderedPageBreak/>
        <w:t>While the GST is an efficient broad</w:t>
      </w:r>
      <w:r>
        <w:noBreakHyphen/>
        <w:t>based tax, ad hoc state and territory taxes on insurance are inefficient in that they distort the price signals that premiums provide to policyholders, and therefore their risk management decisions.</w:t>
      </w:r>
    </w:p>
    <w:p w14:paraId="38168E46" w14:textId="77777777" w:rsidR="00DE1537" w:rsidRDefault="00DE1537" w:rsidP="00343F3E">
      <w:pPr>
        <w:pStyle w:val="Quote"/>
      </w:pPr>
      <w:r>
        <w:t>State taxes and levies can raise the price of insurance, driving a wedge between the ‘technical’ price and the retail price paid by consumers. Raising the price of insurance distorts the risk management decisions of households and businesses. (Treasury, sub. 91, p. 16)</w:t>
      </w:r>
    </w:p>
    <w:p w14:paraId="545CDBBC" w14:textId="77777777" w:rsidR="00DE1537" w:rsidRDefault="00DE1537" w:rsidP="00343F3E">
      <w:pPr>
        <w:pStyle w:val="Quote"/>
      </w:pPr>
      <w:r w:rsidRPr="00527F0A">
        <w:t>IAG believes the current regimes for the taxation of insurance are inconsistent upon the generally accepted taxation principles of simplicity, efficiency and equity. These tax regimes are inappropriate, regressive and based on historical circumstances rather than equity.</w:t>
      </w:r>
      <w:r>
        <w:t xml:space="preserve"> (IAG, sub. 24, p. 15)</w:t>
      </w:r>
    </w:p>
    <w:p w14:paraId="0966A001" w14:textId="151C0D06" w:rsidR="00DE1537" w:rsidRDefault="00DE1537" w:rsidP="00343F3E">
      <w:pPr>
        <w:pStyle w:val="BodyText"/>
      </w:pPr>
      <w:r>
        <w:t xml:space="preserve">As part of the Australian Future Tax </w:t>
      </w:r>
      <w:r w:rsidRPr="004F3489">
        <w:t xml:space="preserve">System Review </w:t>
      </w:r>
      <w:r w:rsidRPr="004A2D12">
        <w:rPr>
          <w:szCs w:val="24"/>
        </w:rPr>
        <w:t>(Treasury 2010)</w:t>
      </w:r>
      <w:r w:rsidRPr="004F3489">
        <w:t>, the marginal</w:t>
      </w:r>
      <w:r>
        <w:t xml:space="preserve"> welfare loss from a number of taxes was estimated. The review found that insurance taxes were one of the least efficient taxes.</w:t>
      </w:r>
    </w:p>
    <w:p w14:paraId="4114FEA2" w14:textId="3FAF249F" w:rsidR="00DE1537" w:rsidRPr="00216B5A" w:rsidRDefault="00DE1537" w:rsidP="00343F3E">
      <w:pPr>
        <w:pStyle w:val="BodyText"/>
      </w:pPr>
      <w:r>
        <w:t>As taxes increase the price of insurance, inquiry participants argued that they lead to reduced insurance affordability, and potentially underinsurance and non</w:t>
      </w:r>
      <w:r>
        <w:noBreakHyphen/>
        <w:t>insurance (for example, Philip Stace, sub. </w:t>
      </w:r>
      <w:proofErr w:type="gramStart"/>
      <w:r>
        <w:t>DR135; IAG, sub.</w:t>
      </w:r>
      <w:proofErr w:type="gramEnd"/>
      <w:r>
        <w:t> </w:t>
      </w:r>
      <w:proofErr w:type="gramStart"/>
      <w:r>
        <w:t>24; Suncorp Group, sub.</w:t>
      </w:r>
      <w:proofErr w:type="gramEnd"/>
      <w:r>
        <w:t> </w:t>
      </w:r>
      <w:proofErr w:type="gramStart"/>
      <w:r>
        <w:t>71,</w:t>
      </w:r>
      <w:proofErr w:type="gramEnd"/>
      <w:r>
        <w:t xml:space="preserve"> sub. </w:t>
      </w:r>
      <w:proofErr w:type="gramStart"/>
      <w:r>
        <w:t>DR176; Treasury, sub.</w:t>
      </w:r>
      <w:proofErr w:type="gramEnd"/>
      <w:r>
        <w:t xml:space="preserve"> 91). While there are few studies on the effect of taxes on insurance coverage, there is some limited evidence that insurance taxes lead to underinsurance. Tooth </w:t>
      </w:r>
      <w:r w:rsidRPr="00216B5A">
        <w:t>(2012)</w:t>
      </w:r>
      <w:r>
        <w:t xml:space="preserve">, using a survey of 1200 households, found that some households would underinsure or not insure if taxes were increased. In an earlier study, Tooth </w:t>
      </w:r>
      <w:r w:rsidRPr="00216B5A">
        <w:t>(2008)</w:t>
      </w:r>
      <w:r>
        <w:t xml:space="preserve">, using data from the ABS </w:t>
      </w:r>
      <w:r>
        <w:rPr>
          <w:i/>
        </w:rPr>
        <w:t>Household Expenditure Survey</w:t>
      </w:r>
      <w:r>
        <w:t xml:space="preserve"> and state tax data from the Insurance Council of Australia, found that non</w:t>
      </w:r>
      <w:r>
        <w:noBreakHyphen/>
        <w:t xml:space="preserve">insurance was correlated with state taxes. In addition, Tooth and Barker </w:t>
      </w:r>
      <w:r w:rsidRPr="00E85FBB">
        <w:t>(2007)</w:t>
      </w:r>
      <w:r>
        <w:t xml:space="preserve"> observed that states with higher taxes tended to have higher rates of non</w:t>
      </w:r>
      <w:r>
        <w:noBreakHyphen/>
        <w:t>insurance.</w:t>
      </w:r>
    </w:p>
    <w:p w14:paraId="5D797680" w14:textId="57929E06" w:rsidR="00DE1537" w:rsidRDefault="00DE1537" w:rsidP="00343F3E">
      <w:pPr>
        <w:pStyle w:val="BodyText"/>
      </w:pPr>
      <w:r>
        <w:t>A number of reviews have recommended that state and territory</w:t>
      </w:r>
      <w:r>
        <w:noBreakHyphen/>
        <w:t xml:space="preserve">imposed insurance taxes and levies be removed or reduced. For example, the Australia’s Future Tax System Review stated that insurance taxes deter people from taking out insurance and encourage them to bear unnecessary risks, and that they should be abolished </w:t>
      </w:r>
      <w:r w:rsidRPr="005A4D79">
        <w:rPr>
          <w:szCs w:val="24"/>
        </w:rPr>
        <w:t>(Treasury 2010)</w:t>
      </w:r>
      <w:r>
        <w:t xml:space="preserve">. In addition, the Senate Inquiry into </w:t>
      </w:r>
      <w:r>
        <w:rPr>
          <w:i/>
        </w:rPr>
        <w:t>Recent trends in and preparedness for extreme weather events</w:t>
      </w:r>
      <w:r w:rsidRPr="0026787E">
        <w:t xml:space="preserve"> </w:t>
      </w:r>
      <w:r w:rsidRPr="005A4D79">
        <w:rPr>
          <w:szCs w:val="24"/>
        </w:rPr>
        <w:t>(ECRC 2013)</w:t>
      </w:r>
      <w:r>
        <w:t xml:space="preserve"> and the 2009 Victorian Bushfires Royal Commission </w:t>
      </w:r>
      <w:r w:rsidR="007C5656" w:rsidRPr="007C5656">
        <w:rPr>
          <w:szCs w:val="24"/>
        </w:rPr>
        <w:t>(VBRC 2010c)</w:t>
      </w:r>
      <w:r>
        <w:t xml:space="preserve"> called for insurance tax reform. The Commission </w:t>
      </w:r>
      <w:r w:rsidRPr="00762F75">
        <w:rPr>
          <w:szCs w:val="24"/>
        </w:rPr>
        <w:t>(PC 2012)</w:t>
      </w:r>
      <w:r>
        <w:t xml:space="preserve"> also recommended that insurance taxes and levies be phased out.</w:t>
      </w:r>
    </w:p>
    <w:p w14:paraId="17C3EAB0" w14:textId="77777777" w:rsidR="00DE1537" w:rsidRPr="002D2726" w:rsidRDefault="00DE1537" w:rsidP="00343F3E">
      <w:pPr>
        <w:pStyle w:val="BodyText"/>
      </w:pPr>
      <w:r w:rsidRPr="002D2726">
        <w:t xml:space="preserve">Many inquiry participants </w:t>
      </w:r>
      <w:r>
        <w:t>supported</w:t>
      </w:r>
      <w:r w:rsidRPr="002D2726">
        <w:t xml:space="preserve"> reducing or abolishing stamp duty on insurance (ALGA, sub.</w:t>
      </w:r>
      <w:r>
        <w:t> </w:t>
      </w:r>
      <w:proofErr w:type="gramStart"/>
      <w:r w:rsidRPr="002D2726">
        <w:t>DR173; Central Highlands Regional Council (Qld), sub.</w:t>
      </w:r>
      <w:proofErr w:type="gramEnd"/>
      <w:r>
        <w:t> </w:t>
      </w:r>
      <w:proofErr w:type="gramStart"/>
      <w:r w:rsidRPr="002D2726">
        <w:t>DR174; FRLC, sub.</w:t>
      </w:r>
      <w:proofErr w:type="gramEnd"/>
      <w:r>
        <w:t> </w:t>
      </w:r>
      <w:proofErr w:type="gramStart"/>
      <w:r w:rsidRPr="002D2726">
        <w:t>DR130;</w:t>
      </w:r>
      <w:r>
        <w:t xml:space="preserve"> </w:t>
      </w:r>
      <w:r w:rsidRPr="002D2726">
        <w:t>IAG, sub.</w:t>
      </w:r>
      <w:proofErr w:type="gramEnd"/>
      <w:r>
        <w:t> </w:t>
      </w:r>
      <w:proofErr w:type="gramStart"/>
      <w:r w:rsidRPr="002D2726">
        <w:t>DR158;</w:t>
      </w:r>
      <w:r>
        <w:t xml:space="preserve"> </w:t>
      </w:r>
      <w:r w:rsidRPr="002D2726">
        <w:t>ICA, sub.</w:t>
      </w:r>
      <w:proofErr w:type="gramEnd"/>
      <w:r>
        <w:t> </w:t>
      </w:r>
      <w:proofErr w:type="gramStart"/>
      <w:r w:rsidRPr="002D2726">
        <w:t>DR185;</w:t>
      </w:r>
      <w:r>
        <w:t xml:space="preserve"> </w:t>
      </w:r>
      <w:r w:rsidRPr="002D2726">
        <w:t>LGASA, sub.</w:t>
      </w:r>
      <w:proofErr w:type="gramEnd"/>
      <w:r>
        <w:t> </w:t>
      </w:r>
      <w:proofErr w:type="gramStart"/>
      <w:r w:rsidRPr="002D2726">
        <w:t xml:space="preserve">DR161; </w:t>
      </w:r>
      <w:r>
        <w:t>LG</w:t>
      </w:r>
      <w:r w:rsidRPr="002D2726">
        <w:t>NSW, sub.</w:t>
      </w:r>
      <w:proofErr w:type="gramEnd"/>
      <w:r>
        <w:t> </w:t>
      </w:r>
      <w:proofErr w:type="gramStart"/>
      <w:r>
        <w:t>DR</w:t>
      </w:r>
      <w:r w:rsidRPr="002D2726">
        <w:t>196; MAV, sub.</w:t>
      </w:r>
      <w:proofErr w:type="gramEnd"/>
      <w:r>
        <w:t> </w:t>
      </w:r>
      <w:proofErr w:type="gramStart"/>
      <w:r w:rsidRPr="002D2726">
        <w:t>DR162; Philip Stace, sub.</w:t>
      </w:r>
      <w:proofErr w:type="gramEnd"/>
      <w:r>
        <w:t> </w:t>
      </w:r>
      <w:proofErr w:type="gramStart"/>
      <w:r w:rsidRPr="002D2726">
        <w:t>DR135</w:t>
      </w:r>
      <w:r>
        <w:t xml:space="preserve">; </w:t>
      </w:r>
      <w:r w:rsidRPr="002D2726">
        <w:t>Suncorp</w:t>
      </w:r>
      <w:r>
        <w:t xml:space="preserve"> Group, sub.</w:t>
      </w:r>
      <w:proofErr w:type="gramEnd"/>
      <w:r>
        <w:t> </w:t>
      </w:r>
      <w:proofErr w:type="gramStart"/>
      <w:r>
        <w:t>DR</w:t>
      </w:r>
      <w:r w:rsidRPr="002D2726">
        <w:t>176</w:t>
      </w:r>
      <w:r>
        <w:t xml:space="preserve">; </w:t>
      </w:r>
      <w:r w:rsidRPr="002D2726">
        <w:t>Tablelands Regional Council (Qld), sub.</w:t>
      </w:r>
      <w:proofErr w:type="gramEnd"/>
      <w:r>
        <w:t> </w:t>
      </w:r>
      <w:r w:rsidRPr="002D2726">
        <w:t xml:space="preserve">DR146). </w:t>
      </w:r>
      <w:proofErr w:type="gramStart"/>
      <w:r w:rsidRPr="002D2726">
        <w:t>For example, the Insurance Australia Group (sub.</w:t>
      </w:r>
      <w:proofErr w:type="gramEnd"/>
      <w:r>
        <w:t> </w:t>
      </w:r>
      <w:r w:rsidRPr="002D2726">
        <w:t>DR158, p.</w:t>
      </w:r>
      <w:r>
        <w:t> </w:t>
      </w:r>
      <w:r w:rsidRPr="002D2726">
        <w:t>11) stated that ‘removal of insurance taxes will allow premiums to become more affordable and recognises the role of the tax system in encouraging insurance coverage’.</w:t>
      </w:r>
    </w:p>
    <w:p w14:paraId="520F21C7" w14:textId="77777777" w:rsidR="00DE1537" w:rsidRPr="002D2726" w:rsidRDefault="00DE1537" w:rsidP="00343F3E">
      <w:pPr>
        <w:pStyle w:val="BodyText"/>
      </w:pPr>
      <w:r>
        <w:lastRenderedPageBreak/>
        <w:t xml:space="preserve">While the Victorian Government (sub. DR215) is supportive of removing insurance taxes in </w:t>
      </w:r>
      <w:proofErr w:type="gramStart"/>
      <w:r>
        <w:t>principle,</w:t>
      </w:r>
      <w:proofErr w:type="gramEnd"/>
      <w:r>
        <w:t xml:space="preserve"> other </w:t>
      </w:r>
      <w:r w:rsidRPr="002D2726">
        <w:t xml:space="preserve">state governments are not supportive of stamp duties being </w:t>
      </w:r>
      <w:r>
        <w:t>abolished</w:t>
      </w:r>
      <w:r w:rsidRPr="002D2726">
        <w:t xml:space="preserve"> at this stage</w:t>
      </w:r>
      <w:r>
        <w:t>. These governments submitted</w:t>
      </w:r>
      <w:r w:rsidRPr="002D2726">
        <w:t xml:space="preserve"> that such an action should only be considered as part of the broader review under the White Paper on the Reform of Australia’s Tax System.</w:t>
      </w:r>
    </w:p>
    <w:p w14:paraId="298F9FD8" w14:textId="77777777" w:rsidR="00DE1537" w:rsidRPr="002D2726" w:rsidRDefault="00DE1537" w:rsidP="00343F3E">
      <w:pPr>
        <w:pStyle w:val="Quote"/>
      </w:pPr>
      <w:r w:rsidRPr="002D2726">
        <w:t>South Australian taxes and levies on general insurance is a significant source of revenue. The draft report does not describe any alternative, less distortionary taxes that would make up the loss in revenue, nor has it demonstrated that the savings would result in future disaster loss reductions greater than the loss in revenue. (Government of South Australia, sub.</w:t>
      </w:r>
      <w:r>
        <w:t> </w:t>
      </w:r>
      <w:r w:rsidRPr="002D2726">
        <w:t>DR209, p.</w:t>
      </w:r>
      <w:r>
        <w:t> </w:t>
      </w:r>
      <w:r w:rsidRPr="002D2726">
        <w:t>28)</w:t>
      </w:r>
    </w:p>
    <w:p w14:paraId="05F3DF10" w14:textId="77777777" w:rsidR="00DE1537" w:rsidRDefault="00DE1537" w:rsidP="00343F3E">
      <w:pPr>
        <w:pStyle w:val="Quote"/>
      </w:pPr>
      <w:r w:rsidRPr="002D2726">
        <w:t xml:space="preserve">While the Queensland Government acknowledges the current tax mix available to the states is far from ideal, any proposal to remove state taxing capability should be linked to the Commonwealth’s White Paper on the Reform of the Federation and the White Paper on the Reform of Australia’s Tax System, and not as a consideration in the review of natural disaster funding arrangements. </w:t>
      </w:r>
      <w:proofErr w:type="gramStart"/>
      <w:r w:rsidRPr="002D2726">
        <w:t>(Queensland Government, sub.</w:t>
      </w:r>
      <w:proofErr w:type="gramEnd"/>
      <w:r>
        <w:t> </w:t>
      </w:r>
      <w:r w:rsidRPr="002D2726">
        <w:t>DR184, p.</w:t>
      </w:r>
      <w:r>
        <w:t> </w:t>
      </w:r>
      <w:r w:rsidRPr="002D2726">
        <w:t>8)</w:t>
      </w:r>
    </w:p>
    <w:p w14:paraId="77C12820" w14:textId="77777777" w:rsidR="00DE1537" w:rsidRDefault="00DE1537" w:rsidP="00343F3E">
      <w:pPr>
        <w:pStyle w:val="BodyText"/>
      </w:pPr>
      <w:r w:rsidRPr="002D2726">
        <w:t xml:space="preserve">In addition to stamp duty, insurance premiums in New South Wales </w:t>
      </w:r>
      <w:r>
        <w:t xml:space="preserve">and commercial insurance premiums in Tasmania </w:t>
      </w:r>
      <w:r w:rsidRPr="002D2726">
        <w:t>are also subject to a fire services levy. Like stamp duty, this levy is distortionary, reducing the marginal incentive to purchase insurance. And it is inequitable as services that are used by all are only fund</w:t>
      </w:r>
      <w:r>
        <w:t>ed</w:t>
      </w:r>
      <w:r w:rsidRPr="002D2726">
        <w:t xml:space="preserve"> by those who take out insurance. </w:t>
      </w:r>
    </w:p>
    <w:p w14:paraId="482D401F" w14:textId="77777777" w:rsidR="00DE1537" w:rsidRDefault="00DE1537" w:rsidP="00343F3E">
      <w:pPr>
        <w:pStyle w:val="BodyText"/>
      </w:pPr>
      <w:r w:rsidRPr="002D2726">
        <w:t xml:space="preserve">Local Government New South Wales and the Blue Mountains City Council argued that the fire services levy on insurance premiums </w:t>
      </w:r>
      <w:r>
        <w:t xml:space="preserve">in New South Wales </w:t>
      </w:r>
      <w:r w:rsidRPr="002D2726">
        <w:t>should be re</w:t>
      </w:r>
      <w:r>
        <w:t>placed</w:t>
      </w:r>
      <w:r w:rsidRPr="002D2726">
        <w:t>.</w:t>
      </w:r>
    </w:p>
    <w:p w14:paraId="0B01BFB4" w14:textId="77777777" w:rsidR="00DE1537" w:rsidRDefault="00DE1537" w:rsidP="00343F3E">
      <w:pPr>
        <w:pStyle w:val="Quote"/>
      </w:pPr>
      <w:r>
        <w:t>LGNSW … advocates the replacement of insurance and Local Government based Emergency Services levies with a broad based property tax. NSW is the only mainland state that has not made this move. (Local Government NSW, sub. DR196, p. 11)</w:t>
      </w:r>
    </w:p>
    <w:p w14:paraId="5D241915" w14:textId="77777777" w:rsidR="00DE1537" w:rsidRDefault="00DE1537" w:rsidP="00343F3E">
      <w:pPr>
        <w:pStyle w:val="Quote"/>
      </w:pPr>
      <w:r>
        <w:t>BMCC has long supported a move away from relying solely on levies on insurers and local government and moving to a broader based property levy to fund state</w:t>
      </w:r>
      <w:r>
        <w:noBreakHyphen/>
        <w:t>based emergency services. A property based levy for emergency services is also a more equitable mechanism for distributing the cost of service provision across the broader community. This approach could well supplement the existing system and is fairer. (Blue Mountains City Council (NSW), sub. DR204, p. 8)</w:t>
      </w:r>
    </w:p>
    <w:p w14:paraId="4CE3196A" w14:textId="77777777" w:rsidR="00DE1537" w:rsidRPr="00605457" w:rsidRDefault="00DE1537" w:rsidP="00343F3E">
      <w:pPr>
        <w:pStyle w:val="BodyText"/>
      </w:pPr>
      <w:proofErr w:type="gramStart"/>
      <w:r>
        <w:t>T</w:t>
      </w:r>
      <w:r w:rsidRPr="00605457">
        <w:t>he Independent Pricing and Regulatory Tribunal (sub.</w:t>
      </w:r>
      <w:proofErr w:type="gramEnd"/>
      <w:r>
        <w:t> </w:t>
      </w:r>
      <w:r w:rsidRPr="00605457">
        <w:t>DR159) examined the fire services levy as part of a state taxation review in 2008 and recommended removing it and increasing local government contributions and rates to replace it.</w:t>
      </w:r>
    </w:p>
    <w:p w14:paraId="3F52C8BB" w14:textId="77777777" w:rsidR="00DE1537" w:rsidRDefault="00DE1537" w:rsidP="00343F3E">
      <w:pPr>
        <w:pStyle w:val="BodyText"/>
      </w:pPr>
      <w:r>
        <w:t>Replacing state and territory insurance taxes and levies with more efficient revenue sources, such as broad</w:t>
      </w:r>
      <w:r>
        <w:noBreakHyphen/>
        <w:t>based payroll or land taxes, would improve the price signal to policyholders and improve the effectiveness of insurance as a risk management tool. The resulting price decrease could also encourage households and businesses to take up insurance or increase their cover.</w:t>
      </w:r>
    </w:p>
    <w:p w14:paraId="65EB83E0" w14:textId="77777777" w:rsidR="00DE1537" w:rsidRDefault="00DE1537" w:rsidP="00343F3E">
      <w:pPr>
        <w:pStyle w:val="Heading4"/>
      </w:pPr>
      <w:r>
        <w:lastRenderedPageBreak/>
        <w:t>Availability of information to price risk</w:t>
      </w:r>
    </w:p>
    <w:p w14:paraId="172F0F54" w14:textId="698CBEDC" w:rsidR="00DE1537" w:rsidRDefault="00DE1537" w:rsidP="00343F3E">
      <w:pPr>
        <w:pStyle w:val="BodyText"/>
      </w:pPr>
      <w:r>
        <w:t xml:space="preserve">For insurers to price premiums according to the risk the policyholder faces, they need information on natural disaster risk (section 5.2). Risk is a function of the type of hazard and the probability of it occurring, the people and assets exposed to the natural hazard, and the vulnerability of the people, assets and activities to the hazard </w:t>
      </w:r>
      <w:r w:rsidRPr="002549E4">
        <w:rPr>
          <w:szCs w:val="24"/>
        </w:rPr>
        <w:t>(Granger 2014; supplementary paper 3)</w:t>
      </w:r>
      <w:r w:rsidRPr="004E6960">
        <w:t>. F</w:t>
      </w:r>
      <w:r>
        <w:t xml:space="preserve">or insurers to efficiently price insurance products, good information is required for all these component elements of risk. </w:t>
      </w:r>
    </w:p>
    <w:p w14:paraId="036BD306" w14:textId="152C641A" w:rsidR="00DE1537" w:rsidRDefault="00DE1537" w:rsidP="00343F3E">
      <w:pPr>
        <w:pStyle w:val="BodyText"/>
      </w:pPr>
      <w:r>
        <w:t xml:space="preserve">Historically, insurers have had limited information with which to price risk. For example, household insurance premiums were mostly calculated at the postcode level as recently as four or five years ago </w:t>
      </w:r>
      <w:r w:rsidRPr="00E13257">
        <w:rPr>
          <w:szCs w:val="24"/>
        </w:rPr>
        <w:t>(Fire Services Levy Monitor 2014a)</w:t>
      </w:r>
      <w:r>
        <w:t>. Although some hazard risks, such as earthquake, are unlikely to vary significantly within a postcode, where risks do vary, this approach diminishes the effectiveness of the price signal to policyholders. In addition, as both high</w:t>
      </w:r>
      <w:r>
        <w:noBreakHyphen/>
        <w:t xml:space="preserve"> and low</w:t>
      </w:r>
      <w:r>
        <w:noBreakHyphen/>
        <w:t>risk policyholders are paying the same premium, low</w:t>
      </w:r>
      <w:r>
        <w:noBreakHyphen/>
        <w:t>risk policyholders are likely to be cross</w:t>
      </w:r>
      <w:r>
        <w:noBreakHyphen/>
        <w:t>subsidising high</w:t>
      </w:r>
      <w:r>
        <w:noBreakHyphen/>
        <w:t>risk policyholders. This could lead to adverse selection as lower</w:t>
      </w:r>
      <w:r>
        <w:noBreakHyphen/>
        <w:t>risk households opt out of insurance. A lack of information can also lead to insurers pricing defensively and charging higher premiums to all policyholders (Risk Frontiers, sub. 19).</w:t>
      </w:r>
    </w:p>
    <w:p w14:paraId="5A8B47EC" w14:textId="77777777" w:rsidR="00DE1537" w:rsidRPr="00ED3DBB" w:rsidRDefault="00DE1537" w:rsidP="00343F3E">
      <w:pPr>
        <w:pStyle w:val="BodyText"/>
      </w:pPr>
      <w:r>
        <w:t xml:space="preserve">There has been improvement in recent years in both the amount and quality of information available to insurers to price natural disaster risk, particularly on the nature of hazards and exposure to them (ICA, sub. 57; QBE, sub. 63; Risk Frontiers, sub. 19) (box 5.4). </w:t>
      </w:r>
      <w:r w:rsidRPr="00ED3DBB">
        <w:t xml:space="preserve">Improvements in information have </w:t>
      </w:r>
      <w:r>
        <w:t xml:space="preserve">probably </w:t>
      </w:r>
      <w:r w:rsidRPr="00ED3DBB">
        <w:t xml:space="preserve">been driven by the large </w:t>
      </w:r>
      <w:r>
        <w:t xml:space="preserve">recent </w:t>
      </w:r>
      <w:r w:rsidRPr="00ED3DBB">
        <w:t xml:space="preserve">natural disasters, such as the Victorian bushfires and Queensland floods. Some have referred to an ‘arms race’ between insurers to </w:t>
      </w:r>
      <w:r>
        <w:t xml:space="preserve">invest in data and analysis to </w:t>
      </w:r>
      <w:r w:rsidRPr="00ED3DBB">
        <w:t xml:space="preserve">price </w:t>
      </w:r>
      <w:r>
        <w:t xml:space="preserve">natural disaster </w:t>
      </w:r>
      <w:r w:rsidRPr="00ED3DBB">
        <w:t>risks</w:t>
      </w:r>
      <w:r>
        <w:t xml:space="preserve"> most efficiently</w:t>
      </w:r>
      <w:r w:rsidRPr="00ED3DBB">
        <w:t xml:space="preserve">. </w:t>
      </w:r>
    </w:p>
    <w:p w14:paraId="2C531229" w14:textId="748C9565" w:rsidR="00DE1537" w:rsidRDefault="00DE1537" w:rsidP="00343F3E">
      <w:pPr>
        <w:pStyle w:val="BodyText"/>
      </w:pPr>
      <w:r>
        <w:t>As a result, insurers’ pricing of natural disaster risks is becoming more granular, and they are increasingly pricing policies at the household level. This has led to some policyholders’ premiums going down. However, other policyholders, particularly in high</w:t>
      </w:r>
      <w:r>
        <w:noBreakHyphen/>
        <w:t>risk areas, have experienced increased premiums. In some cases, these increases have been large (IAG, sub. 24). It has been suggested that as insurance companies continually improve their risk</w:t>
      </w:r>
      <w:r>
        <w:noBreakHyphen/>
        <w:t xml:space="preserve">rating approach some properties and assets will become uninsurable </w:t>
      </w:r>
      <w:r w:rsidRPr="00966DBE">
        <w:rPr>
          <w:szCs w:val="24"/>
        </w:rPr>
        <w:t>(ERSA, sub. 12; Murray et al.</w:t>
      </w:r>
      <w:r w:rsidRPr="00DB7D4A">
        <w:rPr>
          <w:szCs w:val="24"/>
        </w:rPr>
        <w:t> </w:t>
      </w:r>
      <w:r w:rsidRPr="00966DBE">
        <w:rPr>
          <w:szCs w:val="24"/>
        </w:rPr>
        <w:t>2014b)</w:t>
      </w:r>
      <w:r>
        <w:t>.</w:t>
      </w:r>
    </w:p>
    <w:p w14:paraId="09EC782E" w14:textId="77777777" w:rsidR="00DE1537" w:rsidRDefault="00DE1537" w:rsidP="00343F3E">
      <w:pPr>
        <w:pStyle w:val="BodyText"/>
      </w:pPr>
      <w:r>
        <w:t>While price increases are of concern where they are due to information asymmetry or other market distortions, price increases that are risk reflective (based on better information about the risk a party faces) are an efficient outcome. However, concerns have been raised that price increases are leading to reduced affordability and increased underinsurance and non</w:t>
      </w:r>
      <w:r>
        <w:noBreakHyphen/>
        <w:t>insurance, particularly in high</w:t>
      </w:r>
      <w:r>
        <w:noBreakHyphen/>
        <w:t>risk areas, and especially when it involves exposing vulnerable households to significant financial losses (for example, FNQROC, sub. 36). These concerns are discussed in more detail in section 5.5.</w:t>
      </w:r>
    </w:p>
    <w:p w14:paraId="4FCB228D" w14:textId="77777777" w:rsidR="00DE1537" w:rsidRDefault="00DE1537" w:rsidP="00343F3E">
      <w:pPr>
        <w:pStyle w:val="BodyText"/>
      </w:pPr>
      <w:r>
        <w:t xml:space="preserve">Although there have been significant advances in some types of natural disaster risk information, there has been less development in other areas. While insurers’ understanding </w:t>
      </w:r>
      <w:r>
        <w:lastRenderedPageBreak/>
        <w:t xml:space="preserve">of the hazard and exposure components of risk has increased significantly, particularly in relation to flood risk, information about vulnerability is less developed. For example, insurers’ knowledge about individual property characteristics or recent changes to building regulations embedded in land use planning changes can be limited. </w:t>
      </w:r>
    </w:p>
    <w:p w14:paraId="3EF94AA6"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219A7A2" w14:textId="77777777" w:rsidTr="00343F3E">
        <w:tc>
          <w:tcPr>
            <w:tcW w:w="8771" w:type="dxa"/>
            <w:tcBorders>
              <w:top w:val="single" w:sz="6" w:space="0" w:color="78A22F"/>
              <w:left w:val="nil"/>
              <w:bottom w:val="nil"/>
              <w:right w:val="nil"/>
            </w:tcBorders>
            <w:shd w:val="clear" w:color="auto" w:fill="F2F2F2" w:themeFill="background1" w:themeFillShade="F2"/>
          </w:tcPr>
          <w:p w14:paraId="7CB18A75" w14:textId="69F4115B" w:rsidR="00DE1537" w:rsidRDefault="00DE1537" w:rsidP="00343F3E">
            <w:pPr>
              <w:pStyle w:val="BoxTitle"/>
            </w:pPr>
            <w:r>
              <w:rPr>
                <w:b w:val="0"/>
              </w:rPr>
              <w:t>Box 5.</w:t>
            </w:r>
            <w:r>
              <w:rPr>
                <w:b w:val="0"/>
                <w:noProof/>
              </w:rPr>
              <w:t>4</w:t>
            </w:r>
            <w:r>
              <w:tab/>
              <w:t>Recent improvements in information available to insurers</w:t>
            </w:r>
          </w:p>
        </w:tc>
      </w:tr>
      <w:tr w:rsidR="00DE1537" w14:paraId="0BE4E1EB" w14:textId="77777777" w:rsidTr="00343F3E">
        <w:trPr>
          <w:cantSplit/>
        </w:trPr>
        <w:tc>
          <w:tcPr>
            <w:tcW w:w="8771" w:type="dxa"/>
            <w:tcBorders>
              <w:top w:val="nil"/>
              <w:left w:val="nil"/>
              <w:bottom w:val="nil"/>
              <w:right w:val="nil"/>
            </w:tcBorders>
            <w:shd w:val="clear" w:color="auto" w:fill="F2F2F2" w:themeFill="background1" w:themeFillShade="F2"/>
          </w:tcPr>
          <w:p w14:paraId="6D40D8BA" w14:textId="77777777" w:rsidR="00DE1537" w:rsidRPr="000D39AE" w:rsidRDefault="00DE1537" w:rsidP="00343F3E">
            <w:pPr>
              <w:pStyle w:val="Box"/>
            </w:pPr>
            <w:r>
              <w:t>The information available to insurers to price risk has improved in recent years. This includes data on natural hazards and the modelling and analysis used to price risk. More detail on recent improvements in information is provided in supplementary paper 1.</w:t>
            </w:r>
          </w:p>
          <w:p w14:paraId="6BC74078" w14:textId="77777777" w:rsidR="00DE1537" w:rsidRDefault="00DE1537" w:rsidP="00343F3E">
            <w:pPr>
              <w:pStyle w:val="BoxHeading1"/>
            </w:pPr>
            <w:r>
              <w:t>Modelling of natural hazards</w:t>
            </w:r>
          </w:p>
          <w:p w14:paraId="560120D2" w14:textId="77777777" w:rsidR="00DE1537" w:rsidRPr="00923DEE" w:rsidRDefault="00DE1537" w:rsidP="00343F3E">
            <w:pPr>
              <w:pStyle w:val="Box"/>
            </w:pPr>
            <w:r>
              <w:t xml:space="preserve">Insurers have been adopting </w:t>
            </w:r>
            <w:r w:rsidRPr="00A05F4C">
              <w:t>more sophisticated data and modelling on natural hazards. For example, Insurance Australia Group has b</w:t>
            </w:r>
            <w:r>
              <w:t>een investing in obtaining high</w:t>
            </w:r>
            <w:r>
              <w:noBreakHyphen/>
            </w:r>
            <w:r w:rsidRPr="00A05F4C">
              <w:t xml:space="preserve">quality flood data (including by commissioning </w:t>
            </w:r>
            <w:r>
              <w:t xml:space="preserve">its own </w:t>
            </w:r>
            <w:r w:rsidRPr="00A05F4C">
              <w:t xml:space="preserve">studies) and modelling flood risks. QBE observed that insurers are developing sophisticated methodologies to understand </w:t>
            </w:r>
            <w:r>
              <w:t xml:space="preserve">natural hazard </w:t>
            </w:r>
            <w:r w:rsidRPr="00A05F4C">
              <w:t>risks at a more granular level than in the past.</w:t>
            </w:r>
          </w:p>
          <w:p w14:paraId="0455016B" w14:textId="77777777" w:rsidR="00DE1537" w:rsidRDefault="00DE1537" w:rsidP="00343F3E">
            <w:pPr>
              <w:pStyle w:val="BoxHeading1"/>
            </w:pPr>
            <w:r>
              <w:t>National Flood Information Database</w:t>
            </w:r>
          </w:p>
          <w:p w14:paraId="4C241347" w14:textId="77777777" w:rsidR="00DE1537" w:rsidRPr="00923DEE" w:rsidRDefault="00DE1537" w:rsidP="00343F3E">
            <w:pPr>
              <w:pStyle w:val="Box"/>
            </w:pPr>
            <w:r>
              <w:t xml:space="preserve">In 2008, the Insurance Council of Australia commissioned Risk Frontiers and Willis Re to develop the National Flood Information Database. The database includes data on flood risks at an individual property level, represented in a consistent format, based on state and local government data. </w:t>
            </w:r>
            <w:r w:rsidRPr="0048201C">
              <w:t xml:space="preserve">It is derived from flood mapping, digital terrain models and address location data. </w:t>
            </w:r>
            <w:r>
              <w:t>It</w:t>
            </w:r>
            <w:r w:rsidRPr="00916432">
              <w:t xml:space="preserve"> has expanded from around 670</w:t>
            </w:r>
            <w:r>
              <w:t> </w:t>
            </w:r>
            <w:r w:rsidRPr="00916432">
              <w:t>000 addresses at its inception</w:t>
            </w:r>
            <w:r>
              <w:t xml:space="preserve"> in 2008</w:t>
            </w:r>
            <w:r w:rsidRPr="00916432">
              <w:t xml:space="preserve"> to over 6</w:t>
            </w:r>
            <w:r>
              <w:t> </w:t>
            </w:r>
            <w:r w:rsidRPr="00916432">
              <w:t>million in 2014</w:t>
            </w:r>
            <w:r>
              <w:t xml:space="preserve"> (around 47 per cent of all addresses in Australia). </w:t>
            </w:r>
            <w:r w:rsidRPr="0048201C">
              <w:t xml:space="preserve">The database is continually being updated and peer reviewed to at least 2017. </w:t>
            </w:r>
            <w:r>
              <w:t>It initially covered parts of New South Wales, Victoria, Western Australia, South Australia and Tasmania, and in 2011 was expanded to cover parts of Queensland and the Northern Territory. The database is only available to insurers.</w:t>
            </w:r>
          </w:p>
          <w:p w14:paraId="1F04677B" w14:textId="77777777" w:rsidR="00DE1537" w:rsidRDefault="00DE1537" w:rsidP="00343F3E">
            <w:pPr>
              <w:pStyle w:val="BoxHeading1"/>
            </w:pPr>
            <w:r>
              <w:t>Data Globe</w:t>
            </w:r>
          </w:p>
          <w:p w14:paraId="0702A79D" w14:textId="77777777" w:rsidR="00DE1537" w:rsidRPr="00ED3DBB" w:rsidRDefault="00DE1537" w:rsidP="00343F3E">
            <w:pPr>
              <w:pStyle w:val="Box"/>
            </w:pPr>
            <w:r w:rsidRPr="00E5229B">
              <w:t>The</w:t>
            </w:r>
            <w:r>
              <w:t xml:space="preserve"> Data Globe project, managed by the Insurance Council of Australia, is a database through which insurers can access natural hazard information, including flood, earthquake, bushfire, storm surge and cyclone exposure information at the property level. The database collates information provided by state and local governments, the Bureau of Meteorology, Geoscience Australia and bushfire authorities. Insurers can use this information to assist with calculating risks, identify where hazard mapping is missing, and identify where mitigation could improve insurance affordability.</w:t>
            </w:r>
          </w:p>
        </w:tc>
      </w:tr>
      <w:tr w:rsidR="00DE1537" w14:paraId="48879CFA" w14:textId="77777777" w:rsidTr="00343F3E">
        <w:trPr>
          <w:cantSplit/>
        </w:trPr>
        <w:tc>
          <w:tcPr>
            <w:tcW w:w="8771" w:type="dxa"/>
            <w:tcBorders>
              <w:top w:val="nil"/>
              <w:left w:val="nil"/>
              <w:bottom w:val="nil"/>
              <w:right w:val="nil"/>
            </w:tcBorders>
            <w:shd w:val="clear" w:color="auto" w:fill="F2F2F2" w:themeFill="background1" w:themeFillShade="F2"/>
          </w:tcPr>
          <w:p w14:paraId="66BBAA78" w14:textId="5D625B70" w:rsidR="00DE1537" w:rsidRDefault="00DE1537" w:rsidP="00343F3E">
            <w:pPr>
              <w:pStyle w:val="BoxSource"/>
            </w:pPr>
            <w:r>
              <w:rPr>
                <w:i/>
              </w:rPr>
              <w:t>Sources</w:t>
            </w:r>
            <w:r w:rsidRPr="00167F06">
              <w:t xml:space="preserve">: </w:t>
            </w:r>
            <w:r>
              <w:t xml:space="preserve">IAG (sub. 24); ICA </w:t>
            </w:r>
            <w:r w:rsidRPr="00185001">
              <w:rPr>
                <w:rFonts w:cs="Arial"/>
              </w:rPr>
              <w:t>(2014a)</w:t>
            </w:r>
            <w:r>
              <w:t xml:space="preserve">; Insurance News </w:t>
            </w:r>
            <w:r w:rsidRPr="005F54E5">
              <w:rPr>
                <w:rFonts w:cs="Arial"/>
              </w:rPr>
              <w:t>(2014a)</w:t>
            </w:r>
            <w:r>
              <w:t>; QBE (sub. 63); Risk Frontiers (pers. comm., 15 August 2014; sub. 19, sub. DR132).</w:t>
            </w:r>
          </w:p>
        </w:tc>
      </w:tr>
      <w:tr w:rsidR="00DE1537" w14:paraId="6A4301EF"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59E056E" w14:textId="77777777" w:rsidR="00DE1537" w:rsidRDefault="00DE1537" w:rsidP="00343F3E">
            <w:pPr>
              <w:pStyle w:val="Box"/>
              <w:spacing w:before="0" w:line="120" w:lineRule="exact"/>
            </w:pPr>
          </w:p>
        </w:tc>
      </w:tr>
      <w:tr w:rsidR="00DE1537" w:rsidRPr="000863A5" w14:paraId="5CD2DAA0" w14:textId="77777777" w:rsidTr="00343F3E">
        <w:tc>
          <w:tcPr>
            <w:tcW w:w="8771" w:type="dxa"/>
            <w:tcBorders>
              <w:top w:val="single" w:sz="6" w:space="0" w:color="78A22F"/>
              <w:left w:val="nil"/>
              <w:bottom w:val="nil"/>
              <w:right w:val="nil"/>
            </w:tcBorders>
          </w:tcPr>
          <w:p w14:paraId="27AE17C6" w14:textId="77777777" w:rsidR="00DE1537" w:rsidRPr="00626D32" w:rsidRDefault="00DE1537" w:rsidP="00343F3E">
            <w:pPr>
              <w:pStyle w:val="BoxSpaceBelow"/>
            </w:pPr>
          </w:p>
        </w:tc>
      </w:tr>
    </w:tbl>
    <w:p w14:paraId="201A01D8" w14:textId="1C2C27D4" w:rsidR="00DE1537" w:rsidRDefault="00DE1537" w:rsidP="00343F3E">
      <w:pPr>
        <w:pStyle w:val="BodyText"/>
      </w:pPr>
      <w:r>
        <w:t xml:space="preserve">In addition, information about some other types of hazards is not as advanced as that for flood, and there is still pricing at the postcode level in some areas. For example, many insurers still rate bushfire risk at the suburb or postcode level </w:t>
      </w:r>
      <w:r w:rsidRPr="00E13257">
        <w:rPr>
          <w:szCs w:val="24"/>
        </w:rPr>
        <w:t>(Fire Services Levy Monitor 2014a)</w:t>
      </w:r>
      <w:r>
        <w:t xml:space="preserve">. As well, information about cyclone and storm surge risk is not as well developed compared with other natural hazards </w:t>
      </w:r>
      <w:r w:rsidR="007C5656" w:rsidRPr="007C5656">
        <w:rPr>
          <w:szCs w:val="24"/>
        </w:rPr>
        <w:t>(Deloitte Access Economics 2014a)</w:t>
      </w:r>
      <w:r>
        <w:t xml:space="preserve">. Inquiry participants also noted that flood risk is still priced at the postcode level, </w:t>
      </w:r>
      <w:r>
        <w:lastRenderedPageBreak/>
        <w:t>particularly where there are gaps in flood mapping or the quality of the mapping is not high (for example, FNQROC, trans., Townsville, pp. 78–89).</w:t>
      </w:r>
    </w:p>
    <w:p w14:paraId="20C58D84" w14:textId="77777777" w:rsidR="00DE1537" w:rsidRDefault="00DE1537" w:rsidP="00343F3E">
      <w:pPr>
        <w:pStyle w:val="BodyText"/>
      </w:pPr>
      <w:r>
        <w:t>These data gaps and limitations constrain the effectiveness of insurance as price signals might not be risk reflective, and could limit the incentive to undertake mitigation (discussed below).</w:t>
      </w:r>
    </w:p>
    <w:p w14:paraId="55D2D6D2" w14:textId="77777777" w:rsidR="00DE1537" w:rsidRDefault="00DE1537" w:rsidP="00343F3E">
      <w:pPr>
        <w:pStyle w:val="BodyText"/>
      </w:pPr>
      <w:r>
        <w:t xml:space="preserve">Despite the increase in the availability of information, inquiry participants expressed concerns that parties are not sharing some information. </w:t>
      </w:r>
    </w:p>
    <w:p w14:paraId="14881646" w14:textId="77777777" w:rsidR="00DE1537" w:rsidRDefault="00DE1537" w:rsidP="00343F3E">
      <w:pPr>
        <w:pStyle w:val="Quote"/>
      </w:pPr>
      <w:r w:rsidRPr="00E13257">
        <w:t xml:space="preserve">It is our opinion that insurance companies appear to be relying on their own flood plain mapping and have refused to share this with South Australian State or Local Governments. In return they have advised they have concerns that South Australia does not share data with them. </w:t>
      </w:r>
      <w:r>
        <w:t>(City of Charles Sturt (SA), sub. 8, p. 3)</w:t>
      </w:r>
    </w:p>
    <w:p w14:paraId="43CB490E" w14:textId="77777777" w:rsidR="00DE1537" w:rsidRDefault="00DE1537" w:rsidP="00343F3E">
      <w:pPr>
        <w:pStyle w:val="BodyText"/>
      </w:pPr>
      <w:r>
        <w:t>Some governments were also concerned that insurers do not share information for commercial reasons.</w:t>
      </w:r>
    </w:p>
    <w:p w14:paraId="68BE7ED1" w14:textId="77777777" w:rsidR="00DE1537" w:rsidRDefault="00DE1537" w:rsidP="00343F3E">
      <w:pPr>
        <w:pStyle w:val="Quote"/>
      </w:pPr>
      <w:r>
        <w:t>… [F]or commercial reasons insurers are reluctant to provide details on their risk assessment and retail pricing policies. This makes it difficult for Councils and residents to see and assess the connections between their flood risk mitigation and insurers’ premiums. If insurance price signals are to be effective, it has to be clear how they connect to specific actions. (Lake Macquarie City Council (NSW), sub. 74, p. 7)</w:t>
      </w:r>
    </w:p>
    <w:p w14:paraId="6F1404DE" w14:textId="77777777" w:rsidR="00DE1537" w:rsidRDefault="00DE1537" w:rsidP="00343F3E">
      <w:pPr>
        <w:pStyle w:val="BodyText"/>
      </w:pPr>
      <w:r>
        <w:t>On the other hand, some inquiry participants contended that governments and government organisations are not sharing the information they collect with private companies and the public, partly due to legal liability concerns (</w:t>
      </w:r>
      <w:r w:rsidRPr="0012648C">
        <w:t>Risk Frontiers, sub.</w:t>
      </w:r>
      <w:r>
        <w:t> </w:t>
      </w:r>
      <w:proofErr w:type="gramStart"/>
      <w:r w:rsidRPr="0012648C">
        <w:t xml:space="preserve">DR132; </w:t>
      </w:r>
      <w:r>
        <w:t>supplementary paper 6).</w:t>
      </w:r>
      <w:proofErr w:type="gramEnd"/>
      <w:r>
        <w:t xml:space="preserve"> The roles and responsibilities of governments in providing information are discussed in more detail in chapter </w:t>
      </w:r>
      <w:r w:rsidRPr="00ED3DBB">
        <w:t>4</w:t>
      </w:r>
      <w:r>
        <w:t xml:space="preserve"> and supplementary paper 3.</w:t>
      </w:r>
    </w:p>
    <w:p w14:paraId="6E0BBCE5" w14:textId="77777777" w:rsidR="00DE1537" w:rsidRDefault="00DE1537" w:rsidP="00343F3E">
      <w:pPr>
        <w:pStyle w:val="BodyText"/>
      </w:pPr>
      <w:r>
        <w:t>However, insurers and governments do work together and are sharing information already. For example, Insurance Australia Group (sub. 24) discussed an initiative where NRMA Insurance consulted with local governments and state members of parliament in high</w:t>
      </w:r>
      <w:r>
        <w:noBreakHyphen/>
        <w:t>risk areas in New South Wales to discuss their approach to assessing and pricing risk, and identifying opportunities for collaboration on reducing risk. The Insurance Council of Australia (sub. 57) stated that the insurance industry works with state and territory governments on hazard mapping and disclosure. The Queensland Government and Insurance Council of Australia have entered into a Memorandum of Understanding under which insurers are provided with access to flood mapping and elevation data to improve insurers’ pricing of risk (Queensland Government, sub. DR184).</w:t>
      </w:r>
    </w:p>
    <w:p w14:paraId="535A8DF5" w14:textId="303D54B2" w:rsidR="00DE1537" w:rsidRDefault="00DE1537" w:rsidP="00343F3E">
      <w:pPr>
        <w:pStyle w:val="BodyText"/>
      </w:pPr>
      <w:r>
        <w:t xml:space="preserve">There are also cases of insurers working and sharing information with other parties. For example, Suncorp Group has entered into a partnership with the James Cook University Cyclone Testing Station to provide researchers with claims, policy and assessment data for buildings in cyclone prone areas from 24 000 insurance claims, to assist with research into cyclone risk. It is hoped the study will lead to more resilient buildings and lower insurance premiums </w:t>
      </w:r>
      <w:r w:rsidRPr="00137900">
        <w:rPr>
          <w:szCs w:val="24"/>
        </w:rPr>
        <w:t>(Insurance News 2014b; Suncorp Group, sub. DR176)</w:t>
      </w:r>
      <w:r>
        <w:t>.</w:t>
      </w:r>
    </w:p>
    <w:p w14:paraId="5404D814" w14:textId="77777777" w:rsidR="00DE1537" w:rsidRPr="008A2B8E" w:rsidRDefault="00DE1537" w:rsidP="00343F3E">
      <w:pPr>
        <w:pStyle w:val="BodyText"/>
      </w:pPr>
      <w:r>
        <w:lastRenderedPageBreak/>
        <w:t>M</w:t>
      </w:r>
      <w:r w:rsidRPr="008A2B8E">
        <w:t xml:space="preserve">any </w:t>
      </w:r>
      <w:r>
        <w:t>inquiry participants</w:t>
      </w:r>
      <w:r w:rsidRPr="008A2B8E">
        <w:t xml:space="preserve"> called for further improvements in cooperation. For example</w:t>
      </w:r>
      <w:r>
        <w:t>, the Floodplain Management Association (sub. 79, pp. 9–10) stated that</w:t>
      </w:r>
      <w:r w:rsidRPr="008A2B8E">
        <w:t>:</w:t>
      </w:r>
    </w:p>
    <w:p w14:paraId="58E25C91" w14:textId="77777777" w:rsidR="00DE1537" w:rsidRDefault="00DE1537" w:rsidP="00343F3E">
      <w:pPr>
        <w:pStyle w:val="Quote"/>
      </w:pPr>
      <w:r w:rsidRPr="005034FE">
        <w:t>The FMA encourages members to enter dialogue with insurers and share their flood risk information to the greatest extent possible and appropriate. Creating greater consistency between governments’ and insurers’</w:t>
      </w:r>
      <w:r w:rsidRPr="005034FE" w:rsidDel="002A1C42">
        <w:t xml:space="preserve"> </w:t>
      </w:r>
      <w:r w:rsidRPr="005034FE">
        <w:t>understanding of risk in a local community reduces confusion and debate and improves the ability of all stakeholders to work together.</w:t>
      </w:r>
    </w:p>
    <w:p w14:paraId="7F0616B1" w14:textId="77777777" w:rsidR="00DE1537" w:rsidRDefault="00DE1537" w:rsidP="00343F3E">
      <w:pPr>
        <w:pStyle w:val="BodyText"/>
      </w:pPr>
      <w:r>
        <w:t xml:space="preserve">Overall, improvements in natural hazard information are enabling insurance companies to better price risks, improving the price signal sent to policyholders. Further cooperation between parties to strengthen the knowledge base, and avoid duplication of information gathering, should be encouraged. </w:t>
      </w:r>
    </w:p>
    <w:p w14:paraId="27A17359" w14:textId="77777777" w:rsidR="00DE1537" w:rsidRPr="006064C9" w:rsidRDefault="00DE1537" w:rsidP="00343F3E">
      <w:pPr>
        <w:pStyle w:val="Heading4"/>
      </w:pPr>
      <w:r>
        <w:t>Impact of regulation on the cost of insurance</w:t>
      </w:r>
    </w:p>
    <w:p w14:paraId="77D2D826" w14:textId="77777777" w:rsidR="00DE1537" w:rsidRDefault="00DE1537" w:rsidP="00343F3E">
      <w:pPr>
        <w:pStyle w:val="BodyText"/>
      </w:pPr>
      <w:r>
        <w:t xml:space="preserve">Regulation can distort the price signal sent to policyholders by imposing costs on insurance companies, such as capital reserving, administration and compliance costs. These costs are likely to be passed on to policyholders in the form of higher premiums. </w:t>
      </w:r>
    </w:p>
    <w:p w14:paraId="6EBB1A32" w14:textId="6757DDF2" w:rsidR="00DE1537" w:rsidRPr="00BC40E5" w:rsidRDefault="00DE1537" w:rsidP="00343F3E">
      <w:pPr>
        <w:pStyle w:val="BodyText"/>
      </w:pPr>
      <w:r>
        <w:t xml:space="preserve">Insurance companies raised concerns about the regulations imposed on them, including recent changes that have increased capital requirements, and therefore the cost of insurance (QBE, sub. 63; Suncorp Group, sub. 71). Suncorp Group (sub. 71, p. 3) called for reforms to ‘inflexible capital requirements’. It should be noted that the Australian Prudential Regulation Authority undertook a review of capital requirements, which included consultation with the industry and a regulatory impact statement was undertaken. The regulatory impact statement found that reforms would improve risk sensitivity </w:t>
      </w:r>
      <w:r w:rsidRPr="006A0C96">
        <w:t>(APRA 2012)</w:t>
      </w:r>
      <w:r w:rsidRPr="00BC40E5">
        <w:t xml:space="preserve">. </w:t>
      </w:r>
    </w:p>
    <w:p w14:paraId="1AE8DBB0" w14:textId="77777777" w:rsidR="00DE1537" w:rsidRDefault="00DE1537" w:rsidP="00343F3E">
      <w:pPr>
        <w:pStyle w:val="BodyText"/>
      </w:pPr>
      <w:r>
        <w:t>I</w:t>
      </w:r>
      <w:r w:rsidRPr="00F34E8F">
        <w:t>t is important to note that regulations are</w:t>
      </w:r>
      <w:r w:rsidRPr="00B56D6F">
        <w:t xml:space="preserve"> </w:t>
      </w:r>
      <w:r>
        <w:t xml:space="preserve">usually </w:t>
      </w:r>
      <w:r w:rsidRPr="00B56D6F">
        <w:t xml:space="preserve">introduced to correct a </w:t>
      </w:r>
      <w:r>
        <w:t xml:space="preserve">perceived </w:t>
      </w:r>
      <w:r w:rsidRPr="00B56D6F">
        <w:t>problem in the market. Even if regulations do distort the price of insurance, if they achieve their primary objective, the benefits of the regulation could still outweigh the costs.</w:t>
      </w:r>
      <w:r>
        <w:t xml:space="preserve"> That said</w:t>
      </w:r>
      <w:proofErr w:type="gramStart"/>
      <w:r>
        <w:t>,</w:t>
      </w:r>
      <w:proofErr w:type="gramEnd"/>
      <w:r>
        <w:t xml:space="preserve"> governments should be careful to avoid imposing undue and excessive regulation on the insurance industry. Any proposed changes to regulation should be subject to a thorough investigation of potential costs and benefits. Regulation of the general insurance market was investigated as part of the Financial System Inquiry.</w:t>
      </w:r>
    </w:p>
    <w:p w14:paraId="7240BB96" w14:textId="77777777" w:rsidR="00DE1537" w:rsidRDefault="00DE1537" w:rsidP="00343F3E">
      <w:pPr>
        <w:pStyle w:val="BodyText"/>
      </w:pPr>
      <w:r>
        <w:t>Building and planning regulations have also been discussed with regards to insurance. Regulations and decisions that allow development in high</w:t>
      </w:r>
      <w:r>
        <w:noBreakHyphen/>
        <w:t xml:space="preserve">risk areas potentially increase the costs of natural disasters, including insurance losses. Further, changes to these regulations could impact rebuilding costs and information asymmetry, which could lead to underinsurance. </w:t>
      </w:r>
      <w:r w:rsidRPr="00956E91">
        <w:t>These</w:t>
      </w:r>
      <w:r>
        <w:t xml:space="preserve"> issues are discussed in more detail in supplementary paper 6 and section 5.5.</w:t>
      </w:r>
    </w:p>
    <w:p w14:paraId="386962BA" w14:textId="77777777" w:rsidR="00DE1537" w:rsidRDefault="00DE1537" w:rsidP="00343F3E">
      <w:pPr>
        <w:pStyle w:val="Heading4"/>
      </w:pPr>
      <w:r>
        <w:lastRenderedPageBreak/>
        <w:t>The relationship between mitigation and insurance premiums</w:t>
      </w:r>
    </w:p>
    <w:p w14:paraId="3DFD4F5D" w14:textId="77777777" w:rsidR="00DE1537" w:rsidRPr="004E1A93" w:rsidRDefault="00DE1537" w:rsidP="00343F3E">
      <w:pPr>
        <w:pStyle w:val="BodyText"/>
      </w:pPr>
      <w:r>
        <w:t xml:space="preserve">In the absence of material market distortions influencing the price of insurance, premiums provide policyholders with incentives to undertake effective mitigation to treat the risks that they face and decrease their insurance costs. </w:t>
      </w:r>
    </w:p>
    <w:p w14:paraId="39DA7BCD" w14:textId="77777777" w:rsidR="00DE1537" w:rsidRDefault="00DE1537" w:rsidP="00343F3E">
      <w:pPr>
        <w:pStyle w:val="BodyText"/>
      </w:pPr>
      <w:r>
        <w:t>There is some evidence that large</w:t>
      </w:r>
      <w:r>
        <w:noBreakHyphen/>
        <w:t xml:space="preserve">scale mitigation measures have led to lower insurance costs. Inquiry participants provided examples of a number of flood levee projects and other types of mitigation that have, or are expected </w:t>
      </w:r>
      <w:proofErr w:type="gramStart"/>
      <w:r>
        <w:t>to,</w:t>
      </w:r>
      <w:proofErr w:type="gramEnd"/>
      <w:r>
        <w:t xml:space="preserve"> decrease the cost of insurance (box 5.5). The Insurance Council of Australia (sub. 57) also argued that mitigation at the property level can reduce insurance costs where credible data can be obtained.</w:t>
      </w:r>
    </w:p>
    <w:p w14:paraId="0DCC3939" w14:textId="77777777" w:rsidR="00DE1537" w:rsidRDefault="00DE1537" w:rsidP="00343F3E">
      <w:pPr>
        <w:pStyle w:val="BodyText"/>
      </w:pPr>
      <w:r>
        <w:t xml:space="preserve">However, inquiry participants have noted that there are cases where mitigation measures are not recognised with lower premiums. </w:t>
      </w:r>
    </w:p>
    <w:p w14:paraId="6EBBF9B3" w14:textId="77777777" w:rsidR="00DE1537" w:rsidRDefault="00DE1537" w:rsidP="00343F3E">
      <w:pPr>
        <w:pStyle w:val="Quote"/>
      </w:pPr>
      <w:r>
        <w:t>G</w:t>
      </w:r>
      <w:r w:rsidRPr="0012648C">
        <w:t>enerally, the perception of local governments is that insurers do not seem to take account of disaster mitigation measures adopted by councils in their willingness to provide insurance</w:t>
      </w:r>
      <w:r>
        <w:t>. (ALGA, sub. 52, p. 20)</w:t>
      </w:r>
    </w:p>
    <w:p w14:paraId="3C67387F" w14:textId="77777777" w:rsidR="00DE1537" w:rsidRDefault="00DE1537" w:rsidP="00343F3E">
      <w:pPr>
        <w:pStyle w:val="Quote"/>
      </w:pPr>
      <w:r w:rsidRPr="004319FA">
        <w:t>Mitigation projects, carried out by individuals, such as raising the height of houses, are not rewarded with reduced insurance premiums in many cases. In most cases companies apply rating models that rely on general parameters (such as location, building type, owner occu</w:t>
      </w:r>
      <w:r w:rsidRPr="00B56D6F">
        <w:t>pied) and bespoke rating to take account of individual mitigation actions are not incorporated. (Actuaries Institute</w:t>
      </w:r>
      <w:r>
        <w:t>, sub. 97, pp. 9–10)</w:t>
      </w:r>
    </w:p>
    <w:p w14:paraId="5EEF2C56" w14:textId="77777777" w:rsidR="00DE1537" w:rsidRPr="0012648C" w:rsidRDefault="00DE1537" w:rsidP="00343F3E">
      <w:pPr>
        <w:pStyle w:val="Quote"/>
      </w:pPr>
      <w:r w:rsidRPr="0012648C">
        <w:t>Our Council recently adopted a Floor Heights Policy for new dwellings and extensions to the liveable area of existing dwellings. The Policy was introduced to reduce the exposure to flooding risks by setting a minimum floor height relative to data from a commissioned flood study. There is no evidence available to indicate that insurers have reduced premiums for properties that comply with Council’s Floor Heights Policy. (Burdekin Shire Council</w:t>
      </w:r>
      <w:r>
        <w:t xml:space="preserve"> (Qld)</w:t>
      </w:r>
      <w:r w:rsidRPr="0012648C">
        <w:t>, sub.</w:t>
      </w:r>
      <w:r>
        <w:t> </w:t>
      </w:r>
      <w:r w:rsidRPr="0012648C">
        <w:t>DR165, p.</w:t>
      </w:r>
      <w:r>
        <w:t> </w:t>
      </w:r>
      <w:r w:rsidRPr="0012648C">
        <w:t>4)</w:t>
      </w:r>
    </w:p>
    <w:p w14:paraId="1884D508" w14:textId="77777777" w:rsidR="00DE1537" w:rsidRPr="0012648C" w:rsidRDefault="00DE1537" w:rsidP="00343F3E">
      <w:pPr>
        <w:pStyle w:val="BodyText"/>
      </w:pPr>
      <w:r w:rsidRPr="0012648C">
        <w:t>There appears to be a number of barriers to both insurers recognising large</w:t>
      </w:r>
      <w:r w:rsidRPr="0012648C">
        <w:noBreakHyphen/>
        <w:t>scale and small</w:t>
      </w:r>
      <w:r w:rsidRPr="0012648C">
        <w:noBreakHyphen/>
        <w:t>scale mitigation measures and charging lower premiums, and policyholders understanding the price signal well enough to undertake effective mitigation. Insurers might not reduce premiums where they have insufficient information about the mitigation measure itself, or the level of risk before and/or after the mitigation work has been completed.</w:t>
      </w:r>
    </w:p>
    <w:p w14:paraId="3AED5C10" w14:textId="77777777" w:rsidR="00DE1537" w:rsidRDefault="00DE1537" w:rsidP="00343F3E">
      <w:pPr>
        <w:pStyle w:val="Quote"/>
      </w:pPr>
      <w:r w:rsidRPr="0012648C">
        <w:t xml:space="preserve">… to accurately quantify the community benefits and measure the corresponding reduction in risk, insurers need an accurate understanding of the exposure and risk at both the commencement and conclusion of a mitigation initiative. Where insurers do not have an accurate picture of exposure prior to mitigation there may be circumstances where an expected premium reduction does not occur because, for example, the insurer was using out of date information showing a lower risk for an individual property. Equally, there are occasions where mitigation has been implemented but insurers have not been able to access data about the reduced risk and therefore cannot reflect it in their premiums (or did not know about it at all). </w:t>
      </w:r>
      <w:proofErr w:type="gramStart"/>
      <w:r w:rsidRPr="0012648C">
        <w:t>(IAG, sub.</w:t>
      </w:r>
      <w:proofErr w:type="gramEnd"/>
      <w:r>
        <w:t> </w:t>
      </w:r>
      <w:r w:rsidRPr="0012648C">
        <w:t>DR158, p.</w:t>
      </w:r>
      <w:r>
        <w:t> </w:t>
      </w:r>
      <w:r w:rsidRPr="0012648C">
        <w:t>7)</w:t>
      </w:r>
    </w:p>
    <w:p w14:paraId="3EF1A894"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DE1537" w14:paraId="58A0A87A" w14:textId="77777777" w:rsidTr="00343F3E">
        <w:tc>
          <w:tcPr>
            <w:tcW w:w="8767" w:type="dxa"/>
            <w:tcBorders>
              <w:top w:val="single" w:sz="6" w:space="0" w:color="78A22F"/>
              <w:left w:val="nil"/>
              <w:bottom w:val="nil"/>
              <w:right w:val="nil"/>
            </w:tcBorders>
            <w:shd w:val="clear" w:color="auto" w:fill="F2F2F2" w:themeFill="background1" w:themeFillShade="F2"/>
          </w:tcPr>
          <w:p w14:paraId="57DD1CA4" w14:textId="512E6963" w:rsidR="00DE1537" w:rsidRDefault="00DE1537">
            <w:pPr>
              <w:pStyle w:val="BoxTitle"/>
            </w:pPr>
            <w:r>
              <w:rPr>
                <w:b w:val="0"/>
              </w:rPr>
              <w:t>Box 5.</w:t>
            </w:r>
            <w:r>
              <w:rPr>
                <w:b w:val="0"/>
                <w:noProof/>
              </w:rPr>
              <w:t>5</w:t>
            </w:r>
            <w:r>
              <w:tab/>
              <w:t>Effect of mitigation on insurance premiums</w:t>
            </w:r>
          </w:p>
        </w:tc>
      </w:tr>
      <w:tr w:rsidR="00DE1537" w14:paraId="36E34D9B" w14:textId="77777777" w:rsidTr="00343F3E">
        <w:trPr>
          <w:cantSplit/>
        </w:trPr>
        <w:tc>
          <w:tcPr>
            <w:tcW w:w="8767" w:type="dxa"/>
            <w:tcBorders>
              <w:top w:val="nil"/>
              <w:left w:val="nil"/>
              <w:bottom w:val="nil"/>
              <w:right w:val="nil"/>
            </w:tcBorders>
            <w:shd w:val="clear" w:color="auto" w:fill="F2F2F2" w:themeFill="background1" w:themeFillShade="F2"/>
          </w:tcPr>
          <w:p w14:paraId="266C358D" w14:textId="77777777" w:rsidR="00DE1537" w:rsidRDefault="00DE1537" w:rsidP="00343F3E">
            <w:pPr>
              <w:pStyle w:val="BoxHeading1"/>
            </w:pPr>
            <w:r>
              <w:t>Roma, Queensland</w:t>
            </w:r>
          </w:p>
          <w:p w14:paraId="204F24E9" w14:textId="54798572" w:rsidR="00DE1537" w:rsidRDefault="00DE1537" w:rsidP="00343F3E">
            <w:pPr>
              <w:pStyle w:val="Box"/>
            </w:pPr>
            <w:r w:rsidRPr="007B2F75">
              <w:t>A $</w:t>
            </w:r>
            <w:r>
              <w:t>16 million</w:t>
            </w:r>
            <w:r w:rsidRPr="007B2F75">
              <w:t xml:space="preserve"> </w:t>
            </w:r>
            <w:r>
              <w:t xml:space="preserve">flood </w:t>
            </w:r>
            <w:r w:rsidRPr="007B2F75">
              <w:t xml:space="preserve">levee </w:t>
            </w:r>
            <w:r>
              <w:t>in Roma is expected to protect about 500 houses (IAG, sub. DR158). Suncorp Group has stated that the levee will result in an average premium reduction of about 30 per cent for a $300 000 house, and for high</w:t>
            </w:r>
            <w:r>
              <w:noBreakHyphen/>
              <w:t xml:space="preserve">risk customers, about 80 per cent </w:t>
            </w:r>
            <w:r w:rsidRPr="006A0C96">
              <w:rPr>
                <w:rFonts w:cs="Arial"/>
                <w:szCs w:val="24"/>
              </w:rPr>
              <w:t>(ABC News 2014; Suncorp Group, sub. 71)</w:t>
            </w:r>
            <w:r>
              <w:t xml:space="preserve">. </w:t>
            </w:r>
          </w:p>
          <w:p w14:paraId="1747CB73" w14:textId="77777777" w:rsidR="00DE1537" w:rsidRDefault="00DE1537" w:rsidP="00343F3E">
            <w:pPr>
              <w:pStyle w:val="BoxHeading1"/>
            </w:pPr>
            <w:r>
              <w:t>Charleville, Queensland</w:t>
            </w:r>
          </w:p>
          <w:p w14:paraId="3854B539" w14:textId="77777777" w:rsidR="00DE1537" w:rsidRPr="00993AE7" w:rsidRDefault="00DE1537" w:rsidP="00343F3E">
            <w:pPr>
              <w:pStyle w:val="Box"/>
            </w:pPr>
            <w:r>
              <w:t xml:space="preserve">A $16 million flood levee was recently built in Charleville. Risk Frontiers (sub. 19) stated that, in response, Suncorp Group reduced average annual building and contents premiums by $400. </w:t>
            </w:r>
          </w:p>
          <w:p w14:paraId="24B91943" w14:textId="77777777" w:rsidR="00DE1537" w:rsidRDefault="00DE1537" w:rsidP="00343F3E">
            <w:pPr>
              <w:pStyle w:val="BoxHeading1"/>
            </w:pPr>
            <w:r>
              <w:t>St George, Queensland</w:t>
            </w:r>
          </w:p>
          <w:p w14:paraId="6C0AD2BD" w14:textId="77777777" w:rsidR="00DE1537" w:rsidRDefault="00DE1537" w:rsidP="00343F3E">
            <w:pPr>
              <w:pStyle w:val="Box"/>
            </w:pPr>
            <w:r>
              <w:t xml:space="preserve">St George’s recent mitigation works include a $6 million flood levee, house raising and land swaps. Suncorp Group (sub. 71) stated that the average premium on an existing policy has since decreased by about 15 per cent, and decreased by $270 for a new building policy. </w:t>
            </w:r>
            <w:r w:rsidRPr="006B5B37">
              <w:t>Insurance Australia Group (sub.</w:t>
            </w:r>
            <w:r>
              <w:t> </w:t>
            </w:r>
            <w:r w:rsidRPr="006B5B37">
              <w:t xml:space="preserve">DR158) stated that </w:t>
            </w:r>
            <w:r>
              <w:t>900</w:t>
            </w:r>
            <w:r w:rsidRPr="006B5B37">
              <w:t xml:space="preserve"> properties will see the flood component of their insurance premium reduce to an average of $247.</w:t>
            </w:r>
          </w:p>
          <w:p w14:paraId="76438DB9" w14:textId="77777777" w:rsidR="00DE1537" w:rsidRDefault="00DE1537" w:rsidP="00343F3E">
            <w:pPr>
              <w:pStyle w:val="BoxHeading1"/>
            </w:pPr>
            <w:r>
              <w:t>Rockhampton, Queensland</w:t>
            </w:r>
          </w:p>
          <w:p w14:paraId="18A0F629" w14:textId="77777777" w:rsidR="00DE1537" w:rsidRPr="00C14AB7" w:rsidRDefault="00DE1537" w:rsidP="00343F3E">
            <w:pPr>
              <w:pStyle w:val="Box"/>
            </w:pPr>
            <w:r>
              <w:t>The proposed South Rockhampton flood levee project was expected to protect about 1000 houses (Suncorp Group, sub. 71). Suncorp Group (sub. 71) has stated that the average premium could decrease by about 32 per cent, or $400. Analysis by Insurance Australia Group (sub. 24) suggested that the premium for 800 houses could decrease by</w:t>
            </w:r>
            <w:r w:rsidRPr="00D01E57">
              <w:t xml:space="preserve"> over $3000. </w:t>
            </w:r>
            <w:r>
              <w:t>The levee was to be</w:t>
            </w:r>
            <w:r w:rsidRPr="00D01E57">
              <w:t xml:space="preserve"> funded by the Australian </w:t>
            </w:r>
            <w:r>
              <w:t>and Queensland G</w:t>
            </w:r>
            <w:r w:rsidRPr="00D01E57">
              <w:t xml:space="preserve">overnments </w:t>
            </w:r>
            <w:r>
              <w:t>in partnership with</w:t>
            </w:r>
            <w:r w:rsidRPr="00D01E57">
              <w:t xml:space="preserve"> the Rockhampton Region</w:t>
            </w:r>
            <w:r w:rsidRPr="00242635">
              <w:t>al Council</w:t>
            </w:r>
            <w:r w:rsidRPr="005F2AFE">
              <w:t xml:space="preserve">. </w:t>
            </w:r>
            <w:r>
              <w:t xml:space="preserve">The Council had proposed to source part of their funding from a levy on businesses and residents who would have benefited from the levee. </w:t>
            </w:r>
            <w:r w:rsidRPr="005F2AFE">
              <w:t>A</w:t>
            </w:r>
            <w:r>
              <w:t>s</w:t>
            </w:r>
            <w:r w:rsidRPr="005F2AFE">
              <w:t xml:space="preserve"> </w:t>
            </w:r>
            <w:r>
              <w:t>at October 2014</w:t>
            </w:r>
            <w:r w:rsidRPr="005F2AFE">
              <w:t xml:space="preserve">, the </w:t>
            </w:r>
            <w:r>
              <w:t xml:space="preserve">South </w:t>
            </w:r>
            <w:r w:rsidRPr="005F2AFE">
              <w:t>Rockhampton levee has not received funding</w:t>
            </w:r>
            <w:r>
              <w:t xml:space="preserve"> from the Australian or Queensland Governments and is not going ahead (Rockhampton Regional Council (Qld), trans., Brisbane, pp. 27–30)</w:t>
            </w:r>
            <w:r w:rsidRPr="00D01E57">
              <w:t>.</w:t>
            </w:r>
          </w:p>
          <w:p w14:paraId="7210316C" w14:textId="77777777" w:rsidR="00DE1537" w:rsidRDefault="00DE1537" w:rsidP="00343F3E">
            <w:pPr>
              <w:pStyle w:val="BoxHeading1"/>
            </w:pPr>
            <w:r>
              <w:t>Seymour, Victoria</w:t>
            </w:r>
          </w:p>
          <w:p w14:paraId="7244F4B7" w14:textId="77777777" w:rsidR="00DE1537" w:rsidRDefault="00DE1537" w:rsidP="00343F3E">
            <w:pPr>
              <w:pStyle w:val="Box"/>
            </w:pPr>
            <w:r>
              <w:t>The Seymour Flood Mitigation Project includes a flood levee, which is expected to protect public infrastructure and 400 private properties. Mitchell Shire Council (Vic) (sub. 5, attachment 1) stated that the levee is expected to reduce flood insurance claims and insurance premiums.</w:t>
            </w:r>
          </w:p>
          <w:p w14:paraId="5A6D13AE" w14:textId="77777777" w:rsidR="00DE1537" w:rsidRDefault="00DE1537" w:rsidP="00343F3E">
            <w:pPr>
              <w:pStyle w:val="BoxHeading1"/>
            </w:pPr>
            <w:r>
              <w:t>CGU strata building inspections</w:t>
            </w:r>
          </w:p>
          <w:p w14:paraId="2598D626" w14:textId="77777777" w:rsidR="00DE1537" w:rsidRDefault="00DE1537" w:rsidP="00343F3E">
            <w:pPr>
              <w:pStyle w:val="Box"/>
            </w:pPr>
            <w:r>
              <w:t xml:space="preserve">CGU/SUU </w:t>
            </w:r>
            <w:proofErr w:type="gramStart"/>
            <w:r>
              <w:t>are</w:t>
            </w:r>
            <w:proofErr w:type="gramEnd"/>
            <w:r>
              <w:t xml:space="preserve"> undertaking a strata building resilience project in north Queensland. This project involves assessments being provided to strata property owners and if repairs are made, properties can be re</w:t>
            </w:r>
            <w:r>
              <w:noBreakHyphen/>
              <w:t>rated, potentially reducing premiums (IAG, sub. 24).</w:t>
            </w:r>
          </w:p>
          <w:p w14:paraId="735C44C5" w14:textId="77777777" w:rsidR="00DE1537" w:rsidRPr="006A0C96" w:rsidRDefault="00DE1537" w:rsidP="00343F3E">
            <w:pPr>
              <w:pStyle w:val="BoxHeading1"/>
            </w:pPr>
            <w:r>
              <w:t>Cyclone building codes</w:t>
            </w:r>
          </w:p>
          <w:p w14:paraId="35C73905" w14:textId="77777777" w:rsidR="00DE1537" w:rsidRPr="00B36D62" w:rsidRDefault="00DE1537" w:rsidP="00343F3E">
            <w:pPr>
              <w:pStyle w:val="Box"/>
              <w:rPr>
                <w:szCs w:val="24"/>
              </w:rPr>
            </w:pPr>
            <w:r>
              <w:t>Evidence exists that cyclone building codes have reduced insurance premiums. Analysis of damage to buildings from Cyclone Yasi indicated that buildings constructed to requirements introduced in the 1980s sustained much less damage compared with older buildings. Insurance Australia Group’s (sub. 24) cyclone premiums have been discounted for post</w:t>
            </w:r>
            <w:r>
              <w:noBreakHyphen/>
              <w:t>1980 buildings.</w:t>
            </w:r>
          </w:p>
        </w:tc>
      </w:tr>
      <w:tr w:rsidR="00DE1537" w14:paraId="2EDD8C50" w14:textId="77777777" w:rsidTr="00343F3E">
        <w:trPr>
          <w:cantSplit/>
        </w:trPr>
        <w:tc>
          <w:tcPr>
            <w:tcW w:w="8767" w:type="dxa"/>
            <w:tcBorders>
              <w:top w:val="nil"/>
              <w:left w:val="nil"/>
              <w:bottom w:val="single" w:sz="6" w:space="0" w:color="78A22F"/>
              <w:right w:val="nil"/>
            </w:tcBorders>
            <w:shd w:val="clear" w:color="auto" w:fill="F2F2F2" w:themeFill="background1" w:themeFillShade="F2"/>
          </w:tcPr>
          <w:p w14:paraId="49251683" w14:textId="77777777" w:rsidR="00DE1537" w:rsidRDefault="00DE1537">
            <w:pPr>
              <w:pStyle w:val="Box"/>
              <w:spacing w:before="0" w:line="120" w:lineRule="exact"/>
            </w:pPr>
          </w:p>
        </w:tc>
      </w:tr>
      <w:tr w:rsidR="00DE1537" w:rsidRPr="000863A5" w14:paraId="70C156AF" w14:textId="77777777" w:rsidTr="00343F3E">
        <w:tc>
          <w:tcPr>
            <w:tcW w:w="8767" w:type="dxa"/>
            <w:tcBorders>
              <w:top w:val="single" w:sz="6" w:space="0" w:color="78A22F"/>
              <w:left w:val="nil"/>
              <w:bottom w:val="nil"/>
              <w:right w:val="nil"/>
            </w:tcBorders>
          </w:tcPr>
          <w:p w14:paraId="045CA20C" w14:textId="77777777" w:rsidR="00DE1537" w:rsidRPr="00626D32" w:rsidRDefault="00DE1537" w:rsidP="00343F3E">
            <w:pPr>
              <w:pStyle w:val="BoxSpaceBelow"/>
            </w:pPr>
          </w:p>
        </w:tc>
      </w:tr>
    </w:tbl>
    <w:p w14:paraId="44277DD9" w14:textId="77777777" w:rsidR="00DE1537" w:rsidRDefault="00DE1537" w:rsidP="00343F3E">
      <w:pPr>
        <w:pStyle w:val="BodyText"/>
      </w:pPr>
      <w:r>
        <w:lastRenderedPageBreak/>
        <w:t>It is likely that information barriers are greater for small</w:t>
      </w:r>
      <w:r>
        <w:noBreakHyphen/>
        <w:t>scale mitigation measures than large</w:t>
      </w:r>
      <w:r>
        <w:noBreakHyphen/>
        <w:t>scale mitigation measures. There is often limited information about individual properties’ exposure to natural hazards or the vulnerability of the properties themselves. Suncorp Group (sub. DR176, p. 21) noted:</w:t>
      </w:r>
    </w:p>
    <w:p w14:paraId="3A13B47D" w14:textId="77777777" w:rsidR="00DE1537" w:rsidRDefault="00DE1537" w:rsidP="00343F3E">
      <w:pPr>
        <w:pStyle w:val="Quote"/>
      </w:pPr>
      <w:r w:rsidRPr="0012648C">
        <w:t>Currently, the key barrier to recognising property</w:t>
      </w:r>
      <w:r>
        <w:noBreakHyphen/>
      </w:r>
      <w:r w:rsidRPr="0012648C">
        <w:t>level mitigation for Suncorp is the ac</w:t>
      </w:r>
      <w:r>
        <w:t xml:space="preserve">quisition of trustworthy data. … </w:t>
      </w:r>
      <w:r w:rsidRPr="0012648C">
        <w:t>Our ability to acquire detailed data is limited by both the customers’ willingness to dedicate time to providing this data, and their actual ability to communicate key attributes of their homes in technical terms. Insurers also face commercial constraints to minimise operating costs and so cannot, for example, invest in a local presence to collect property</w:t>
      </w:r>
      <w:r>
        <w:noBreakHyphen/>
      </w:r>
      <w:r w:rsidRPr="0012648C">
        <w:t xml:space="preserve">level data or engage in lengthy and detailed interviews with consumers about their homes. </w:t>
      </w:r>
    </w:p>
    <w:p w14:paraId="21000444" w14:textId="77777777" w:rsidR="00DE1537" w:rsidRDefault="00DE1537" w:rsidP="00343F3E">
      <w:pPr>
        <w:pStyle w:val="BodyText"/>
      </w:pPr>
      <w:r>
        <w:t>Suncorp Group (trans., Melbourne, p. 127) also asserted that cost is a barrier to collecting the necessary information and changing the price in response to small</w:t>
      </w:r>
      <w:r>
        <w:noBreakHyphen/>
        <w:t>scale mitigation measures.</w:t>
      </w:r>
    </w:p>
    <w:p w14:paraId="18B06AEA" w14:textId="77777777" w:rsidR="00DE1537" w:rsidRDefault="00DE1537" w:rsidP="00343F3E">
      <w:pPr>
        <w:pStyle w:val="BodyText"/>
      </w:pPr>
      <w:proofErr w:type="gramStart"/>
      <w:r w:rsidRPr="0012648C">
        <w:t xml:space="preserve">The </w:t>
      </w:r>
      <w:r>
        <w:t>CSIRO</w:t>
      </w:r>
      <w:r w:rsidRPr="0012648C">
        <w:t xml:space="preserve"> (sub.</w:t>
      </w:r>
      <w:proofErr w:type="gramEnd"/>
      <w:r>
        <w:t> </w:t>
      </w:r>
      <w:r w:rsidRPr="0012648C">
        <w:t>DR151, p.</w:t>
      </w:r>
      <w:r>
        <w:t> </w:t>
      </w:r>
      <w:r w:rsidRPr="0012648C">
        <w:t>3) pointed out that while price signals might be giving a good indication of risk, consumers might not understand the premium well enough to know what actions they can undertake to reduce their risk.</w:t>
      </w:r>
    </w:p>
    <w:p w14:paraId="43024E0D" w14:textId="77777777" w:rsidR="00DE1537" w:rsidRPr="00792E89" w:rsidRDefault="00DE1537" w:rsidP="00343F3E">
      <w:pPr>
        <w:pStyle w:val="Quote"/>
      </w:pPr>
      <w:r w:rsidRPr="0012648C">
        <w:t>While insurance markets may be pricing risk with increasing granularity, it is not clear that this price signal is getting through to consumers in ways which enable them to change behaviour – for example, many insurers indicate that the addition of extra locks will reduce premiums, but equivalent indications of how insured parties should change their behaviour (or modify their assets) to reduce their disaster</w:t>
      </w:r>
      <w:r>
        <w:noBreakHyphen/>
      </w:r>
      <w:r w:rsidRPr="0012648C">
        <w:t xml:space="preserve">related premiums do not seem to be provided. </w:t>
      </w:r>
    </w:p>
    <w:p w14:paraId="4A7927A8" w14:textId="071228E5" w:rsidR="00DE1537" w:rsidRDefault="00DE1537" w:rsidP="00343F3E">
      <w:pPr>
        <w:pStyle w:val="BodyText"/>
      </w:pPr>
      <w:r>
        <w:t>In addition, small</w:t>
      </w:r>
      <w:r>
        <w:noBreakHyphen/>
        <w:t xml:space="preserve">scale mitigation measures, while potentially significantly reducing an individual property’s natural disaster risk, are unlikely to have a significant effect on the risk of reinsurers. Therefore, reinsurers might not reduce the cost charged to insurance companies, and insurance companies have less incentive to reduce the premium charged to households </w:t>
      </w:r>
      <w:r w:rsidR="000613E9">
        <w:rPr>
          <w:szCs w:val="24"/>
        </w:rPr>
        <w:t>(IAG, trans., Sydney, pp. 18–</w:t>
      </w:r>
      <w:r w:rsidRPr="0011376F">
        <w:rPr>
          <w:szCs w:val="24"/>
        </w:rPr>
        <w:t>19; Walker et al. 2014)</w:t>
      </w:r>
      <w:r>
        <w:t xml:space="preserve">. Walker et al. </w:t>
      </w:r>
      <w:r w:rsidRPr="00A066BD">
        <w:t>(2014)</w:t>
      </w:r>
      <w:r>
        <w:t xml:space="preserve"> noted that reinsurers are unlikely to reduce their costs unless a large number of households undertake small</w:t>
      </w:r>
      <w:r>
        <w:noBreakHyphen/>
        <w:t>scale mitigation measures. However, insurers still benefit from the reduced risk, and competition could result in the insurer reducing premiums to reflect this</w:t>
      </w:r>
      <w:r w:rsidRPr="00C800C6">
        <w:t>.</w:t>
      </w:r>
      <w:r>
        <w:t xml:space="preserve"> Insurance Australia Group (trans., Sydney, pp. 18–19) asserted that improvements in the reinsurance market mean that reinsurers are now more likely to incorporate this type of information in their models.</w:t>
      </w:r>
    </w:p>
    <w:p w14:paraId="24F33731" w14:textId="57BDD0EB" w:rsidR="00DE1537" w:rsidRDefault="00DE1537" w:rsidP="00343F3E">
      <w:pPr>
        <w:pStyle w:val="BodyText"/>
      </w:pPr>
      <w:r>
        <w:t xml:space="preserve">Some participants have noted that policyholders do not have access to independent dispute resolution mechanisms, such as the Financial Ombudsman Service, where an insurer has declined to reduce the premium in response to mitigation work undertaken by the policyholder. </w:t>
      </w:r>
      <w:proofErr w:type="gramStart"/>
      <w:r>
        <w:t>The Financial Rights Legal Centre (sub.</w:t>
      </w:r>
      <w:proofErr w:type="gramEnd"/>
      <w:r>
        <w:t> DR130, trans., Sydney, pp. 55–56) has called for an independent review mechanism for consumers to dispute post</w:t>
      </w:r>
      <w:r>
        <w:noBreakHyphen/>
        <w:t>mitigation insurance premiums. Consumers do have access to the Financial Ombudsman Service where they have a dispute with their insurer related to non</w:t>
      </w:r>
      <w:r>
        <w:noBreakHyphen/>
        <w:t xml:space="preserve">disclosure, misrepresentation or incorrect application of the premium, or if the insurer has breached any legal obligation or </w:t>
      </w:r>
      <w:r>
        <w:lastRenderedPageBreak/>
        <w:t xml:space="preserve">duty they have. The Ombudsman cannot assist with a general dispute about the level of a fee or premium </w:t>
      </w:r>
      <w:r w:rsidRPr="001F7CA7">
        <w:rPr>
          <w:szCs w:val="24"/>
        </w:rPr>
        <w:t>(FOS 2014)</w:t>
      </w:r>
      <w:r>
        <w:t>. Ultimately, consumers rely on insurance market competition and ‘shopping around’ to get the best price.</w:t>
      </w:r>
    </w:p>
    <w:p w14:paraId="21992081" w14:textId="77777777" w:rsidR="00DE1537" w:rsidRDefault="00DE1537" w:rsidP="00343F3E">
      <w:pPr>
        <w:pStyle w:val="BodyText"/>
      </w:pPr>
      <w:r>
        <w:t xml:space="preserve">There is some anecdotal evidence that price signals provided by insurance companies have led to mitigation activities being undertaken. For example, after repeated flooding in Roma, Queensland in 2012, Suncorp Group decided to refuse cover to new customers and increase existing customers’ premiums. Since then, construction of a flood levee has begun and Suncorp Group is now accepting new customers (Suncorp Group, sub. 71). </w:t>
      </w:r>
    </w:p>
    <w:p w14:paraId="0A80B634" w14:textId="77777777" w:rsidR="00DE1537" w:rsidRDefault="00DE1537" w:rsidP="00343F3E">
      <w:pPr>
        <w:pStyle w:val="BodyText"/>
      </w:pPr>
      <w:proofErr w:type="gramStart"/>
      <w:r>
        <w:t>If large</w:t>
      </w:r>
      <w:r>
        <w:noBreakHyphen/>
        <w:t>scale mitigation projects do reduce the natural disaster risk and the cost of insurance, there could be mutual benefits in insurers and governments working together to identify such mitigation projects and private funding opportunities (including through lower insurance premiums) (supplementary paper 4).</w:t>
      </w:r>
      <w:proofErr w:type="gramEnd"/>
      <w:r>
        <w:t xml:space="preserve"> There are cases of governments and insurers working together, in Australia and internationally (box 5.6). </w:t>
      </w:r>
    </w:p>
    <w:p w14:paraId="06DAAB5B" w14:textId="77777777" w:rsidR="00DE1537" w:rsidRDefault="00DE1537" w:rsidP="00343F3E">
      <w:pPr>
        <w:pStyle w:val="BodyText"/>
      </w:pPr>
      <w:r>
        <w:t xml:space="preserve">Continuing to improve information, and addressing any significant market distortions, could lead to better price signals. This would increase the incentive to undertake mitigation activities, and make it more likely that mitigation is reflected in lower insurance costs. Supplementary paper 4 contains a more detailed discussion on the role of mitigation in natural disaster risk management. </w:t>
      </w:r>
    </w:p>
    <w:p w14:paraId="0DEC79F5" w14:textId="77777777" w:rsidR="00DE1537" w:rsidRDefault="00DE1537" w:rsidP="00343F3E">
      <w:pPr>
        <w:pStyle w:val="Heading3"/>
      </w:pPr>
      <w:r w:rsidRPr="004172BF">
        <w:t>Informa</w:t>
      </w:r>
      <w:r>
        <w:t>tion for consumers</w:t>
      </w:r>
    </w:p>
    <w:p w14:paraId="440F72D0" w14:textId="77777777" w:rsidR="00DE1537" w:rsidRDefault="00DE1537" w:rsidP="00343F3E">
      <w:pPr>
        <w:pStyle w:val="BodyText"/>
      </w:pPr>
      <w:r>
        <w:t>Consumers may not make efficient choices with respect to insurance in the absence of relevant and understandable information. Information asymmetries could arise where:</w:t>
      </w:r>
    </w:p>
    <w:p w14:paraId="1FB461FE" w14:textId="77777777" w:rsidR="00DE1537" w:rsidRDefault="00DE1537" w:rsidP="00343F3E">
      <w:pPr>
        <w:pStyle w:val="ListBullet"/>
      </w:pPr>
      <w:r>
        <w:t>consumers cannot access the information they need, such as in the case of insurers not providing information, or governments not making information publically available</w:t>
      </w:r>
    </w:p>
    <w:p w14:paraId="66200B3D" w14:textId="5643CC86" w:rsidR="00DE1537" w:rsidRDefault="00DE1537" w:rsidP="00343F3E">
      <w:pPr>
        <w:pStyle w:val="ListBullet"/>
      </w:pPr>
      <w:proofErr w:type="gramStart"/>
      <w:r>
        <w:t>consumers</w:t>
      </w:r>
      <w:proofErr w:type="gramEnd"/>
      <w:r>
        <w:t xml:space="preserve"> have access to information but it is not in a usable format (for example, it is too complex) or they have cognitive biases (such as myopia) that can lead to poor financial decisions </w:t>
      </w:r>
      <w:r w:rsidRPr="00966DBE">
        <w:rPr>
          <w:szCs w:val="24"/>
        </w:rPr>
        <w:t>(Murray et al.</w:t>
      </w:r>
      <w:r w:rsidRPr="00DB7D4A">
        <w:rPr>
          <w:szCs w:val="24"/>
        </w:rPr>
        <w:t> </w:t>
      </w:r>
      <w:r w:rsidRPr="00966DBE">
        <w:rPr>
          <w:szCs w:val="24"/>
        </w:rPr>
        <w:t>2014b; supplementary paper 3)</w:t>
      </w:r>
      <w:r>
        <w:t>.</w:t>
      </w:r>
    </w:p>
    <w:p w14:paraId="765C0550" w14:textId="77777777" w:rsidR="00DE1537" w:rsidRDefault="00DE1537" w:rsidP="00343F3E">
      <w:pPr>
        <w:pStyle w:val="BodyText"/>
      </w:pPr>
      <w:r>
        <w:t>A lack of understanding about risk and insurance coverage can lead to non</w:t>
      </w:r>
      <w:r>
        <w:noBreakHyphen/>
        <w:t xml:space="preserve">insurance and underinsurance, or even </w:t>
      </w:r>
      <w:proofErr w:type="gramStart"/>
      <w:r>
        <w:t>overinsurance,</w:t>
      </w:r>
      <w:proofErr w:type="gramEnd"/>
      <w:r>
        <w:t xml:space="preserve"> if it results in consumers under or overestimating the level of insurance they require (section 5.5). Inquiry participants noted a number of issues around consumers’ understanding of their insurance products and the risks they face. </w:t>
      </w:r>
    </w:p>
    <w:p w14:paraId="4344CC51" w14:textId="77777777" w:rsidR="00DE1537" w:rsidRPr="006A0C96" w:rsidRDefault="00DE1537" w:rsidP="00343F3E">
      <w:pPr>
        <w:pStyle w:val="Quote"/>
      </w:pPr>
      <w:r w:rsidRPr="001908CE">
        <w:t>In our experience, many customers underestimate or are sceptical about the risks they are exposed to.</w:t>
      </w:r>
      <w:r w:rsidRPr="00CE7465">
        <w:t xml:space="preserve"> In NSW, 40% of NRMA Insurance customers elect to remove flood cover from their home insurance policies, despite living in a location at risk of flooding, sometimes for a savi</w:t>
      </w:r>
      <w:r w:rsidRPr="008A00FC">
        <w:t>ng of as little as $50 a year. (</w:t>
      </w:r>
      <w:r w:rsidRPr="005E4E12">
        <w:t>IAG</w:t>
      </w:r>
      <w:r w:rsidRPr="00AE7896">
        <w:t xml:space="preserve">, </w:t>
      </w:r>
      <w:r w:rsidRPr="009E3482">
        <w:t>sub. 24</w:t>
      </w:r>
      <w:r w:rsidRPr="006A0C96">
        <w:t>, p. 14)</w:t>
      </w:r>
    </w:p>
    <w:p w14:paraId="415F1BD0" w14:textId="77777777" w:rsidR="00DE1537" w:rsidRDefault="00DE1537" w:rsidP="00343F3E">
      <w:pPr>
        <w:pStyle w:val="Quote"/>
      </w:pPr>
      <w:r w:rsidRPr="00234E51">
        <w:t>Unfortunately, there is a significant information asymmetry when it comes to insurance. Many of the homeowners affected by the Blue Mountains bushfires have discovered that they are under insured, predominantly due to the lack of information on appropriate insurance coverage in bushfire areas.</w:t>
      </w:r>
      <w:r>
        <w:t xml:space="preserve"> (Senator Doug Cameron, sub. 69, p. 3)</w:t>
      </w:r>
    </w:p>
    <w:p w14:paraId="78BAD2FA"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BF480E5" w14:textId="77777777" w:rsidTr="00343F3E">
        <w:tc>
          <w:tcPr>
            <w:tcW w:w="8771" w:type="dxa"/>
            <w:tcBorders>
              <w:top w:val="single" w:sz="6" w:space="0" w:color="78A22F"/>
              <w:left w:val="nil"/>
              <w:bottom w:val="nil"/>
              <w:right w:val="nil"/>
            </w:tcBorders>
            <w:shd w:val="clear" w:color="auto" w:fill="F2F2F2" w:themeFill="background1" w:themeFillShade="F2"/>
          </w:tcPr>
          <w:p w14:paraId="323CA78C" w14:textId="1BB9B504" w:rsidR="00DE1537" w:rsidRDefault="00DE1537" w:rsidP="00343F3E">
            <w:pPr>
              <w:pStyle w:val="BoxTitle"/>
            </w:pPr>
            <w:r>
              <w:rPr>
                <w:b w:val="0"/>
              </w:rPr>
              <w:t>Box 5.</w:t>
            </w:r>
            <w:r>
              <w:rPr>
                <w:b w:val="0"/>
                <w:noProof/>
              </w:rPr>
              <w:t>6</w:t>
            </w:r>
            <w:r>
              <w:tab/>
              <w:t>Examples of partnerships between the insurance industry and governments that encourage mitigation</w:t>
            </w:r>
          </w:p>
        </w:tc>
      </w:tr>
      <w:tr w:rsidR="00DE1537" w14:paraId="22A47600" w14:textId="77777777" w:rsidTr="00343F3E">
        <w:trPr>
          <w:cantSplit/>
        </w:trPr>
        <w:tc>
          <w:tcPr>
            <w:tcW w:w="8771" w:type="dxa"/>
            <w:tcBorders>
              <w:top w:val="nil"/>
              <w:left w:val="nil"/>
              <w:bottom w:val="nil"/>
              <w:right w:val="nil"/>
            </w:tcBorders>
            <w:shd w:val="clear" w:color="auto" w:fill="F2F2F2" w:themeFill="background1" w:themeFillShade="F2"/>
          </w:tcPr>
          <w:p w14:paraId="4E01C5A1" w14:textId="77777777" w:rsidR="00DE1537" w:rsidRDefault="00DE1537" w:rsidP="00343F3E">
            <w:pPr>
              <w:pStyle w:val="BoxHeading1"/>
            </w:pPr>
            <w:r w:rsidRPr="00657832">
              <w:t xml:space="preserve">Property </w:t>
            </w:r>
            <w:r>
              <w:t>Resilience and Exposure Program</w:t>
            </w:r>
          </w:p>
          <w:p w14:paraId="350795AB" w14:textId="77777777" w:rsidR="00DE1537" w:rsidRDefault="00DE1537" w:rsidP="00343F3E">
            <w:pPr>
              <w:pStyle w:val="Box"/>
            </w:pPr>
            <w:r>
              <w:t>The Property Resilience and Exposure Program is an initiative of the Insurance Council of Australia. It encourages local governments and the insurance industry to work together on the issue of insurance affordability, where the drivers might be poor quality hazard data, or a lack of information on development controls and existing buildings. The program provides local governments and the insurance industry with information on the resilience of housing stock by combining information held by the different parties on hazard mapping and building survey data. In addition, participating local governments are provided with a ‘resilience heat map’, which identifies areas where properties are at higher risk and might require mitigation measures.</w:t>
            </w:r>
          </w:p>
          <w:p w14:paraId="7F059556" w14:textId="77777777" w:rsidR="00DE1537" w:rsidRDefault="00DE1537" w:rsidP="00343F3E">
            <w:pPr>
              <w:pStyle w:val="BoxHeading1"/>
            </w:pPr>
            <w:r>
              <w:t>Flood awareness seminars</w:t>
            </w:r>
          </w:p>
          <w:p w14:paraId="143F0ABE" w14:textId="77777777" w:rsidR="00DE1537" w:rsidRPr="00683C05" w:rsidRDefault="00DE1537" w:rsidP="00343F3E">
            <w:pPr>
              <w:pStyle w:val="Box"/>
            </w:pPr>
            <w:r>
              <w:t>NRMA Insurance has piloted flood awareness seminars, in partnership with local governments, the Floodplain Management Association and the NSW State Emergency Service. The seminars included information on disaster preparedness and recovery, insurance cover and floodplain management. They aim to encourage consumers to take steps to manage their personal risk.</w:t>
            </w:r>
          </w:p>
          <w:p w14:paraId="518BD04C" w14:textId="77777777" w:rsidR="00DE1537" w:rsidRDefault="00DE1537" w:rsidP="00343F3E">
            <w:pPr>
              <w:pStyle w:val="BoxHeading1"/>
            </w:pPr>
            <w:r>
              <w:t>Resilience STAR program (United States)</w:t>
            </w:r>
          </w:p>
          <w:p w14:paraId="7BC2D311" w14:textId="77777777" w:rsidR="00DE1537" w:rsidRDefault="00DE1537">
            <w:pPr>
              <w:pStyle w:val="Box"/>
            </w:pPr>
            <w:r>
              <w:t xml:space="preserve">The US Government is developing the Resilience STAR program in conjunction with the Insurance Institute for Business and Home Safety. </w:t>
            </w:r>
            <w:r w:rsidRPr="0065457D">
              <w:t>The scheme will certify houses that have been built or retrofitted to a specific standard of disaster resilience. This is in part intended to encourage insurers to offer reduc</w:t>
            </w:r>
            <w:r>
              <w:t>ed premiums to these properties.</w:t>
            </w:r>
          </w:p>
          <w:p w14:paraId="7C281CBF" w14:textId="77777777" w:rsidR="00DE1537" w:rsidRDefault="00DE1537" w:rsidP="00343F3E">
            <w:pPr>
              <w:pStyle w:val="BoxHeading1"/>
            </w:pPr>
            <w:r>
              <w:t>National Observatory for Natural Hazards (France)</w:t>
            </w:r>
          </w:p>
          <w:p w14:paraId="29E3C90B" w14:textId="77777777" w:rsidR="00DE1537" w:rsidRPr="00ED3DBB" w:rsidRDefault="00DE1537" w:rsidP="00343F3E">
            <w:pPr>
              <w:pStyle w:val="Box"/>
            </w:pPr>
            <w:r>
              <w:t>T</w:t>
            </w:r>
            <w:r w:rsidRPr="008046E3">
              <w:t xml:space="preserve">he National Observatory for Natural Hazards (a nonprofit partnership between the national government and insurance industry) was established in 2012. It is designed to collate information in a consistent format from central and local governments and insurers, with insurers providing information on natural disaster claims and costs, and governments providing information on natural hazards and mitigation measures. The observatory allows information to be shared between stakeholders, including on a confidential basis. New data are collected according to specific standards, and data providers must sign contracts with the observatory. </w:t>
            </w:r>
            <w:r>
              <w:t>Only s</w:t>
            </w:r>
            <w:r w:rsidRPr="008046E3">
              <w:t>ome data and studies are published online.</w:t>
            </w:r>
            <w:r>
              <w:t xml:space="preserve"> The project is in its early stages and currently contains links to other databases and websites with natural hazard information.</w:t>
            </w:r>
          </w:p>
        </w:tc>
      </w:tr>
      <w:tr w:rsidR="00DE1537" w14:paraId="7E46F08B" w14:textId="77777777" w:rsidTr="00343F3E">
        <w:trPr>
          <w:cantSplit/>
        </w:trPr>
        <w:tc>
          <w:tcPr>
            <w:tcW w:w="8771" w:type="dxa"/>
            <w:tcBorders>
              <w:top w:val="nil"/>
              <w:left w:val="nil"/>
              <w:bottom w:val="nil"/>
              <w:right w:val="nil"/>
            </w:tcBorders>
            <w:shd w:val="clear" w:color="auto" w:fill="F2F2F2" w:themeFill="background1" w:themeFillShade="F2"/>
          </w:tcPr>
          <w:p w14:paraId="1A4FB106" w14:textId="73EF32D2" w:rsidR="00DE1537" w:rsidRDefault="00DE1537" w:rsidP="00343F3E">
            <w:pPr>
              <w:pStyle w:val="BoxSource"/>
            </w:pPr>
            <w:r>
              <w:rPr>
                <w:i/>
              </w:rPr>
              <w:t>Sources</w:t>
            </w:r>
            <w:r w:rsidRPr="00167F06">
              <w:t xml:space="preserve">: </w:t>
            </w:r>
            <w:r>
              <w:t xml:space="preserve">IAG (sub. 24); ICA </w:t>
            </w:r>
            <w:r w:rsidRPr="00185001">
              <w:rPr>
                <w:rFonts w:cs="Arial"/>
              </w:rPr>
              <w:t>(2014a)</w:t>
            </w:r>
            <w:r>
              <w:t>; supplementary paper 8.</w:t>
            </w:r>
          </w:p>
        </w:tc>
      </w:tr>
      <w:tr w:rsidR="00DE1537" w14:paraId="0F70485A"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286FBA3" w14:textId="77777777" w:rsidR="00DE1537" w:rsidRDefault="00DE1537">
            <w:pPr>
              <w:pStyle w:val="Box"/>
              <w:spacing w:before="0" w:line="120" w:lineRule="exact"/>
            </w:pPr>
          </w:p>
        </w:tc>
      </w:tr>
      <w:tr w:rsidR="00DE1537" w:rsidRPr="000863A5" w14:paraId="12F35991" w14:textId="77777777" w:rsidTr="00343F3E">
        <w:tc>
          <w:tcPr>
            <w:tcW w:w="8771" w:type="dxa"/>
            <w:tcBorders>
              <w:top w:val="single" w:sz="6" w:space="0" w:color="78A22F"/>
              <w:left w:val="nil"/>
              <w:bottom w:val="nil"/>
              <w:right w:val="nil"/>
            </w:tcBorders>
          </w:tcPr>
          <w:p w14:paraId="619457A6" w14:textId="77777777" w:rsidR="00DE1537" w:rsidRPr="00626D32" w:rsidRDefault="00DE1537" w:rsidP="00343F3E">
            <w:pPr>
              <w:pStyle w:val="BoxSpaceBelow"/>
            </w:pPr>
          </w:p>
        </w:tc>
      </w:tr>
    </w:tbl>
    <w:p w14:paraId="1CBFD67C" w14:textId="44170BDC" w:rsidR="00DE1537" w:rsidRPr="00422CE2" w:rsidRDefault="00DE1537" w:rsidP="00343F3E">
      <w:pPr>
        <w:pStyle w:val="BodyText"/>
      </w:pPr>
      <w:r>
        <w:t xml:space="preserve">Research into consumers’ understanding of their natural disaster risks and insurance policies suggests that, in many cases, their understanding is poor. For example, Tooth </w:t>
      </w:r>
      <w:r w:rsidRPr="00D52EF4">
        <w:t>(2012)</w:t>
      </w:r>
      <w:r>
        <w:t xml:space="preserve"> found that about 12–14 per cent of households surveyed did not understand the natural hazard risks before they moved to their present location. In addition, some consumers did not understand their insurance policy, with about 40–50 per cent of households not being able to say whether or not they were covered for flood. Some households also indicated that they were covered for flood when their nominated insurance policy did not provide flood cover at that time. In addition, Quantum Market Research </w:t>
      </w:r>
      <w:r w:rsidRPr="00F5033A">
        <w:lastRenderedPageBreak/>
        <w:t>(2013)</w:t>
      </w:r>
      <w:r>
        <w:t xml:space="preserve"> found that about 74 per cent of households surveyed were unsure about what is covered by their insurance policy. </w:t>
      </w:r>
    </w:p>
    <w:p w14:paraId="06941F7A" w14:textId="78B61B68" w:rsidR="00DE1537" w:rsidRPr="00F5033A" w:rsidRDefault="00DE1537" w:rsidP="00343F3E">
      <w:pPr>
        <w:pStyle w:val="BodyText"/>
      </w:pPr>
      <w:r>
        <w:t xml:space="preserve">Insurers are required to disclose certain information to their customers. Product disclosure statements are one of the key mechanisms through which insurers provide information to customers. </w:t>
      </w:r>
      <w:r w:rsidRPr="006A0C96">
        <w:t>A</w:t>
      </w:r>
      <w:r>
        <w:t xml:space="preserve"> number of studies into product disclosure statements have indicated that many consumers do not read these statements, or find them long and complex, and their understanding of them is poor </w:t>
      </w:r>
      <w:r w:rsidRPr="00966DBE">
        <w:rPr>
          <w:szCs w:val="24"/>
        </w:rPr>
        <w:t>(Murray et al.</w:t>
      </w:r>
      <w:r w:rsidRPr="00DB7D4A">
        <w:rPr>
          <w:szCs w:val="24"/>
        </w:rPr>
        <w:t> </w:t>
      </w:r>
      <w:r w:rsidRPr="00966DBE">
        <w:rPr>
          <w:szCs w:val="24"/>
        </w:rPr>
        <w:t>2014b; Trowbridge, Minto and Berrill 2011)</w:t>
      </w:r>
      <w:r>
        <w:t xml:space="preserve">. They also impose significant costs on industry participants to produce </w:t>
      </w:r>
      <w:r w:rsidRPr="00966DBE">
        <w:rPr>
          <w:szCs w:val="24"/>
        </w:rPr>
        <w:t>(Murray et al.</w:t>
      </w:r>
      <w:r w:rsidRPr="00DB7D4A">
        <w:rPr>
          <w:szCs w:val="24"/>
        </w:rPr>
        <w:t> </w:t>
      </w:r>
      <w:r w:rsidRPr="00966DBE">
        <w:rPr>
          <w:szCs w:val="24"/>
        </w:rPr>
        <w:t>2014b)</w:t>
      </w:r>
      <w:r>
        <w:t xml:space="preserve">. The Fire Services Levy Monitor </w:t>
      </w:r>
      <w:r w:rsidRPr="00BC5A08">
        <w:t>(2014a)</w:t>
      </w:r>
      <w:r>
        <w:t xml:space="preserve"> contended product disclosure statements are unlikely to help consumers compare products because there is no standardised presentation and the average policyholder could be overwhelmed by the amount of information presented.</w:t>
      </w:r>
    </w:p>
    <w:p w14:paraId="7B884948" w14:textId="77777777" w:rsidR="00DE1537" w:rsidRDefault="00DE1537" w:rsidP="00343F3E">
      <w:pPr>
        <w:pStyle w:val="BodyText"/>
      </w:pPr>
      <w:r>
        <w:t>The Australian Government introduced regulatory reforms designed to improve consumers’ understanding of insurance products in 2012. These included the introduction of a standard definition of ‘flood’ in household, small business and strata</w:t>
      </w:r>
      <w:r>
        <w:noBreakHyphen/>
        <w:t>title insurance contracts and requirements for insurers to provide a ‘key fact sheet’ with household building and contents policies (</w:t>
      </w:r>
      <w:r w:rsidRPr="00882D2A">
        <w:t xml:space="preserve">Insurance Contracts Amendment Regulation 2012 </w:t>
      </w:r>
      <w:r>
        <w:t>(Cwlth)). The key fact sheet, introduced in November 2014, includes:</w:t>
      </w:r>
    </w:p>
    <w:p w14:paraId="367057AD" w14:textId="77777777" w:rsidR="00DE1537" w:rsidRDefault="00DE1537" w:rsidP="00343F3E">
      <w:pPr>
        <w:pStyle w:val="ListBullet"/>
      </w:pPr>
      <w:r>
        <w:t>whether 13 events — for example, fire and flood — are covered under the policy</w:t>
      </w:r>
    </w:p>
    <w:p w14:paraId="0EE05FBE" w14:textId="77777777" w:rsidR="00DE1537" w:rsidRDefault="00DE1537" w:rsidP="00343F3E">
      <w:pPr>
        <w:pStyle w:val="ListBullet"/>
      </w:pPr>
      <w:r>
        <w:t xml:space="preserve">examples of specific conditions, exclusions and limits that apply to the 13 events </w:t>
      </w:r>
    </w:p>
    <w:p w14:paraId="50C5B1F9" w14:textId="12821728" w:rsidR="00DE1537" w:rsidRDefault="00DE1537" w:rsidP="00343F3E">
      <w:pPr>
        <w:pStyle w:val="ListBullet"/>
      </w:pPr>
      <w:proofErr w:type="gramStart"/>
      <w:r>
        <w:t>whether</w:t>
      </w:r>
      <w:proofErr w:type="gramEnd"/>
      <w:r>
        <w:t xml:space="preserve"> policyholders are covered for legal liability </w:t>
      </w:r>
      <w:r w:rsidRPr="00B15774">
        <w:rPr>
          <w:szCs w:val="24"/>
        </w:rPr>
        <w:t>(Fire Services Levy Monitor 2014a)</w:t>
      </w:r>
      <w:r>
        <w:t>.</w:t>
      </w:r>
    </w:p>
    <w:p w14:paraId="4B496EE7" w14:textId="77777777" w:rsidR="00DE1537" w:rsidRDefault="00DE1537" w:rsidP="00343F3E">
      <w:pPr>
        <w:pStyle w:val="BodyText"/>
      </w:pPr>
      <w:r>
        <w:t>The key fact sheet could improve policyholders’ understanding of their insurance product. However, it does not provide all the information policyholders need to make a fully informed decision. The key fact sheet can help policyholders understand what is and is not covered, but it does not provide information on their potential level of underinsurance (where the sum insured does not cover the full cost of repairing or replacing the asset). For example, policyholders are not provided with information about building code changes and the effect this would have on rebuilding costs. The key fact sheet also does not provide information about the policyholder’s exposure to natural hazards. In addition, the Financial Rights Legal Centre (trans., Sydney, p. 58) asserted that sufficient testing of consumers’ response to the key fact sheet was not undertaken.</w:t>
      </w:r>
    </w:p>
    <w:p w14:paraId="5B307EC4" w14:textId="77777777" w:rsidR="00DE1537" w:rsidRPr="009E52D0" w:rsidRDefault="00DE1537" w:rsidP="00343F3E">
      <w:pPr>
        <w:pStyle w:val="Quote"/>
      </w:pPr>
      <w:r>
        <w:t xml:space="preserve">… </w:t>
      </w:r>
      <w:proofErr w:type="gramStart"/>
      <w:r w:rsidRPr="009E52D0">
        <w:t>what</w:t>
      </w:r>
      <w:proofErr w:type="gramEnd"/>
      <w:r w:rsidRPr="009E52D0">
        <w:t xml:space="preserve"> we were frustrated with in that whole process is there wasn</w:t>
      </w:r>
      <w:r>
        <w:t>’</w:t>
      </w:r>
      <w:r w:rsidRPr="009E52D0">
        <w:t>t ever any real testing of consumers, no</w:t>
      </w:r>
      <w:r>
        <w:noBreakHyphen/>
      </w:r>
      <w:r w:rsidRPr="009E52D0">
        <w:t>one actually got consumers in a room, had them read the key fact sheets and then asked them what they remembered. And we just really think it</w:t>
      </w:r>
      <w:r>
        <w:t>’</w:t>
      </w:r>
      <w:r w:rsidRPr="009E52D0">
        <w:t>s a lot of work for insurers to put that information into a fact sheet, and you</w:t>
      </w:r>
      <w:r>
        <w:t>’</w:t>
      </w:r>
      <w:r w:rsidRPr="009E52D0">
        <w:t>d want to make sure that they</w:t>
      </w:r>
      <w:r>
        <w:t>’</w:t>
      </w:r>
      <w:r w:rsidRPr="009E52D0">
        <w:t xml:space="preserve">re going to work before you ask insurers to do all that effort. </w:t>
      </w:r>
    </w:p>
    <w:p w14:paraId="6E7BFFCA" w14:textId="77777777" w:rsidR="00DE1537" w:rsidRDefault="00DE1537" w:rsidP="00343F3E">
      <w:pPr>
        <w:pStyle w:val="Quote"/>
      </w:pPr>
      <w:r w:rsidRPr="009E52D0">
        <w:t>We would really like to see some researchers brought in, bring in some students, bring in some middle income consumers, actually test the fact sheets and see if people will read them, if they</w:t>
      </w:r>
      <w:r>
        <w:t>’</w:t>
      </w:r>
      <w:r w:rsidRPr="009E52D0">
        <w:t>ll even retain that information, if they</w:t>
      </w:r>
      <w:r>
        <w:t>’</w:t>
      </w:r>
      <w:r w:rsidRPr="009E52D0">
        <w:t>ll even understand a fact sheet about r</w:t>
      </w:r>
      <w:r>
        <w:t>isk and put it together with, I</w:t>
      </w:r>
      <w:r w:rsidRPr="009E52D0">
        <w:t xml:space="preserve"> should increase my sum insured. Because none of that testing</w:t>
      </w:r>
      <w:r>
        <w:t>’</w:t>
      </w:r>
      <w:r w:rsidRPr="009E52D0">
        <w:t>s been done.</w:t>
      </w:r>
    </w:p>
    <w:p w14:paraId="2610D960" w14:textId="5634C4AB" w:rsidR="00DE1537" w:rsidRDefault="00DE1537" w:rsidP="00343F3E">
      <w:pPr>
        <w:pStyle w:val="BodyText"/>
      </w:pPr>
      <w:r>
        <w:lastRenderedPageBreak/>
        <w:t xml:space="preserve">In addition to product disclosure statements and the key fact sheet, insurers do have a number of initiatives in place to help consumers understand their insurance product, choose an appropriate sum insured, and understand their natural hazard risk. For example, the Insurance Council of Australia has developed the Understand Insurance website, which includes information about how insurance works, and advice on choosing an appropriate insurance product </w:t>
      </w:r>
      <w:r w:rsidR="007C5656" w:rsidRPr="007C5656">
        <w:rPr>
          <w:szCs w:val="24"/>
        </w:rPr>
        <w:t>(ICA 2014f, sub. DR185)</w:t>
      </w:r>
      <w:r>
        <w:t xml:space="preserve">. </w:t>
      </w:r>
    </w:p>
    <w:p w14:paraId="6F700E6A" w14:textId="1FCD0A1F" w:rsidR="00DE1537" w:rsidRDefault="00DE1537" w:rsidP="00343F3E">
      <w:pPr>
        <w:pStyle w:val="BodyText"/>
      </w:pPr>
      <w:r>
        <w:t xml:space="preserve">Insurers also provide web calculators that help consumers choose an appropriate sum insured level. In some cases, insurers have incorporated these calculators into their quote and renewals processes and limits are placed on how much the sum insured chosen by the policyholder can deviate from the estimate (Suncorp Group, sub. DR176). However, these calculators are imperfect as the Blue Mountains bushfire experience shows (section 5.5). As well, the Australian Securities and Investments Commission </w:t>
      </w:r>
      <w:r w:rsidRPr="0002145E">
        <w:rPr>
          <w:szCs w:val="24"/>
        </w:rPr>
        <w:t>(ASIC 2014b)</w:t>
      </w:r>
      <w:r>
        <w:t xml:space="preserve"> found that while most insurers appear to provide consumers with access to a calculator, consumers were often not made aware of their existence during the sales process.</w:t>
      </w:r>
    </w:p>
    <w:p w14:paraId="38E5F0D8" w14:textId="77777777" w:rsidR="00DE1537" w:rsidRDefault="00DE1537" w:rsidP="00343F3E">
      <w:pPr>
        <w:pStyle w:val="BodyText"/>
      </w:pPr>
      <w:r>
        <w:t>The Insurance Council of Australia is also currently developing the Building Resilience Rating Tool, which will provide consumers with information about the resilience of their property to a range of natural hazards (chapter 4). While some inquiry participants have concerns the tool will not meet its intended objective (for example, FRLC, sub. DR130), other participants are supportive and have asserted that it will improve consumer understanding of risk (for example, Great Lakes Council (NSW), sub. DR157).</w:t>
      </w:r>
    </w:p>
    <w:p w14:paraId="68555D5E" w14:textId="4DCF323F" w:rsidR="00DE1537" w:rsidRDefault="00DE1537" w:rsidP="00343F3E">
      <w:pPr>
        <w:pStyle w:val="BodyText"/>
      </w:pPr>
      <w:r>
        <w:t xml:space="preserve">However, a study by the Australian Securities and Investments Commission </w:t>
      </w:r>
      <w:r w:rsidRPr="0002145E">
        <w:rPr>
          <w:szCs w:val="24"/>
        </w:rPr>
        <w:t>(ASIC 2014b)</w:t>
      </w:r>
      <w:r>
        <w:t xml:space="preserve"> into the information that consumers are provided at the point of sale found that sales processes are generally designed around what insurers need to know to sell insurance as quickly and efficiently as possible, rather than being used as a way to improve the consumer’s understanding of the insurance product.</w:t>
      </w:r>
    </w:p>
    <w:p w14:paraId="2DEBC341" w14:textId="77777777" w:rsidR="00DE1537" w:rsidRDefault="00DE1537" w:rsidP="00343F3E">
      <w:pPr>
        <w:pStyle w:val="BodyText"/>
      </w:pPr>
      <w:r>
        <w:t xml:space="preserve">Insurers and other inquiry participants have identified a number of barriers to insurers communicating information and consumers using that information effectively, in addition to the barriers discussed earlier. </w:t>
      </w:r>
      <w:proofErr w:type="gramStart"/>
      <w:r>
        <w:t>For example, the Financial Rights Legal Centre (sub.</w:t>
      </w:r>
      <w:proofErr w:type="gramEnd"/>
      <w:r>
        <w:t> </w:t>
      </w:r>
      <w:proofErr w:type="gramStart"/>
      <w:r>
        <w:t>DR130) and Suncorp Group (sub.</w:t>
      </w:r>
      <w:proofErr w:type="gramEnd"/>
      <w:r>
        <w:t> DR176) submitted that consumers are sceptical and do not always trust what insurers tell them. Insurers asserted that there are regulatory barriers to providing tailored information.</w:t>
      </w:r>
    </w:p>
    <w:p w14:paraId="48AE61DD" w14:textId="77777777" w:rsidR="00DE1537" w:rsidRDefault="00DE1537" w:rsidP="00343F3E">
      <w:pPr>
        <w:pStyle w:val="Quote"/>
      </w:pPr>
      <w:r>
        <w:t xml:space="preserve">… </w:t>
      </w:r>
      <w:proofErr w:type="gramStart"/>
      <w:r w:rsidRPr="00134FB6">
        <w:t>insure</w:t>
      </w:r>
      <w:r>
        <w:t>rs</w:t>
      </w:r>
      <w:proofErr w:type="gramEnd"/>
      <w:r>
        <w:t xml:space="preserve"> face obstacles regarding the </w:t>
      </w:r>
      <w:r w:rsidRPr="00134FB6">
        <w:t>boundaries between giving personal and general advic</w:t>
      </w:r>
      <w:r>
        <w:t xml:space="preserve">e, which can discourage general </w:t>
      </w:r>
      <w:r w:rsidRPr="00134FB6">
        <w:t>insurers from providing more tailored information to consumers about their policies.</w:t>
      </w:r>
      <w:r>
        <w:t xml:space="preserve"> </w:t>
      </w:r>
      <w:proofErr w:type="gramStart"/>
      <w:r>
        <w:t>(ICA, sub.</w:t>
      </w:r>
      <w:proofErr w:type="gramEnd"/>
      <w:r>
        <w:t> DR185, p. 6)</w:t>
      </w:r>
    </w:p>
    <w:p w14:paraId="64ED3F8A" w14:textId="77777777" w:rsidR="00DE1537" w:rsidRPr="00913F0F" w:rsidRDefault="00DE1537" w:rsidP="00343F3E">
      <w:pPr>
        <w:pStyle w:val="BodyText"/>
      </w:pPr>
      <w:r>
        <w:t>Insurers also suggested there are commercial considerations which limit provision of pricing</w:t>
      </w:r>
      <w:r>
        <w:noBreakHyphen/>
        <w:t>related information.</w:t>
      </w:r>
    </w:p>
    <w:p w14:paraId="7CAB6C51" w14:textId="77777777" w:rsidR="00DE1537" w:rsidRPr="00134FB6" w:rsidRDefault="00DE1537" w:rsidP="00343F3E">
      <w:pPr>
        <w:pStyle w:val="Quote"/>
      </w:pPr>
      <w:r w:rsidRPr="00134FB6">
        <w:t xml:space="preserve">Complete transparency of all pricing data is also subject to commercial considerations. Suncorp has invested significant financial resources into advancing our natural hazard risk information capabilities to create a competitive advantage over less advanced insurers. Sharing too much of </w:t>
      </w:r>
      <w:r w:rsidRPr="00134FB6">
        <w:lastRenderedPageBreak/>
        <w:t>this detail may enable competitors to copy or derive advanced modelling at no cost and erode this competitive advantage.</w:t>
      </w:r>
      <w:r>
        <w:t xml:space="preserve"> </w:t>
      </w:r>
      <w:proofErr w:type="gramStart"/>
      <w:r>
        <w:t>(Suncorp Group, sub.</w:t>
      </w:r>
      <w:proofErr w:type="gramEnd"/>
      <w:r>
        <w:t> DR176, p. 18)</w:t>
      </w:r>
    </w:p>
    <w:p w14:paraId="576761CD" w14:textId="6049EA35" w:rsidR="00DE1537" w:rsidRDefault="00DE1537" w:rsidP="00343F3E">
      <w:pPr>
        <w:pStyle w:val="BodyText"/>
      </w:pPr>
      <w:r>
        <w:t xml:space="preserve">The Financial System Inquiry </w:t>
      </w:r>
      <w:r w:rsidRPr="00966DBE">
        <w:rPr>
          <w:szCs w:val="24"/>
        </w:rPr>
        <w:t>(Murray et al. 2014a)</w:t>
      </w:r>
      <w:r>
        <w:t xml:space="preserve"> considered disclosure requirements in general insurance. It recommended that insurers should improve the guidance (including tools and calculators) they provide to consumers, especially in relation to home insurance. This included guidance on the likely replacement value for home building and contents. The Inquiry found that </w:t>
      </w:r>
      <w:r w:rsidRPr="00A3330D">
        <w:t>‘current regulatory settings allow insurers to provide guidance on the replacement value of home building or contents without needing to comply with the personal advice rules’</w:t>
      </w:r>
      <w:r>
        <w:t xml:space="preserve"> </w:t>
      </w:r>
      <w:r w:rsidRPr="00A14877">
        <w:rPr>
          <w:szCs w:val="24"/>
        </w:rPr>
        <w:t>(Murray et al. 2014a, p. </w:t>
      </w:r>
      <w:r w:rsidRPr="0021463B">
        <w:rPr>
          <w:szCs w:val="24"/>
        </w:rPr>
        <w:t>228)</w:t>
      </w:r>
      <w:r>
        <w:t xml:space="preserve">. It concluded that </w:t>
      </w:r>
      <w:r w:rsidRPr="00A3330D">
        <w:t>the industry should standardise the way replacement costs are estimated</w:t>
      </w:r>
      <w:r>
        <w:t>,</w:t>
      </w:r>
      <w:r w:rsidRPr="00A3330D">
        <w:t xml:space="preserve"> and to the extent that this is constrained by the existing regulatory regime, the insurance industry should work with government to resolve any barriers.</w:t>
      </w:r>
      <w:r>
        <w:t xml:space="preserve"> It also said that if the industry does not make significant progress on providing this guidance within a short time frame, government should consider introducing regulatory requirements.</w:t>
      </w:r>
    </w:p>
    <w:p w14:paraId="341FD169" w14:textId="77777777" w:rsidR="00DE1537" w:rsidRDefault="00DE1537" w:rsidP="00343F3E">
      <w:pPr>
        <w:pStyle w:val="BodyText"/>
      </w:pPr>
      <w:r>
        <w:t>Policyholders are primarily responsible for understanding and managing their risks (supplementary paper 3). That said, insurers and other inquiry participants were very supportive of insurers providing more information to policyholders (for example, Blue Mountains City Council (NSW), sub. </w:t>
      </w:r>
      <w:proofErr w:type="gramStart"/>
      <w:r>
        <w:t>DR204; IAG, sub.</w:t>
      </w:r>
      <w:proofErr w:type="gramEnd"/>
      <w:r>
        <w:t> </w:t>
      </w:r>
      <w:proofErr w:type="gramStart"/>
      <w:r>
        <w:t>DR158; ICA, sub.</w:t>
      </w:r>
      <w:proofErr w:type="gramEnd"/>
      <w:r>
        <w:t> </w:t>
      </w:r>
      <w:proofErr w:type="gramStart"/>
      <w:r>
        <w:t>DR185; Local Government NSW, sub.</w:t>
      </w:r>
      <w:proofErr w:type="gramEnd"/>
      <w:r>
        <w:t> </w:t>
      </w:r>
      <w:proofErr w:type="gramStart"/>
      <w:r>
        <w:t>DR196; Senator Doug Cameron, sub.</w:t>
      </w:r>
      <w:proofErr w:type="gramEnd"/>
      <w:r>
        <w:t> </w:t>
      </w:r>
      <w:proofErr w:type="gramStart"/>
      <w:r>
        <w:t>DR210; Suncorp Group, sub.</w:t>
      </w:r>
      <w:proofErr w:type="gramEnd"/>
      <w:r>
        <w:t> </w:t>
      </w:r>
      <w:proofErr w:type="gramStart"/>
      <w:r>
        <w:t>DR176; WALGA, sub.</w:t>
      </w:r>
      <w:proofErr w:type="gramEnd"/>
      <w:r>
        <w:t> DR214). Insurance companies should consider providing more information to their customers about their insurance cover and exposure to natural hazards where possible, so that they can make more informed decisions about what type of insurance and level of cover to purchase (chapter 4). The information provided on electricity and water bills is an example of useful information that can help consumers to manage their costs.</w:t>
      </w:r>
    </w:p>
    <w:p w14:paraId="43B17E1D" w14:textId="77777777" w:rsidR="00DE1537" w:rsidRDefault="00DE1537" w:rsidP="00343F3E">
      <w:pPr>
        <w:pStyle w:val="Heading3"/>
      </w:pPr>
      <w:r>
        <w:t>Competition in the insurance market</w:t>
      </w:r>
    </w:p>
    <w:p w14:paraId="0B3FF7A1" w14:textId="77777777" w:rsidR="00DE1537" w:rsidRDefault="00DE1537" w:rsidP="00343F3E">
      <w:pPr>
        <w:pStyle w:val="BodyText"/>
      </w:pPr>
      <w:r>
        <w:t>Competition drives efficient outcomes for price, quality and innovation. A lack of competition (or contestability) in the market can lead to increased prices and decreased choice of insurance products, reducing the effectiveness of price signals as a risk management tool.</w:t>
      </w:r>
    </w:p>
    <w:p w14:paraId="300B8DD7" w14:textId="0EC01375" w:rsidR="00DE1537" w:rsidRDefault="00DE1537" w:rsidP="00343F3E">
      <w:pPr>
        <w:pStyle w:val="BodyText"/>
      </w:pPr>
      <w:r>
        <w:t xml:space="preserve">Inquiry participants did not raise competition as a significant issue in the Australian property insurance market, although some did </w:t>
      </w:r>
      <w:proofErr w:type="gramStart"/>
      <w:r>
        <w:t>raise</w:t>
      </w:r>
      <w:proofErr w:type="gramEnd"/>
      <w:r>
        <w:t xml:space="preserve"> it with regards to north Queensland (discussed later). However, other studies have questioned the level of competition. The Fire Services Levy Monitor </w:t>
      </w:r>
      <w:r w:rsidRPr="00073578">
        <w:t>(2014a)</w:t>
      </w:r>
      <w:r>
        <w:t xml:space="preserve"> contended that the insurance market is inefficient, and competition is potentially limited based on a number of indicators, including (but not limited to) that: </w:t>
      </w:r>
    </w:p>
    <w:p w14:paraId="464D4D58" w14:textId="77777777" w:rsidR="00DE1537" w:rsidRDefault="00DE1537" w:rsidP="00343F3E">
      <w:pPr>
        <w:pStyle w:val="ListBullet"/>
      </w:pPr>
      <w:r>
        <w:t>consumers do not have adequate information to make decisions</w:t>
      </w:r>
    </w:p>
    <w:p w14:paraId="1E9CF373" w14:textId="77777777" w:rsidR="00DE1537" w:rsidRDefault="00DE1537" w:rsidP="00343F3E">
      <w:pPr>
        <w:pStyle w:val="ListBullet"/>
      </w:pPr>
      <w:r>
        <w:t>there is variation in the premiums offered by different insurers for the same property</w:t>
      </w:r>
    </w:p>
    <w:p w14:paraId="06344B63" w14:textId="77777777" w:rsidR="00DE1537" w:rsidRDefault="00DE1537" w:rsidP="00343F3E">
      <w:pPr>
        <w:pStyle w:val="ListBullet"/>
      </w:pPr>
      <w:proofErr w:type="gramStart"/>
      <w:r>
        <w:lastRenderedPageBreak/>
        <w:t>the</w:t>
      </w:r>
      <w:proofErr w:type="gramEnd"/>
      <w:r>
        <w:t xml:space="preserve"> general insurance industry is highly profitable, and has been for several years, with insurers’ after</w:t>
      </w:r>
      <w:r>
        <w:noBreakHyphen/>
        <w:t xml:space="preserve">tax return on equity varying between 15 and 25 per cent over the past few years. </w:t>
      </w:r>
    </w:p>
    <w:p w14:paraId="1F3CC8D1" w14:textId="2178B218" w:rsidR="00DE1537" w:rsidRDefault="00DE1537" w:rsidP="00343F3E">
      <w:pPr>
        <w:pStyle w:val="BodyText"/>
      </w:pPr>
      <w:r>
        <w:t xml:space="preserve">The Financial System Inquiry interim report </w:t>
      </w:r>
      <w:r w:rsidRPr="00966DBE">
        <w:rPr>
          <w:szCs w:val="24"/>
        </w:rPr>
        <w:t>(Murray et al. 2014b)</w:t>
      </w:r>
      <w:r>
        <w:t xml:space="preserve"> examined competition in the general insurance industry. It found that, while there </w:t>
      </w:r>
      <w:proofErr w:type="gramStart"/>
      <w:r>
        <w:t>is a large number of insurers</w:t>
      </w:r>
      <w:proofErr w:type="gramEnd"/>
      <w:r>
        <w:t xml:space="preserve"> in Australia, the general insurance industry has a relatively high degree of market concentration, with t</w:t>
      </w:r>
      <w:r w:rsidRPr="003053E0">
        <w:t>he</w:t>
      </w:r>
      <w:r>
        <w:t xml:space="preserve"> top five insurers accounting for over 80 per cent of the general insurance market and the five largest insurers accounting for 60 per cent of the commercial insurance market. However, the inquiry also noted that a high degree of concentration in itself does not necessarily indicate a lack of competition. Competition can lead to a concentrated industry if more efficient firms grow at the expense of less efficient firms. In addition, a concentrated market can be competitive if there is contestability and barriers to market entry and exit are low.</w:t>
      </w:r>
    </w:p>
    <w:p w14:paraId="79F0C813" w14:textId="4F15ABCD" w:rsidR="00DE1537" w:rsidRDefault="00DE1537" w:rsidP="00343F3E">
      <w:pPr>
        <w:pStyle w:val="BodyText"/>
      </w:pPr>
      <w:r>
        <w:t>The inquiry noted that competition in the general insurance industry could be improving. A number of new insurers have recently entered the market including Youi and Hollard. The inquiry also noted that the barriers to entry into the market are commercial rather than regulatory, with incumbents benefitting from well</w:t>
      </w:r>
      <w:r>
        <w:noBreakHyphen/>
        <w:t xml:space="preserve">established brands, customer bases and distribution networks </w:t>
      </w:r>
      <w:r w:rsidRPr="00966DBE">
        <w:rPr>
          <w:szCs w:val="24"/>
        </w:rPr>
        <w:t>(Murray et al.</w:t>
      </w:r>
      <w:r w:rsidRPr="00DB7D4A">
        <w:rPr>
          <w:szCs w:val="24"/>
        </w:rPr>
        <w:t> 2014b)</w:t>
      </w:r>
      <w:r>
        <w:t xml:space="preserve">. </w:t>
      </w:r>
    </w:p>
    <w:p w14:paraId="25386C0D" w14:textId="28DAAF54" w:rsidR="00DE1537" w:rsidRDefault="00DE1537" w:rsidP="00343F3E">
      <w:pPr>
        <w:pStyle w:val="BodyText"/>
      </w:pPr>
      <w:r>
        <w:t xml:space="preserve">Douglas, Bowditch and Ni </w:t>
      </w:r>
      <w:r w:rsidRPr="00FB6AAA">
        <w:rPr>
          <w:szCs w:val="24"/>
        </w:rPr>
        <w:t>(2013, p. 3)</w:t>
      </w:r>
      <w:r>
        <w:t xml:space="preserve"> argued that there are signs that competition in the insurance market is increasing. </w:t>
      </w:r>
    </w:p>
    <w:p w14:paraId="0095FED3" w14:textId="77777777" w:rsidR="00DE1537" w:rsidRPr="00FA5BEA" w:rsidRDefault="00DE1537" w:rsidP="00343F3E">
      <w:pPr>
        <w:pStyle w:val="Quote"/>
      </w:pPr>
      <w:r w:rsidRPr="003E6110">
        <w:t xml:space="preserve">Although the Australian general insurance market is dominated by just a handful of companies, there are encouraging signs that competition may be increasing. For example, the growth of internet based premium comparison sites </w:t>
      </w:r>
      <w:r w:rsidRPr="000767D4">
        <w:t xml:space="preserve">is one factor that is making it easier for consumers to shop around. In addition, several new or smaller insurers have been seeking to increase their market shares, for example through active marketing campaigns for insurance sold under the brand names of </w:t>
      </w:r>
      <w:r w:rsidRPr="00710456">
        <w:t>the major supermarkets. Therefore, it will be important to monitor the extent to which these factors deliver more affordable premiums by, for example, driving administration costs lower over time.</w:t>
      </w:r>
    </w:p>
    <w:p w14:paraId="155D9ECD" w14:textId="3546D4E0" w:rsidR="00DE1537" w:rsidRDefault="00DE1537" w:rsidP="00343F3E">
      <w:pPr>
        <w:pStyle w:val="BodyText"/>
      </w:pPr>
      <w:r>
        <w:t xml:space="preserve">In addition, they found that insurers’ underwriting profits in Australia represent about </w:t>
      </w:r>
      <w:r>
        <w:br/>
        <w:t xml:space="preserve">5–6 per cent of premiums </w:t>
      </w:r>
      <w:r w:rsidRPr="00E4538D">
        <w:rPr>
          <w:szCs w:val="24"/>
        </w:rPr>
        <w:t>(Douglas, Bowditch and Ni 2013)</w:t>
      </w:r>
      <w:r>
        <w:t>. This suggests that even if competition were to increase, insurers might not substantially decrease their insurance prices. As a result, increasing competition might not address affordability concerns, particularly where there have been significant price increases (discussed below).</w:t>
      </w:r>
    </w:p>
    <w:p w14:paraId="43A1D027" w14:textId="358E8754" w:rsidR="00DE1537" w:rsidRDefault="00DE1537" w:rsidP="00343F3E">
      <w:pPr>
        <w:pStyle w:val="BodyText"/>
      </w:pPr>
      <w:r>
        <w:t xml:space="preserve">A lack of competition has been raised as a possible reason for significant price increases in north Queensland in recent years </w:t>
      </w:r>
      <w:r w:rsidR="007C5656" w:rsidRPr="007C5656">
        <w:rPr>
          <w:szCs w:val="24"/>
        </w:rPr>
        <w:t>(Treasury 2014a)</w:t>
      </w:r>
      <w:r>
        <w:t>. For example, between 2007 and 2012, residential strata</w:t>
      </w:r>
      <w:r>
        <w:noBreakHyphen/>
        <w:t xml:space="preserve">title property insurance premiums increased by an average of 200 per cent (Treasury, sub. 91). Evidence exists that competition in the north Queensland market is more limited than in other parts of Australia. For example, fewer insurance companies participate in the north Queensland market </w:t>
      </w:r>
      <w:r w:rsidR="007C5656" w:rsidRPr="007C5656">
        <w:rPr>
          <w:szCs w:val="24"/>
        </w:rPr>
        <w:t xml:space="preserve">(Philip Stace, sub. </w:t>
      </w:r>
      <w:proofErr w:type="gramStart"/>
      <w:r w:rsidR="007C5656" w:rsidRPr="007C5656">
        <w:rPr>
          <w:szCs w:val="24"/>
        </w:rPr>
        <w:t>DR135; Treasury 2014a)</w:t>
      </w:r>
      <w:r>
        <w:t>.</w:t>
      </w:r>
      <w:proofErr w:type="gramEnd"/>
      <w:r>
        <w:t xml:space="preserve"> In addition, the Australian Government Actuary </w:t>
      </w:r>
      <w:r w:rsidRPr="002539F5">
        <w:t>(2012)</w:t>
      </w:r>
      <w:r>
        <w:t xml:space="preserve"> concluded that the residential strata</w:t>
      </w:r>
      <w:r>
        <w:noBreakHyphen/>
        <w:t xml:space="preserve">title insurance market in north Queensland is not deep, and supply has been affected </w:t>
      </w:r>
      <w:r>
        <w:lastRenderedPageBreak/>
        <w:t xml:space="preserve">by the withdrawal of some insurers from the market. Treasury </w:t>
      </w:r>
      <w:r w:rsidR="007C5656" w:rsidRPr="007C5656">
        <w:t>(2014a)</w:t>
      </w:r>
      <w:r>
        <w:t xml:space="preserve"> also argued that contestability is lower in the north Queensland market, due to less information about the significant natural disaster risks that the area faces.</w:t>
      </w:r>
    </w:p>
    <w:p w14:paraId="31BB378E" w14:textId="4789012C" w:rsidR="00DE1537" w:rsidRDefault="00DE1537" w:rsidP="00343F3E">
      <w:pPr>
        <w:pStyle w:val="BodyText"/>
      </w:pPr>
      <w:r>
        <w:t xml:space="preserve">However, the Australian Government Actuary </w:t>
      </w:r>
      <w:r w:rsidRPr="00E73B97">
        <w:t>(2012, 2014b)</w:t>
      </w:r>
      <w:r>
        <w:t xml:space="preserve"> found that prices in the north Queensland residential strata</w:t>
      </w:r>
      <w:r>
        <w:noBreakHyphen/>
        <w:t xml:space="preserve">title insurance market are not unreasonably high when assessed against the underlying risk. Further, it found that </w:t>
      </w:r>
      <w:r w:rsidRPr="004B7D57">
        <w:t xml:space="preserve">the </w:t>
      </w:r>
      <w:r>
        <w:t xml:space="preserve">residential </w:t>
      </w:r>
      <w:r w:rsidRPr="004B7D57">
        <w:t>strata</w:t>
      </w:r>
      <w:r>
        <w:noBreakHyphen/>
      </w:r>
      <w:r w:rsidRPr="004B7D57">
        <w:t>title insurance market has not experienced sign</w:t>
      </w:r>
      <w:r>
        <w:t>i</w:t>
      </w:r>
      <w:r w:rsidRPr="004B7D57">
        <w:t xml:space="preserve">ficant profits in recent years, indicating that insurers are not </w:t>
      </w:r>
      <w:proofErr w:type="gramStart"/>
      <w:r w:rsidRPr="004B7D57">
        <w:t>price</w:t>
      </w:r>
      <w:proofErr w:type="gramEnd"/>
      <w:r w:rsidRPr="004B7D57">
        <w:t xml:space="preserve"> gouging. It found</w:t>
      </w:r>
      <w:r>
        <w:t xml:space="preserve"> that other factors have contributed to the price rises, including historical under</w:t>
      </w:r>
      <w:r>
        <w:noBreakHyphen/>
        <w:t>pricing, increasing reinsurance costs and losses from recent natural disasters. The Australian Government Actuary also investigated home and contents insurance prices in north Queensland. It found that recent premium increases were likely due to:</w:t>
      </w:r>
    </w:p>
    <w:p w14:paraId="764F1A79" w14:textId="77777777" w:rsidR="00DE1537" w:rsidRDefault="00DE1537" w:rsidP="00343F3E">
      <w:pPr>
        <w:pStyle w:val="ListBullet"/>
      </w:pPr>
      <w:r>
        <w:t>insurers’ reaction to losses caused by a number of recent natural disasters</w:t>
      </w:r>
    </w:p>
    <w:p w14:paraId="53B796A2" w14:textId="77777777" w:rsidR="00DE1537" w:rsidRDefault="00DE1537" w:rsidP="00343F3E">
      <w:pPr>
        <w:pStyle w:val="ListBullet"/>
      </w:pPr>
      <w:r>
        <w:t>developments in catastrophe modelling, including better understanding of cyclone risk in the region</w:t>
      </w:r>
    </w:p>
    <w:p w14:paraId="451A964C" w14:textId="0F63BDFF" w:rsidR="00DE1537" w:rsidRDefault="00DE1537" w:rsidP="00343F3E">
      <w:pPr>
        <w:pStyle w:val="ListBullet"/>
      </w:pPr>
      <w:proofErr w:type="gramStart"/>
      <w:r>
        <w:t>increases</w:t>
      </w:r>
      <w:proofErr w:type="gramEnd"/>
      <w:r>
        <w:t xml:space="preserve"> in reinsurance costs </w:t>
      </w:r>
      <w:r w:rsidRPr="00E73B97">
        <w:rPr>
          <w:szCs w:val="24"/>
        </w:rPr>
        <w:t>(Australian Government Actuary 2014a)</w:t>
      </w:r>
      <w:r>
        <w:t>.</w:t>
      </w:r>
    </w:p>
    <w:p w14:paraId="2804CC75" w14:textId="77777777" w:rsidR="00DE1537" w:rsidRDefault="00DE1537" w:rsidP="00343F3E">
      <w:pPr>
        <w:pStyle w:val="BodyText"/>
      </w:pPr>
      <w:r>
        <w:t>The Australian Government has recently announced initiatives aimed at improving affordability and competition in north Queensland including:</w:t>
      </w:r>
    </w:p>
    <w:p w14:paraId="5B247F17" w14:textId="77777777" w:rsidR="00DE1537" w:rsidRDefault="00DE1537" w:rsidP="00343F3E">
      <w:pPr>
        <w:pStyle w:val="ListBullet"/>
      </w:pPr>
      <w:r>
        <w:t>developing a comparison or ‘aggregator’ website for consumers to compare available insurance products (box 5.7)</w:t>
      </w:r>
    </w:p>
    <w:p w14:paraId="222C8659" w14:textId="77777777" w:rsidR="00DE1537" w:rsidRDefault="00DE1537" w:rsidP="00343F3E">
      <w:pPr>
        <w:pStyle w:val="ListBullet"/>
      </w:pPr>
      <w:r>
        <w:t>facilitating engineering assessments of strata</w:t>
      </w:r>
      <w:r>
        <w:noBreakHyphen/>
        <w:t>title properties to identify improvements that can be made to reduce risk and possibly insurance premiums</w:t>
      </w:r>
    </w:p>
    <w:p w14:paraId="212ADAE0" w14:textId="19810B0A" w:rsidR="00DE1537" w:rsidRDefault="00DE1537" w:rsidP="00343F3E">
      <w:pPr>
        <w:pStyle w:val="ListBullet"/>
      </w:pPr>
      <w:proofErr w:type="gramStart"/>
      <w:r>
        <w:t>expanding</w:t>
      </w:r>
      <w:proofErr w:type="gramEnd"/>
      <w:r>
        <w:t xml:space="preserve"> the market by allowing brokers to sell policies from foreign insurers where they offer a better price. This would apply Australia</w:t>
      </w:r>
      <w:r>
        <w:noBreakHyphen/>
        <w:t xml:space="preserve">wide, not just in north Queensland </w:t>
      </w:r>
      <w:r w:rsidRPr="00FA4D48">
        <w:rPr>
          <w:szCs w:val="24"/>
        </w:rPr>
        <w:t>(Cormann 2014; Insurance News</w:t>
      </w:r>
      <w:r w:rsidRPr="000E26A2">
        <w:rPr>
          <w:szCs w:val="24"/>
        </w:rPr>
        <w:t> 2014c)</w:t>
      </w:r>
      <w:r>
        <w:t xml:space="preserve">. </w:t>
      </w:r>
    </w:p>
    <w:p w14:paraId="041B955A" w14:textId="1BC4FB65" w:rsidR="00DE1537" w:rsidRDefault="00DE1537" w:rsidP="00343F3E">
      <w:pPr>
        <w:pStyle w:val="BodyText"/>
      </w:pPr>
      <w:r>
        <w:t xml:space="preserve">These initiatives have received mixed reactions from inquiry participants and other stakeholders, with some arguing that they will not improve competition (for example, Philip Stace, sub. DR135). The development of an aggregator website, in particular, has received much attention as the idea was canvassed in the Financial System Inquiry interim report </w:t>
      </w:r>
      <w:r w:rsidRPr="00966DBE">
        <w:rPr>
          <w:szCs w:val="24"/>
        </w:rPr>
        <w:t>(Murray et al.</w:t>
      </w:r>
      <w:r w:rsidRPr="00DB7D4A">
        <w:rPr>
          <w:szCs w:val="24"/>
        </w:rPr>
        <w:t> </w:t>
      </w:r>
      <w:r w:rsidRPr="00966DBE">
        <w:rPr>
          <w:szCs w:val="24"/>
        </w:rPr>
        <w:t>2014b)</w:t>
      </w:r>
      <w:r>
        <w:t xml:space="preserve">. Many stakeholders are supportive of comparison websites in principle, but are concerned about the difficulty of developing an aggregator that allows consumers to make meaningful comparisons on both price and features, especially for heterogenous and complex products </w:t>
      </w:r>
      <w:r w:rsidRPr="0002145E">
        <w:rPr>
          <w:szCs w:val="24"/>
        </w:rPr>
        <w:t>(APRA 2014; ASIC </w:t>
      </w:r>
      <w:r w:rsidRPr="008A1DF0">
        <w:rPr>
          <w:szCs w:val="24"/>
        </w:rPr>
        <w:t>2014a; FRLC 2014)</w:t>
      </w:r>
      <w:r>
        <w:t xml:space="preserve">. </w:t>
      </w:r>
    </w:p>
    <w:p w14:paraId="313D463C" w14:textId="77777777" w:rsidR="00DE1537" w:rsidRDefault="00DE1537" w:rsidP="00343F3E">
      <w:pPr>
        <w:pStyle w:val="BodyText"/>
      </w:pPr>
      <w:r>
        <w:t xml:space="preserve">Given that the significant price increases in north Queensland do not appear to have been driven by a lack of competition, this would suggest that the introduction of an aggregator website and opening up the market to foreign insurers would not substantially reduce prices in the region. However, more information and competition is usually good for consumers. There are other options that could lead to price reductions and better outcomes for consumers in north Queensland. Insurance brokers could be an effective intermediary </w:t>
      </w:r>
      <w:r>
        <w:lastRenderedPageBreak/>
        <w:t>for consumers to use to assess the insurance options that best meet their specific needs. In addition, as discussed above, effective mitigation measures can result in substantial reductions in insurance premiums. Cooperation between parties to identify and implement mitigation measures, such as the proposed strata</w:t>
      </w:r>
      <w:r>
        <w:noBreakHyphen/>
        <w:t xml:space="preserve">title property assessments, should be encouraged. </w:t>
      </w:r>
    </w:p>
    <w:p w14:paraId="16BC298A"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98873DB" w14:textId="77777777" w:rsidTr="00343F3E">
        <w:tc>
          <w:tcPr>
            <w:tcW w:w="8771" w:type="dxa"/>
            <w:tcBorders>
              <w:top w:val="single" w:sz="6" w:space="0" w:color="78A22F"/>
              <w:left w:val="nil"/>
              <w:bottom w:val="nil"/>
              <w:right w:val="nil"/>
            </w:tcBorders>
            <w:shd w:val="clear" w:color="auto" w:fill="F2F2F2" w:themeFill="background1" w:themeFillShade="F2"/>
          </w:tcPr>
          <w:p w14:paraId="4B926062" w14:textId="781D61DD" w:rsidR="00DE1537" w:rsidRDefault="00DE1537">
            <w:pPr>
              <w:pStyle w:val="BoxTitle"/>
            </w:pPr>
            <w:r>
              <w:rPr>
                <w:b w:val="0"/>
              </w:rPr>
              <w:t>Box 5.</w:t>
            </w:r>
            <w:r>
              <w:rPr>
                <w:b w:val="0"/>
                <w:noProof/>
              </w:rPr>
              <w:t>7</w:t>
            </w:r>
            <w:r>
              <w:tab/>
              <w:t>Aggregators</w:t>
            </w:r>
          </w:p>
        </w:tc>
      </w:tr>
      <w:tr w:rsidR="00DE1537" w14:paraId="4968E29D" w14:textId="77777777" w:rsidTr="00343F3E">
        <w:trPr>
          <w:cantSplit/>
        </w:trPr>
        <w:tc>
          <w:tcPr>
            <w:tcW w:w="8771" w:type="dxa"/>
            <w:tcBorders>
              <w:top w:val="nil"/>
              <w:left w:val="nil"/>
              <w:bottom w:val="nil"/>
              <w:right w:val="nil"/>
            </w:tcBorders>
            <w:shd w:val="clear" w:color="auto" w:fill="F2F2F2" w:themeFill="background1" w:themeFillShade="F2"/>
          </w:tcPr>
          <w:p w14:paraId="12D173C0" w14:textId="0CF71D8F" w:rsidR="00DE1537" w:rsidRDefault="00DE1537" w:rsidP="00343F3E">
            <w:pPr>
              <w:pStyle w:val="Box"/>
            </w:pPr>
            <w:proofErr w:type="gramStart"/>
            <w:r w:rsidRPr="00234C1E">
              <w:t>Aggregator</w:t>
            </w:r>
            <w:r>
              <w:t>, or comparison websites, allow</w:t>
            </w:r>
            <w:proofErr w:type="gramEnd"/>
            <w:r>
              <w:t xml:space="preserve"> consumers to compare different financial products. Aggregators currently exist for a number of different financial products, including mortgages, savings accounts, health insurance and travel insurance </w:t>
            </w:r>
            <w:r w:rsidRPr="00C1508B">
              <w:rPr>
                <w:rFonts w:cs="Arial"/>
                <w:szCs w:val="24"/>
              </w:rPr>
              <w:t>(Murray et al. 2014b)</w:t>
            </w:r>
            <w:r>
              <w:t xml:space="preserve">. Aggregators can vary in the information they provide, from simple comparison of a few features to ‘live quote’ offerings </w:t>
            </w:r>
            <w:r w:rsidR="007C5656" w:rsidRPr="007C5656">
              <w:rPr>
                <w:rFonts w:cs="Arial"/>
                <w:szCs w:val="24"/>
              </w:rPr>
              <w:t>(Treasury 2014a)</w:t>
            </w:r>
            <w:r>
              <w:t>.</w:t>
            </w:r>
          </w:p>
          <w:p w14:paraId="08524267" w14:textId="3024E8AF" w:rsidR="00DE1537" w:rsidRDefault="00DE1537" w:rsidP="00343F3E">
            <w:pPr>
              <w:pStyle w:val="Box"/>
            </w:pPr>
            <w:r>
              <w:t xml:space="preserve">By allowing consumers to more easily compare different products, aggregators can reduce transaction costs and improve customers’ understanding of products, possibly leading to consumers purchasing a better suited product than they might otherwise have done. Aggregators can also increase price competition, and have successfully reduced prices in some markets such as the motor vehicle insurance market in the United Kingdom </w:t>
            </w:r>
            <w:r w:rsidR="007C5656" w:rsidRPr="007C5656">
              <w:rPr>
                <w:rFonts w:cs="Arial"/>
                <w:szCs w:val="24"/>
              </w:rPr>
              <w:t>(Treasury 2014a)</w:t>
            </w:r>
            <w:r>
              <w:t xml:space="preserve">. </w:t>
            </w:r>
          </w:p>
          <w:p w14:paraId="56CA1EFE" w14:textId="6895E0C6" w:rsidR="00DE1537" w:rsidRDefault="00DE1537" w:rsidP="00343F3E">
            <w:pPr>
              <w:pStyle w:val="Box"/>
            </w:pPr>
            <w:r>
              <w:t xml:space="preserve">However, aggregators are not currently used in the property insurance market in Australia </w:t>
            </w:r>
            <w:r w:rsidR="007C5656" w:rsidRPr="007C5656">
              <w:rPr>
                <w:rFonts w:cs="Arial"/>
                <w:szCs w:val="24"/>
              </w:rPr>
              <w:t>(Treasury 2014a)</w:t>
            </w:r>
            <w:r>
              <w:t xml:space="preserve">. This is at least partly due to insurers being reluctant to share product and pricing information with aggregators. The Financial System Inquiry interim report raised a number of options to address this, including aggregators using automated processes to obtain quotes from insurers’ websites, which would not give aggregators direct access to potentially commercially sensitive pricing models and information. Another option raised was for insurers to provide prices for a number of representative consumer categories. However, a disadvantage with this approach is that some consumers might not fit neatly into any of the categories developed </w:t>
            </w:r>
            <w:r w:rsidRPr="00C1508B">
              <w:rPr>
                <w:rFonts w:cs="Arial"/>
                <w:szCs w:val="24"/>
              </w:rPr>
              <w:t>(Murray et al. 2014b)</w:t>
            </w:r>
            <w:r>
              <w:t>.</w:t>
            </w:r>
          </w:p>
          <w:p w14:paraId="2313CB3F" w14:textId="77777777" w:rsidR="00DE1537" w:rsidRPr="00E14F58" w:rsidRDefault="00DE1537" w:rsidP="00343F3E">
            <w:pPr>
              <w:pStyle w:val="Box"/>
            </w:pPr>
            <w:r>
              <w:t>The relative merit of the aggregator model will depend on the complexity of the financial service being provided. One of the key barriers to developing meaningful aggregators for building and contents insurance policies is the complexity of these products. Building and contents insurance policies can vary greatly by a number of factors, such as which natural hazards are covered, and sub</w:t>
            </w:r>
            <w:r>
              <w:noBreakHyphen/>
              <w:t>limits on contents value insured. It could be difficult for an aggregator to provide enough information for the consumer to make an informed decision, while still providing the information in an easy</w:t>
            </w:r>
            <w:r>
              <w:noBreakHyphen/>
              <w:t>to</w:t>
            </w:r>
            <w:r>
              <w:noBreakHyphen/>
              <w:t xml:space="preserve">use format. There is also potential for consumers to put too much weight on price when using an aggregator, possibly leading them to purchasing the cheapest, but not necessarily the best suited product. </w:t>
            </w:r>
          </w:p>
        </w:tc>
      </w:tr>
      <w:tr w:rsidR="00DE1537" w14:paraId="0DAD96FD"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7CA79C0" w14:textId="77777777" w:rsidR="00DE1537" w:rsidRDefault="00DE1537">
            <w:pPr>
              <w:pStyle w:val="Box"/>
              <w:spacing w:before="0" w:line="120" w:lineRule="exact"/>
            </w:pPr>
          </w:p>
        </w:tc>
      </w:tr>
      <w:tr w:rsidR="00DE1537" w:rsidRPr="000863A5" w14:paraId="5247EEEF" w14:textId="77777777" w:rsidTr="00343F3E">
        <w:tc>
          <w:tcPr>
            <w:tcW w:w="8771" w:type="dxa"/>
            <w:tcBorders>
              <w:top w:val="single" w:sz="6" w:space="0" w:color="78A22F"/>
              <w:left w:val="nil"/>
              <w:bottom w:val="nil"/>
              <w:right w:val="nil"/>
            </w:tcBorders>
          </w:tcPr>
          <w:p w14:paraId="57863263" w14:textId="77777777" w:rsidR="00DE1537" w:rsidRPr="00626D32" w:rsidRDefault="00DE1537" w:rsidP="00343F3E">
            <w:pPr>
              <w:pStyle w:val="BoxSpaceBelow"/>
            </w:pPr>
          </w:p>
        </w:tc>
      </w:tr>
    </w:tbl>
    <w:p w14:paraId="2CA6210A" w14:textId="77777777" w:rsidR="00DE1537" w:rsidRDefault="00DE1537" w:rsidP="00343F3E">
      <w:pPr>
        <w:pStyle w:val="Heading3"/>
      </w:pPr>
      <w:r>
        <w:t>Moral hazard</w:t>
      </w:r>
    </w:p>
    <w:p w14:paraId="7C4E4AC8" w14:textId="77777777" w:rsidR="00DE1537" w:rsidRPr="00546B84" w:rsidRDefault="00DE1537" w:rsidP="00343F3E">
      <w:pPr>
        <w:pStyle w:val="BodyText"/>
      </w:pPr>
      <w:r>
        <w:t xml:space="preserve">Moral hazard is a form of information asymmetry that occurs when a party takes more risks because </w:t>
      </w:r>
      <w:r w:rsidRPr="006B5B37">
        <w:t xml:space="preserve">they expect that at least </w:t>
      </w:r>
      <w:r>
        <w:t xml:space="preserve">some of the costs of those risks will be borne by another party. Parties that do not face the full cost of their risks have less incentive to undertake effective risk management. </w:t>
      </w:r>
    </w:p>
    <w:p w14:paraId="6297C5CD" w14:textId="3057402B" w:rsidR="00DE1537" w:rsidRDefault="00DE1537" w:rsidP="00343F3E">
      <w:pPr>
        <w:pStyle w:val="BodyText"/>
      </w:pPr>
      <w:r>
        <w:lastRenderedPageBreak/>
        <w:t>Governments provide a number of types of financial assistance to households and businesses in the event of a natural disaster (supplementary paper 2). For example, households can receive payments including the Australian Government Disaster Recovery Payment and assistance under category A of the NDRRA. As well, small businesses and primary producers can receive loans and grants under categories B and C of the NDRRA. This financial assistance is designed to help with some of the shorter</w:t>
      </w:r>
      <w:r>
        <w:noBreakHyphen/>
        <w:t xml:space="preserve">term costs of a natural disaster, rather than providing compensation for losses to private assets </w:t>
      </w:r>
      <w:r>
        <w:br/>
      </w:r>
      <w:r w:rsidR="007C5656" w:rsidRPr="007C5656">
        <w:rPr>
          <w:szCs w:val="24"/>
        </w:rPr>
        <w:t>(Attorney-General’s Department 2012b)</w:t>
      </w:r>
      <w:r>
        <w:t xml:space="preserve">. </w:t>
      </w:r>
    </w:p>
    <w:p w14:paraId="738C3FEE" w14:textId="77777777" w:rsidR="00DE1537" w:rsidRDefault="00DE1537" w:rsidP="00343F3E">
      <w:pPr>
        <w:pStyle w:val="BodyText"/>
      </w:pPr>
      <w:r>
        <w:t xml:space="preserve">Some inquiry participants claimed that the NDRRA and other sources of financial assistance (such as charity relief funds) influence households’ and businesses’ decisions to take out insurance. For example, </w:t>
      </w:r>
      <w:r w:rsidRPr="00F84610">
        <w:t>Risk</w:t>
      </w:r>
      <w:r>
        <w:t xml:space="preserve"> Frontiers (sub. 19) submitted that there is anecdotal evidence of moral hazard, and cited a study it undertook after the Queensland and Victorian floods in 2011 that found few people were interested in flood proofing their house. In addition, Suncorp Group (sub. 71) suggested that the Australian Government Disaster Recovery Payment and the Disaster Recovery Allowance have occasionally influenced sum insured and insurance excess decisions, and reduced the overall level of insurance cover. The Actuaries Institute (sub. 97) claimed that post</w:t>
      </w:r>
      <w:r>
        <w:noBreakHyphen/>
        <w:t>event compensation from governments encourages people to be less self</w:t>
      </w:r>
      <w:r>
        <w:noBreakHyphen/>
        <w:t>reliant.</w:t>
      </w:r>
    </w:p>
    <w:p w14:paraId="667D9454" w14:textId="77777777" w:rsidR="00DE1537" w:rsidRDefault="00DE1537" w:rsidP="00343F3E">
      <w:pPr>
        <w:pStyle w:val="BodyText"/>
      </w:pPr>
      <w:r>
        <w:t xml:space="preserve">However, other participants argued that this is not the case. </w:t>
      </w:r>
      <w:proofErr w:type="gramStart"/>
      <w:r>
        <w:t>For example, the Far North Queensland Regional Organisation of Councils (sub. 36), the Government of South Australia (sub. 67), the Victorian Government (sub.</w:t>
      </w:r>
      <w:proofErr w:type="gramEnd"/>
      <w:r>
        <w:t xml:space="preserve"> DR215) and Local Government NSW (sub. 81) contended that the NDRRA do not influence household and business insurance decisions. The Australian Red Cross (sub. 56) argued that the amount of government assistance provided is too small to act as a disincentive to take out insurance. As well, emergency appeals are not likely to decrease insurance cover as they are not launched for all disasters and the level of assistance provided varies substantially. </w:t>
      </w:r>
    </w:p>
    <w:p w14:paraId="7AB058EB" w14:textId="70E75063" w:rsidR="00DE1537" w:rsidRPr="00EE61FA" w:rsidRDefault="00DE1537" w:rsidP="00343F3E">
      <w:pPr>
        <w:pStyle w:val="BodyText"/>
      </w:pPr>
      <w:r>
        <w:t xml:space="preserve">There is little empirical evidence of the effect of government assistance provided to households and businesses after a natural disaster on insurance coverage. One US study, using data on insurance contracts and disaster aid disbursements, found that a US$1 increase in average aid grants provided to households and businesses decreased average insurance coverage by about US$6 </w:t>
      </w:r>
      <w:r w:rsidRPr="00997452">
        <w:rPr>
          <w:szCs w:val="24"/>
        </w:rPr>
        <w:t>(Kousky, Michel-Kerjan and Raschky 2013)</w:t>
      </w:r>
      <w:r>
        <w:t xml:space="preserve">. Insurance markets and disaster funding arrangements in the United States and Australia are quite different, and it is not clear whether these results can be generalised to other countries such as Australia. </w:t>
      </w:r>
    </w:p>
    <w:p w14:paraId="5A50199E" w14:textId="77777777" w:rsidR="00DE1537" w:rsidRDefault="00DE1537" w:rsidP="00343F3E">
      <w:pPr>
        <w:pStyle w:val="BodyText"/>
      </w:pPr>
      <w:r>
        <w:t>Government</w:t>
      </w:r>
      <w:r>
        <w:noBreakHyphen/>
        <w:t xml:space="preserve">provided disaster relief payments could theoretically lead to some households and businesses reducing their insurance cover and undertaking less risk management activities. However, there is not any detailed evidence that relief payments do, or do not, lead to moral hazard. The amount of relief provided is generally small compared to the payout that would be received from an insurance claim. In addition, there is uncertainty about how much relief a household or business will receive in any given disaster event. If households and businesses do vary their insurance cover based on disaster relief payments, </w:t>
      </w:r>
      <w:r>
        <w:lastRenderedPageBreak/>
        <w:t xml:space="preserve">this could suggest that they do not have a good understanding of the funding they will receive and/or their insurance cover. </w:t>
      </w:r>
    </w:p>
    <w:p w14:paraId="4DF3B1F7" w14:textId="77777777" w:rsidR="00DE1537" w:rsidRDefault="00DE1537" w:rsidP="00343F3E">
      <w:pPr>
        <w:pStyle w:val="BodyText"/>
      </w:pPr>
      <w:r>
        <w:t>Some local governments raised concerns that there is an increasing expectation among households that local governments will undertake clean</w:t>
      </w:r>
      <w:r>
        <w:noBreakHyphen/>
        <w:t>up work after a natural disaster, which should be undertaken by asset owners. However, it would seem that some local governments themselves may be fuelling these expectations by cleaning up on private property (for example, Blue Mountains City Council (NSW), sub. 28). Governments should not undertake work that can and should be undertaken or arranged by households.</w:t>
      </w:r>
    </w:p>
    <w:p w14:paraId="18FF3C55" w14:textId="5F1233DD" w:rsidR="00DE1537" w:rsidRPr="00D35190" w:rsidRDefault="00DE1537" w:rsidP="00343F3E">
      <w:pPr>
        <w:pStyle w:val="Heading2"/>
      </w:pPr>
      <w:bookmarkStart w:id="70" w:name="_Toc406424339"/>
      <w:r>
        <w:t>5.</w:t>
      </w:r>
      <w:r>
        <w:rPr>
          <w:noProof/>
        </w:rPr>
        <w:t>5</w:t>
      </w:r>
      <w:r w:rsidRPr="00D35190">
        <w:tab/>
        <w:t>Insurance affordability and coverage</w:t>
      </w:r>
      <w:bookmarkEnd w:id="70"/>
    </w:p>
    <w:p w14:paraId="12BA3610" w14:textId="77777777" w:rsidR="00DE1537" w:rsidRPr="00170940" w:rsidRDefault="00DE1537" w:rsidP="00343F3E">
      <w:pPr>
        <w:pStyle w:val="BodyText"/>
      </w:pPr>
      <w:r w:rsidRPr="00D35190">
        <w:t xml:space="preserve">The issues discussed </w:t>
      </w:r>
      <w:r>
        <w:t xml:space="preserve">earlier </w:t>
      </w:r>
      <w:r w:rsidRPr="00D35190">
        <w:t xml:space="preserve">in </w:t>
      </w:r>
      <w:r>
        <w:t>this supplementary paper</w:t>
      </w:r>
      <w:r w:rsidRPr="00D35190">
        <w:t xml:space="preserve"> have resulted </w:t>
      </w:r>
      <w:r>
        <w:t>in some concerns about reduced affordability and coverage of insurance for households and businesses. This section discusses affordability and coverage issues, and whether they have arisen due to market distortions.</w:t>
      </w:r>
    </w:p>
    <w:p w14:paraId="0CB8CB99" w14:textId="77777777" w:rsidR="00DE1537" w:rsidRDefault="00DE1537" w:rsidP="00343F3E">
      <w:pPr>
        <w:pStyle w:val="Heading3"/>
      </w:pPr>
      <w:r>
        <w:t>Affordability</w:t>
      </w:r>
    </w:p>
    <w:p w14:paraId="28676082" w14:textId="77777777" w:rsidR="00DE1537" w:rsidRDefault="00DE1537" w:rsidP="00343F3E">
      <w:pPr>
        <w:pStyle w:val="BodyText"/>
      </w:pPr>
      <w:r>
        <w:t>The affordability of insurance is an important factor in insurance and risk management decisions more broadly. Increasing the cost of insurance, all else equal, can decrease the level of cover. Parties might not take out insurance where they would have done so at a lower cost.</w:t>
      </w:r>
    </w:p>
    <w:p w14:paraId="20EE3059" w14:textId="77777777" w:rsidR="00DE1537" w:rsidRDefault="00DE1537" w:rsidP="00343F3E">
      <w:pPr>
        <w:pStyle w:val="BodyText"/>
      </w:pPr>
      <w:r>
        <w:t xml:space="preserve">However, the cost of insurance being high is not a problem per se. Where high costs reflect the level of risk, this is an efficient outcome. Governments should avoid intervening in the market in this case, so as not to distort price signals. However, reduced affordability of insurance is a concern if it is due to market distortions, such as taxes, a lack of competition, or information asymmetry. Governments might also intervene in the market where there are equity concerns, such as people on low incomes facing large insurance costs. </w:t>
      </w:r>
    </w:p>
    <w:p w14:paraId="6CC186FE" w14:textId="7BF525E0" w:rsidR="00DE1537" w:rsidRDefault="00DE1537" w:rsidP="00343F3E">
      <w:pPr>
        <w:pStyle w:val="BodyText"/>
      </w:pPr>
      <w:r>
        <w:t xml:space="preserve">The price of property insurance has increased significantly in recent years for some policyholders and particularly in some geographic areas </w:t>
      </w:r>
      <w:r w:rsidR="007C5656" w:rsidRPr="007C5656">
        <w:rPr>
          <w:szCs w:val="24"/>
        </w:rPr>
        <w:t>(Treasury 2014a)</w:t>
      </w:r>
      <w:r>
        <w:t xml:space="preserve">. Since 2009, household building insurance premiums have increased by six times the increase in the consumer price index, and household contents insurance premiums have increased by twice the increase in the consumer price index (figure 5.1). Premiums appear to have increased more in some jurisdictions than others. Gross premiums incurred (which include new policies as well as price increases) by Australian insurers have increased at a faster rate in Queensland than in other states and territories between 2005 and 2013 </w:t>
      </w:r>
      <w:r w:rsidR="007C5656" w:rsidRPr="007C5656">
        <w:rPr>
          <w:szCs w:val="24"/>
        </w:rPr>
        <w:t>(APRA 2013a)</w:t>
      </w:r>
      <w:r>
        <w:t>. Insurance price increases do not appear to be due to increases in housing construction costs.</w:t>
      </w:r>
    </w:p>
    <w:p w14:paraId="5764B51C" w14:textId="77777777" w:rsidR="00DE1537" w:rsidRPr="00C363E9" w:rsidRDefault="00DE1537" w:rsidP="00343F3E">
      <w:pPr>
        <w:pStyle w:val="BodyText"/>
      </w:pPr>
      <w:r w:rsidRPr="00C363E9">
        <w:lastRenderedPageBreak/>
        <w:t>Inquiry participants raised a number of possible reasons for this increase, some of which have already been discussed in section </w:t>
      </w:r>
      <w:r>
        <w:t>5</w:t>
      </w:r>
      <w:r w:rsidRPr="00C363E9">
        <w:t xml:space="preserve">.4. </w:t>
      </w:r>
    </w:p>
    <w:p w14:paraId="4D84D028" w14:textId="77777777" w:rsidR="00DE1537" w:rsidRPr="00C363E9" w:rsidRDefault="00DE1537" w:rsidP="00343F3E">
      <w:pPr>
        <w:pStyle w:val="ListBullet"/>
      </w:pPr>
      <w:r w:rsidRPr="00C363E9">
        <w:t>The inclusion of flood cover has led to significant price increases in high</w:t>
      </w:r>
      <w:r w:rsidRPr="00C363E9">
        <w:noBreakHyphen/>
        <w:t>risk areas.</w:t>
      </w:r>
    </w:p>
    <w:p w14:paraId="7B327854" w14:textId="77777777" w:rsidR="00DE1537" w:rsidRPr="00C363E9" w:rsidRDefault="00DE1537" w:rsidP="00343F3E">
      <w:pPr>
        <w:pStyle w:val="ListBullet"/>
      </w:pPr>
      <w:r w:rsidRPr="00C363E9">
        <w:t>Improvements in information on natural hazards have led t</w:t>
      </w:r>
      <w:r>
        <w:t>o insurers better pricing risks</w:t>
      </w:r>
      <w:r w:rsidRPr="00C363E9">
        <w:t xml:space="preserve"> </w:t>
      </w:r>
      <w:r>
        <w:t xml:space="preserve">and </w:t>
      </w:r>
      <w:r w:rsidRPr="00C363E9">
        <w:t>increasing prices particularly in high</w:t>
      </w:r>
      <w:r w:rsidRPr="00C363E9">
        <w:noBreakHyphen/>
        <w:t>risk locations.</w:t>
      </w:r>
    </w:p>
    <w:p w14:paraId="5A3F1AA3" w14:textId="77777777" w:rsidR="00DE1537" w:rsidRDefault="00DE1537" w:rsidP="00343F3E">
      <w:pPr>
        <w:pStyle w:val="ListBullet"/>
      </w:pPr>
      <w:r w:rsidRPr="00C363E9">
        <w:t>The large natural disasters in recent years have increased insurers’</w:t>
      </w:r>
      <w:r>
        <w:t xml:space="preserve"> costs, which have been passed onto policyholders in the form of higher prices.</w:t>
      </w:r>
    </w:p>
    <w:p w14:paraId="41EDBD40" w14:textId="77777777" w:rsidR="00DE1537" w:rsidRPr="00E13257" w:rsidRDefault="00DE1537" w:rsidP="00343F3E">
      <w:pPr>
        <w:pStyle w:val="ListBullet"/>
        <w:rPr>
          <w:i/>
        </w:rPr>
      </w:pPr>
      <w:r>
        <w:t>Increased regulatory and prudential requirements imposed on insurance companies have increased their costs.</w:t>
      </w:r>
    </w:p>
    <w:p w14:paraId="58821884" w14:textId="77777777" w:rsidR="00DE1537" w:rsidRDefault="00DE1537" w:rsidP="00343F3E">
      <w:pPr>
        <w:pStyle w:val="ListBullet"/>
      </w:pPr>
      <w:r w:rsidRPr="00ED3DBB">
        <w:t>Increased reinsurance costs have led to higher insurance premiums. In addition, insurers are increasingly allocating reinsurance costs in line with underlying risks, contribu</w:t>
      </w:r>
      <w:r>
        <w:t>ting to premium increases in high</w:t>
      </w:r>
      <w:r>
        <w:noBreakHyphen/>
      </w:r>
      <w:r w:rsidRPr="00ED3DBB">
        <w:t>risk areas (</w:t>
      </w:r>
      <w:r>
        <w:t>FMA</w:t>
      </w:r>
      <w:r w:rsidRPr="00ED3DBB">
        <w:t xml:space="preserve">, sub. 79; </w:t>
      </w:r>
      <w:r>
        <w:t>IAG</w:t>
      </w:r>
      <w:r w:rsidRPr="00ED3DBB">
        <w:t>, sub. 24; Lake Macquarie City Council</w:t>
      </w:r>
      <w:r>
        <w:t xml:space="preserve"> (NSW)</w:t>
      </w:r>
      <w:r w:rsidRPr="00ED3DBB">
        <w:t>, sub. 74; QBE, sub. 63; Suncorp</w:t>
      </w:r>
      <w:r>
        <w:t xml:space="preserve"> Group</w:t>
      </w:r>
      <w:r w:rsidRPr="00ED3DBB">
        <w:t>, sub. 71; Treasury, sub. 91).</w:t>
      </w:r>
    </w:p>
    <w:p w14:paraId="11F358BF"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63931BA" w14:textId="77777777" w:rsidTr="00343F3E">
        <w:tc>
          <w:tcPr>
            <w:tcW w:w="8771" w:type="dxa"/>
            <w:tcBorders>
              <w:top w:val="single" w:sz="6" w:space="0" w:color="78A22F"/>
              <w:left w:val="nil"/>
              <w:bottom w:val="nil"/>
              <w:right w:val="nil"/>
            </w:tcBorders>
            <w:shd w:val="clear" w:color="auto" w:fill="auto"/>
          </w:tcPr>
          <w:p w14:paraId="3FA0543B" w14:textId="420AD08C" w:rsidR="00DE1537" w:rsidRDefault="00DE1537" w:rsidP="00343F3E">
            <w:pPr>
              <w:pStyle w:val="FigureTitle"/>
            </w:pPr>
            <w:r w:rsidRPr="00784A05">
              <w:rPr>
                <w:b w:val="0"/>
              </w:rPr>
              <w:t xml:space="preserve">Figure </w:t>
            </w:r>
            <w:r>
              <w:rPr>
                <w:b w:val="0"/>
              </w:rPr>
              <w:t>5.</w:t>
            </w:r>
            <w:r>
              <w:rPr>
                <w:b w:val="0"/>
                <w:noProof/>
              </w:rPr>
              <w:t>1</w:t>
            </w:r>
            <w:r>
              <w:tab/>
              <w:t>Indexes of residential insurance and consumer prices</w:t>
            </w:r>
          </w:p>
          <w:p w14:paraId="04CC21CC" w14:textId="77777777" w:rsidR="00DE1537" w:rsidRPr="0073086D" w:rsidRDefault="00DE1537" w:rsidP="00343F3E">
            <w:pPr>
              <w:pStyle w:val="Subtitle"/>
            </w:pPr>
            <w:r>
              <w:t>June 2003 = 100</w:t>
            </w:r>
          </w:p>
        </w:tc>
      </w:tr>
      <w:tr w:rsidR="00DE1537" w14:paraId="3940BB23"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4EF9813F" w14:textId="77777777" w:rsidTr="00343F3E">
              <w:tc>
                <w:tcPr>
                  <w:tcW w:w="5000" w:type="pct"/>
                  <w:tcBorders>
                    <w:top w:val="nil"/>
                    <w:bottom w:val="nil"/>
                  </w:tcBorders>
                </w:tcPr>
                <w:p w14:paraId="7B358342" w14:textId="77777777" w:rsidR="00DE1537" w:rsidRDefault="00DE1537" w:rsidP="00343F3E">
                  <w:pPr>
                    <w:pStyle w:val="Figure"/>
                    <w:spacing w:before="60" w:after="60"/>
                  </w:pPr>
                  <w:r>
                    <w:rPr>
                      <w:noProof/>
                    </w:rPr>
                    <w:drawing>
                      <wp:inline distT="0" distB="0" distL="0" distR="0" wp14:anchorId="46A07192" wp14:editId="1431CAA7">
                        <wp:extent cx="5400675" cy="2876550"/>
                        <wp:effectExtent l="0" t="0" r="9525" b="0"/>
                        <wp:docPr id="27" name="Picture 27" descr="This figured shows how the consumer price index and home building and home contents insurance prices changed between June 2003 and June 2013. It shows that both home building and home contents prices increased faster than the consumer price index over the period, especially home building prices." title="Figure 5.1 Indexed insurance prices and the consumer price 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54E03AE8" w14:textId="77777777" w:rsidR="00DE1537" w:rsidRDefault="00DE1537" w:rsidP="00343F3E">
            <w:pPr>
              <w:pStyle w:val="Figure"/>
            </w:pPr>
          </w:p>
        </w:tc>
      </w:tr>
      <w:tr w:rsidR="00DE1537" w:rsidRPr="00176D3F" w14:paraId="60358624" w14:textId="77777777" w:rsidTr="00343F3E">
        <w:tc>
          <w:tcPr>
            <w:tcW w:w="8771" w:type="dxa"/>
            <w:tcBorders>
              <w:top w:val="nil"/>
              <w:left w:val="nil"/>
              <w:bottom w:val="nil"/>
              <w:right w:val="nil"/>
            </w:tcBorders>
            <w:shd w:val="clear" w:color="auto" w:fill="auto"/>
          </w:tcPr>
          <w:p w14:paraId="0357F3ED" w14:textId="77777777" w:rsidR="00DE1537" w:rsidRPr="00176D3F" w:rsidRDefault="00DE1537" w:rsidP="00343F3E">
            <w:pPr>
              <w:pStyle w:val="Source"/>
            </w:pPr>
            <w:r>
              <w:rPr>
                <w:i/>
              </w:rPr>
              <w:t>S</w:t>
            </w:r>
            <w:r w:rsidRPr="00784A05">
              <w:rPr>
                <w:i/>
              </w:rPr>
              <w:t>ource</w:t>
            </w:r>
            <w:r w:rsidRPr="00176D3F">
              <w:t xml:space="preserve">: </w:t>
            </w:r>
            <w:r>
              <w:t>Treasury (sub. 91).</w:t>
            </w:r>
          </w:p>
        </w:tc>
      </w:tr>
      <w:tr w:rsidR="00DE1537" w14:paraId="2EBC3C40" w14:textId="77777777" w:rsidTr="00343F3E">
        <w:tc>
          <w:tcPr>
            <w:tcW w:w="8771" w:type="dxa"/>
            <w:tcBorders>
              <w:top w:val="nil"/>
              <w:left w:val="nil"/>
              <w:bottom w:val="single" w:sz="6" w:space="0" w:color="78A22F"/>
              <w:right w:val="nil"/>
            </w:tcBorders>
            <w:shd w:val="clear" w:color="auto" w:fill="auto"/>
          </w:tcPr>
          <w:p w14:paraId="0067F204" w14:textId="77777777" w:rsidR="00DE1537" w:rsidRDefault="00DE1537" w:rsidP="00343F3E">
            <w:pPr>
              <w:pStyle w:val="Figurespace"/>
            </w:pPr>
          </w:p>
        </w:tc>
      </w:tr>
      <w:tr w:rsidR="00DE1537" w:rsidRPr="000863A5" w14:paraId="3342D05E" w14:textId="77777777" w:rsidTr="00343F3E">
        <w:tc>
          <w:tcPr>
            <w:tcW w:w="8771" w:type="dxa"/>
            <w:tcBorders>
              <w:top w:val="single" w:sz="6" w:space="0" w:color="78A22F"/>
              <w:left w:val="nil"/>
              <w:bottom w:val="nil"/>
              <w:right w:val="nil"/>
            </w:tcBorders>
          </w:tcPr>
          <w:p w14:paraId="066030F5" w14:textId="77777777" w:rsidR="00DE1537" w:rsidRPr="00626D32" w:rsidRDefault="00DE1537" w:rsidP="00343F3E">
            <w:pPr>
              <w:pStyle w:val="BoxSpaceBelow"/>
            </w:pPr>
          </w:p>
        </w:tc>
      </w:tr>
    </w:tbl>
    <w:p w14:paraId="254063D1" w14:textId="77777777" w:rsidR="00DE1537" w:rsidRDefault="00DE1537" w:rsidP="00343F3E">
      <w:pPr>
        <w:pStyle w:val="BodyText"/>
      </w:pPr>
      <w:r>
        <w:t>Inquiry participants raised a number of concerns about the consequences of high insurance costs, especially in high</w:t>
      </w:r>
      <w:r>
        <w:noBreakHyphen/>
        <w:t>risk areas and for people on low incomes.</w:t>
      </w:r>
    </w:p>
    <w:p w14:paraId="32420F36" w14:textId="77777777" w:rsidR="00DE1537" w:rsidRDefault="00DE1537" w:rsidP="00343F3E">
      <w:pPr>
        <w:pStyle w:val="Quote"/>
      </w:pPr>
      <w:r>
        <w:t>There are areas [in far north Queensland] now where home owners cannot get home insurance and where it can be obtained, it is just too expensive. As a result a larger number of homes in the Far North are now uninsured. (Tablelands Regional Council (Qld), sub. 40, p. 5)</w:t>
      </w:r>
    </w:p>
    <w:p w14:paraId="2B4E4CA1" w14:textId="77777777" w:rsidR="00DE1537" w:rsidRDefault="00DE1537" w:rsidP="00343F3E">
      <w:pPr>
        <w:pStyle w:val="Quote"/>
      </w:pPr>
      <w:r w:rsidRPr="00FB1C6B">
        <w:lastRenderedPageBreak/>
        <w:t>In some parts of Australia, especially North Queensland, there is major community concern about the cost of property insurance.</w:t>
      </w:r>
      <w:r>
        <w:t xml:space="preserve"> … These concerns indicate that the cost of insurance (ie the cost of funding the pool) has reached levels that are unacceptable to the community, and may well be unaffordable to many property owners. If they chose to not continue with their insurance, they expose themselves to significant personal loss, including the potential loss of their family home. (NIBA, sub. 64, p. 6)</w:t>
      </w:r>
    </w:p>
    <w:p w14:paraId="75DE974C" w14:textId="77777777" w:rsidR="00DE1537" w:rsidRPr="006B5B37" w:rsidRDefault="00DE1537" w:rsidP="00343F3E">
      <w:pPr>
        <w:pStyle w:val="Quote"/>
      </w:pPr>
      <w:r w:rsidRPr="006B5B37">
        <w:t>Due to the affordability issue being experienced by many people in NQ, the approach following previous cyclones and Government hands outs is, as outlined above, to either:</w:t>
      </w:r>
    </w:p>
    <w:p w14:paraId="775F4481" w14:textId="77777777" w:rsidR="00DE1537" w:rsidRPr="006B5B37" w:rsidRDefault="00DE1537" w:rsidP="00343F3E">
      <w:pPr>
        <w:pStyle w:val="QuoteBullet"/>
      </w:pPr>
      <w:r w:rsidRPr="006B5B37">
        <w:t>Cease insurance cover in full</w:t>
      </w:r>
    </w:p>
    <w:p w14:paraId="1CD3F97C" w14:textId="77777777" w:rsidR="00DE1537" w:rsidRPr="006B5B37" w:rsidRDefault="00DE1537" w:rsidP="00343F3E">
      <w:pPr>
        <w:pStyle w:val="QuoteBullet"/>
      </w:pPr>
      <w:r w:rsidRPr="006B5B37">
        <w:t>Reduce sums insured to make the premium affordable, but expose themselves to coinsurance issues in the event of a claim.</w:t>
      </w:r>
    </w:p>
    <w:p w14:paraId="0B16BDD3" w14:textId="77777777" w:rsidR="00DE1537" w:rsidRDefault="00DE1537" w:rsidP="00343F3E">
      <w:pPr>
        <w:pStyle w:val="QuoteBullet"/>
      </w:pPr>
      <w:r w:rsidRPr="006B5B37">
        <w:t xml:space="preserve">Increase excesses and take the risk themselves. (Philip Stace, sub. DR135, </w:t>
      </w:r>
      <w:r>
        <w:t>p</w:t>
      </w:r>
      <w:r w:rsidRPr="006B5B37">
        <w:t>p. 5–6)</w:t>
      </w:r>
    </w:p>
    <w:p w14:paraId="027D0ED7" w14:textId="77777777" w:rsidR="00DE1537" w:rsidRDefault="00DE1537" w:rsidP="00343F3E">
      <w:pPr>
        <w:pStyle w:val="BodyText"/>
      </w:pPr>
      <w:r>
        <w:t>There is further concern that the most significant premium increases have occurred in regional areas. Many of these areas are relatively disadvantaged compared to metropolitan areas. For example, a higher percentage of people from low socio</w:t>
      </w:r>
      <w:r>
        <w:noBreakHyphen/>
        <w:t>economic areas live in high flood</w:t>
      </w:r>
      <w:r>
        <w:noBreakHyphen/>
        <w:t>risk areas (Actuaries Institute, sub. 97) (figure 5.2). Therefore, price increases are occurring in areas where people have less capacity to afford such increases.</w:t>
      </w:r>
    </w:p>
    <w:p w14:paraId="12AEF0A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2696793" w14:textId="77777777" w:rsidTr="00343F3E">
        <w:tc>
          <w:tcPr>
            <w:tcW w:w="8771" w:type="dxa"/>
            <w:tcBorders>
              <w:top w:val="single" w:sz="6" w:space="0" w:color="78A22F"/>
              <w:left w:val="nil"/>
              <w:bottom w:val="nil"/>
              <w:right w:val="nil"/>
            </w:tcBorders>
            <w:shd w:val="clear" w:color="auto" w:fill="auto"/>
          </w:tcPr>
          <w:p w14:paraId="5C52E008" w14:textId="68581454" w:rsidR="00DE1537" w:rsidRPr="00176D3F" w:rsidRDefault="00DE1537" w:rsidP="00343F3E">
            <w:pPr>
              <w:pStyle w:val="FigureTitle"/>
            </w:pPr>
            <w:r w:rsidRPr="00784A05">
              <w:rPr>
                <w:b w:val="0"/>
              </w:rPr>
              <w:t xml:space="preserve">Figure </w:t>
            </w:r>
            <w:r>
              <w:rPr>
                <w:b w:val="0"/>
              </w:rPr>
              <w:t>5.</w:t>
            </w:r>
            <w:r>
              <w:rPr>
                <w:b w:val="0"/>
                <w:noProof/>
              </w:rPr>
              <w:t>2</w:t>
            </w:r>
            <w:r>
              <w:tab/>
              <w:t>Proportion of addresses by level of flood risk and socio</w:t>
            </w:r>
            <w:r>
              <w:noBreakHyphen/>
              <w:t>economic status</w:t>
            </w:r>
            <w:r w:rsidRPr="00A62995">
              <w:rPr>
                <w:rStyle w:val="NoteLabel"/>
                <w:b/>
              </w:rPr>
              <w:t>a</w:t>
            </w:r>
          </w:p>
        </w:tc>
      </w:tr>
      <w:tr w:rsidR="00DE1537" w14:paraId="77734D0F"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246A6776" w14:textId="77777777" w:rsidTr="00343F3E">
              <w:tc>
                <w:tcPr>
                  <w:tcW w:w="5000" w:type="pct"/>
                  <w:tcBorders>
                    <w:top w:val="nil"/>
                    <w:bottom w:val="nil"/>
                  </w:tcBorders>
                </w:tcPr>
                <w:p w14:paraId="50B755FB" w14:textId="77777777" w:rsidR="00DE1537" w:rsidRDefault="00DE1537" w:rsidP="00343F3E">
                  <w:pPr>
                    <w:pStyle w:val="Figure"/>
                    <w:spacing w:before="60" w:after="60"/>
                  </w:pPr>
                  <w:r>
                    <w:rPr>
                      <w:noProof/>
                    </w:rPr>
                    <w:drawing>
                      <wp:inline distT="0" distB="0" distL="0" distR="0" wp14:anchorId="55382FA0" wp14:editId="6787E77D">
                        <wp:extent cx="5400675" cy="2876550"/>
                        <wp:effectExtent l="0" t="0" r="9525" b="0"/>
                        <wp:docPr id="28" name="Picture 28" descr="This figure shows that proportion of addresses categorised as extreme, high, some and negligible flood risk and by Socio-Economic indexes for Areas quintiles, which given an indication of socio-economic status. It shows that people of higher socio-economic status are relatively more likely to live in areas with negligible flood risk and people of lower socio-economic status are relatively more likely to live in areas with high or some flood risk." title="Figure 5.2 Proportion of addresses by level of flood risk and Socio Economic Indexes for Areas quint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210FD536" w14:textId="77777777" w:rsidR="00DE1537" w:rsidRDefault="00DE1537" w:rsidP="00343F3E">
            <w:pPr>
              <w:pStyle w:val="Figure"/>
            </w:pPr>
          </w:p>
        </w:tc>
      </w:tr>
      <w:tr w:rsidR="00DE1537" w:rsidRPr="00176D3F" w14:paraId="0DBDE39D" w14:textId="77777777" w:rsidTr="00343F3E">
        <w:tc>
          <w:tcPr>
            <w:tcW w:w="8771" w:type="dxa"/>
            <w:tcBorders>
              <w:top w:val="nil"/>
              <w:left w:val="nil"/>
              <w:bottom w:val="nil"/>
              <w:right w:val="nil"/>
            </w:tcBorders>
            <w:shd w:val="clear" w:color="auto" w:fill="auto"/>
          </w:tcPr>
          <w:p w14:paraId="1D602D7D" w14:textId="77777777" w:rsidR="00DE1537" w:rsidRPr="00176D3F" w:rsidRDefault="00DE1537" w:rsidP="00343F3E">
            <w:pPr>
              <w:pStyle w:val="Note"/>
            </w:pPr>
            <w:proofErr w:type="gramStart"/>
            <w:r>
              <w:rPr>
                <w:rStyle w:val="NoteLabel"/>
              </w:rPr>
              <w:t>a</w:t>
            </w:r>
            <w:proofErr w:type="gramEnd"/>
            <w:r>
              <w:t xml:space="preserve"> Socio</w:t>
            </w:r>
            <w:r>
              <w:noBreakHyphen/>
              <w:t>economic status is measured by the Socio</w:t>
            </w:r>
            <w:r>
              <w:noBreakHyphen/>
              <w:t>Economic Indexes for Areas. The Q1 quintile is defined as the most disadvantaged and the Q5 quintile is defined as the least disadvantaged.</w:t>
            </w:r>
          </w:p>
        </w:tc>
      </w:tr>
      <w:tr w:rsidR="00DE1537" w:rsidRPr="00176D3F" w14:paraId="2F8B20A7" w14:textId="77777777" w:rsidTr="00343F3E">
        <w:tc>
          <w:tcPr>
            <w:tcW w:w="8771" w:type="dxa"/>
            <w:tcBorders>
              <w:top w:val="nil"/>
              <w:left w:val="nil"/>
              <w:bottom w:val="nil"/>
              <w:right w:val="nil"/>
            </w:tcBorders>
            <w:shd w:val="clear" w:color="auto" w:fill="auto"/>
          </w:tcPr>
          <w:p w14:paraId="48D1B149" w14:textId="76094CE0" w:rsidR="00DE1537" w:rsidRPr="00176D3F" w:rsidRDefault="00DE1537" w:rsidP="00343F3E">
            <w:pPr>
              <w:pStyle w:val="Source"/>
            </w:pPr>
            <w:r>
              <w:rPr>
                <w:i/>
              </w:rPr>
              <w:t>S</w:t>
            </w:r>
            <w:r w:rsidRPr="00784A05">
              <w:rPr>
                <w:i/>
              </w:rPr>
              <w:t>ource</w:t>
            </w:r>
            <w:r w:rsidRPr="00176D3F">
              <w:t xml:space="preserve">: </w:t>
            </w:r>
            <w:r>
              <w:t xml:space="preserve">Finity Consulting </w:t>
            </w:r>
            <w:r w:rsidRPr="008529B5">
              <w:rPr>
                <w:rFonts w:cs="Arial"/>
              </w:rPr>
              <w:t>(2013)</w:t>
            </w:r>
            <w:r>
              <w:t>.</w:t>
            </w:r>
          </w:p>
        </w:tc>
      </w:tr>
      <w:tr w:rsidR="00DE1537" w14:paraId="7E081A8C" w14:textId="77777777" w:rsidTr="00343F3E">
        <w:tc>
          <w:tcPr>
            <w:tcW w:w="8771" w:type="dxa"/>
            <w:tcBorders>
              <w:top w:val="nil"/>
              <w:left w:val="nil"/>
              <w:bottom w:val="single" w:sz="6" w:space="0" w:color="78A22F"/>
              <w:right w:val="nil"/>
            </w:tcBorders>
            <w:shd w:val="clear" w:color="auto" w:fill="auto"/>
          </w:tcPr>
          <w:p w14:paraId="07706610" w14:textId="77777777" w:rsidR="00DE1537" w:rsidRDefault="00DE1537" w:rsidP="00343F3E">
            <w:pPr>
              <w:pStyle w:val="Figurespace"/>
            </w:pPr>
          </w:p>
        </w:tc>
      </w:tr>
      <w:tr w:rsidR="00DE1537" w:rsidRPr="000863A5" w14:paraId="56B0B690" w14:textId="77777777" w:rsidTr="00343F3E">
        <w:tc>
          <w:tcPr>
            <w:tcW w:w="8771" w:type="dxa"/>
            <w:tcBorders>
              <w:top w:val="single" w:sz="6" w:space="0" w:color="78A22F"/>
              <w:left w:val="nil"/>
              <w:bottom w:val="nil"/>
              <w:right w:val="nil"/>
            </w:tcBorders>
          </w:tcPr>
          <w:p w14:paraId="17EF698B" w14:textId="77777777" w:rsidR="00DE1537" w:rsidRPr="00626D32" w:rsidRDefault="00DE1537" w:rsidP="00343F3E">
            <w:pPr>
              <w:pStyle w:val="BoxSpaceBelow"/>
            </w:pPr>
          </w:p>
        </w:tc>
      </w:tr>
    </w:tbl>
    <w:p w14:paraId="54588D93" w14:textId="0A502A01" w:rsidR="00DE1537" w:rsidRDefault="00DE1537" w:rsidP="00343F3E">
      <w:pPr>
        <w:pStyle w:val="BodyText"/>
      </w:pPr>
      <w:r>
        <w:lastRenderedPageBreak/>
        <w:t>A number of studies have looked at insurance affordability for low</w:t>
      </w:r>
      <w:r>
        <w:noBreakHyphen/>
        <w:t xml:space="preserve">income households. Collins </w:t>
      </w:r>
      <w:r w:rsidRPr="005E6471">
        <w:t>(2011)</w:t>
      </w:r>
      <w:r>
        <w:t xml:space="preserve"> and Sheehan and Renouf </w:t>
      </w:r>
      <w:r w:rsidRPr="00451977">
        <w:t>(2006)</w:t>
      </w:r>
      <w:r>
        <w:t xml:space="preserve"> found that affordability was the greatest barrier to people on low incomes having adequate insurance cover. Other barriers included inappropriate payment methods and insurance products that have minimum sums insured that are too high. Collins </w:t>
      </w:r>
      <w:r w:rsidRPr="00B63FF8">
        <w:t>(2011)</w:t>
      </w:r>
      <w:r>
        <w:t xml:space="preserve"> suggested that the community sector, insurers, government and housing providers should work together to produce insurance products for the low income market, as well as improving information accessibility and advice. Sheehan and Renouf </w:t>
      </w:r>
      <w:r w:rsidRPr="00B63FF8">
        <w:t>(2006)</w:t>
      </w:r>
      <w:r>
        <w:t xml:space="preserve"> suggested that the insurance industry could address affordability issues by allowing fortnightly payments, providing payment options that are convenient for people on low incomes, providing a more appropriate minimum level of cover and providing more options for payment of excess.</w:t>
      </w:r>
    </w:p>
    <w:p w14:paraId="643C2361" w14:textId="01AB0256" w:rsidR="00DE1537" w:rsidRDefault="00DE1537" w:rsidP="00343F3E">
      <w:pPr>
        <w:pStyle w:val="BodyText"/>
      </w:pPr>
      <w:r w:rsidRPr="006B5B37">
        <w:t xml:space="preserve">A report by Collins </w:t>
      </w:r>
      <w:r w:rsidRPr="006A308E">
        <w:t>(2013)</w:t>
      </w:r>
      <w:r w:rsidRPr="006B5B37">
        <w:t xml:space="preserve"> for Good Shepherd Microfinance found that there was a pressing need to increase access and affordability of home contents insurance for people on low incomes. It </w:t>
      </w:r>
      <w:r>
        <w:t>suggested</w:t>
      </w:r>
      <w:r w:rsidRPr="006B5B37">
        <w:t xml:space="preserve"> a range of option</w:t>
      </w:r>
      <w:r>
        <w:t>s</w:t>
      </w:r>
      <w:r w:rsidRPr="006B5B37">
        <w:t xml:space="preserve"> for improving access and affordability including implementing fortnightly payments, community rated policies, group insurance, community</w:t>
      </w:r>
      <w:r>
        <w:t xml:space="preserve"> sector distribution, not means</w:t>
      </w:r>
      <w:r>
        <w:noBreakHyphen/>
      </w:r>
      <w:r w:rsidRPr="006B5B37">
        <w:t xml:space="preserve">testing policies and online sales. Suncorp Group and Good Shepherd Microfinance recently formed a partnership to deliver home contents insurance products </w:t>
      </w:r>
      <w:r>
        <w:t xml:space="preserve">specifically designed </w:t>
      </w:r>
      <w:r w:rsidRPr="006B5B37">
        <w:t xml:space="preserve">for people on low incomes who are renting </w:t>
      </w:r>
      <w:r w:rsidRPr="006A308E">
        <w:rPr>
          <w:szCs w:val="24"/>
        </w:rPr>
        <w:t>(Good Shepherd Microfinance and Suncorp Group </w:t>
      </w:r>
      <w:r w:rsidRPr="003258A1">
        <w:rPr>
          <w:szCs w:val="24"/>
        </w:rPr>
        <w:t>2014; Suncorp Group, sub. DR176)</w:t>
      </w:r>
      <w:r w:rsidRPr="006B5B37">
        <w:t>.</w:t>
      </w:r>
      <w:r>
        <w:t xml:space="preserve"> </w:t>
      </w:r>
      <w:r w:rsidRPr="006B5B37">
        <w:t xml:space="preserve">Some inquiry participants have </w:t>
      </w:r>
      <w:r>
        <w:t xml:space="preserve">also </w:t>
      </w:r>
      <w:r w:rsidRPr="006B5B37">
        <w:t>suggested that direct government intervention such as through an insurance pooling scheme and/or subsidising premiums might be warranted to address affordability issues in high risk areas (for example, Philip Stace, sub.</w:t>
      </w:r>
      <w:r>
        <w:t> </w:t>
      </w:r>
      <w:proofErr w:type="gramStart"/>
      <w:r w:rsidRPr="006B5B37">
        <w:t>DR135; NIBA, sub.</w:t>
      </w:r>
      <w:proofErr w:type="gramEnd"/>
      <w:r>
        <w:t> </w:t>
      </w:r>
      <w:r w:rsidRPr="006B5B37">
        <w:t>DR150).</w:t>
      </w:r>
      <w:r>
        <w:t xml:space="preserve"> </w:t>
      </w:r>
    </w:p>
    <w:p w14:paraId="72263E6A" w14:textId="77777777" w:rsidR="00DE1537" w:rsidRPr="00ED3DBB" w:rsidRDefault="00DE1537" w:rsidP="00343F3E">
      <w:pPr>
        <w:pStyle w:val="BodyText"/>
      </w:pPr>
      <w:r>
        <w:t>Apart from insurance taxes and some limitations in information used by insurers to price risk, the Commission has not identified any major distortions in the property insurance market that might lead to significantly higher prices. Intervention by governments, for example, through subsidies to reduce the premiums of high</w:t>
      </w:r>
      <w:r>
        <w:noBreakHyphen/>
        <w:t xml:space="preserve">risk customers, is not warranted. </w:t>
      </w:r>
      <w:r w:rsidRPr="00ED3DBB">
        <w:t xml:space="preserve">Subsidies </w:t>
      </w:r>
      <w:r>
        <w:t>dull</w:t>
      </w:r>
      <w:r w:rsidRPr="00ED3DBB">
        <w:t xml:space="preserve"> the price signals sent to policyholders, reducing the marginal incentive to undertake mitigation measures that could decrease natural disaster risk. </w:t>
      </w:r>
    </w:p>
    <w:p w14:paraId="40356437" w14:textId="77777777" w:rsidR="00DE1537" w:rsidRDefault="00DE1537" w:rsidP="00343F3E">
      <w:pPr>
        <w:pStyle w:val="BodyText"/>
      </w:pPr>
      <w:r>
        <w:t>R</w:t>
      </w:r>
      <w:r w:rsidRPr="00ED3DBB">
        <w:t>emoving or reducing distortions in the market</w:t>
      </w:r>
      <w:r>
        <w:t xml:space="preserve"> would be more effective</w:t>
      </w:r>
      <w:r w:rsidRPr="00ED3DBB">
        <w:t>. For example, re</w:t>
      </w:r>
      <w:r>
        <w:t>placing</w:t>
      </w:r>
      <w:r w:rsidRPr="00ED3DBB">
        <w:t xml:space="preserve"> </w:t>
      </w:r>
      <w:r>
        <w:t xml:space="preserve">specific </w:t>
      </w:r>
      <w:r w:rsidRPr="00ED3DBB">
        <w:t xml:space="preserve">taxes and levies on insurance premiums </w:t>
      </w:r>
      <w:r>
        <w:t xml:space="preserve">with less distortionary revenue sources </w:t>
      </w:r>
      <w:r w:rsidRPr="00ED3DBB">
        <w:t>would reduce the price of insurance and improve affordability (section </w:t>
      </w:r>
      <w:r>
        <w:t>5</w:t>
      </w:r>
      <w:r w:rsidRPr="00ED3DBB">
        <w:t>.</w:t>
      </w:r>
      <w:r>
        <w:t>4</w:t>
      </w:r>
      <w:r w:rsidRPr="00ED3DBB">
        <w:t xml:space="preserve">). In addition, </w:t>
      </w:r>
      <w:r>
        <w:t>implementing effective risk management through land use</w:t>
      </w:r>
      <w:r w:rsidRPr="00ED3DBB">
        <w:t xml:space="preserve"> planning and building regulations so that development in high</w:t>
      </w:r>
      <w:r>
        <w:noBreakHyphen/>
      </w:r>
      <w:r w:rsidRPr="00ED3DBB">
        <w:t>risk areas is limited would reduce the costs of natural disasters, including insurance costs</w:t>
      </w:r>
      <w:r>
        <w:t xml:space="preserve">, albeit largely for </w:t>
      </w:r>
      <w:proofErr w:type="gramStart"/>
      <w:r>
        <w:t>greenfield</w:t>
      </w:r>
      <w:proofErr w:type="gramEnd"/>
      <w:r>
        <w:t xml:space="preserve"> development and construction</w:t>
      </w:r>
      <w:r w:rsidRPr="00ED3DBB">
        <w:t xml:space="preserve"> (supplementary paper</w:t>
      </w:r>
      <w:r>
        <w:t> 6).</w:t>
      </w:r>
    </w:p>
    <w:p w14:paraId="5B52679F" w14:textId="77777777" w:rsidR="00DE1537" w:rsidRPr="008A0061" w:rsidRDefault="00DE1537" w:rsidP="00343F3E">
      <w:pPr>
        <w:pStyle w:val="BodyText"/>
      </w:pPr>
      <w:r w:rsidRPr="008A0061">
        <w:t xml:space="preserve">Where governments have equity concerns due to </w:t>
      </w:r>
      <w:r>
        <w:t>elevated</w:t>
      </w:r>
      <w:r w:rsidRPr="008A0061">
        <w:t xml:space="preserve"> price</w:t>
      </w:r>
      <w:r>
        <w:t>s</w:t>
      </w:r>
      <w:r w:rsidRPr="008A0061">
        <w:t>, these are more efficiently dealt with by providing support through the tax and transfer system. Insurance companies also have an incentive to provide more insurance options to people on low incomes if it results in more people taking out insurance.</w:t>
      </w:r>
    </w:p>
    <w:p w14:paraId="035E3035" w14:textId="77777777" w:rsidR="00DE1537" w:rsidRDefault="00DE1537" w:rsidP="00343F3E">
      <w:pPr>
        <w:pStyle w:val="BodyText"/>
      </w:pPr>
      <w:r w:rsidRPr="00ED3DBB">
        <w:lastRenderedPageBreak/>
        <w:t xml:space="preserve">As well, governments should support </w:t>
      </w:r>
      <w:r>
        <w:t>measures</w:t>
      </w:r>
      <w:r w:rsidRPr="00ED3DBB">
        <w:t xml:space="preserve"> that </w:t>
      </w:r>
      <w:r w:rsidRPr="00327205">
        <w:t>lead</w:t>
      </w:r>
      <w:r>
        <w:t xml:space="preserve"> </w:t>
      </w:r>
      <w:r w:rsidRPr="00327205">
        <w:t>to prices</w:t>
      </w:r>
      <w:r>
        <w:t xml:space="preserve"> better reflecting underlying risk, such as information improvements</w:t>
      </w:r>
      <w:r w:rsidRPr="00D63739">
        <w:t>.</w:t>
      </w:r>
      <w:r>
        <w:t xml:space="preserve"> This will encourage high</w:t>
      </w:r>
      <w:r>
        <w:noBreakHyphen/>
        <w:t xml:space="preserve">risk policyholders to undertake mitigation, which many have claimed can lead to sustained decreases in the cost of insurance (for example, Mitchell Shire Council (Vic), sub. 5; Treasury, sub. 91). </w:t>
      </w:r>
    </w:p>
    <w:p w14:paraId="4F6C14E1" w14:textId="77777777" w:rsidR="00DE1537" w:rsidRDefault="00DE1537" w:rsidP="00343F3E">
      <w:pPr>
        <w:pStyle w:val="Heading3"/>
      </w:pPr>
      <w:r>
        <w:t>Insurance coverage</w:t>
      </w:r>
    </w:p>
    <w:p w14:paraId="0069DB5A" w14:textId="3E2D22A3" w:rsidR="00DE1537" w:rsidRDefault="00DE1537" w:rsidP="00343F3E">
      <w:pPr>
        <w:pStyle w:val="BodyText"/>
      </w:pPr>
      <w:r>
        <w:t>Households’ and businesses’ level of insurance cover has garnered a lot of attention in recent years. After recent natural disasters — particularly the 2009 Victorian bushfires, the 2010</w:t>
      </w:r>
      <w:r>
        <w:noBreakHyphen/>
        <w:t xml:space="preserve">11 Queensland floods and the 2013 Blue Mountains bushfires — it was discovered that many affected households did not have insurance or were underinsured for these events </w:t>
      </w:r>
      <w:r w:rsidRPr="00392DC8">
        <w:rPr>
          <w:szCs w:val="24"/>
        </w:rPr>
        <w:t>(Treasury, sub. 91; Trowbridge, Minto and Berrill 2011)</w:t>
      </w:r>
      <w:r>
        <w:t xml:space="preserve">. </w:t>
      </w:r>
    </w:p>
    <w:p w14:paraId="7810B67A" w14:textId="77777777" w:rsidR="00DE1537" w:rsidRDefault="00DE1537" w:rsidP="00343F3E">
      <w:pPr>
        <w:pStyle w:val="BodyText"/>
      </w:pPr>
      <w:r>
        <w:t>Non</w:t>
      </w:r>
      <w:r>
        <w:noBreakHyphen/>
        <w:t>insurance occurs where a household or business does not have insurance, or has property insurance but it does not cover a particular natural hazard, such as riverine flooding. Underinsurance occurs where the party has insurance, but the sum they are insured for does not cover the rebuilding or replacement cost of the asset. As with high costs of insurance, non</w:t>
      </w:r>
      <w:r>
        <w:noBreakHyphen/>
        <w:t>insurance and underinsurance are not problems in themselves. Non</w:t>
      </w:r>
      <w:r>
        <w:noBreakHyphen/>
        <w:t>insurance and underinsurance can be a rational choice if taken on a fully informed basis after weighing up the costs and benefits of different risk management options. However, they could also be an outcome of market distortions, such as asymmetric information.</w:t>
      </w:r>
    </w:p>
    <w:p w14:paraId="34355BA9" w14:textId="77777777" w:rsidR="00DE1537" w:rsidRDefault="00DE1537" w:rsidP="00343F3E">
      <w:pPr>
        <w:pStyle w:val="BodyText"/>
      </w:pPr>
      <w:r>
        <w:t xml:space="preserve">Many inquiry participants raised concerns with the level of underinsurance in Australia, and in some cases contended that it is a problem that requires government intervention (for example, Blue Mountains City Council (NSW), sub. 28; Chris Hamill, sub. 20; FNQROC, sub. 36; FRLC, sub. 77; IAG, sub. 24; </w:t>
      </w:r>
      <w:r w:rsidRPr="006B5B37">
        <w:t>James Cook University, sub.</w:t>
      </w:r>
      <w:r>
        <w:t> </w:t>
      </w:r>
      <w:proofErr w:type="gramStart"/>
      <w:r w:rsidRPr="006B5B37">
        <w:t xml:space="preserve">DR127; </w:t>
      </w:r>
      <w:r>
        <w:t>John Trowbridge, sub.</w:t>
      </w:r>
      <w:proofErr w:type="gramEnd"/>
      <w:r>
        <w:t> </w:t>
      </w:r>
      <w:proofErr w:type="gramStart"/>
      <w:r>
        <w:t xml:space="preserve">DR218; </w:t>
      </w:r>
      <w:r w:rsidRPr="006B5B37">
        <w:t>Philip Stace, sub.</w:t>
      </w:r>
      <w:proofErr w:type="gramEnd"/>
      <w:r>
        <w:t> </w:t>
      </w:r>
      <w:proofErr w:type="gramStart"/>
      <w:r w:rsidRPr="006B5B37">
        <w:t xml:space="preserve">DR135; </w:t>
      </w:r>
      <w:r>
        <w:t>Treasury, sub.</w:t>
      </w:r>
      <w:proofErr w:type="gramEnd"/>
      <w:r>
        <w:t> 91).</w:t>
      </w:r>
    </w:p>
    <w:p w14:paraId="7E0A357D" w14:textId="432D60F6" w:rsidR="00DE1537" w:rsidRDefault="00DE1537" w:rsidP="00343F3E">
      <w:pPr>
        <w:pStyle w:val="BodyText"/>
      </w:pPr>
      <w:r>
        <w:t>There have been a number of studies to determine the extent of non</w:t>
      </w:r>
      <w:r>
        <w:noBreakHyphen/>
        <w:t>insurance and underinsurance in Australia and their causes (box 5.8). Estimates of the extent of these vary, partly due to differences in study design, such as the definition of underinsurance used</w:t>
      </w:r>
      <w:r w:rsidRPr="004F7D60">
        <w:t xml:space="preserve">. </w:t>
      </w:r>
      <w:r>
        <w:t>The extent of underinsurance and non</w:t>
      </w:r>
      <w:r>
        <w:noBreakHyphen/>
        <w:t xml:space="preserve">insurance is also not readily apparent in many cases because most insurance claims are partial losses, and in these cases, the sum insured usually covers the loss </w:t>
      </w:r>
      <w:r w:rsidRPr="00223550">
        <w:rPr>
          <w:szCs w:val="24"/>
        </w:rPr>
        <w:t>(Trowbridge, Minto and Berrill 2011)</w:t>
      </w:r>
      <w:r>
        <w:t>. While some studies have looked at insurance penetration rates (as measured by insurance premiums as a percentage of GDP), the Commission is not aware of any reliable and comparable surveys from which to draw meaningful international comparisons.</w:t>
      </w:r>
    </w:p>
    <w:p w14:paraId="68B2E71B" w14:textId="019139C7" w:rsidR="00DE1537" w:rsidRDefault="00DE1537" w:rsidP="00343F3E">
      <w:pPr>
        <w:pStyle w:val="BodyText"/>
      </w:pPr>
      <w:r>
        <w:t>While the incidence of non</w:t>
      </w:r>
      <w:r>
        <w:noBreakHyphen/>
        <w:t xml:space="preserve">insurance appears to be very low, studies suggest that a significant proportion of households are underinsured. </w:t>
      </w:r>
      <w:r w:rsidRPr="00E13257">
        <w:t>Under</w:t>
      </w:r>
      <w:r>
        <w:t>insurance and non</w:t>
      </w:r>
      <w:r>
        <w:noBreakHyphen/>
        <w:t xml:space="preserve">insurance can occur for a number of reasons. The cost of insurance could be a significant factor in underinsurance </w:t>
      </w:r>
      <w:r w:rsidRPr="00087831">
        <w:rPr>
          <w:szCs w:val="24"/>
        </w:rPr>
        <w:t>(for example, Tooth and Barker 2007)</w:t>
      </w:r>
      <w:r>
        <w:t xml:space="preserve">. Another reason is that many policyholders are unsure of what their insurance policy covers (section 5.4). For example, </w:t>
      </w:r>
      <w:r>
        <w:lastRenderedPageBreak/>
        <w:t xml:space="preserve">there appears to be confusion among some consumers about their level of cover </w:t>
      </w:r>
      <w:r w:rsidRPr="00223550">
        <w:rPr>
          <w:szCs w:val="24"/>
        </w:rPr>
        <w:t>(ASIC 2005)</w:t>
      </w:r>
      <w:r>
        <w:t xml:space="preserve">. In addition, consumers often underestimate the cost of rebuilding, or the cost of rebuilding increases over time and consumers do not take this into account </w:t>
      </w:r>
      <w:r w:rsidRPr="00392DC8">
        <w:rPr>
          <w:szCs w:val="24"/>
        </w:rPr>
        <w:t>(ASIC 2005; Treasury, sub. 91)</w:t>
      </w:r>
      <w:r>
        <w:t xml:space="preserve">. Behavioural factors, such as myopia, have also been identified </w:t>
      </w:r>
      <w:r w:rsidRPr="00966DBE">
        <w:rPr>
          <w:szCs w:val="24"/>
        </w:rPr>
        <w:t>(Murray et al.</w:t>
      </w:r>
      <w:r w:rsidRPr="00DB7D4A">
        <w:rPr>
          <w:szCs w:val="24"/>
        </w:rPr>
        <w:t> </w:t>
      </w:r>
      <w:r w:rsidRPr="00966DBE">
        <w:rPr>
          <w:szCs w:val="24"/>
        </w:rPr>
        <w:t>2014b)</w:t>
      </w:r>
      <w:r>
        <w:t>.</w:t>
      </w:r>
    </w:p>
    <w:p w14:paraId="3258E9D3"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5DFE87A" w14:textId="77777777" w:rsidTr="00343F3E">
        <w:tc>
          <w:tcPr>
            <w:tcW w:w="8771" w:type="dxa"/>
            <w:tcBorders>
              <w:top w:val="single" w:sz="6" w:space="0" w:color="78A22F"/>
              <w:left w:val="nil"/>
              <w:bottom w:val="nil"/>
              <w:right w:val="nil"/>
            </w:tcBorders>
            <w:shd w:val="clear" w:color="auto" w:fill="F2F2F2" w:themeFill="background1" w:themeFillShade="F2"/>
          </w:tcPr>
          <w:p w14:paraId="180F1687" w14:textId="247A0110" w:rsidR="00DE1537" w:rsidRDefault="00DE1537">
            <w:pPr>
              <w:pStyle w:val="BoxTitle"/>
            </w:pPr>
            <w:r>
              <w:rPr>
                <w:b w:val="0"/>
              </w:rPr>
              <w:t>Box 5.</w:t>
            </w:r>
            <w:r>
              <w:rPr>
                <w:b w:val="0"/>
                <w:noProof/>
              </w:rPr>
              <w:t>8</w:t>
            </w:r>
            <w:r>
              <w:tab/>
              <w:t>Evidence of non</w:t>
            </w:r>
            <w:r>
              <w:noBreakHyphen/>
              <w:t>insurance and underinsurance</w:t>
            </w:r>
          </w:p>
        </w:tc>
      </w:tr>
      <w:tr w:rsidR="00DE1537" w14:paraId="522D158C" w14:textId="77777777" w:rsidTr="00343F3E">
        <w:trPr>
          <w:cantSplit/>
        </w:trPr>
        <w:tc>
          <w:tcPr>
            <w:tcW w:w="8771" w:type="dxa"/>
            <w:tcBorders>
              <w:top w:val="nil"/>
              <w:left w:val="nil"/>
              <w:bottom w:val="nil"/>
              <w:right w:val="nil"/>
            </w:tcBorders>
            <w:shd w:val="clear" w:color="auto" w:fill="F2F2F2" w:themeFill="background1" w:themeFillShade="F2"/>
          </w:tcPr>
          <w:p w14:paraId="49E642F9" w14:textId="77777777" w:rsidR="00DE1537" w:rsidRDefault="00DE1537" w:rsidP="00343F3E">
            <w:pPr>
              <w:pStyle w:val="Box"/>
            </w:pPr>
            <w:r>
              <w:t>There have been many studies on the extent of non</w:t>
            </w:r>
            <w:r>
              <w:noBreakHyphen/>
              <w:t>insurance and underinsurance in Australia. Key results from some of these studies are presented below.</w:t>
            </w:r>
          </w:p>
          <w:p w14:paraId="21A41C35" w14:textId="42500F81" w:rsidR="00DE1537" w:rsidRDefault="00DE1537" w:rsidP="00343F3E">
            <w:pPr>
              <w:pStyle w:val="BoxListBullet"/>
            </w:pPr>
            <w:r>
              <w:t xml:space="preserve">The Insurance Council of Australia </w:t>
            </w:r>
            <w:r w:rsidRPr="00FE7ECA">
              <w:rPr>
                <w:rFonts w:cs="Arial"/>
                <w:szCs w:val="24"/>
              </w:rPr>
              <w:t>(ICA 2008)</w:t>
            </w:r>
            <w:r>
              <w:t xml:space="preserve"> surveyed 1000 businesses and found that about 26 per cent did not have insurance.</w:t>
            </w:r>
          </w:p>
          <w:p w14:paraId="2FDAD740" w14:textId="77777777" w:rsidR="00DE1537" w:rsidRDefault="00DE1537" w:rsidP="00343F3E">
            <w:pPr>
              <w:pStyle w:val="BoxListBullet"/>
            </w:pPr>
            <w:r w:rsidRPr="006B5B37">
              <w:t>The Queensland Business Insurance Report found that 12.3</w:t>
            </w:r>
            <w:r>
              <w:t> </w:t>
            </w:r>
            <w:r w:rsidRPr="006B5B37">
              <w:t xml:space="preserve">per cent of </w:t>
            </w:r>
            <w:r>
              <w:t xml:space="preserve">those </w:t>
            </w:r>
            <w:r w:rsidRPr="006B5B37">
              <w:t>Queensland businesses surveyed reported being underinsured and 4</w:t>
            </w:r>
            <w:r>
              <w:t> </w:t>
            </w:r>
            <w:r w:rsidRPr="006B5B37">
              <w:t>per cent had discontinued their insurance cover (Queensland Government, sub. DR184).</w:t>
            </w:r>
            <w:r>
              <w:t xml:space="preserve"> Increased insurance premiums were raised as a likely reason for this.</w:t>
            </w:r>
          </w:p>
          <w:p w14:paraId="79807C5A" w14:textId="0135AB39" w:rsidR="00DE1537" w:rsidRPr="00B107D4" w:rsidRDefault="00DE1537" w:rsidP="00343F3E">
            <w:pPr>
              <w:pStyle w:val="BoxListBullet"/>
            </w:pPr>
            <w:r>
              <w:t xml:space="preserve">The Australian Securities and Investments Commission </w:t>
            </w:r>
            <w:r w:rsidRPr="00FE7ECA">
              <w:t>(ASIC 2005)</w:t>
            </w:r>
            <w:r>
              <w:t xml:space="preserve"> reported that recent surveys suggested that between 27 per cent and 81 per cent of consumers were underinsured by 10 per cent or more against current rebuilding costs. In addition, it reported that 40 per cent of houses destroyed in the 2003 Canberra bushfires were underinsured relative to the replacement cost. </w:t>
            </w:r>
          </w:p>
          <w:p w14:paraId="512F7B2F" w14:textId="716CAB39" w:rsidR="00DE1537" w:rsidRDefault="00DE1537" w:rsidP="00343F3E">
            <w:pPr>
              <w:pStyle w:val="BoxListBullet"/>
            </w:pPr>
            <w:r>
              <w:t xml:space="preserve">Tooth </w:t>
            </w:r>
            <w:r w:rsidRPr="00AE3B1B">
              <w:rPr>
                <w:rFonts w:cs="Arial"/>
              </w:rPr>
              <w:t>(2012)</w:t>
            </w:r>
            <w:r>
              <w:t xml:space="preserve"> surveyed 1200 households and found that about 9 per cent did not have building and contents insurance and about 39 per cent did not have contents insurance.</w:t>
            </w:r>
          </w:p>
          <w:p w14:paraId="2595A8E5" w14:textId="58BDF806" w:rsidR="00DE1537" w:rsidRDefault="00DE1537" w:rsidP="00343F3E">
            <w:pPr>
              <w:pStyle w:val="BoxListBullet"/>
            </w:pPr>
            <w:r>
              <w:t xml:space="preserve">Tooth and Barker </w:t>
            </w:r>
            <w:r w:rsidRPr="00E30F76">
              <w:rPr>
                <w:rFonts w:cs="Arial"/>
              </w:rPr>
              <w:t>(2007)</w:t>
            </w:r>
            <w:r>
              <w:t xml:space="preserve"> estimated that 4 per cent of owner</w:t>
            </w:r>
            <w:r>
              <w:noBreakHyphen/>
              <w:t>occupied households in Australia lacked building insurance and 12 per cent of owner</w:t>
            </w:r>
            <w:r>
              <w:noBreakHyphen/>
              <w:t>occupied and 67 per cent of rental households lacked contents insurance.</w:t>
            </w:r>
          </w:p>
          <w:p w14:paraId="797D2577" w14:textId="77777777" w:rsidR="00DE1537" w:rsidRDefault="00DE1537" w:rsidP="00343F3E">
            <w:pPr>
              <w:pStyle w:val="BoxListBullet"/>
            </w:pPr>
            <w:r>
              <w:t>Insurance Australia Group (sub. 24), using NRMA claims data, found that 35 per cent of residents affected by the 2013 Blue Mountains bushfires were underinsured.</w:t>
            </w:r>
          </w:p>
          <w:p w14:paraId="511342FC" w14:textId="0A3CA1A1" w:rsidR="00DE1537" w:rsidRDefault="00DE1537" w:rsidP="00343F3E">
            <w:pPr>
              <w:pStyle w:val="BoxListBullet"/>
              <w:rPr>
                <w:rFonts w:ascii="Times New Roman" w:hAnsi="Times New Roman"/>
                <w:sz w:val="26"/>
                <w:szCs w:val="24"/>
              </w:rPr>
            </w:pPr>
            <w:r>
              <w:t xml:space="preserve">Collins </w:t>
            </w:r>
            <w:r w:rsidRPr="004F7D60">
              <w:rPr>
                <w:rFonts w:cs="Arial"/>
              </w:rPr>
              <w:t>(2011)</w:t>
            </w:r>
            <w:r>
              <w:t xml:space="preserve"> studied building and contents, and vehicle insurance for people on low incomes and found that 32 per cent did not have building and contents insurance.</w:t>
            </w:r>
          </w:p>
          <w:p w14:paraId="6AFDA805" w14:textId="77777777" w:rsidR="00DE1537" w:rsidRDefault="00DE1537" w:rsidP="00343F3E">
            <w:pPr>
              <w:pStyle w:val="BoxListBullet"/>
            </w:pPr>
            <w:r>
              <w:t>The Bushfire and Natural Hazards Cooperative Research Centre and Bushfire Cooperative Research Centre conducted surveys following fire events in New South Wales, Victoria and Western Australia. Across the surveys, they found that about 13 per cent of households were not insured (BNHCRC, sub. 41).</w:t>
            </w:r>
          </w:p>
          <w:p w14:paraId="2023A5EE" w14:textId="2019E2D5" w:rsidR="00DE1537" w:rsidRDefault="00DE1537" w:rsidP="00343F3E">
            <w:pPr>
              <w:pStyle w:val="BoxListBullet"/>
            </w:pPr>
            <w:r>
              <w:t xml:space="preserve">A study of Charleville and Mackay (Queensland) after the 2008 floods found that 32 per cent of residents and 57 per cent of businesses had flood cover </w:t>
            </w:r>
            <w:r w:rsidRPr="00361C30">
              <w:rPr>
                <w:rFonts w:cs="Arial"/>
                <w:szCs w:val="24"/>
              </w:rPr>
              <w:t>(Apan et al. 2010)</w:t>
            </w:r>
            <w:r>
              <w:t>.</w:t>
            </w:r>
          </w:p>
          <w:p w14:paraId="12A15456" w14:textId="0E10A05E" w:rsidR="00DE1537" w:rsidRPr="00B107D4" w:rsidRDefault="00DE1537" w:rsidP="00343F3E">
            <w:pPr>
              <w:pStyle w:val="BoxListBullet"/>
              <w:rPr>
                <w:szCs w:val="24"/>
              </w:rPr>
            </w:pPr>
            <w:r>
              <w:t xml:space="preserve">Quantum Market Research </w:t>
            </w:r>
            <w:r w:rsidRPr="00F5033A">
              <w:rPr>
                <w:rFonts w:cs="Arial"/>
              </w:rPr>
              <w:t>(2013)</w:t>
            </w:r>
            <w:r>
              <w:t xml:space="preserve"> conducted a household survey and found that 83 per cent were underinsured for their building and contents based on the definition of underinsurance as ‘any person who cannot resume their same standard of living in the event of a crisis’. About 4 per cent of home owners did not have building insurance and 7 per cent did not have contents insurance.</w:t>
            </w:r>
          </w:p>
        </w:tc>
      </w:tr>
      <w:tr w:rsidR="00DE1537" w14:paraId="7645D4E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6A07F71" w14:textId="77777777" w:rsidR="00DE1537" w:rsidRDefault="00DE1537">
            <w:pPr>
              <w:pStyle w:val="Box"/>
              <w:spacing w:before="0" w:line="120" w:lineRule="exact"/>
            </w:pPr>
          </w:p>
        </w:tc>
      </w:tr>
      <w:tr w:rsidR="00DE1537" w:rsidRPr="000863A5" w14:paraId="068D1A89" w14:textId="77777777" w:rsidTr="00343F3E">
        <w:tc>
          <w:tcPr>
            <w:tcW w:w="8771" w:type="dxa"/>
            <w:tcBorders>
              <w:top w:val="single" w:sz="6" w:space="0" w:color="78A22F"/>
              <w:left w:val="nil"/>
              <w:bottom w:val="nil"/>
              <w:right w:val="nil"/>
            </w:tcBorders>
          </w:tcPr>
          <w:p w14:paraId="7004E333" w14:textId="77777777" w:rsidR="00DE1537" w:rsidRPr="00626D32" w:rsidRDefault="00DE1537" w:rsidP="00343F3E">
            <w:pPr>
              <w:pStyle w:val="BoxSpaceBelow"/>
            </w:pPr>
          </w:p>
        </w:tc>
      </w:tr>
    </w:tbl>
    <w:p w14:paraId="6E3FA8BF" w14:textId="77777777" w:rsidR="00DE1537" w:rsidRDefault="00DE1537" w:rsidP="00343F3E">
      <w:pPr>
        <w:pStyle w:val="BodyText"/>
      </w:pPr>
      <w:r>
        <w:t xml:space="preserve">Changes to building and planning regulations are another cause of underinsurance (supplementary paper 6). After the 2013 Blue Mountains bushfires, many households </w:t>
      </w:r>
      <w:r>
        <w:lastRenderedPageBreak/>
        <w:t xml:space="preserve">affected found they were underinsured due to changes to building standards introduced after the 2009 Victorian bushfires (Treasury, sub. 91). As discussed in section 5.4, </w:t>
      </w:r>
      <w:r w:rsidRPr="006B5B37">
        <w:t>while insurers do provide information on rebuilding costs through calculators, these calculators significantly underestimated the rebuilding costs of homes destroyed in the bushfire (Suncorp</w:t>
      </w:r>
      <w:r>
        <w:t xml:space="preserve"> Group</w:t>
      </w:r>
      <w:r w:rsidRPr="006B5B37">
        <w:t>, sub.</w:t>
      </w:r>
      <w:r>
        <w:t> </w:t>
      </w:r>
      <w:r w:rsidRPr="006B5B37">
        <w:t>DR176).</w:t>
      </w:r>
      <w:r>
        <w:t xml:space="preserve"> Insurers should continue to provide information, and improve the information provided, to policyholders that could help them to understand whether they are underinsured (chapter 4).</w:t>
      </w:r>
    </w:p>
    <w:p w14:paraId="1B39A352" w14:textId="11F13918" w:rsidR="00DE1537" w:rsidRDefault="00DE1537" w:rsidP="00343F3E">
      <w:pPr>
        <w:pStyle w:val="BodyText"/>
      </w:pPr>
      <w:r>
        <w:t xml:space="preserve">Some households also do not have flood insurance. Riverine flood cover has only become widely available since 2006 </w:t>
      </w:r>
      <w:r w:rsidRPr="00DB05AE">
        <w:rPr>
          <w:szCs w:val="24"/>
        </w:rPr>
        <w:t>(Trowbridge, Minto and Berrill 2011)</w:t>
      </w:r>
      <w:r>
        <w:t xml:space="preserve">. Since then, the proportion of household building insurance policies with flood cover has increased from 3 per cent to 89 per cent (box 5.9). About 7 per cent of households are estimated to be exposed to significant riverine flood risk </w:t>
      </w:r>
      <w:r w:rsidRPr="00DB05AE">
        <w:rPr>
          <w:szCs w:val="24"/>
        </w:rPr>
        <w:t>(Trowbridge, Minto and Berrill 2011)</w:t>
      </w:r>
      <w:r>
        <w:t xml:space="preserve">. </w:t>
      </w:r>
    </w:p>
    <w:p w14:paraId="0D3B44E7" w14:textId="77777777" w:rsidR="00DE1537" w:rsidRDefault="00DE1537" w:rsidP="00343F3E">
      <w:pPr>
        <w:pStyle w:val="BodyText"/>
      </w:pPr>
      <w:r>
        <w:t xml:space="preserve">However, while flood cover has increased significantly, some inquiry participants raised concerns that the introduction of flood insurance may be leading to </w:t>
      </w:r>
      <w:r w:rsidRPr="00EA3F67">
        <w:t>underinsurance, as some households are opting out of insurance altogether to avoid paying large premiums (for example, Lake Macquarie City Council</w:t>
      </w:r>
      <w:r>
        <w:t xml:space="preserve"> (NSW)</w:t>
      </w:r>
      <w:r w:rsidRPr="00EA3F67">
        <w:t>, sub. 74; Treasury, sub. 91).</w:t>
      </w:r>
      <w:r>
        <w:t xml:space="preserve"> Consumers could be opting out altogether because some insurers and some policies do not allow policyholders to just opt out of flood cover (box 5.9) or, where they can opt out, they might not be aware of this. </w:t>
      </w:r>
    </w:p>
    <w:p w14:paraId="35CF09AA" w14:textId="77777777" w:rsidR="00DE1537" w:rsidRDefault="00DE1537" w:rsidP="00343F3E">
      <w:pPr>
        <w:pStyle w:val="BodyText"/>
      </w:pPr>
      <w:r>
        <w:t>Although there is evidence that some households and businesses are non</w:t>
      </w:r>
      <w:r>
        <w:noBreakHyphen/>
        <w:t>insured or not fully insured for the rebuilding or replacement cost, there is insufficient evidence to conclude that underinsurance is a problem. Some parties are probably making a rational choice to not take out insurance for the full value of their property. Households might also be self</w:t>
      </w:r>
      <w:r>
        <w:noBreakHyphen/>
        <w:t xml:space="preserve">insuring. However, the evidence that some parties do not understand what, and how much, they are insured for is indicative of information asymmetries in the market. Where this is the case, governments and insurers should address this directly (for example, information asymmetries), rather than trying to increase coverage through measures such as mandatory building and contents insurance, or the mandatory imposition of total replacement cover. </w:t>
      </w:r>
    </w:p>
    <w:p w14:paraId="62B29DFD" w14:textId="716FB987" w:rsidR="00DE1537" w:rsidRDefault="00DE1537" w:rsidP="00343F3E">
      <w:pPr>
        <w:pStyle w:val="BodyText"/>
      </w:pPr>
      <w:r>
        <w:t>While mandatory insurance, such as a government</w:t>
      </w:r>
      <w:r>
        <w:noBreakHyphen/>
        <w:t>backed insurance scheme like those used internationally, would potentially address non</w:t>
      </w:r>
      <w:r>
        <w:noBreakHyphen/>
        <w:t>insurance and underinsurance, it would have significant costs. For example, given the high cost of insurance in some places and the variability of natural disaster risk across Australia, the introduction of mandatory insurance would likely require some level of cross</w:t>
      </w:r>
      <w:r>
        <w:noBreakHyphen/>
        <w:t>subsidisation or provision of direct subsidies to high</w:t>
      </w:r>
      <w:r>
        <w:noBreakHyphen/>
        <w:t>risk customers. As discussed earlier, these measures distort the price signals provided to policyholders, reducing the effectiveness of insurance as a risk management tool. In addition, there is evidence that international government</w:t>
      </w:r>
      <w:r>
        <w:noBreakHyphen/>
        <w:t>backed insurance schemes often do not have adequate reserves and capital, and have resulted in crowding out of the private sector (supplementary paper 8). Further</w:t>
      </w:r>
      <w:r w:rsidRPr="00C76280">
        <w:t>, there is some evidence that consumers generally do not support insurance being mandatory</w:t>
      </w:r>
      <w:r>
        <w:t xml:space="preserve"> </w:t>
      </w:r>
      <w:r w:rsidRPr="003258A1">
        <w:rPr>
          <w:szCs w:val="24"/>
        </w:rPr>
        <w:t>(Lo 2013)</w:t>
      </w:r>
      <w:r w:rsidRPr="00C76280">
        <w:t>.</w:t>
      </w:r>
    </w:p>
    <w:p w14:paraId="7963EDF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A734D44" w14:textId="77777777" w:rsidTr="00343F3E">
        <w:tc>
          <w:tcPr>
            <w:tcW w:w="8771" w:type="dxa"/>
            <w:tcBorders>
              <w:top w:val="single" w:sz="6" w:space="0" w:color="78A22F"/>
              <w:left w:val="nil"/>
              <w:bottom w:val="nil"/>
              <w:right w:val="nil"/>
            </w:tcBorders>
            <w:shd w:val="clear" w:color="auto" w:fill="F2F2F2"/>
          </w:tcPr>
          <w:p w14:paraId="09AC1A22" w14:textId="7F043CB0" w:rsidR="00DE1537" w:rsidRDefault="00DE1537" w:rsidP="00343F3E">
            <w:pPr>
              <w:pStyle w:val="BoxTitle"/>
            </w:pPr>
            <w:r>
              <w:rPr>
                <w:b w:val="0"/>
              </w:rPr>
              <w:t>Box 5.</w:t>
            </w:r>
            <w:r>
              <w:rPr>
                <w:b w:val="0"/>
                <w:noProof/>
              </w:rPr>
              <w:t>9</w:t>
            </w:r>
            <w:r>
              <w:tab/>
              <w:t>Flood insurance in Australia</w:t>
            </w:r>
          </w:p>
        </w:tc>
      </w:tr>
      <w:tr w:rsidR="00DE1537" w14:paraId="6206C588" w14:textId="77777777" w:rsidTr="00343F3E">
        <w:trPr>
          <w:cantSplit/>
        </w:trPr>
        <w:tc>
          <w:tcPr>
            <w:tcW w:w="8771" w:type="dxa"/>
            <w:tcBorders>
              <w:top w:val="nil"/>
              <w:left w:val="nil"/>
              <w:bottom w:val="nil"/>
              <w:right w:val="nil"/>
            </w:tcBorders>
            <w:shd w:val="clear" w:color="auto" w:fill="F2F2F2"/>
          </w:tcPr>
          <w:p w14:paraId="2467E50C" w14:textId="7D8A70F0" w:rsidR="00DE1537" w:rsidRDefault="00DE1537" w:rsidP="00343F3E">
            <w:pPr>
              <w:pStyle w:val="Box"/>
            </w:pPr>
            <w:r>
              <w:t xml:space="preserve">Flood insurance has traditionally not been available in Australia. It first became widely available in 2006, and since then, the amount of household building insurance policies with flood cover has increased dramatically </w:t>
            </w:r>
            <w:r w:rsidRPr="00F54FFB">
              <w:rPr>
                <w:rFonts w:cs="Arial"/>
              </w:rPr>
              <w:t>(Trowbridge, Minto and Berrill 2011)</w:t>
            </w:r>
            <w:r>
              <w:t xml:space="preserve"> (figure below). </w:t>
            </w:r>
          </w:p>
          <w:p w14:paraId="40CAD1CE" w14:textId="77777777" w:rsidR="00DE1537" w:rsidRPr="001A304B" w:rsidRDefault="00DE1537" w:rsidP="00343F3E">
            <w:pPr>
              <w:pStyle w:val="Box"/>
              <w:spacing w:after="80"/>
              <w:rPr>
                <w:b/>
              </w:rPr>
            </w:pPr>
            <w:r w:rsidRPr="001A304B">
              <w:rPr>
                <w:b/>
                <w:sz w:val="22"/>
                <w:szCs w:val="22"/>
              </w:rPr>
              <w:t>Proportion of household building insurance policies that include flood cover</w:t>
            </w:r>
          </w:p>
          <w:p w14:paraId="3FDF9A83" w14:textId="77777777" w:rsidR="00DE1537" w:rsidRDefault="00DE1537" w:rsidP="00343F3E">
            <w:pPr>
              <w:pStyle w:val="Box"/>
            </w:pPr>
            <w:r>
              <w:rPr>
                <w:noProof/>
              </w:rPr>
              <w:drawing>
                <wp:inline distT="0" distB="0" distL="0" distR="0" wp14:anchorId="63C8827F" wp14:editId="1E43250B">
                  <wp:extent cx="5038725" cy="2514600"/>
                  <wp:effectExtent l="0" t="0" r="0" b="0"/>
                  <wp:docPr id="29" name="Picture 29" descr="This figure shows the proportion of household building policies that include flood cover from 2006 to 2013. It shows that the amount has increased significantly, from about 3 per cent in 2006 to almost 90 per cent in 2013." title="Proportion of household building policies that include flood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038725" cy="2514600"/>
                          </a:xfrm>
                          <a:prstGeom prst="rect">
                            <a:avLst/>
                          </a:prstGeom>
                          <a:noFill/>
                          <a:ln>
                            <a:noFill/>
                          </a:ln>
                        </pic:spPr>
                      </pic:pic>
                    </a:graphicData>
                  </a:graphic>
                </wp:inline>
              </w:drawing>
            </w:r>
          </w:p>
          <w:p w14:paraId="003762CB" w14:textId="2B38DA31" w:rsidR="00DE1537" w:rsidRPr="00B81312" w:rsidRDefault="00DE1537" w:rsidP="00343F3E">
            <w:pPr>
              <w:pStyle w:val="Box"/>
            </w:pPr>
            <w:r w:rsidRPr="00B81312">
              <w:t xml:space="preserve">In early 2014, the consumer group Choice examined 64 household building and contents insurance policies across 29 insurance brands </w:t>
            </w:r>
            <w:r w:rsidRPr="00587A15">
              <w:t>(Bird 2014)</w:t>
            </w:r>
            <w:r w:rsidRPr="00B81312">
              <w:t>. Only four insurers excluded flood cover from their policies, and a further three allowed customers to opt out.</w:t>
            </w:r>
          </w:p>
          <w:p w14:paraId="67D5B8FF" w14:textId="2AF773FA" w:rsidR="00DE1537" w:rsidRPr="00B81312" w:rsidRDefault="00DE1537" w:rsidP="00343F3E">
            <w:pPr>
              <w:pStyle w:val="Box"/>
            </w:pPr>
            <w:r w:rsidRPr="00B81312">
              <w:t xml:space="preserve">However, prior to 2011, only two insurers included flood cover as standard in their household policies — Suncorp (the largest insurer in Queensland) and Zurich both introduced the cover in 2008 </w:t>
            </w:r>
            <w:r w:rsidRPr="00BB001A">
              <w:rPr>
                <w:rFonts w:cs="Arial"/>
                <w:szCs w:val="24"/>
              </w:rPr>
              <w:t>(Mason 2011)</w:t>
            </w:r>
            <w:r w:rsidRPr="00B81312">
              <w:t xml:space="preserve">. NRMA Insurance has offered flood cover on </w:t>
            </w:r>
            <w:proofErr w:type="gramStart"/>
            <w:r w:rsidRPr="00B81312">
              <w:t>an opt</w:t>
            </w:r>
            <w:proofErr w:type="gramEnd"/>
            <w:r w:rsidRPr="00B81312">
              <w:t xml:space="preserve"> out basis in </w:t>
            </w:r>
            <w:r>
              <w:t>New South Wales</w:t>
            </w:r>
            <w:r w:rsidRPr="00B81312">
              <w:t xml:space="preserve">, Tasmania and the ACT since 2009. </w:t>
            </w:r>
          </w:p>
          <w:p w14:paraId="0D26F1C6" w14:textId="77777777" w:rsidR="00DE1537" w:rsidRPr="00B81312" w:rsidRDefault="00DE1537" w:rsidP="00343F3E">
            <w:pPr>
              <w:pStyle w:val="Box"/>
            </w:pPr>
            <w:r w:rsidRPr="00B81312">
              <w:t>Available information indicate</w:t>
            </w:r>
            <w:r>
              <w:t>s</w:t>
            </w:r>
            <w:r w:rsidRPr="00B81312">
              <w:t xml:space="preserve"> that, since the Queensland floods:</w:t>
            </w:r>
          </w:p>
          <w:p w14:paraId="2A15E058" w14:textId="77777777" w:rsidR="00DE1537" w:rsidRPr="00B81312" w:rsidRDefault="00DE1537" w:rsidP="00343F3E">
            <w:pPr>
              <w:pStyle w:val="BoxListBullet"/>
            </w:pPr>
            <w:r w:rsidRPr="00B81312">
              <w:t>during 2011 and 2012, Allianz made flood cover available across N</w:t>
            </w:r>
            <w:r>
              <w:t>ew South Wales</w:t>
            </w:r>
            <w:r w:rsidRPr="00B81312">
              <w:t xml:space="preserve">, </w:t>
            </w:r>
            <w:r>
              <w:t xml:space="preserve">Victoria, Queensland and </w:t>
            </w:r>
            <w:r w:rsidRPr="00B81312">
              <w:t xml:space="preserve">the ACT, while allowing some households to opt out </w:t>
            </w:r>
          </w:p>
          <w:p w14:paraId="244C5847" w14:textId="77777777" w:rsidR="00DE1537" w:rsidRPr="00B81312" w:rsidRDefault="00DE1537" w:rsidP="00343F3E">
            <w:pPr>
              <w:pStyle w:val="BoxListBullet"/>
            </w:pPr>
            <w:r w:rsidRPr="00B81312">
              <w:t>in January 2012, CGU and RACV made flood cover a standard inclusion</w:t>
            </w:r>
          </w:p>
          <w:p w14:paraId="1FE35A23" w14:textId="1EE83A95" w:rsidR="00DE1537" w:rsidRPr="00B81312" w:rsidRDefault="00DE1537" w:rsidP="00343F3E">
            <w:pPr>
              <w:pStyle w:val="BoxListBullet"/>
            </w:pPr>
            <w:r w:rsidRPr="00B81312">
              <w:t xml:space="preserve">in February 2012, AAMI added flood cover to its household policies while allowing some households to opt out </w:t>
            </w:r>
            <w:r w:rsidRPr="005700BB">
              <w:rPr>
                <w:rFonts w:cs="Arial"/>
                <w:szCs w:val="24"/>
              </w:rPr>
              <w:t>(Kollmorgen 2013)</w:t>
            </w:r>
          </w:p>
          <w:p w14:paraId="7005A8FC" w14:textId="77777777" w:rsidR="00DE1537" w:rsidRPr="00B81312" w:rsidRDefault="00DE1537" w:rsidP="00343F3E">
            <w:pPr>
              <w:pStyle w:val="BoxListBullet"/>
            </w:pPr>
            <w:r w:rsidRPr="00B81312">
              <w:t>in July 2012, RACQ made flood cover a standard inclusion</w:t>
            </w:r>
          </w:p>
          <w:p w14:paraId="2430B533" w14:textId="2A51FD65" w:rsidR="00DE1537" w:rsidRDefault="00DE1537" w:rsidP="00343F3E">
            <w:pPr>
              <w:pStyle w:val="BoxListBullet"/>
            </w:pPr>
            <w:proofErr w:type="gramStart"/>
            <w:r w:rsidRPr="001C27D9">
              <w:t>in</w:t>
            </w:r>
            <w:proofErr w:type="gramEnd"/>
            <w:r w:rsidRPr="001C27D9">
              <w:t xml:space="preserve"> December 2013, QBE made flood</w:t>
            </w:r>
            <w:r w:rsidRPr="0095595E">
              <w:t xml:space="preserve"> cover a standard inclusion </w:t>
            </w:r>
            <w:r w:rsidRPr="00361C30">
              <w:t>(Insurance News 2013)</w:t>
            </w:r>
            <w:r w:rsidRPr="00B81312">
              <w:t>.</w:t>
            </w:r>
          </w:p>
          <w:p w14:paraId="7BA41D58" w14:textId="77777777" w:rsidR="00DE1537" w:rsidRDefault="00DE1537" w:rsidP="00343F3E">
            <w:pPr>
              <w:pStyle w:val="Box"/>
            </w:pPr>
            <w:r w:rsidRPr="008A3EFC">
              <w:t xml:space="preserve">The expansion in flood cover has had multiple drivers. One has been improvements in flood mapping and modelling, which have allowed insurers to more accurately assess and price risks. </w:t>
            </w:r>
            <w:r>
              <w:t xml:space="preserve">Given that many insurers have made flood cover available since the Queensland floods and the insurance disputes that followed, </w:t>
            </w:r>
            <w:r w:rsidRPr="008A3EFC">
              <w:t>some insurers may have decided to offer flood cover to appeal to new customers and to reduc</w:t>
            </w:r>
            <w:r>
              <w:t>e the potential for drawn</w:t>
            </w:r>
            <w:r>
              <w:noBreakHyphen/>
            </w:r>
            <w:r w:rsidRPr="008A3EFC">
              <w:t>out disputes with policyholders in the future.</w:t>
            </w:r>
          </w:p>
        </w:tc>
      </w:tr>
      <w:tr w:rsidR="00DE1537" w14:paraId="5B07AC61" w14:textId="77777777" w:rsidTr="00343F3E">
        <w:trPr>
          <w:cantSplit/>
        </w:trPr>
        <w:tc>
          <w:tcPr>
            <w:tcW w:w="8771" w:type="dxa"/>
            <w:tcBorders>
              <w:top w:val="nil"/>
              <w:left w:val="nil"/>
              <w:bottom w:val="nil"/>
              <w:right w:val="nil"/>
            </w:tcBorders>
            <w:shd w:val="clear" w:color="auto" w:fill="F2F2F2"/>
          </w:tcPr>
          <w:p w14:paraId="38D4E951" w14:textId="14234B17" w:rsidR="00DE1537" w:rsidRDefault="00DE1537" w:rsidP="00343F3E">
            <w:pPr>
              <w:pStyle w:val="BoxSource"/>
            </w:pPr>
            <w:r>
              <w:rPr>
                <w:i/>
              </w:rPr>
              <w:t>Data sources</w:t>
            </w:r>
            <w:r w:rsidRPr="00167F06">
              <w:t xml:space="preserve">: </w:t>
            </w:r>
            <w:r>
              <w:t xml:space="preserve">ICA </w:t>
            </w:r>
            <w:r w:rsidRPr="00185001">
              <w:rPr>
                <w:rFonts w:cs="Arial"/>
              </w:rPr>
              <w:t>(2014b)</w:t>
            </w:r>
            <w:r>
              <w:t xml:space="preserve">; PC </w:t>
            </w:r>
            <w:r w:rsidRPr="00762F75">
              <w:rPr>
                <w:rFonts w:cs="Arial"/>
              </w:rPr>
              <w:t>(2012)</w:t>
            </w:r>
            <w:r>
              <w:t>.</w:t>
            </w:r>
          </w:p>
        </w:tc>
      </w:tr>
      <w:tr w:rsidR="00DE1537" w14:paraId="7D7CFF80" w14:textId="77777777" w:rsidTr="00343F3E">
        <w:trPr>
          <w:cantSplit/>
        </w:trPr>
        <w:tc>
          <w:tcPr>
            <w:tcW w:w="8771" w:type="dxa"/>
            <w:tcBorders>
              <w:top w:val="nil"/>
              <w:left w:val="nil"/>
              <w:bottom w:val="single" w:sz="6" w:space="0" w:color="78A22F"/>
              <w:right w:val="nil"/>
            </w:tcBorders>
            <w:shd w:val="clear" w:color="auto" w:fill="F2F2F2"/>
          </w:tcPr>
          <w:p w14:paraId="506CEAEA" w14:textId="77777777" w:rsidR="00DE1537" w:rsidRDefault="00DE1537" w:rsidP="00343F3E">
            <w:pPr>
              <w:pStyle w:val="Box"/>
              <w:spacing w:before="0" w:line="120" w:lineRule="exact"/>
            </w:pPr>
          </w:p>
        </w:tc>
      </w:tr>
      <w:tr w:rsidR="00DE1537" w:rsidRPr="000863A5" w14:paraId="4D2AB71A" w14:textId="77777777" w:rsidTr="00343F3E">
        <w:tc>
          <w:tcPr>
            <w:tcW w:w="8771" w:type="dxa"/>
            <w:tcBorders>
              <w:top w:val="single" w:sz="6" w:space="0" w:color="78A22F"/>
              <w:left w:val="nil"/>
              <w:bottom w:val="nil"/>
              <w:right w:val="nil"/>
            </w:tcBorders>
          </w:tcPr>
          <w:p w14:paraId="3F62D24D" w14:textId="77777777" w:rsidR="00DE1537" w:rsidRPr="00626D32" w:rsidRDefault="00DE1537" w:rsidP="00343F3E">
            <w:pPr>
              <w:pStyle w:val="BoxSpaceBelow"/>
            </w:pPr>
          </w:p>
        </w:tc>
      </w:tr>
    </w:tbl>
    <w:p w14:paraId="7ABF4632" w14:textId="77777777" w:rsidR="00DE1537" w:rsidRDefault="00DE1537" w:rsidP="00343F3E">
      <w:pPr>
        <w:pStyle w:val="BodyText"/>
      </w:pPr>
      <w:r>
        <w:lastRenderedPageBreak/>
        <w:t xml:space="preserve">Some inquiry participants also raised concerns that there are limited options for agricultural producers to insure against some natural hazards. </w:t>
      </w:r>
    </w:p>
    <w:p w14:paraId="16F4DFA2" w14:textId="77777777" w:rsidR="00DE1537" w:rsidRDefault="00DE1537" w:rsidP="00343F3E">
      <w:pPr>
        <w:pStyle w:val="Quote"/>
      </w:pPr>
      <w:r>
        <w:t xml:space="preserve">… [A]part from </w:t>
      </w:r>
      <w:r w:rsidRPr="00E33767">
        <w:t xml:space="preserve">insurance for fire and hail </w:t>
      </w:r>
      <w:proofErr w:type="gramStart"/>
      <w:r w:rsidRPr="00E33767">
        <w:t>damage,</w:t>
      </w:r>
      <w:proofErr w:type="gramEnd"/>
      <w:r w:rsidRPr="00E33767">
        <w:t xml:space="preserve"> there are curr</w:t>
      </w:r>
      <w:r>
        <w:t xml:space="preserve">ently limited options for </w:t>
      </w:r>
      <w:r w:rsidRPr="00E33767">
        <w:t>agricultural producers to insure themselves against</w:t>
      </w:r>
      <w:r>
        <w:t xml:space="preserve"> production risk in Australia. The large </w:t>
      </w:r>
      <w:r w:rsidRPr="00E33767">
        <w:t>gap in the current insurance market i</w:t>
      </w:r>
      <w:r>
        <w:t xml:space="preserve">s coverage for one of the major </w:t>
      </w:r>
      <w:r w:rsidRPr="00E33767">
        <w:t xml:space="preserve">drivers of crop failure </w:t>
      </w:r>
      <w:r>
        <w:t>—</w:t>
      </w:r>
      <w:r w:rsidRPr="00E33767">
        <w:t xml:space="preserve"> drought and rainfall extremes.</w:t>
      </w:r>
      <w:r>
        <w:t xml:space="preserve"> (National Farmers’ Federation, sub. 35, p. 4)</w:t>
      </w:r>
    </w:p>
    <w:p w14:paraId="4B33F9E1" w14:textId="77777777" w:rsidR="00DE1537" w:rsidRDefault="00DE1537" w:rsidP="00343F3E">
      <w:pPr>
        <w:pStyle w:val="Quote"/>
      </w:pPr>
      <w:r>
        <w:t>Due to the inherently high level of risk and Queensland’s highly variable climate, it is difficult for primary producers to obtain affordable insurance for production activities such as insurance against crop failure due to drought or flooding. (Queensland Government, sub. 31, p. 36)</w:t>
      </w:r>
    </w:p>
    <w:p w14:paraId="24061723" w14:textId="77777777" w:rsidR="00DE1537" w:rsidRDefault="00DE1537" w:rsidP="00343F3E">
      <w:pPr>
        <w:pStyle w:val="Quote"/>
      </w:pPr>
      <w:r w:rsidRPr="00C76280">
        <w:t xml:space="preserve">There are insufficient options for private insurance against natural disaster for the vast majority of farmers. This is a particular challenge for intensive crops and high rotation production systems even for a profitable enterprise. </w:t>
      </w:r>
      <w:proofErr w:type="gramStart"/>
      <w:r w:rsidRPr="00C76280">
        <w:t>(Queensland Farmers’ Federation, sub.</w:t>
      </w:r>
      <w:proofErr w:type="gramEnd"/>
      <w:r w:rsidRPr="00C76280">
        <w:t> DR155, p. 1)</w:t>
      </w:r>
    </w:p>
    <w:p w14:paraId="18B270DC" w14:textId="77777777" w:rsidR="00DE1537" w:rsidRDefault="00DE1537" w:rsidP="00343F3E">
      <w:pPr>
        <w:pStyle w:val="BodyText"/>
      </w:pPr>
      <w:r w:rsidRPr="00FE7ECA">
        <w:t xml:space="preserve">Inquiry participants </w:t>
      </w:r>
      <w:r>
        <w:t>submitted</w:t>
      </w:r>
      <w:r w:rsidRPr="00FE7ECA">
        <w:t xml:space="preserve"> that multi</w:t>
      </w:r>
      <w:r w:rsidRPr="00FE7ECA">
        <w:noBreakHyphen/>
        <w:t>peril crop insurance is a potential solution (for example, RDAO, sub. 89; TFGA, sub. 38). Multi</w:t>
      </w:r>
      <w:r w:rsidRPr="00FE7ECA">
        <w:noBreakHyphen/>
        <w:t>peril crop insurance covers most or all weather</w:t>
      </w:r>
      <w:r w:rsidRPr="00FE7ECA">
        <w:noBreakHyphen/>
        <w:t xml:space="preserve">related events that could damage crop yields. </w:t>
      </w:r>
      <w:r w:rsidRPr="007C5384">
        <w:t>Some inquiry participants called for government intervention to support multi</w:t>
      </w:r>
      <w:r>
        <w:noBreakHyphen/>
      </w:r>
      <w:r w:rsidRPr="007C5384">
        <w:t>peril crop insurance (for example, Growcom, sub.</w:t>
      </w:r>
      <w:r>
        <w:t> </w:t>
      </w:r>
      <w:proofErr w:type="gramStart"/>
      <w:r w:rsidRPr="007C5384">
        <w:t>DR205; Queensland Farmers’ Federation, sub.</w:t>
      </w:r>
      <w:proofErr w:type="gramEnd"/>
      <w:r>
        <w:t> </w:t>
      </w:r>
      <w:proofErr w:type="gramStart"/>
      <w:r w:rsidRPr="007C5384">
        <w:t>DR155</w:t>
      </w:r>
      <w:r>
        <w:t>; TFGA, sub.</w:t>
      </w:r>
      <w:proofErr w:type="gramEnd"/>
      <w:r>
        <w:t> DR227</w:t>
      </w:r>
      <w:r w:rsidRPr="007C5384">
        <w:t>).</w:t>
      </w:r>
      <w:r>
        <w:t xml:space="preserve"> </w:t>
      </w:r>
    </w:p>
    <w:p w14:paraId="10A064EB" w14:textId="694CCF3A" w:rsidR="00DE1537" w:rsidRPr="00767DF0" w:rsidRDefault="00DE1537" w:rsidP="00343F3E">
      <w:pPr>
        <w:pStyle w:val="BodyText"/>
      </w:pPr>
      <w:r w:rsidRPr="00FE7ECA">
        <w:t>Most Australian insurers have never offered this type of insurance, and it is unlikely to be a viable option without government</w:t>
      </w:r>
      <w:r>
        <w:t xml:space="preserve"> </w:t>
      </w:r>
      <w:r w:rsidRPr="00FE7ECA">
        <w:t>backing</w:t>
      </w:r>
      <w:r>
        <w:t>,</w:t>
      </w:r>
      <w:r w:rsidRPr="00FE7ECA">
        <w:t xml:space="preserve"> such as through subsidies </w:t>
      </w:r>
      <w:r w:rsidRPr="00762F75">
        <w:rPr>
          <w:szCs w:val="24"/>
        </w:rPr>
        <w:t>(PC 2009, 2012)</w:t>
      </w:r>
      <w:r w:rsidRPr="00FE7ECA">
        <w:t xml:space="preserve">. </w:t>
      </w:r>
      <w:r>
        <w:t>However, a</w:t>
      </w:r>
      <w:r w:rsidRPr="00FE7ECA">
        <w:t xml:space="preserve">s discussed above, </w:t>
      </w:r>
      <w:r>
        <w:t xml:space="preserve">government </w:t>
      </w:r>
      <w:r w:rsidRPr="00FE7ECA">
        <w:t xml:space="preserve">intervention </w:t>
      </w:r>
      <w:r>
        <w:t xml:space="preserve">can </w:t>
      </w:r>
      <w:r w:rsidRPr="00FE7ECA">
        <w:t>impede the efficient operation of private insurance markets</w:t>
      </w:r>
      <w:r>
        <w:t>.</w:t>
      </w:r>
    </w:p>
    <w:p w14:paraId="744C394D" w14:textId="77777777" w:rsidR="00DE1537" w:rsidRPr="00FE7ECA" w:rsidRDefault="00DE1537" w:rsidP="00343F3E">
      <w:pPr>
        <w:pStyle w:val="BodyText"/>
      </w:pPr>
    </w:p>
    <w:p w14:paraId="2B3F2613" w14:textId="77777777" w:rsidR="00DE1537" w:rsidRDefault="00DE1537" w:rsidP="00DE1537">
      <w:pPr>
        <w:sectPr w:rsidR="00DE1537" w:rsidSect="00DE1537">
          <w:headerReference w:type="even" r:id="rId75"/>
          <w:headerReference w:type="default" r:id="rId76"/>
          <w:footerReference w:type="even" r:id="rId77"/>
          <w:footerReference w:type="default" r:id="rId78"/>
          <w:type w:val="oddPage"/>
          <w:pgSz w:w="11907" w:h="16840" w:code="9"/>
          <w:pgMar w:top="1985" w:right="1304" w:bottom="1247" w:left="1814" w:header="1701" w:footer="397" w:gutter="0"/>
          <w:pgNumType w:chapSep="period"/>
          <w:cols w:space="720"/>
          <w:docGrid w:linePitch="326"/>
        </w:sectPr>
      </w:pPr>
    </w:p>
    <w:p w14:paraId="30A47E58" w14:textId="77777777" w:rsidR="00DE1537" w:rsidRDefault="00DE1537" w:rsidP="00343F3E">
      <w:pPr>
        <w:pStyle w:val="Heading1"/>
        <w:spacing w:before="0"/>
      </w:pPr>
      <w:bookmarkStart w:id="71" w:name="_Toc406424340"/>
      <w:r>
        <w:lastRenderedPageBreak/>
        <w:t>6</w:t>
      </w:r>
      <w:r>
        <w:tab/>
        <w:t>Managing natural disaster risk to the built environment</w:t>
      </w:r>
      <w:bookmarkEnd w:id="71"/>
    </w:p>
    <w:p w14:paraId="318FCED6" w14:textId="0C40E135" w:rsidR="00DE1537" w:rsidRDefault="00DE1537" w:rsidP="00343F3E">
      <w:pPr>
        <w:pStyle w:val="Heading2"/>
      </w:pPr>
      <w:bookmarkStart w:id="72" w:name="_Toc406424341"/>
      <w:r>
        <w:t>6.</w:t>
      </w:r>
      <w:r>
        <w:rPr>
          <w:noProof/>
        </w:rPr>
        <w:t>1</w:t>
      </w:r>
      <w:r>
        <w:tab/>
        <w:t>Introduction and key points</w:t>
      </w:r>
      <w:bookmarkEnd w:id="72"/>
    </w:p>
    <w:p w14:paraId="74FEAB8D" w14:textId="77777777" w:rsidR="00DE1537" w:rsidRPr="00BF084E" w:rsidRDefault="00DE1537" w:rsidP="00343F3E">
      <w:pPr>
        <w:pStyle w:val="BodyText"/>
      </w:pPr>
      <w:r w:rsidRPr="00BF084E">
        <w:t>Regulation of the built environment affects the way assets are priced, located, constructed and managed over time. Decisions about where people live, how land may be used and the types of buildings that can be constructed influence the exposure and vulnerability of the built environment to a range of natural hazards, and in turn, the economic costs of natural disaster events. Inadequate mitigation of such risks has been cited as a key driver of incre</w:t>
      </w:r>
      <w:r>
        <w:t>ased costs of natural disasters.</w:t>
      </w:r>
    </w:p>
    <w:p w14:paraId="690828D2" w14:textId="77777777" w:rsidR="00DE1537" w:rsidRPr="00BF084E" w:rsidRDefault="00DE1537" w:rsidP="00343F3E">
      <w:pPr>
        <w:pStyle w:val="Quote"/>
      </w:pPr>
      <w:r w:rsidRPr="00BF084E">
        <w:t>Australia is allowing more brittle and expensive assets to be constructed in locations where natural hazards have historically occurred, and in most cases there is limited recognition (by government) of the potential for those hazards to cause significant economic loss to the assets. (</w:t>
      </w:r>
      <w:r w:rsidRPr="00807425">
        <w:t>ICA</w:t>
      </w:r>
      <w:r w:rsidRPr="00BF084E">
        <w:t>, sub.</w:t>
      </w:r>
      <w:r>
        <w:t> </w:t>
      </w:r>
      <w:r w:rsidRPr="00BF084E">
        <w:t>57, p.</w:t>
      </w:r>
      <w:r>
        <w:t> </w:t>
      </w:r>
      <w:r w:rsidRPr="00BF084E">
        <w:t>2)</w:t>
      </w:r>
    </w:p>
    <w:p w14:paraId="7912F001" w14:textId="77777777" w:rsidR="00DE1537" w:rsidRPr="00BF084E" w:rsidRDefault="00DE1537" w:rsidP="00343F3E">
      <w:pPr>
        <w:pStyle w:val="BodyText"/>
      </w:pPr>
      <w:r w:rsidRPr="00BF084E">
        <w:t xml:space="preserve">This supplementary paper assesses the current arrangements around land use planning, building regulations and issues affecting existing settlements, and considers some possible strategies for improving risk management in these areas. </w:t>
      </w:r>
      <w:r>
        <w:t xml:space="preserve">An outline of the three policy instruments for managing natural disaster risk to the built environment is given in section 6.2. </w:t>
      </w:r>
      <w:r w:rsidRPr="00BF084E">
        <w:t>Land use p</w:t>
      </w:r>
      <w:r>
        <w:t>lanning is discussed in section 6</w:t>
      </w:r>
      <w:r w:rsidRPr="00BF084E">
        <w:t>.</w:t>
      </w:r>
      <w:r>
        <w:t>3</w:t>
      </w:r>
      <w:r w:rsidRPr="00BF084E">
        <w:t xml:space="preserve">, </w:t>
      </w:r>
      <w:r>
        <w:t>building regulations in section 6</w:t>
      </w:r>
      <w:r w:rsidRPr="00BF084E">
        <w:t>.</w:t>
      </w:r>
      <w:r>
        <w:t>4</w:t>
      </w:r>
      <w:r w:rsidRPr="00BF084E">
        <w:t xml:space="preserve"> and existing areas of settlement in section</w:t>
      </w:r>
      <w:r>
        <w:t> 6</w:t>
      </w:r>
      <w:r w:rsidRPr="00BF084E">
        <w:t>.</w:t>
      </w:r>
      <w:r>
        <w:t>5</w:t>
      </w:r>
      <w:r w:rsidRPr="00BF084E">
        <w:t>.</w:t>
      </w:r>
      <w:r>
        <w:t xml:space="preserve"> Section 6.6 discusses other built assets, like roads.</w:t>
      </w:r>
    </w:p>
    <w:p w14:paraId="668E4FE5" w14:textId="77777777" w:rsidR="00DE1537" w:rsidRDefault="00DE1537" w:rsidP="00343F3E">
      <w:pPr>
        <w:pStyle w:val="BodyText"/>
      </w:pPr>
      <w:r>
        <w:t>This supplementary paper makes several key points.</w:t>
      </w:r>
    </w:p>
    <w:p w14:paraId="7C9BF5DB" w14:textId="77777777" w:rsidR="00DE1537" w:rsidRDefault="00DE1537" w:rsidP="00343F3E">
      <w:pPr>
        <w:pStyle w:val="ListBullet"/>
      </w:pPr>
      <w:r>
        <w:t xml:space="preserve">Land use planning and building regulations are important mechanisms for reducing the exposure and vulnerability of new developments to natural disaster risks. </w:t>
      </w:r>
    </w:p>
    <w:p w14:paraId="0633C175" w14:textId="77777777" w:rsidR="00DE1537" w:rsidRDefault="00DE1537" w:rsidP="00343F3E">
      <w:pPr>
        <w:pStyle w:val="ListBullet"/>
      </w:pPr>
      <w:r>
        <w:t>Land use planning and building regulations apply only to new properties and developments or significant modification to existing properties, so they have limited short</w:t>
      </w:r>
      <w:r>
        <w:noBreakHyphen/>
        <w:t>term influence but a profound long</w:t>
      </w:r>
      <w:r>
        <w:noBreakHyphen/>
        <w:t>term effect on areas of settlement. The costs of poor decisions remain for decades.</w:t>
      </w:r>
    </w:p>
    <w:p w14:paraId="0A915264" w14:textId="77777777" w:rsidR="00DE1537" w:rsidRDefault="00DE1537" w:rsidP="00343F3E">
      <w:pPr>
        <w:pStyle w:val="ListBullet"/>
      </w:pPr>
      <w:r>
        <w:t>Development is continuing in high</w:t>
      </w:r>
      <w:r>
        <w:noBreakHyphen/>
        <w:t>risk areas. In some cases, governments and communities have different views on acceptable levels of risk. Effective risk management does not necessarily imply that there should be no development in high</w:t>
      </w:r>
      <w:r>
        <w:noBreakHyphen/>
        <w:t xml:space="preserve">risk areas. </w:t>
      </w:r>
    </w:p>
    <w:p w14:paraId="0412723D" w14:textId="77777777" w:rsidR="00DE1537" w:rsidRDefault="00DE1537">
      <w:pPr>
        <w:rPr>
          <w:szCs w:val="20"/>
        </w:rPr>
      </w:pPr>
      <w:r>
        <w:br w:type="page"/>
      </w:r>
    </w:p>
    <w:p w14:paraId="52B55292" w14:textId="77777777" w:rsidR="00DE1537" w:rsidRDefault="00DE1537" w:rsidP="00343F3E">
      <w:pPr>
        <w:pStyle w:val="ListBullet"/>
      </w:pPr>
      <w:r>
        <w:lastRenderedPageBreak/>
        <w:t xml:space="preserve">There is no single entity responsible for the ‘long tail’ liability of poor land use planning decisions. This means it is critical for state governments to: </w:t>
      </w:r>
    </w:p>
    <w:p w14:paraId="112D7EAA" w14:textId="77777777" w:rsidR="00DE1537" w:rsidRDefault="00DE1537" w:rsidP="00343F3E">
      <w:pPr>
        <w:pStyle w:val="ListBullet2"/>
      </w:pPr>
      <w:r>
        <w:t>clearly articulate the statewide risk appetite in planning policy frameworks and the required trade</w:t>
      </w:r>
      <w:r>
        <w:noBreakHyphen/>
        <w:t>offs</w:t>
      </w:r>
    </w:p>
    <w:p w14:paraId="1960E826" w14:textId="77777777" w:rsidR="00DE1537" w:rsidRDefault="00DE1537" w:rsidP="00343F3E">
      <w:pPr>
        <w:pStyle w:val="ListBullet2"/>
      </w:pPr>
      <w:r>
        <w:t>guide local governments in interpreting and implementing these policies</w:t>
      </w:r>
    </w:p>
    <w:p w14:paraId="35B6A99C" w14:textId="77777777" w:rsidR="00DE1537" w:rsidRDefault="00DE1537" w:rsidP="00343F3E">
      <w:pPr>
        <w:pStyle w:val="ListBullet2"/>
      </w:pPr>
      <w:proofErr w:type="gramStart"/>
      <w:r>
        <w:t>ensure</w:t>
      </w:r>
      <w:proofErr w:type="gramEnd"/>
      <w:r>
        <w:t xml:space="preserve"> that both local planning schemes and local development decisions are consistent with state planning policy.</w:t>
      </w:r>
    </w:p>
    <w:p w14:paraId="3B959B2A" w14:textId="77777777" w:rsidR="00DE1537" w:rsidRDefault="00DE1537" w:rsidP="00343F3E">
      <w:pPr>
        <w:pStyle w:val="ListBullet"/>
      </w:pPr>
      <w:r>
        <w:t>Local governments require support from state governments to fulfil their responsibilities under state planning policy frameworks. Resource and capability constraints are impediments to local governments incorporating effective natural disaster risk management into land use planning.</w:t>
      </w:r>
    </w:p>
    <w:p w14:paraId="756E7DC2" w14:textId="77777777" w:rsidR="00DE1537" w:rsidRDefault="00DE1537" w:rsidP="00343F3E">
      <w:pPr>
        <w:pStyle w:val="ListBullet"/>
      </w:pPr>
      <w:r>
        <w:t>Concerns about legal liability affect local governments’ decisions to release risk information and to impose planning and development controls in areas of high risk. Additional support and guidance from state governments, and potentially, increased statutory protection against liability for reasonably</w:t>
      </w:r>
      <w:r>
        <w:noBreakHyphen/>
        <w:t xml:space="preserve">based decisions, could improve their ability to share information and more effectively treat risks. </w:t>
      </w:r>
    </w:p>
    <w:p w14:paraId="2ADB8413" w14:textId="77777777" w:rsidR="00DE1537" w:rsidRDefault="00DE1537" w:rsidP="00343F3E">
      <w:pPr>
        <w:pStyle w:val="ListBullet"/>
      </w:pPr>
      <w:r>
        <w:t xml:space="preserve">Building regulations generally work well, with effective processes for regulatory impact analysis and regular review. </w:t>
      </w:r>
    </w:p>
    <w:p w14:paraId="42668579" w14:textId="77777777" w:rsidR="00DE1537" w:rsidRDefault="00DE1537" w:rsidP="00343F3E">
      <w:pPr>
        <w:pStyle w:val="ListBullet2"/>
      </w:pPr>
      <w:r>
        <w:t>However, changes in building standards could be better communicated to property owners, including the impact on their insurance cover.</w:t>
      </w:r>
    </w:p>
    <w:p w14:paraId="721B521D" w14:textId="77777777" w:rsidR="00DE1537" w:rsidRDefault="00DE1537" w:rsidP="00343F3E">
      <w:pPr>
        <w:pStyle w:val="ListBullet"/>
      </w:pPr>
      <w:r>
        <w:t xml:space="preserve">In principle, asset owners are best placed to manage risks to their properties in existing areas of settlement. However, in some cases property owners may not have the capacity or willingness to properly assess, understand and treat the natural disaster risks affecting their assets. </w:t>
      </w:r>
    </w:p>
    <w:p w14:paraId="1D2A169A" w14:textId="77777777" w:rsidR="00DE1537" w:rsidRDefault="00DE1537" w:rsidP="00343F3E">
      <w:pPr>
        <w:pStyle w:val="ListBullet2"/>
      </w:pPr>
      <w:r>
        <w:t>There would be benefits in state and local governments and insurers communicating general hazard information to property owners through low</w:t>
      </w:r>
      <w:r>
        <w:noBreakHyphen/>
        <w:t>cost channels, such as council rates notices, property rental contracts or building and contents insurance renewal statements.</w:t>
      </w:r>
    </w:p>
    <w:p w14:paraId="72B1D35B" w14:textId="77777777" w:rsidR="00DE1537" w:rsidRPr="00221EE4" w:rsidRDefault="00DE1537" w:rsidP="00343F3E">
      <w:pPr>
        <w:pStyle w:val="ListBullet"/>
      </w:pPr>
      <w:r>
        <w:t xml:space="preserve">In the absence of private funding sources, the provision of additional incentives for mitigation or relocation in existing settlements should be considered in the context of state and local government risk management planning and mitigation prioritisation. </w:t>
      </w:r>
    </w:p>
    <w:p w14:paraId="2B0639DA" w14:textId="7DEBFCEB" w:rsidR="00DE1537" w:rsidRDefault="00DE1537" w:rsidP="00343F3E">
      <w:pPr>
        <w:pStyle w:val="Heading2"/>
      </w:pPr>
      <w:bookmarkStart w:id="73" w:name="_Toc406424342"/>
      <w:r>
        <w:t>6.</w:t>
      </w:r>
      <w:r>
        <w:rPr>
          <w:noProof/>
        </w:rPr>
        <w:t>2</w:t>
      </w:r>
      <w:r>
        <w:tab/>
        <w:t>Policy instruments for managing the built environment</w:t>
      </w:r>
      <w:bookmarkEnd w:id="73"/>
    </w:p>
    <w:p w14:paraId="28E63A56" w14:textId="60DDA6B3" w:rsidR="00DE1537" w:rsidRDefault="00DE1537" w:rsidP="00343F3E">
      <w:pPr>
        <w:pStyle w:val="BodyText"/>
      </w:pPr>
      <w:r>
        <w:t xml:space="preserve">Land use planning, building regulations and policies affecting areas of existing settlement form a suite of integrated tools for managing risk to the built environment (box 6.1). Land use planning governs </w:t>
      </w:r>
      <w:r w:rsidRPr="00153EA1">
        <w:rPr>
          <w:i/>
        </w:rPr>
        <w:t>where</w:t>
      </w:r>
      <w:r>
        <w:t xml:space="preserve"> built assets — and the people that live in and use them — may </w:t>
      </w:r>
      <w:r>
        <w:lastRenderedPageBreak/>
        <w:t xml:space="preserve">be located, and broadly </w:t>
      </w:r>
      <w:r w:rsidRPr="00810A1E">
        <w:rPr>
          <w:i/>
        </w:rPr>
        <w:t>what types</w:t>
      </w:r>
      <w:r>
        <w:t xml:space="preserve"> of built assets may be located there, and so is an important influence on exposure to natural hazards. </w:t>
      </w:r>
    </w:p>
    <w:p w14:paraId="2358BC6D"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E9FA696" w14:textId="77777777" w:rsidTr="00343F3E">
        <w:tc>
          <w:tcPr>
            <w:tcW w:w="8771" w:type="dxa"/>
            <w:tcBorders>
              <w:top w:val="single" w:sz="6" w:space="0" w:color="78A22F"/>
              <w:left w:val="nil"/>
              <w:bottom w:val="nil"/>
              <w:right w:val="nil"/>
            </w:tcBorders>
            <w:shd w:val="clear" w:color="auto" w:fill="F2F2F2" w:themeFill="background1" w:themeFillShade="F2"/>
          </w:tcPr>
          <w:p w14:paraId="1E416A81" w14:textId="3641853C" w:rsidR="00DE1537" w:rsidRDefault="00DE1537" w:rsidP="00343F3E">
            <w:pPr>
              <w:pStyle w:val="BoxTitle"/>
            </w:pPr>
            <w:r>
              <w:rPr>
                <w:b w:val="0"/>
              </w:rPr>
              <w:t>Box 6.</w:t>
            </w:r>
            <w:r>
              <w:rPr>
                <w:b w:val="0"/>
                <w:noProof/>
              </w:rPr>
              <w:t>1</w:t>
            </w:r>
            <w:r>
              <w:tab/>
              <w:t>Components of risk to the built environment</w:t>
            </w:r>
          </w:p>
        </w:tc>
      </w:tr>
      <w:tr w:rsidR="00DE1537" w14:paraId="787603BD" w14:textId="77777777" w:rsidTr="00343F3E">
        <w:trPr>
          <w:cantSplit/>
        </w:trPr>
        <w:tc>
          <w:tcPr>
            <w:tcW w:w="8771" w:type="dxa"/>
            <w:tcBorders>
              <w:top w:val="nil"/>
              <w:left w:val="nil"/>
              <w:bottom w:val="nil"/>
              <w:right w:val="nil"/>
            </w:tcBorders>
            <w:shd w:val="clear" w:color="auto" w:fill="F2F2F2" w:themeFill="background1" w:themeFillShade="F2"/>
          </w:tcPr>
          <w:p w14:paraId="5DC6AC85" w14:textId="77777777" w:rsidR="00DE1537" w:rsidRDefault="00DE1537" w:rsidP="00343F3E">
            <w:pPr>
              <w:pStyle w:val="Box"/>
            </w:pPr>
            <w:r>
              <w:t>In any given location, risk to the built environment can be considered as a function of hazard, exposure and vulnerability (supplementary paper 3). As illustrated in the diagram below, land use planning can affect the exposure of built assets in new developments to natural hazards, while building regulations influence their vulnerability. Strategies to manage risks to areas of existing settlement are limited but can affect both the exposure and vulnerability of these areas.</w:t>
            </w:r>
          </w:p>
          <w:p w14:paraId="29D556F7" w14:textId="77777777" w:rsidR="00DE1537" w:rsidRDefault="00DE1537" w:rsidP="00343F3E">
            <w:pPr>
              <w:pStyle w:val="Box"/>
            </w:pPr>
            <w:r>
              <w:rPr>
                <w:noProof/>
              </w:rPr>
              <w:drawing>
                <wp:inline distT="0" distB="0" distL="0" distR="0" wp14:anchorId="10F0E7D9" wp14:editId="04FB22F0">
                  <wp:extent cx="5381625" cy="3838575"/>
                  <wp:effectExtent l="0" t="0" r="9525" b="0"/>
                  <wp:docPr id="138" name="Picture 138" descr="Box 6.1 Components of risk to the built environment. This figure depicts risk as a triangle, with hazard, exposure and vulnerability as the three sides. It shows how building regulations, land use planning and existing settlements affect exposure and vulnerability. Exposure is affected by land use planning for new developments (where to build and what gets built) and relocation of existing built assets. Vulnerability is affected by building regulations for new developments (materials and construction used in building) and the condition of existing built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381625" cy="3838575"/>
                          </a:xfrm>
                          <a:prstGeom prst="rect">
                            <a:avLst/>
                          </a:prstGeom>
                          <a:noFill/>
                          <a:ln>
                            <a:noFill/>
                          </a:ln>
                        </pic:spPr>
                      </pic:pic>
                    </a:graphicData>
                  </a:graphic>
                </wp:inline>
              </w:drawing>
            </w:r>
          </w:p>
        </w:tc>
      </w:tr>
      <w:tr w:rsidR="00DE1537" w14:paraId="0D617347" w14:textId="77777777" w:rsidTr="00343F3E">
        <w:trPr>
          <w:cantSplit/>
        </w:trPr>
        <w:tc>
          <w:tcPr>
            <w:tcW w:w="8771" w:type="dxa"/>
            <w:tcBorders>
              <w:top w:val="nil"/>
              <w:left w:val="nil"/>
              <w:bottom w:val="nil"/>
              <w:right w:val="nil"/>
            </w:tcBorders>
            <w:shd w:val="clear" w:color="auto" w:fill="F2F2F2" w:themeFill="background1" w:themeFillShade="F2"/>
          </w:tcPr>
          <w:p w14:paraId="627A6AD6" w14:textId="12A4E40D" w:rsidR="00DE1537" w:rsidRDefault="00DE1537" w:rsidP="00343F3E">
            <w:pPr>
              <w:pStyle w:val="BoxSource"/>
            </w:pPr>
            <w:r>
              <w:rPr>
                <w:i/>
              </w:rPr>
              <w:t>Sources</w:t>
            </w:r>
            <w:r w:rsidRPr="00167F06">
              <w:t xml:space="preserve">: </w:t>
            </w:r>
            <w:r>
              <w:t xml:space="preserve">Adapted from ERSA (sub. 12); Granger </w:t>
            </w:r>
            <w:r w:rsidRPr="00362A7A">
              <w:rPr>
                <w:rFonts w:cs="Arial"/>
              </w:rPr>
              <w:t>(2014)</w:t>
            </w:r>
            <w:r>
              <w:t>.</w:t>
            </w:r>
          </w:p>
        </w:tc>
      </w:tr>
      <w:tr w:rsidR="00DE1537" w14:paraId="2D4D078E"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E9034F8" w14:textId="77777777" w:rsidR="00DE1537" w:rsidRDefault="00DE1537" w:rsidP="00343F3E">
            <w:pPr>
              <w:pStyle w:val="Box"/>
              <w:spacing w:before="0" w:line="120" w:lineRule="exact"/>
            </w:pPr>
          </w:p>
        </w:tc>
      </w:tr>
      <w:tr w:rsidR="00DE1537" w:rsidRPr="000863A5" w14:paraId="2CD88842" w14:textId="77777777" w:rsidTr="00343F3E">
        <w:tc>
          <w:tcPr>
            <w:tcW w:w="8771" w:type="dxa"/>
            <w:tcBorders>
              <w:top w:val="single" w:sz="6" w:space="0" w:color="78A22F"/>
              <w:left w:val="nil"/>
              <w:bottom w:val="nil"/>
              <w:right w:val="nil"/>
            </w:tcBorders>
          </w:tcPr>
          <w:p w14:paraId="7F2796FE" w14:textId="77777777" w:rsidR="00DE1537" w:rsidRPr="00626D32" w:rsidRDefault="00DE1537" w:rsidP="00343F3E">
            <w:pPr>
              <w:pStyle w:val="BoxSpaceBelow"/>
            </w:pPr>
          </w:p>
        </w:tc>
      </w:tr>
    </w:tbl>
    <w:p w14:paraId="09F01ABB" w14:textId="77777777" w:rsidR="00DE1537" w:rsidRDefault="00DE1537" w:rsidP="00343F3E">
      <w:pPr>
        <w:pStyle w:val="BodyText"/>
      </w:pPr>
      <w:r>
        <w:t xml:space="preserve">Building regulations determine </w:t>
      </w:r>
      <w:r w:rsidRPr="00153EA1">
        <w:rPr>
          <w:i/>
        </w:rPr>
        <w:t>how</w:t>
      </w:r>
      <w:r>
        <w:t xml:space="preserve"> such assets may be constructed, and so affect the vulnerability of built assets to natural disasters. Because land use planning and building regulations </w:t>
      </w:r>
      <w:r w:rsidRPr="000F1BD2">
        <w:t xml:space="preserve">apply only to new properties and developments </w:t>
      </w:r>
      <w:r>
        <w:t>(</w:t>
      </w:r>
      <w:r w:rsidRPr="000F1BD2">
        <w:t>or significant modification to existing properties</w:t>
      </w:r>
      <w:r>
        <w:t>), they can have a substantial influence over existing settlements only with a long lag time. This ‘legacy problem’ is a significant source of risk to the built environment, and strategies for both individual and collective management of risks to built assets in existing settlements are needed to influence both natural disaster exposure and vulnerability.</w:t>
      </w:r>
    </w:p>
    <w:p w14:paraId="5B3E27BD" w14:textId="77777777" w:rsidR="00DE1537" w:rsidRDefault="00DE1537" w:rsidP="00343F3E">
      <w:pPr>
        <w:pStyle w:val="BodyText"/>
      </w:pPr>
      <w:r>
        <w:t xml:space="preserve">These three policy components are strongly interrelated. Decisions to allow certain kinds of assets to be built and used in areas of new development have implications for the types of building materials that might be needed given the level of exposure to natural disasters </w:t>
      </w:r>
      <w:r>
        <w:lastRenderedPageBreak/>
        <w:t>in those areas. Similarly, minimum standards for building materials and construction affect the ability of built assets to withstand natural disasters, and will influence the costs and benefits associated with alternative land uses (and the trade</w:t>
      </w:r>
      <w:r>
        <w:noBreakHyphen/>
        <w:t xml:space="preserve">offs faced in land use planning decisions). Where decisions on land use planning or building regulations do not effectively incorporate natural disaster risk, future costs of natural disasters can be higher and this exacerbates future policy challenges around areas of existing settlement. </w:t>
      </w:r>
    </w:p>
    <w:p w14:paraId="7A875326" w14:textId="0B05829E" w:rsidR="00DE1537" w:rsidRPr="00EA08FC" w:rsidRDefault="00DE1537" w:rsidP="00343F3E">
      <w:pPr>
        <w:pStyle w:val="BodyText"/>
      </w:pPr>
      <w:r>
        <w:t xml:space="preserve">Inconsistency between land use planning and building regulations in managing natural disaster risk can lead to regulatory gaps or overlaps </w:t>
      </w:r>
      <w:r w:rsidRPr="00362A7A">
        <w:rPr>
          <w:szCs w:val="24"/>
        </w:rPr>
        <w:t>(PC 2012)</w:t>
      </w:r>
      <w:r>
        <w:t xml:space="preserve">. For example, the 2009 Victorian Bushfires Royal Commission </w:t>
      </w:r>
      <w:r w:rsidR="007C5656" w:rsidRPr="007C5656">
        <w:t>(2010a)</w:t>
      </w:r>
      <w:r>
        <w:t xml:space="preserve"> found discrepancies between the bushfire hazard maps used in land use planning and those used in building regulations, which had meant that properties were permitted to be located in bushfire</w:t>
      </w:r>
      <w:r>
        <w:noBreakHyphen/>
        <w:t>prone areas despite not meeting bushfire</w:t>
      </w:r>
      <w:r>
        <w:noBreakHyphen/>
        <w:t xml:space="preserve">related building standards. Integration between land use planning, building standards and emergency management is one of the seven priority areas for action identified in the </w:t>
      </w:r>
      <w:r w:rsidRPr="00BD4967">
        <w:rPr>
          <w:i/>
        </w:rPr>
        <w:t>Enhancing Disaster Resilience in the Built Environment Roadmap</w:t>
      </w:r>
      <w:r>
        <w:t xml:space="preserve"> </w:t>
      </w:r>
      <w:r w:rsidRPr="00D21F62">
        <w:rPr>
          <w:szCs w:val="24"/>
        </w:rPr>
        <w:t>(NEMC 2012c)</w:t>
      </w:r>
      <w:r>
        <w:t>.</w:t>
      </w:r>
    </w:p>
    <w:p w14:paraId="348DE2AC" w14:textId="77777777" w:rsidR="00DE1537" w:rsidRDefault="00DE1537" w:rsidP="00343F3E">
      <w:pPr>
        <w:pStyle w:val="BodyText"/>
      </w:pPr>
      <w:r>
        <w:t>Given these interdependencies, coordination between all three policy areas and between all levels of government is crucial for effective management of risks to the built environment. State and territory governments have a linchpin role, controlling statewide planning policies and legislative enactment of building regulations as well as having substantial responsibility for infrastructure provision. The Australian, state and territory governments are working on capability and investment plans that will outline the implementation of Roadmap areas for action, and their progress will be reviewed by the Land Use Planning and Building Codes Taskforce in the near future (Attorney</w:t>
      </w:r>
      <w:r>
        <w:noBreakHyphen/>
        <w:t>General’s Department, pers. comm., 3 September 2014).</w:t>
      </w:r>
    </w:p>
    <w:p w14:paraId="423DC2B7" w14:textId="77777777" w:rsidR="00DE1537" w:rsidRDefault="00DE1537" w:rsidP="00343F3E">
      <w:pPr>
        <w:pStyle w:val="BodyText"/>
      </w:pPr>
      <w:r>
        <w:t>Local governments have responsibility for interpreting and implementing state planning policies and building regulations in their communities, as well as managing risks to their own assets. The Australian Government is responsible for developing building standards and for the provision of general hazard information. State, territory and local government decisions affecting risks to the built environment are also influenced by the Australian Government’s natural disaster funding arrangements, and in turn, the Australian Government’s own financial risk exposure is affected by decisions at those lower levels of government.</w:t>
      </w:r>
    </w:p>
    <w:p w14:paraId="5663C557" w14:textId="6196AABC" w:rsidR="00DE1537" w:rsidRDefault="00DE1537" w:rsidP="00343F3E">
      <w:pPr>
        <w:pStyle w:val="Heading2"/>
      </w:pPr>
      <w:bookmarkStart w:id="74" w:name="_Toc406424343"/>
      <w:r>
        <w:t>6.</w:t>
      </w:r>
      <w:r>
        <w:rPr>
          <w:noProof/>
        </w:rPr>
        <w:t>3</w:t>
      </w:r>
      <w:r>
        <w:tab/>
        <w:t>Land use planning</w:t>
      </w:r>
      <w:bookmarkEnd w:id="74"/>
    </w:p>
    <w:p w14:paraId="4C9672CC" w14:textId="59FAC577" w:rsidR="00DE1537" w:rsidRDefault="00DE1537" w:rsidP="00343F3E">
      <w:pPr>
        <w:pStyle w:val="BodyText"/>
      </w:pPr>
      <w:r>
        <w:t xml:space="preserve">Land use planning (urban planning) is an important mechanism for managing natural disaster risk. By setting rules about where development may occur and what types of built assets may be constructed, governments influence both the exposure and vulnerability of the built environment to natural hazards over a long period of time. Decisions to develop land are ‘rarely reversible, and then only at great cost and inconvenience’ </w:t>
      </w:r>
      <w:r w:rsidRPr="004808E6">
        <w:rPr>
          <w:szCs w:val="24"/>
        </w:rPr>
        <w:t>(Wenger, Hussey and Pittock 2013, p.</w:t>
      </w:r>
      <w:r w:rsidRPr="00054701">
        <w:rPr>
          <w:szCs w:val="24"/>
        </w:rPr>
        <w:t> 4)</w:t>
      </w:r>
      <w:r>
        <w:t>. As such, land use planning decisions have a long</w:t>
      </w:r>
      <w:r>
        <w:noBreakHyphen/>
        <w:t xml:space="preserve">term impact, and </w:t>
      </w:r>
      <w:r>
        <w:lastRenderedPageBreak/>
        <w:t xml:space="preserve">where they incorporate natural disaster risk management, they have been described as ‘the single most important mitigation measure in preventing future disaster losses in areas of new development’ </w:t>
      </w:r>
      <w:r w:rsidRPr="00362A7A">
        <w:rPr>
          <w:szCs w:val="24"/>
        </w:rPr>
        <w:t>(COAG 2002, p. 17)</w:t>
      </w:r>
      <w:r>
        <w:t>.</w:t>
      </w:r>
    </w:p>
    <w:p w14:paraId="42BECDEE" w14:textId="77777777" w:rsidR="00DE1537" w:rsidRDefault="00DE1537" w:rsidP="00343F3E">
      <w:pPr>
        <w:pStyle w:val="BodyText"/>
      </w:pPr>
      <w:r>
        <w:t xml:space="preserve">Several inquiry participants concurred that land use planning is an important mechanism for reducing the impact of natural disasters in areas of new development (ALGA, sub. 52; ERSA, sub. 12; Lake Macquarie City Council (NSW), sub. 74; Planning Institute of Australia, sub. 53; </w:t>
      </w:r>
      <w:r w:rsidRPr="00807425">
        <w:t>WGCS</w:t>
      </w:r>
      <w:r>
        <w:t>, sub. 66). At the same time, participants noted that land use planning is a challenging policy area where trade</w:t>
      </w:r>
      <w:r>
        <w:noBreakHyphen/>
        <w:t>offs must be made in the context of political pressures and competing objectives (Lake Macquarie City Council (NSW), sub. 74; Suncorp Group, sub. 71).</w:t>
      </w:r>
    </w:p>
    <w:p w14:paraId="2CEF0ACA" w14:textId="3A976867" w:rsidR="00DE1537" w:rsidRDefault="00DE1537" w:rsidP="00343F3E">
      <w:pPr>
        <w:pStyle w:val="BodyText"/>
      </w:pPr>
      <w:r>
        <w:t xml:space="preserve">There is a role for government regulation of planning and development as a consequence of markets failing to achieve socially optimal treatment of natural disaster risk </w:t>
      </w:r>
      <w:r w:rsidRPr="00362A7A">
        <w:rPr>
          <w:szCs w:val="24"/>
        </w:rPr>
        <w:t>(PC 2012)</w:t>
      </w:r>
      <w:r>
        <w:t xml:space="preserve">. Land use is likely to be characterised by externalities (or spillovers), in that the use of land by some households or organisations can have an impact on the risk faced by those in surrounding areas. It can also be affected by asymmetric information, such as where developers or property owners have more information about natural disaster risks than do prospective buyers. </w:t>
      </w:r>
    </w:p>
    <w:p w14:paraId="697DAD5D" w14:textId="77777777" w:rsidR="00DE1537" w:rsidRDefault="00DE1537" w:rsidP="00343F3E">
      <w:pPr>
        <w:pStyle w:val="BodyText"/>
      </w:pPr>
      <w:r>
        <w:t>Government regulation of land use planning can increase community wellbeing by better aligning the exposure and vulnerability of built environments with community risk appetites. There are costs associated with planning policy development and implementation, and costs incurred and benefits forgone by private sector agents as a result of requirements about where and what they may build. For example, restrictions on development of flood</w:t>
      </w:r>
      <w:r>
        <w:noBreakHyphen/>
        <w:t xml:space="preserve">prone land can reduce a community’s level of exposure to flooding, but at the same time can impose costs on </w:t>
      </w:r>
      <w:r w:rsidRPr="007C62F5">
        <w:t xml:space="preserve">households </w:t>
      </w:r>
      <w:r>
        <w:t>prevented from living in areas offering high amenity and/or affordability.</w:t>
      </w:r>
    </w:p>
    <w:p w14:paraId="1570BBA7" w14:textId="5F9431C3" w:rsidR="00DE1537" w:rsidRDefault="00DE1537" w:rsidP="00343F3E">
      <w:pPr>
        <w:pStyle w:val="BodyText"/>
      </w:pPr>
      <w:r>
        <w:t xml:space="preserve">This raises a key issue: natural disaster risk management is only one of many objectives and priorities that governments must consider when making land use planning decisions </w:t>
      </w:r>
      <w:r w:rsidR="007C5656" w:rsidRPr="007C5656">
        <w:rPr>
          <w:szCs w:val="24"/>
        </w:rPr>
        <w:t>(PC 2011b)</w:t>
      </w:r>
      <w:r>
        <w:t xml:space="preserve">. Other objectives include: </w:t>
      </w:r>
    </w:p>
    <w:p w14:paraId="20DBBA9B" w14:textId="77777777" w:rsidR="00DE1537" w:rsidRDefault="00DE1537" w:rsidP="00343F3E">
      <w:pPr>
        <w:pStyle w:val="ListBullet"/>
        <w:spacing w:line="320" w:lineRule="atLeast"/>
      </w:pPr>
      <w:r>
        <w:t>raising revenue for service provision</w:t>
      </w:r>
    </w:p>
    <w:p w14:paraId="289283FB" w14:textId="77777777" w:rsidR="00DE1537" w:rsidRDefault="00DE1537" w:rsidP="00343F3E">
      <w:pPr>
        <w:pStyle w:val="ListBullet"/>
        <w:spacing w:line="320" w:lineRule="atLeast"/>
      </w:pPr>
      <w:r>
        <w:t>managing the growth of cities and towns</w:t>
      </w:r>
    </w:p>
    <w:p w14:paraId="17DE0C74" w14:textId="77777777" w:rsidR="00DE1537" w:rsidRDefault="00DE1537" w:rsidP="00343F3E">
      <w:pPr>
        <w:pStyle w:val="ListBullet"/>
        <w:spacing w:line="320" w:lineRule="atLeast"/>
      </w:pPr>
      <w:r>
        <w:t>providing for affordable housing</w:t>
      </w:r>
    </w:p>
    <w:p w14:paraId="3C907091" w14:textId="77777777" w:rsidR="00DE1537" w:rsidRDefault="00DE1537" w:rsidP="00343F3E">
      <w:pPr>
        <w:pStyle w:val="ListBullet"/>
        <w:spacing w:line="320" w:lineRule="atLeast"/>
      </w:pPr>
      <w:r>
        <w:t>preserving the environment</w:t>
      </w:r>
    </w:p>
    <w:p w14:paraId="0C3B4DE2" w14:textId="77777777" w:rsidR="00DE1537" w:rsidRDefault="00DE1537" w:rsidP="00343F3E">
      <w:pPr>
        <w:pStyle w:val="ListBullet"/>
        <w:spacing w:line="320" w:lineRule="atLeast"/>
      </w:pPr>
      <w:proofErr w:type="gramStart"/>
      <w:r>
        <w:t>providing</w:t>
      </w:r>
      <w:proofErr w:type="gramEnd"/>
      <w:r>
        <w:t xml:space="preserve"> and coordinating community services and facilities. </w:t>
      </w:r>
    </w:p>
    <w:p w14:paraId="5A279D75" w14:textId="77777777" w:rsidR="00DE1537" w:rsidRDefault="00DE1537" w:rsidP="00343F3E">
      <w:pPr>
        <w:pStyle w:val="BodyText"/>
      </w:pPr>
      <w:r>
        <w:t>These objectives may be competing — or in direct conflict — particularly with respect to the present and future effects. That is, seeking to achieve one objective in the present (such as expanding development in hazard</w:t>
      </w:r>
      <w:r>
        <w:noBreakHyphen/>
        <w:t xml:space="preserve">prone areas to increase employment and housing affordability) may hinder achievement of another objective in the future (such as managing the exposure of built assets to natural disasters). </w:t>
      </w:r>
    </w:p>
    <w:p w14:paraId="3CD080D9" w14:textId="77777777" w:rsidR="00DE1537" w:rsidRDefault="00DE1537" w:rsidP="00343F3E">
      <w:pPr>
        <w:pStyle w:val="Heading3"/>
      </w:pPr>
      <w:r>
        <w:lastRenderedPageBreak/>
        <w:t>Roles, responsibilities and governance</w:t>
      </w:r>
    </w:p>
    <w:p w14:paraId="25EBDB87" w14:textId="45F91692" w:rsidR="00DE1537" w:rsidRDefault="00DE1537" w:rsidP="00343F3E">
      <w:pPr>
        <w:pStyle w:val="BodyText"/>
      </w:pPr>
      <w:r>
        <w:t>Land use planning is a shared responsibility of state and local governments</w:t>
      </w:r>
      <w:r w:rsidRPr="00FF37B5">
        <w:t xml:space="preserve"> </w:t>
      </w:r>
      <w:r>
        <w:t xml:space="preserve">(figure 6.1), with the specific arrangements varying by jurisdiction (annex, table 6.2). State and territory governments have </w:t>
      </w:r>
      <w:r w:rsidRPr="00144B24">
        <w:t>primary</w:t>
      </w:r>
      <w:r>
        <w:t xml:space="preserve"> responsibility for land use planning regulation. Through a nominated responsible authority (either a state Department or independent body), they effectively set the risk appetite by developing land use planning frameworks, which take the form of statewide planning legislation and policy documents. Local governments are responsible for interpreting and implementing state land use planning legislative and policy frameworks through local planning schemes and by making decisions on development applications </w:t>
      </w:r>
      <w:r w:rsidRPr="00362A7A">
        <w:rPr>
          <w:szCs w:val="24"/>
        </w:rPr>
        <w:t>(SMEC and IID 2006)</w:t>
      </w:r>
      <w:r>
        <w:t>. The exceptions are the Northern Territory, in which the land use planning process is the responsibility of the Northern Territory Government, with ‘no mandated role for local government in the decision making process’ (</w:t>
      </w:r>
      <w:r w:rsidRPr="00807425">
        <w:t>LGANT</w:t>
      </w:r>
      <w:r>
        <w:t>, sub. 55, p. 4), and the ACT.</w:t>
      </w:r>
    </w:p>
    <w:p w14:paraId="64518396" w14:textId="591F63DA" w:rsidR="00DE1537" w:rsidRDefault="00DE1537" w:rsidP="00343F3E">
      <w:pPr>
        <w:pStyle w:val="BodyText"/>
      </w:pPr>
      <w:r>
        <w:t xml:space="preserve">Local governments use a range of planning instruments to manage natural disaster risks within these policy and legislative frameworks (box 6.2). </w:t>
      </w:r>
    </w:p>
    <w:p w14:paraId="2631FE84"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198F7A0" w14:textId="77777777" w:rsidTr="00343F3E">
        <w:tc>
          <w:tcPr>
            <w:tcW w:w="8771" w:type="dxa"/>
            <w:tcBorders>
              <w:top w:val="single" w:sz="6" w:space="0" w:color="78A22F"/>
              <w:left w:val="nil"/>
              <w:bottom w:val="nil"/>
              <w:right w:val="nil"/>
            </w:tcBorders>
            <w:shd w:val="clear" w:color="auto" w:fill="F2F2F2" w:themeFill="background1" w:themeFillShade="F2"/>
          </w:tcPr>
          <w:p w14:paraId="66FDCC71" w14:textId="647F9816" w:rsidR="00DE1537" w:rsidRDefault="00DE1537" w:rsidP="00343F3E">
            <w:pPr>
              <w:pStyle w:val="BoxTitle"/>
            </w:pPr>
            <w:r>
              <w:rPr>
                <w:b w:val="0"/>
              </w:rPr>
              <w:t>Box 6.</w:t>
            </w:r>
            <w:r>
              <w:rPr>
                <w:b w:val="0"/>
                <w:noProof/>
              </w:rPr>
              <w:t>2</w:t>
            </w:r>
            <w:r>
              <w:tab/>
            </w:r>
            <w:r w:rsidRPr="00D70A6C">
              <w:t xml:space="preserve">Planning and development controls for managing </w:t>
            </w:r>
            <w:r>
              <w:t xml:space="preserve">natural </w:t>
            </w:r>
            <w:r w:rsidRPr="00D70A6C">
              <w:t>disaster risk</w:t>
            </w:r>
          </w:p>
        </w:tc>
      </w:tr>
      <w:tr w:rsidR="00DE1537" w14:paraId="5D6C2EE2" w14:textId="77777777" w:rsidTr="00343F3E">
        <w:trPr>
          <w:cantSplit/>
        </w:trPr>
        <w:tc>
          <w:tcPr>
            <w:tcW w:w="8771" w:type="dxa"/>
            <w:tcBorders>
              <w:top w:val="nil"/>
              <w:left w:val="nil"/>
              <w:bottom w:val="nil"/>
              <w:right w:val="nil"/>
            </w:tcBorders>
            <w:shd w:val="clear" w:color="auto" w:fill="F2F2F2" w:themeFill="background1" w:themeFillShade="F2"/>
          </w:tcPr>
          <w:p w14:paraId="5460702B" w14:textId="77777777" w:rsidR="00DE1537" w:rsidRDefault="00DE1537" w:rsidP="00343F3E">
            <w:pPr>
              <w:pStyle w:val="Box"/>
            </w:pPr>
            <w:r>
              <w:t>Planning and development controls that can reduce natural disaster risk include:</w:t>
            </w:r>
          </w:p>
          <w:p w14:paraId="12BC008F" w14:textId="77777777" w:rsidR="00DE1537" w:rsidRDefault="00DE1537" w:rsidP="00343F3E">
            <w:pPr>
              <w:pStyle w:val="BoxListBullet"/>
              <w:spacing w:before="60" w:line="280" w:lineRule="atLeast"/>
            </w:pPr>
            <w:r>
              <w:t>prohibitions or controls on land use and development in areas of high risk, such as flood</w:t>
            </w:r>
            <w:r>
              <w:noBreakHyphen/>
              <w:t>prone or bushfire</w:t>
            </w:r>
            <w:r>
              <w:noBreakHyphen/>
              <w:t>prone areas, through the application of zones or overlays</w:t>
            </w:r>
          </w:p>
          <w:p w14:paraId="516E26BE" w14:textId="77777777" w:rsidR="00DE1537" w:rsidRDefault="00DE1537" w:rsidP="00343F3E">
            <w:pPr>
              <w:pStyle w:val="BoxListBullet"/>
              <w:spacing w:before="60" w:line="280" w:lineRule="atLeast"/>
            </w:pPr>
            <w:r>
              <w:t>prescribed minimum finished floor levels above applicable flood levels</w:t>
            </w:r>
          </w:p>
          <w:p w14:paraId="09D13B17" w14:textId="77777777" w:rsidR="00DE1537" w:rsidRDefault="00DE1537" w:rsidP="00343F3E">
            <w:pPr>
              <w:pStyle w:val="BoxListBullet"/>
              <w:spacing w:before="60" w:line="280" w:lineRule="atLeast"/>
            </w:pPr>
            <w:r>
              <w:t>required buffer zones between bushland or coastlines and residential areas</w:t>
            </w:r>
          </w:p>
          <w:p w14:paraId="3AD4A2B2" w14:textId="77777777" w:rsidR="00DE1537" w:rsidRDefault="00DE1537" w:rsidP="00343F3E">
            <w:pPr>
              <w:pStyle w:val="BoxListBullet"/>
              <w:spacing w:before="60" w:line="280" w:lineRule="atLeast"/>
            </w:pPr>
            <w:r>
              <w:t>required building materials (such as fire retardant materials or minimum loading strength)</w:t>
            </w:r>
          </w:p>
          <w:p w14:paraId="0A724921" w14:textId="77777777" w:rsidR="00DE1537" w:rsidRDefault="00DE1537" w:rsidP="00343F3E">
            <w:pPr>
              <w:pStyle w:val="BoxListBullet"/>
              <w:spacing w:before="60" w:line="280" w:lineRule="atLeast"/>
            </w:pPr>
            <w:proofErr w:type="gramStart"/>
            <w:r>
              <w:t>provision</w:t>
            </w:r>
            <w:proofErr w:type="gramEnd"/>
            <w:r>
              <w:t xml:space="preserve"> of adequate drainage in new developments to accommodate flash flooding.</w:t>
            </w:r>
          </w:p>
        </w:tc>
      </w:tr>
      <w:tr w:rsidR="00DE1537" w14:paraId="771F26DA" w14:textId="77777777" w:rsidTr="00343F3E">
        <w:trPr>
          <w:cantSplit/>
        </w:trPr>
        <w:tc>
          <w:tcPr>
            <w:tcW w:w="8771" w:type="dxa"/>
            <w:tcBorders>
              <w:top w:val="nil"/>
              <w:left w:val="nil"/>
              <w:bottom w:val="nil"/>
              <w:right w:val="nil"/>
            </w:tcBorders>
            <w:shd w:val="clear" w:color="auto" w:fill="F2F2F2" w:themeFill="background1" w:themeFillShade="F2"/>
          </w:tcPr>
          <w:p w14:paraId="1A4F8146" w14:textId="1B10ADFC" w:rsidR="00DE1537" w:rsidRDefault="00DE1537" w:rsidP="00343F3E">
            <w:pPr>
              <w:pStyle w:val="BoxSource"/>
            </w:pPr>
            <w:r>
              <w:rPr>
                <w:i/>
              </w:rPr>
              <w:t>Source</w:t>
            </w:r>
            <w:r w:rsidRPr="00167F06">
              <w:t>:</w:t>
            </w:r>
            <w:r>
              <w:t xml:space="preserve"> SMEC and IID</w:t>
            </w:r>
            <w:r w:rsidRPr="00167F06">
              <w:t xml:space="preserve"> </w:t>
            </w:r>
            <w:r w:rsidRPr="00362A7A">
              <w:rPr>
                <w:rFonts w:cs="Arial"/>
              </w:rPr>
              <w:t>(2006)</w:t>
            </w:r>
            <w:r>
              <w:t>.</w:t>
            </w:r>
          </w:p>
        </w:tc>
      </w:tr>
      <w:tr w:rsidR="00DE1537" w14:paraId="242A7DB3"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12283E4" w14:textId="77777777" w:rsidR="00DE1537" w:rsidRDefault="00DE1537" w:rsidP="00343F3E">
            <w:pPr>
              <w:pStyle w:val="Box"/>
              <w:spacing w:before="0" w:line="120" w:lineRule="exact"/>
            </w:pPr>
          </w:p>
        </w:tc>
      </w:tr>
      <w:tr w:rsidR="00DE1537" w:rsidRPr="000863A5" w14:paraId="5DC59C5F" w14:textId="77777777" w:rsidTr="00343F3E">
        <w:tc>
          <w:tcPr>
            <w:tcW w:w="8771" w:type="dxa"/>
            <w:tcBorders>
              <w:top w:val="single" w:sz="6" w:space="0" w:color="78A22F"/>
              <w:left w:val="nil"/>
              <w:bottom w:val="nil"/>
              <w:right w:val="nil"/>
            </w:tcBorders>
          </w:tcPr>
          <w:p w14:paraId="0D24F487" w14:textId="77777777" w:rsidR="00DE1537" w:rsidRPr="00626D32" w:rsidRDefault="00DE1537" w:rsidP="00343F3E">
            <w:pPr>
              <w:pStyle w:val="BoxSpaceBelow"/>
            </w:pPr>
          </w:p>
        </w:tc>
      </w:tr>
    </w:tbl>
    <w:p w14:paraId="010CC8FC" w14:textId="7283F496" w:rsidR="00DE1537" w:rsidRDefault="00DE1537" w:rsidP="00343F3E">
      <w:pPr>
        <w:pStyle w:val="BodyText"/>
      </w:pPr>
      <w:r>
        <w:t xml:space="preserve">State governments are responsible for ensuring that local governments’ planning schemes are consistent with state planning legislation and policy </w:t>
      </w:r>
      <w:r w:rsidRPr="00362A7A">
        <w:rPr>
          <w:szCs w:val="24"/>
        </w:rPr>
        <w:t>(NEMC 2012a)</w:t>
      </w:r>
      <w:r>
        <w:t>. Depending on the jurisdiction, this can occur through use of legislated standards for local planning schemes (for example, in New South Wales) as well as requirements that any new or amended local planning scheme documents be reviewed by the state government. Local governments’ assessments and approvals or rejections of applications for development may also be subject to appeal and review by state judicial bodies. In some jurisdictions, development applications for some land uses must be referred to emergency management authorities (such as fire services authorities in respect of bushfire</w:t>
      </w:r>
      <w:r>
        <w:noBreakHyphen/>
        <w:t xml:space="preserve">prone land) </w:t>
      </w:r>
      <w:r w:rsidRPr="00362A7A">
        <w:rPr>
          <w:szCs w:val="24"/>
        </w:rPr>
        <w:t>(NEMC 2012a)</w:t>
      </w:r>
      <w:r>
        <w:t>.</w:t>
      </w:r>
    </w:p>
    <w:p w14:paraId="62872CF5" w14:textId="77777777" w:rsidR="00DE1537" w:rsidRDefault="00DE1537" w:rsidP="00343F3E">
      <w:pPr>
        <w:pStyle w:val="BodyText"/>
      </w:pPr>
    </w:p>
    <w:p w14:paraId="76D4A2C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42998A6" w14:textId="77777777" w:rsidTr="00343F3E">
        <w:tc>
          <w:tcPr>
            <w:tcW w:w="8771" w:type="dxa"/>
            <w:tcBorders>
              <w:top w:val="single" w:sz="6" w:space="0" w:color="78A22F"/>
              <w:left w:val="nil"/>
              <w:bottom w:val="nil"/>
              <w:right w:val="nil"/>
            </w:tcBorders>
            <w:shd w:val="clear" w:color="auto" w:fill="auto"/>
          </w:tcPr>
          <w:p w14:paraId="567651B6" w14:textId="30001CBE" w:rsidR="00DE1537" w:rsidRPr="00176D3F" w:rsidRDefault="00DE1537" w:rsidP="00343F3E">
            <w:pPr>
              <w:pStyle w:val="FigureTitle"/>
            </w:pPr>
            <w:r w:rsidRPr="00784A05">
              <w:rPr>
                <w:b w:val="0"/>
              </w:rPr>
              <w:t xml:space="preserve">Figure </w:t>
            </w:r>
            <w:r>
              <w:rPr>
                <w:b w:val="0"/>
              </w:rPr>
              <w:t>6.</w:t>
            </w:r>
            <w:r>
              <w:rPr>
                <w:b w:val="0"/>
                <w:noProof/>
              </w:rPr>
              <w:t>1</w:t>
            </w:r>
            <w:r>
              <w:tab/>
              <w:t>Land use planning arrangements and natural disaster risk</w:t>
            </w:r>
          </w:p>
        </w:tc>
      </w:tr>
      <w:tr w:rsidR="00DE1537" w14:paraId="691A3347"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7E38A12D" w14:textId="77777777" w:rsidTr="00343F3E">
              <w:tc>
                <w:tcPr>
                  <w:tcW w:w="5000" w:type="pct"/>
                  <w:tcBorders>
                    <w:top w:val="nil"/>
                    <w:bottom w:val="nil"/>
                  </w:tcBorders>
                </w:tcPr>
                <w:p w14:paraId="1AD1D081" w14:textId="77777777" w:rsidR="00DE1537" w:rsidRDefault="00DE1537" w:rsidP="00343F3E">
                  <w:pPr>
                    <w:pStyle w:val="Figure"/>
                    <w:spacing w:before="60" w:after="60"/>
                  </w:pPr>
                  <w:r>
                    <w:rPr>
                      <w:noProof/>
                    </w:rPr>
                    <w:drawing>
                      <wp:inline distT="0" distB="0" distL="0" distR="0" wp14:anchorId="31780005" wp14:editId="63A58772">
                        <wp:extent cx="5391150" cy="6353175"/>
                        <wp:effectExtent l="0" t="0" r="0" b="9525"/>
                        <wp:docPr id="139" name="Picture 139" descr="Figure 6.1 Land use planning arrangements and natural disaster risk. This figure shows a flow diagram of land use planning arrangements. The left-hand side shows the parts of the process (e.g. setting risk appetite, legislation and policy architecture, local translation). The middle section shows the mechanisms for each part of the process (e.g. statewide planning legislation, local planning schemes, development assessments). The right-hand side indicates who is responsible for each part of the process (e.g. state and territory governments, local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391150" cy="6353175"/>
                                </a:xfrm>
                                <a:prstGeom prst="rect">
                                  <a:avLst/>
                                </a:prstGeom>
                                <a:noFill/>
                                <a:ln>
                                  <a:noFill/>
                                </a:ln>
                              </pic:spPr>
                            </pic:pic>
                          </a:graphicData>
                        </a:graphic>
                      </wp:inline>
                    </w:drawing>
                  </w:r>
                </w:p>
              </w:tc>
            </w:tr>
          </w:tbl>
          <w:p w14:paraId="5D8C4404" w14:textId="77777777" w:rsidR="00DE1537" w:rsidRDefault="00DE1537" w:rsidP="00343F3E">
            <w:pPr>
              <w:pStyle w:val="Figure"/>
            </w:pPr>
          </w:p>
        </w:tc>
      </w:tr>
      <w:tr w:rsidR="00DE1537" w14:paraId="5E56F444" w14:textId="77777777" w:rsidTr="00343F3E">
        <w:tc>
          <w:tcPr>
            <w:tcW w:w="8771" w:type="dxa"/>
            <w:tcBorders>
              <w:top w:val="nil"/>
              <w:left w:val="nil"/>
              <w:bottom w:val="single" w:sz="6" w:space="0" w:color="78A22F"/>
              <w:right w:val="nil"/>
            </w:tcBorders>
            <w:shd w:val="clear" w:color="auto" w:fill="auto"/>
          </w:tcPr>
          <w:p w14:paraId="2D2E253A" w14:textId="77777777" w:rsidR="00DE1537" w:rsidRDefault="00DE1537" w:rsidP="00343F3E">
            <w:pPr>
              <w:pStyle w:val="Figurespace"/>
            </w:pPr>
          </w:p>
        </w:tc>
      </w:tr>
      <w:tr w:rsidR="00DE1537" w:rsidRPr="000863A5" w14:paraId="2FE42AF8" w14:textId="77777777" w:rsidTr="00343F3E">
        <w:tc>
          <w:tcPr>
            <w:tcW w:w="8771" w:type="dxa"/>
            <w:tcBorders>
              <w:top w:val="single" w:sz="6" w:space="0" w:color="78A22F"/>
              <w:left w:val="nil"/>
              <w:bottom w:val="nil"/>
              <w:right w:val="nil"/>
            </w:tcBorders>
          </w:tcPr>
          <w:p w14:paraId="48E5B882" w14:textId="77777777" w:rsidR="00DE1537" w:rsidRPr="00626D32" w:rsidRDefault="00DE1537" w:rsidP="00343F3E">
            <w:pPr>
              <w:pStyle w:val="BoxSpaceBelow"/>
            </w:pPr>
          </w:p>
        </w:tc>
      </w:tr>
    </w:tbl>
    <w:p w14:paraId="5F513A78" w14:textId="3AFB51A6" w:rsidR="00DE1537" w:rsidRDefault="00DE1537" w:rsidP="00343F3E">
      <w:pPr>
        <w:pStyle w:val="BodyText"/>
      </w:pPr>
      <w:r>
        <w:t xml:space="preserve">The Australian Government has limited involvement in land use planning and, as a result, approaches to land use planning across states and territories are not necessarily consistent </w:t>
      </w:r>
      <w:r w:rsidRPr="00362A7A">
        <w:rPr>
          <w:szCs w:val="24"/>
        </w:rPr>
        <w:t>(NEMC 2012b)</w:t>
      </w:r>
      <w:r>
        <w:t xml:space="preserve">. The Australian Sustainable Built Environment Council </w:t>
      </w:r>
      <w:r w:rsidRPr="00362A7A">
        <w:rPr>
          <w:szCs w:val="24"/>
        </w:rPr>
        <w:t>(ASBEC 2012)</w:t>
      </w:r>
      <w:r>
        <w:t xml:space="preserve"> envisioned a stronger role for the Australian Government in working with state, territory and local governments to promote the use of nationally consistent planning principles, strategies and approaches, particularly in relation to hazards that traverse jurisdictional boundaries. </w:t>
      </w:r>
    </w:p>
    <w:p w14:paraId="4A3CE748" w14:textId="77777777" w:rsidR="00DE1537" w:rsidRDefault="00DE1537" w:rsidP="00343F3E">
      <w:pPr>
        <w:pStyle w:val="BodyText"/>
      </w:pPr>
      <w:r>
        <w:lastRenderedPageBreak/>
        <w:t xml:space="preserve">There is also a case for some involvement by the Australian Government in land use planning, as a consequence of the natural disaster funding arrangements. The Australian Government bears a share of natural disaster costs, so ineffective disaster risk management in land use planning poses a liability for the Australian Government (chapter 2). Furthermore, the Australian Government’s funding support has implications for the incentives to invest in mitigation faced by governments (including </w:t>
      </w:r>
      <w:proofErr w:type="gramStart"/>
      <w:r>
        <w:t>to manage</w:t>
      </w:r>
      <w:proofErr w:type="gramEnd"/>
      <w:r>
        <w:t xml:space="preserve"> that risk through land use planning and building regulations), households and communities.</w:t>
      </w:r>
    </w:p>
    <w:p w14:paraId="1D819F42" w14:textId="77777777" w:rsidR="00DE1537" w:rsidRDefault="00DE1537" w:rsidP="00343F3E">
      <w:pPr>
        <w:pStyle w:val="BodyText"/>
      </w:pPr>
      <w:r>
        <w:t xml:space="preserve">Some participants have also expressed a preference for increased Australian Government involvement in land use planning, in the interests of greater national consistency (also discussed later in this supplementary paper, in the context of incorporating community preferences). For example, the </w:t>
      </w:r>
      <w:r w:rsidRPr="008C1971">
        <w:t>Wentworth Group of Concerned Scientists (sub.</w:t>
      </w:r>
      <w:r>
        <w:t> </w:t>
      </w:r>
      <w:r w:rsidRPr="008C1971">
        <w:t>DR192</w:t>
      </w:r>
      <w:r>
        <w:t>, p. 2</w:t>
      </w:r>
      <w:r w:rsidRPr="008C1971">
        <w:t>)</w:t>
      </w:r>
      <w:r>
        <w:t xml:space="preserve"> argued that land use planning:</w:t>
      </w:r>
    </w:p>
    <w:p w14:paraId="10C76240" w14:textId="77777777" w:rsidR="00DE1537" w:rsidRDefault="00DE1537" w:rsidP="00343F3E">
      <w:pPr>
        <w:pStyle w:val="Quote"/>
      </w:pPr>
      <w:r>
        <w:t xml:space="preserve">… </w:t>
      </w:r>
      <w:proofErr w:type="gramStart"/>
      <w:r>
        <w:t>should</w:t>
      </w:r>
      <w:proofErr w:type="gramEnd"/>
      <w:r>
        <w:t xml:space="preserve"> not be a matter left to the sole discretion of individual states and territories or to local councils. … As recognised by the Commission there are options for local and even state and territory governments to place other land use interests above that of disaster mitigation in known hazard areas. … </w:t>
      </w:r>
      <w:proofErr w:type="gramStart"/>
      <w:r>
        <w:t>the</w:t>
      </w:r>
      <w:proofErr w:type="gramEnd"/>
      <w:r>
        <w:t xml:space="preserve"> Australian Government [should] have oversight of matching funds allocated to state and territory governments to ensure that the use of land use planning instruments in areas of known natural hazard gives priority to management of disaster risk.</w:t>
      </w:r>
    </w:p>
    <w:p w14:paraId="4C10D85D" w14:textId="77777777" w:rsidR="00DE1537" w:rsidRDefault="00DE1537" w:rsidP="00343F3E">
      <w:pPr>
        <w:pStyle w:val="BodyText"/>
      </w:pPr>
      <w:r>
        <w:t>In principle, governance arrangements should ensure that land use planning implementation at the local level reflects statewide natural disaster risk appetite as well as the needs and preferences of local communities. In practice, however, the number of decision</w:t>
      </w:r>
      <w:r>
        <w:noBreakHyphen/>
        <w:t>making bodies involved means that there is no single clear line of accountability for poor land use planning outcomes. It is essential for state governments to explicitly articulate the statewide risk appetite by identifying the risks posed by all relevant natural hazards, and specifying appropriate planning controls for each given level of risk.</w:t>
      </w:r>
    </w:p>
    <w:p w14:paraId="3D493A95" w14:textId="77777777" w:rsidR="00DE1537" w:rsidRDefault="00DE1537" w:rsidP="00343F3E">
      <w:pPr>
        <w:pStyle w:val="BodyText"/>
      </w:pPr>
      <w:r>
        <w:t>Some jurisdictions acknowledged that there is still room for improvement in state planning frameworks:</w:t>
      </w:r>
    </w:p>
    <w:p w14:paraId="3D5934F4" w14:textId="77777777" w:rsidR="00DE1537" w:rsidRDefault="00DE1537" w:rsidP="00343F3E">
      <w:pPr>
        <w:pStyle w:val="Quote"/>
      </w:pPr>
      <w:r w:rsidRPr="00B52587">
        <w:t>At present, State Planning Policies do not adequately address all hazards and this is looking to be strengthened. Recent examples include improvement of the State Coastal Planning Policy and a new policy for Planning for Bushfire Risk Management.</w:t>
      </w:r>
      <w:r>
        <w:t xml:space="preserve"> </w:t>
      </w:r>
      <w:proofErr w:type="gramStart"/>
      <w:r>
        <w:t xml:space="preserve">(WA </w:t>
      </w:r>
      <w:r w:rsidRPr="002F1C2D">
        <w:t>State Emergency M</w:t>
      </w:r>
      <w:r>
        <w:t>anagement Committee Secretariat, sub.</w:t>
      </w:r>
      <w:proofErr w:type="gramEnd"/>
      <w:r>
        <w:t> DR216, p. 16)</w:t>
      </w:r>
    </w:p>
    <w:p w14:paraId="225151C7" w14:textId="5532CA0C" w:rsidR="00DE1537" w:rsidRDefault="00DE1537" w:rsidP="00343F3E">
      <w:pPr>
        <w:pStyle w:val="BodyText"/>
      </w:pPr>
      <w:r>
        <w:t xml:space="preserve">However, several state governments indicated </w:t>
      </w:r>
      <w:r w:rsidDel="00FF7112">
        <w:t xml:space="preserve">that they already </w:t>
      </w:r>
      <w:r>
        <w:t xml:space="preserve">incorporate </w:t>
      </w:r>
      <w:r w:rsidDel="00FF7112">
        <w:t>natural disaster risk in state planning policy and provide guidance on balancing competing priorities</w:t>
      </w:r>
      <w:r>
        <w:t>, or are working on doing so</w:t>
      </w:r>
      <w:r w:rsidDel="00FF7112">
        <w:t xml:space="preserve"> (Government of South Australia, sub.</w:t>
      </w:r>
      <w:r>
        <w:t> </w:t>
      </w:r>
      <w:proofErr w:type="gramStart"/>
      <w:r w:rsidDel="00FF7112">
        <w:t>DR209; Queensland Government, sub.</w:t>
      </w:r>
      <w:proofErr w:type="gramEnd"/>
      <w:r>
        <w:t> </w:t>
      </w:r>
      <w:proofErr w:type="gramStart"/>
      <w:r w:rsidDel="00FF7112">
        <w:t xml:space="preserve">DR184; Tasmanian Government, </w:t>
      </w:r>
      <w:r w:rsidRPr="00225FC4" w:rsidDel="00FF7112">
        <w:t>sub.</w:t>
      </w:r>
      <w:proofErr w:type="gramEnd"/>
      <w:r w:rsidRPr="00225FC4">
        <w:t> </w:t>
      </w:r>
      <w:proofErr w:type="gramStart"/>
      <w:r>
        <w:t xml:space="preserve">DR223; </w:t>
      </w:r>
      <w:r w:rsidDel="00FF7112">
        <w:t>Victorian Government, sub.</w:t>
      </w:r>
      <w:proofErr w:type="gramEnd"/>
      <w:r>
        <w:t> </w:t>
      </w:r>
      <w:proofErr w:type="gramStart"/>
      <w:r w:rsidDel="00FF7112">
        <w:t>DR</w:t>
      </w:r>
      <w:r>
        <w:t>215</w:t>
      </w:r>
      <w:r w:rsidDel="00FF7112">
        <w:t xml:space="preserve">; </w:t>
      </w:r>
      <w:r>
        <w:t xml:space="preserve">WA </w:t>
      </w:r>
      <w:r w:rsidRPr="002F1C2D">
        <w:t>State Emergency M</w:t>
      </w:r>
      <w:r>
        <w:t>anagement Committee Secretariat, sub.</w:t>
      </w:r>
      <w:proofErr w:type="gramEnd"/>
      <w:r>
        <w:t> DR216</w:t>
      </w:r>
      <w:r w:rsidDel="00FF7112">
        <w:t xml:space="preserve">). </w:t>
      </w:r>
      <w:r>
        <w:t xml:space="preserve">For example, the Tasmanian Government has endorsed a framework for managing natural disaster risk through land use planning and building regulations in which it will release a series of ‘hazard reports’ that define, identify and map risk bands (acceptable, low, medium, high) for specific hazards, as well as proposed planning and building controls for each of these bands. To date, it has released a draft hazard report for landslide, and is in the </w:t>
      </w:r>
      <w:r>
        <w:lastRenderedPageBreak/>
        <w:t xml:space="preserve">process of preparing hazard reports for coastal inundation and coastal erosion (with riverine flooding and storm/severe weather hazards identified for future reports) </w:t>
      </w:r>
      <w:r w:rsidRPr="008B33F6">
        <w:rPr>
          <w:szCs w:val="24"/>
        </w:rPr>
        <w:t>(Tasmanian Department of Premier and Cabinet 2014)</w:t>
      </w:r>
      <w:r>
        <w:t>.</w:t>
      </w:r>
    </w:p>
    <w:p w14:paraId="24BB10AB" w14:textId="77777777" w:rsidR="00DE1537" w:rsidRDefault="00DE1537" w:rsidP="00343F3E">
      <w:pPr>
        <w:pStyle w:val="BodyText"/>
      </w:pPr>
      <w:r>
        <w:t>On the other hand, in some cases, state governments have articulated an acceptable level of risk in relation to specific natural hazards, but subsequently removed aspects of it from state planning policy and/or legislation. As noted by the National Sea Change Taskforce (sub. 18, p. 10):</w:t>
      </w:r>
    </w:p>
    <w:p w14:paraId="377B2DA3" w14:textId="77777777" w:rsidR="00DE1537" w:rsidRDefault="00DE1537" w:rsidP="00343F3E">
      <w:pPr>
        <w:pStyle w:val="Quote"/>
      </w:pPr>
      <w:r>
        <w:t>State governments in NSW and Queensland have recently revoked existing planning guidelines which incorporated a requirement to take projected sea level rise into account in the assessment of development applications in coastal areas. It is inevitable that as a consequence an increasing number of residential properties will be developed in vulnerable, low</w:t>
      </w:r>
      <w:r>
        <w:noBreakHyphen/>
        <w:t xml:space="preserve">lying coastal areas and exposed to the potential impact of natural disasters. </w:t>
      </w:r>
    </w:p>
    <w:p w14:paraId="0B92A4ED" w14:textId="77777777" w:rsidR="00DE1537" w:rsidRPr="00914D7B" w:rsidRDefault="00DE1537" w:rsidP="00343F3E">
      <w:pPr>
        <w:pStyle w:val="Quote"/>
      </w:pPr>
      <w:r>
        <w:t xml:space="preserve">… </w:t>
      </w:r>
      <w:r w:rsidRPr="00534155">
        <w:t xml:space="preserve">Queensland’s previous planning policy had factored in a sea level rise of 30cms by 2050 and 80cms by 2100, which meant that coastal development in vulnerable </w:t>
      </w:r>
      <w:proofErr w:type="gramStart"/>
      <w:r w:rsidRPr="00534155">
        <w:t>areas</w:t>
      </w:r>
      <w:proofErr w:type="gramEnd"/>
      <w:r w:rsidRPr="00534155">
        <w:t xml:space="preserve"> was generally only permitted in special circumstances, such as for marine and fishing precincts.</w:t>
      </w:r>
    </w:p>
    <w:p w14:paraId="13CDE25B" w14:textId="77777777" w:rsidR="00DE1537" w:rsidRDefault="00DE1537" w:rsidP="00343F3E">
      <w:pPr>
        <w:pStyle w:val="Heading3"/>
      </w:pPr>
      <w:r>
        <w:t>Information for land use planning</w:t>
      </w:r>
    </w:p>
    <w:p w14:paraId="5C7170C2" w14:textId="77777777" w:rsidR="00DE1537" w:rsidRDefault="00DE1537" w:rsidP="00343F3E">
      <w:pPr>
        <w:pStyle w:val="BodyText"/>
      </w:pPr>
      <w:r>
        <w:t xml:space="preserve">Accurate and relevant risk information is an essential part of ensuring natural disaster risk is incorporated in land use planning and decision making. Information needs will differ according to who requires the information, the purpose for which it is used and the decisions that it will inform. The level of accuracy, detail (granularity) and coverage (specificity) of the information should be sufficient to meet the needs of the decision maker. For example, a local government making a decision to rezone land based on a specific hazard to that area might need more specific, detailed information than a state government establishing planning frameworks to apply statewide and across a full range of natural hazards. </w:t>
      </w:r>
    </w:p>
    <w:p w14:paraId="06FFA90F" w14:textId="77777777" w:rsidR="00DE1537" w:rsidRPr="009C15FC" w:rsidRDefault="00DE1537" w:rsidP="00343F3E">
      <w:pPr>
        <w:pStyle w:val="Quote"/>
      </w:pPr>
      <w:r w:rsidRPr="009C15FC">
        <w:t>Land</w:t>
      </w:r>
      <w:r>
        <w:noBreakHyphen/>
      </w:r>
      <w:r w:rsidRPr="009C15FC">
        <w:t xml:space="preserve">use planning needs detailed mapping at large scales to enable assessment of individual plots of land. For example, ground to less than one or 2 metres, and fine details of drainage, water courses, and even vegetation and local geology are necessary </w:t>
      </w:r>
      <w:r>
        <w:t>[for]</w:t>
      </w:r>
      <w:r w:rsidRPr="009C15FC">
        <w:t xml:space="preserve"> development assessmen</w:t>
      </w:r>
      <w:r>
        <w:t xml:space="preserve">t. </w:t>
      </w:r>
      <w:proofErr w:type="gramStart"/>
      <w:r w:rsidRPr="009C15FC">
        <w:t>(James Cook University, sub.</w:t>
      </w:r>
      <w:proofErr w:type="gramEnd"/>
      <w:r>
        <w:t> </w:t>
      </w:r>
      <w:r w:rsidRPr="009C15FC">
        <w:t>DR127, p.</w:t>
      </w:r>
      <w:r>
        <w:t> </w:t>
      </w:r>
      <w:r w:rsidRPr="009C15FC">
        <w:t>2)</w:t>
      </w:r>
    </w:p>
    <w:p w14:paraId="19054B1D" w14:textId="77777777" w:rsidR="00DE1537" w:rsidRDefault="00DE1537" w:rsidP="00343F3E">
      <w:pPr>
        <w:pStyle w:val="BodyText"/>
      </w:pPr>
      <w:r>
        <w:t>Many participants emphasised the benefits of risk information and assessment in terms of managing natural disaster risk in land use planning. For example, the Government of South Australia (sub. 67, p. 37) considered that:</w:t>
      </w:r>
    </w:p>
    <w:p w14:paraId="7B1F66E2" w14:textId="77777777" w:rsidR="00DE1537" w:rsidRDefault="00DE1537" w:rsidP="00343F3E">
      <w:pPr>
        <w:pStyle w:val="Quote"/>
      </w:pPr>
      <w:r>
        <w:t>Improved data and understanding about the potential hazards in areas earmarked for development is essential in order for sound risk management policies to be developed. This information includes robust mapping of risk (bushfire, flood, landslide, sea</w:t>
      </w:r>
      <w:r>
        <w:noBreakHyphen/>
        <w:t>level rise and cyclone).</w:t>
      </w:r>
    </w:p>
    <w:p w14:paraId="7EBAD3A6" w14:textId="77777777" w:rsidR="00DE1537" w:rsidRDefault="00DE1537" w:rsidP="00343F3E">
      <w:pPr>
        <w:pStyle w:val="BodyText"/>
      </w:pPr>
      <w:r>
        <w:t xml:space="preserve">At the same time, there are costs associated with obtaining, sharing and communicating natural hazard information. These costs should be incurred by governments only where there is an attendant net social benefit and the costs would not be more appropriately </w:t>
      </w:r>
      <w:r>
        <w:lastRenderedPageBreak/>
        <w:t>incurred by private agents. For a risk at the individual property level, for example, there is a private incentive for the property owner or buyer — as well as insurers — to obtain risk information. For natural hazards that affect a larger geographic area, and where there may be spillovers and risks to government</w:t>
      </w:r>
      <w:r>
        <w:noBreakHyphen/>
        <w:t xml:space="preserve">owned assets, there can be a role for governments in obtaining, providing and communicating risk information in the context of land use planning. </w:t>
      </w:r>
    </w:p>
    <w:p w14:paraId="6056888E" w14:textId="77777777" w:rsidR="00DE1537" w:rsidRDefault="00DE1537" w:rsidP="00343F3E">
      <w:pPr>
        <w:pStyle w:val="BodyText"/>
      </w:pPr>
      <w:r>
        <w:t>There may also be a role for insurers in sharing natural hazard information to which they already have access, such as through partnership arrangements with local governments. This could provide an additional means of informing land use planning decisions, as well as increased accountability and transparency by highlighting any discrepancies between local governments’ understanding of natural hazards as indicated through local planning schemes and development assessments, and insurers’ assessment of the risks posed by these hazards. Partnerships between governments and insurers are discussed further in supplementary paper 4.</w:t>
      </w:r>
    </w:p>
    <w:p w14:paraId="72C19629" w14:textId="77777777" w:rsidR="00DE1537" w:rsidRDefault="00DE1537" w:rsidP="00343F3E">
      <w:pPr>
        <w:pStyle w:val="Heading3"/>
      </w:pPr>
      <w:r w:rsidRPr="00EF4628">
        <w:t>Has natural disaster risk management been reflected in land use planning decisions?</w:t>
      </w:r>
    </w:p>
    <w:p w14:paraId="07AA964A" w14:textId="1DAE4972" w:rsidR="00DE1537" w:rsidRDefault="00DE1537" w:rsidP="00343F3E">
      <w:pPr>
        <w:pStyle w:val="BodyText"/>
      </w:pPr>
      <w:r>
        <w:t>Land use planning policy and decision making have a mixed record in terms of incorporating appropriate natural disaster risk management principles. Development is still occurring in some high natural disaster risk areas (box 6.3). Evidence from submissions and from the Commission’s roundtable discussions with state, territory and local governments suggests that there is growing awareness of the need for embedding natural disaster risk management into all aspects of the land use planning process, but this has not always been achieved in practice.</w:t>
      </w:r>
    </w:p>
    <w:p w14:paraId="36543DDF" w14:textId="77777777" w:rsidR="00DE1537" w:rsidRDefault="00DE1537" w:rsidP="00343F3E">
      <w:pPr>
        <w:pStyle w:val="Heading4"/>
      </w:pPr>
      <w:r w:rsidRPr="00A123AD">
        <w:t xml:space="preserve">Development and interpretation of </w:t>
      </w:r>
      <w:r>
        <w:t>statewide</w:t>
      </w:r>
      <w:r w:rsidRPr="00A123AD">
        <w:t xml:space="preserve"> planning frameworks</w:t>
      </w:r>
    </w:p>
    <w:p w14:paraId="58D65533" w14:textId="546A1E4F" w:rsidR="00DE1537" w:rsidRDefault="00DE1537" w:rsidP="00343F3E">
      <w:pPr>
        <w:pStyle w:val="BodyText"/>
      </w:pPr>
      <w:r>
        <w:t>Statewide planning policy and legislative frameworks have received some criticism in recent years in post</w:t>
      </w:r>
      <w:r>
        <w:noBreakHyphen/>
        <w:t>disaster event reviews. For example, reviews of the 2010</w:t>
      </w:r>
      <w:r>
        <w:noBreakHyphen/>
        <w:t xml:space="preserve">11 Queensland floods, cited by Wenger, Hussey and Pittock </w:t>
      </w:r>
      <w:r w:rsidRPr="00BC069A">
        <w:t>(2013)</w:t>
      </w:r>
      <w:r>
        <w:t xml:space="preserve"> found: </w:t>
      </w:r>
    </w:p>
    <w:p w14:paraId="318F606B" w14:textId="77777777" w:rsidR="00DE1537" w:rsidRDefault="00DE1537" w:rsidP="00343F3E">
      <w:pPr>
        <w:pStyle w:val="ListBullet"/>
      </w:pPr>
      <w:r>
        <w:t>‘considerable deficiencies’ in Queensland’s development planning systems at the time of the floods (such as the non</w:t>
      </w:r>
      <w:r>
        <w:noBreakHyphen/>
        <w:t>mandatory provision that planning schemes include the statewide flood hazard overlay)</w:t>
      </w:r>
    </w:p>
    <w:p w14:paraId="0121EB47" w14:textId="6263FF50" w:rsidR="00DE1537" w:rsidRDefault="00DE1537" w:rsidP="00343F3E">
      <w:pPr>
        <w:pStyle w:val="ListBullet"/>
      </w:pPr>
      <w:r>
        <w:t>‘</w:t>
      </w:r>
      <w:proofErr w:type="gramStart"/>
      <w:r>
        <w:t>inadequacies</w:t>
      </w:r>
      <w:proofErr w:type="gramEnd"/>
      <w:r>
        <w:t>’ and a ‘lack of accountability’ by state authorities in monitoring whether local planning schemes complied with state planning policy.</w:t>
      </w:r>
    </w:p>
    <w:p w14:paraId="0D4BC39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F484617" w14:textId="77777777" w:rsidTr="00343F3E">
        <w:tc>
          <w:tcPr>
            <w:tcW w:w="8771" w:type="dxa"/>
            <w:tcBorders>
              <w:top w:val="single" w:sz="6" w:space="0" w:color="78A22F"/>
              <w:left w:val="nil"/>
              <w:bottom w:val="nil"/>
              <w:right w:val="nil"/>
            </w:tcBorders>
            <w:shd w:val="clear" w:color="auto" w:fill="F2F2F2" w:themeFill="background1" w:themeFillShade="F2"/>
          </w:tcPr>
          <w:p w14:paraId="2E9BEFB9" w14:textId="5DED6F06" w:rsidR="00DE1537" w:rsidRDefault="00DE1537" w:rsidP="00343F3E">
            <w:pPr>
              <w:pStyle w:val="BoxTitle"/>
            </w:pPr>
            <w:r>
              <w:rPr>
                <w:b w:val="0"/>
              </w:rPr>
              <w:t>Box 6.</w:t>
            </w:r>
            <w:r>
              <w:rPr>
                <w:b w:val="0"/>
                <w:noProof/>
              </w:rPr>
              <w:t>3</w:t>
            </w:r>
            <w:r>
              <w:tab/>
            </w:r>
            <w:r w:rsidRPr="004F79DB">
              <w:t>Examples of ineffective natural disaster risk management in land use planning: participants’ views</w:t>
            </w:r>
          </w:p>
        </w:tc>
      </w:tr>
      <w:tr w:rsidR="00DE1537" w14:paraId="6FB4BA4C" w14:textId="77777777" w:rsidTr="00343F3E">
        <w:trPr>
          <w:cantSplit/>
        </w:trPr>
        <w:tc>
          <w:tcPr>
            <w:tcW w:w="8771" w:type="dxa"/>
            <w:tcBorders>
              <w:top w:val="nil"/>
              <w:left w:val="nil"/>
              <w:bottom w:val="nil"/>
              <w:right w:val="nil"/>
            </w:tcBorders>
            <w:shd w:val="clear" w:color="auto" w:fill="F2F2F2" w:themeFill="background1" w:themeFillShade="F2"/>
          </w:tcPr>
          <w:p w14:paraId="02B5B331" w14:textId="77777777" w:rsidR="00DE1537" w:rsidRDefault="00DE1537" w:rsidP="00343F3E">
            <w:pPr>
              <w:pStyle w:val="Box"/>
            </w:pPr>
            <w:r>
              <w:t>Several participants expressed concern about instances of land use planning decisions that did not adequately incorporate natural disaster risk management.</w:t>
            </w:r>
          </w:p>
          <w:p w14:paraId="0FA81DEE" w14:textId="77777777" w:rsidR="00DE1537" w:rsidRDefault="00DE1537" w:rsidP="00343F3E">
            <w:pPr>
              <w:pStyle w:val="Box"/>
            </w:pPr>
            <w:r>
              <w:t>Suncorp Group (sub. 71, pp. 15–16) drew attention to the Gold Coast and Hawkesbury–Nepean Valley flood</w:t>
            </w:r>
            <w:r>
              <w:noBreakHyphen/>
              <w:t>risk regions:</w:t>
            </w:r>
          </w:p>
          <w:p w14:paraId="3F90FB5B" w14:textId="77777777" w:rsidR="00DE1537" w:rsidRDefault="00DE1537" w:rsidP="00343F3E">
            <w:pPr>
              <w:pStyle w:val="BoxQuote"/>
            </w:pPr>
            <w:r w:rsidRPr="002A1DA5">
              <w:t>A good example of the need to strengthen planning regulations is the recent approval of a 970</w:t>
            </w:r>
            <w:r>
              <w:noBreakHyphen/>
            </w:r>
            <w:r w:rsidRPr="002A1DA5">
              <w:t>dwelling complex in a flood plain by the Gold Coast City Council. Although the development is sufficiently high risk to warrant an evacuation helipad, a three</w:t>
            </w:r>
            <w:r>
              <w:noBreakHyphen/>
            </w:r>
            <w:r w:rsidRPr="002A1DA5">
              <w:t>day emergency food supply and two lifeboats, the Council felt they did not have the legal standing to decline the development application.</w:t>
            </w:r>
          </w:p>
          <w:p w14:paraId="3807BA9F" w14:textId="77777777" w:rsidR="00DE1537" w:rsidRDefault="00DE1537" w:rsidP="00343F3E">
            <w:pPr>
              <w:pStyle w:val="BoxQuote"/>
            </w:pPr>
            <w:r w:rsidRPr="002A1DA5">
              <w:t>Similarly, development continues in the Hawkesbury</w:t>
            </w:r>
            <w:r>
              <w:t>–</w:t>
            </w:r>
            <w:r w:rsidRPr="002A1DA5">
              <w:t>Nepean flood plain, despite multiple government reviews finding it an extreme flood risk</w:t>
            </w:r>
            <w:r>
              <w:t xml:space="preserve"> … </w:t>
            </w:r>
          </w:p>
          <w:p w14:paraId="1B8F3EDB" w14:textId="77777777" w:rsidR="00DE1537" w:rsidRDefault="00DE1537" w:rsidP="00343F3E">
            <w:pPr>
              <w:pStyle w:val="BoxQuote"/>
            </w:pPr>
            <w:r>
              <w:t>Suncorp Group</w:t>
            </w:r>
            <w:r w:rsidRPr="00DA7B02">
              <w:t xml:space="preserve"> risk estimates place the Gold Coast and Hawkesbury</w:t>
            </w:r>
            <w:r>
              <w:t>–</w:t>
            </w:r>
            <w:r w:rsidRPr="00DA7B02">
              <w:t>Nepean among the highest risk areas in the country. These are clear examples of where planning frameworks could be improved to better manage natural hazard risk.</w:t>
            </w:r>
          </w:p>
          <w:p w14:paraId="616B09E9" w14:textId="77777777" w:rsidR="00DE1537" w:rsidRDefault="00DE1537" w:rsidP="00343F3E">
            <w:pPr>
              <w:pStyle w:val="Box"/>
            </w:pPr>
            <w:r>
              <w:t>The Floodplain Management Association (sub. 79, pp. 8–9) expressed concern that:</w:t>
            </w:r>
          </w:p>
          <w:p w14:paraId="62680BE1" w14:textId="77777777" w:rsidR="00DE1537" w:rsidRDefault="00DE1537" w:rsidP="00343F3E">
            <w:pPr>
              <w:pStyle w:val="BoxQuote"/>
            </w:pPr>
            <w:r w:rsidRPr="00E52163">
              <w:t xml:space="preserve">… </w:t>
            </w:r>
            <w:proofErr w:type="gramStart"/>
            <w:r w:rsidRPr="00E52163">
              <w:t>in</w:t>
            </w:r>
            <w:proofErr w:type="gramEnd"/>
            <w:r w:rsidRPr="00E52163">
              <w:t xml:space="preserve"> NSW there is currently no effective state</w:t>
            </w:r>
            <w:r>
              <w:noBreakHyphen/>
            </w:r>
            <w:r w:rsidRPr="00E52163">
              <w:t xml:space="preserve">level policy for land use planning in relation to natural hazards including flooding. In addition, there is no planning guideline relating to flood prone land </w:t>
            </w:r>
            <w:r w:rsidRPr="003F3C43">
              <w:t>…</w:t>
            </w:r>
            <w:r w:rsidRPr="009615BF">
              <w:t xml:space="preserve"> </w:t>
            </w:r>
            <w:r w:rsidRPr="00E52163">
              <w:t>the widespread practice of using the 1 in 100 year flood level as a default in land use planning and development controls is highly problematic</w:t>
            </w:r>
            <w:r>
              <w:t xml:space="preserve"> [and] </w:t>
            </w:r>
            <w:r w:rsidRPr="00E52163">
              <w:t>may not be effective in reducing the vulnerability of property to flood damage in some flood prone areas including the Hawkesbury</w:t>
            </w:r>
            <w:r>
              <w:noBreakHyphen/>
            </w:r>
            <w:r w:rsidRPr="00E52163">
              <w:t>Nepean Valley.</w:t>
            </w:r>
          </w:p>
          <w:p w14:paraId="4C9CA794" w14:textId="77777777" w:rsidR="00DE1537" w:rsidRDefault="00DE1537" w:rsidP="00343F3E">
            <w:pPr>
              <w:pStyle w:val="Box"/>
            </w:pPr>
            <w:r>
              <w:t>Risk Frontiers (sub. DR132, p. 6) wrote that:</w:t>
            </w:r>
          </w:p>
          <w:p w14:paraId="30D5C7BC" w14:textId="77777777" w:rsidR="00DE1537" w:rsidRDefault="00DE1537" w:rsidP="00343F3E">
            <w:pPr>
              <w:pStyle w:val="BoxQuote"/>
            </w:pPr>
            <w:r>
              <w:t>A graphic example of how poor land</w:t>
            </w:r>
            <w:r>
              <w:noBreakHyphen/>
              <w:t>use planning practices has put lives and property at risk is afforded by the outcomes of the 2009 Victorian fires [which] resulted in 173 fatalities despite near perfect forecasts of fire weather. A study undertaken by Risk Frontiers for the Royal Commission found that 25% of the homes destroyed in Kinglake and Marysville were located within 1 m of the bushland; 60% lay within 10 m! Here homeowners died under circumstances where they had little chance of defending homes.</w:t>
            </w:r>
          </w:p>
          <w:p w14:paraId="145C5183" w14:textId="77777777" w:rsidR="00DE1537" w:rsidRDefault="00DE1537" w:rsidP="00343F3E">
            <w:pPr>
              <w:pStyle w:val="Box"/>
            </w:pPr>
            <w:r>
              <w:t>The Australian Coastal Society (sub. DR187, p. 3) submitted that short</w:t>
            </w:r>
            <w:r>
              <w:noBreakHyphen/>
              <w:t>term political decision making has resulted in poor outcomes in coastal management, such as in the impact of the 2011 Queensland storm events. It said that although these storms were not more severe than in the past, the resulting damage and costs were much greater ‘</w:t>
            </w:r>
            <w:r w:rsidRPr="00FF5520">
              <w:t>because assets and infrastructure had been allow</w:t>
            </w:r>
            <w:r>
              <w:t>ed to be placed in harm’s way’.</w:t>
            </w:r>
          </w:p>
          <w:p w14:paraId="34AFDCBE" w14:textId="77777777" w:rsidR="00DE1537" w:rsidRDefault="00DE1537" w:rsidP="00343F3E">
            <w:pPr>
              <w:pStyle w:val="Box"/>
            </w:pPr>
            <w:r>
              <w:t>BG Urban Solutions (sub. DR207, p. 3) submitted that:</w:t>
            </w:r>
          </w:p>
          <w:p w14:paraId="59B429CE" w14:textId="77777777" w:rsidR="00DE1537" w:rsidRPr="008E0FC9" w:rsidRDefault="00DE1537" w:rsidP="00343F3E">
            <w:pPr>
              <w:pStyle w:val="BoxQuote"/>
            </w:pPr>
            <w:r>
              <w:t xml:space="preserve">… </w:t>
            </w:r>
            <w:r w:rsidRPr="008E0FC9">
              <w:t>there would have been a whole lot less disaster (and even loss of life) if there had not been quite so many questionable rezonings of obviously flood prone land, such as beside the Nagoa River in Emerald, for example, as well as many other coastal and riverine areas I could cite in Bundaberg, Rockhampton and Livingstone Shire Council areas.</w:t>
            </w:r>
          </w:p>
        </w:tc>
      </w:tr>
      <w:tr w:rsidR="00DE1537" w14:paraId="753214F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35BD61F" w14:textId="77777777" w:rsidR="00DE1537" w:rsidRDefault="00DE1537" w:rsidP="00343F3E">
            <w:pPr>
              <w:pStyle w:val="Box"/>
              <w:spacing w:before="0" w:line="120" w:lineRule="exact"/>
            </w:pPr>
          </w:p>
        </w:tc>
      </w:tr>
      <w:tr w:rsidR="00DE1537" w:rsidRPr="000863A5" w14:paraId="265B02E5" w14:textId="77777777" w:rsidTr="00343F3E">
        <w:tc>
          <w:tcPr>
            <w:tcW w:w="8771" w:type="dxa"/>
            <w:tcBorders>
              <w:top w:val="single" w:sz="6" w:space="0" w:color="78A22F"/>
              <w:left w:val="nil"/>
              <w:bottom w:val="nil"/>
              <w:right w:val="nil"/>
            </w:tcBorders>
          </w:tcPr>
          <w:p w14:paraId="1D5A2570" w14:textId="77777777" w:rsidR="00DE1537" w:rsidRPr="00626D32" w:rsidRDefault="00DE1537" w:rsidP="00343F3E">
            <w:pPr>
              <w:pStyle w:val="BoxSpaceBelow"/>
            </w:pPr>
          </w:p>
        </w:tc>
      </w:tr>
    </w:tbl>
    <w:p w14:paraId="0C8AD06E" w14:textId="77777777" w:rsidR="00DE1537" w:rsidRDefault="00DE1537" w:rsidP="00343F3E">
      <w:pPr>
        <w:pStyle w:val="BodyText"/>
      </w:pPr>
      <w:proofErr w:type="gramStart"/>
      <w:r>
        <w:t xml:space="preserve">James </w:t>
      </w:r>
      <w:r w:rsidRPr="0019101E">
        <w:t>Cook University (sub.</w:t>
      </w:r>
      <w:proofErr w:type="gramEnd"/>
      <w:r>
        <w:t> </w:t>
      </w:r>
      <w:r w:rsidRPr="0019101E">
        <w:t>DR127</w:t>
      </w:r>
      <w:r>
        <w:t>, p. 2</w:t>
      </w:r>
      <w:r w:rsidRPr="0019101E">
        <w:t>)</w:t>
      </w:r>
      <w:r>
        <w:t xml:space="preserve"> drew attention to the importance of state legislation (rather than policies and guidelines alone) as a basis for land use planning and development assessments at the local level. </w:t>
      </w:r>
    </w:p>
    <w:p w14:paraId="446AB925" w14:textId="77777777" w:rsidR="00DE1537" w:rsidRDefault="00DE1537" w:rsidP="00343F3E">
      <w:pPr>
        <w:pStyle w:val="Quote"/>
      </w:pPr>
      <w:r w:rsidRPr="0019101E">
        <w:t xml:space="preserve">Policies and guidelines are useful where the community accepts and desires them. However, unless these are supported or specified in planning legislation, such policies and guidelines may not </w:t>
      </w:r>
      <w:r>
        <w:t>stand up in court if contested.</w:t>
      </w:r>
    </w:p>
    <w:p w14:paraId="4D4D8839" w14:textId="47C95B16" w:rsidR="00DE1537" w:rsidRDefault="00DE1537" w:rsidP="00343F3E">
      <w:pPr>
        <w:pStyle w:val="BodyText"/>
      </w:pPr>
      <w:r>
        <w:lastRenderedPageBreak/>
        <w:t>Some participants expressed the view that current planning frameworks are generally adequate at incorporating effective natural disaster risk management (LGAQ, sub. 34). Others argued that land use planning has been short term in its focus, with too little consideration for the extent of long</w:t>
      </w:r>
      <w:r>
        <w:noBreakHyphen/>
        <w:t xml:space="preserve">term disaster risks, and that poor decisions have been made as a result of political pressures (Alexander Lewis, sub. 7; ALGA, sub. 52; Australian Coastal Society, </w:t>
      </w:r>
      <w:r w:rsidRPr="00440836">
        <w:t>sub.</w:t>
      </w:r>
      <w:r>
        <w:t> </w:t>
      </w:r>
      <w:proofErr w:type="gramStart"/>
      <w:r w:rsidRPr="00440836">
        <w:t>DR187</w:t>
      </w:r>
      <w:r>
        <w:t>; Caroline Wenger, sub.</w:t>
      </w:r>
      <w:proofErr w:type="gramEnd"/>
      <w:r>
        <w:t> </w:t>
      </w:r>
      <w:proofErr w:type="gramStart"/>
      <w:r>
        <w:t xml:space="preserve">10; </w:t>
      </w:r>
      <w:r w:rsidRPr="00807425">
        <w:t>NSCT</w:t>
      </w:r>
      <w:r>
        <w:t>, sub.</w:t>
      </w:r>
      <w:proofErr w:type="gramEnd"/>
      <w:r>
        <w:t xml:space="preserve"> 18; </w:t>
      </w:r>
      <w:r w:rsidRPr="00807425">
        <w:t>WGCS</w:t>
      </w:r>
      <w:r>
        <w:t>, sub. 66) (box 6.3). For example, the Australian Local Government Association (sub. 52, p. 11) submitted that:</w:t>
      </w:r>
    </w:p>
    <w:p w14:paraId="326FCCFF" w14:textId="77777777" w:rsidR="00DE1537" w:rsidRDefault="00DE1537" w:rsidP="00343F3E">
      <w:pPr>
        <w:pStyle w:val="Quote"/>
      </w:pPr>
      <w:r>
        <w:t>Unfortunately the highly political nature of the process, and continuous undermining by some sections of the development sector that see planning as purely a time consuming and expensive regulatory blockage, has contributed to poor planning decisions being made that increase the propensity for loss of life and property damages …</w:t>
      </w:r>
    </w:p>
    <w:p w14:paraId="061827C2" w14:textId="77777777" w:rsidR="00DE1537" w:rsidRDefault="00DE1537" w:rsidP="00343F3E">
      <w:pPr>
        <w:pStyle w:val="BodyText"/>
      </w:pPr>
      <w:r>
        <w:t>The National Sea Change Taskforce (sub. 18, p. 5) argued that:</w:t>
      </w:r>
    </w:p>
    <w:p w14:paraId="67B9FE23" w14:textId="77777777" w:rsidR="00DE1537" w:rsidRDefault="00DE1537" w:rsidP="00343F3E">
      <w:pPr>
        <w:pStyle w:val="Quote"/>
      </w:pPr>
      <w:r>
        <w:t>Current approaches to land use planning are inconsistent and have the perverse effect of placing an increasing number of people at risk of natural disasters through the location of residential developments in potentially vulnerable locations.</w:t>
      </w:r>
    </w:p>
    <w:p w14:paraId="65577B8D" w14:textId="478364FD" w:rsidR="00DE1537" w:rsidRDefault="00DE1537" w:rsidP="00343F3E">
      <w:pPr>
        <w:pStyle w:val="BodyText"/>
      </w:pPr>
      <w:r>
        <w:t xml:space="preserve">There have been instances in which local governments’ interpretation and implementation of state planning frameworks do not appear to have given sufficient consideration to natural disaster risk management and, as a result, have imposed costs on communities. One such example is the Hawkesbury–Nepean Valley in New South Wales, an area that faces ongoing risk of widespread and damaging floods. A 2014 review found that mitigation options would be costly and provide limited protection against the flood risk, and that evacuation would be the only certain way of reducing the risk to life </w:t>
      </w:r>
      <w:r w:rsidRPr="00362A7A">
        <w:rPr>
          <w:szCs w:val="24"/>
        </w:rPr>
        <w:t>(NSW Department of Primary Industries 2014)</w:t>
      </w:r>
      <w:r>
        <w:t>. The Floodplain Management Association (sub. 79, pp. 8–9) argued that development of this land should not have been allowed to proceed at all, given the level of risk.</w:t>
      </w:r>
    </w:p>
    <w:p w14:paraId="682BAD35" w14:textId="77777777" w:rsidR="00DE1537" w:rsidRPr="000B2E4E" w:rsidRDefault="00DE1537" w:rsidP="00343F3E">
      <w:pPr>
        <w:pStyle w:val="Quote"/>
      </w:pPr>
      <w:r>
        <w:t xml:space="preserve">The [Hawkesbury–Nepean] Valley Report </w:t>
      </w:r>
      <w:r w:rsidRPr="009B01DF">
        <w:t>highlights that in NSW there is currently no effective state</w:t>
      </w:r>
      <w:r>
        <w:noBreakHyphen/>
      </w:r>
      <w:r w:rsidRPr="009B01DF">
        <w:t>level policy for land use planning in relation to natural hazards including flooding. In addition, there is no planning guideline relating to flood prone land, resulting in a lack of clear principles to guide</w:t>
      </w:r>
      <w:r w:rsidRPr="000B2E4E">
        <w:t xml:space="preserve"> land use planning and development assessment in these areas.</w:t>
      </w:r>
    </w:p>
    <w:p w14:paraId="6EA0B40D" w14:textId="77777777" w:rsidR="00DE1537" w:rsidRDefault="00DE1537" w:rsidP="00343F3E">
      <w:pPr>
        <w:pStyle w:val="BodyText"/>
      </w:pPr>
      <w:r>
        <w:t>These examples highlight the absence of rigorous evaluation (like cost–benefit analysis) in land use planning decisions. The regulation impact analysis process used in building regulations (section 6.4) is an illustration of how proposals for regulation are assessed against competing objectives (in that case, requirements for health, safety, amenity and sustainability, but also the need to avoid excessive regulatory compliance costs). Land use planning and development assessment decisions could benefit from adopting similar assessment and evaluation processes.</w:t>
      </w:r>
    </w:p>
    <w:p w14:paraId="262842D9" w14:textId="77777777" w:rsidR="00DE1537" w:rsidRDefault="00DE1537" w:rsidP="00343F3E">
      <w:pPr>
        <w:pStyle w:val="Heading4"/>
      </w:pPr>
      <w:r w:rsidRPr="0061434F">
        <w:lastRenderedPageBreak/>
        <w:t>Use of hazard information in planning decisions</w:t>
      </w:r>
    </w:p>
    <w:p w14:paraId="71993680" w14:textId="77777777" w:rsidR="00DE1537" w:rsidRDefault="00DE1537" w:rsidP="00343F3E">
      <w:pPr>
        <w:pStyle w:val="BodyText"/>
      </w:pPr>
      <w:r>
        <w:t>Good information is a prerequisite for incorporating natural disaster risk into planning frameworks and decisions. There is some evidence of increased provision, use and sharing of natural hazard mapping in land use planning decision making in some jurisdictions. For example, the Northern Territory Government (</w:t>
      </w:r>
      <w:r w:rsidRPr="00442860">
        <w:t>sub. 117, p. 31)</w:t>
      </w:r>
      <w:r>
        <w:t xml:space="preserve"> noted that it has recently implemented measures to support greater information provision and disclosure in land use planning, including:</w:t>
      </w:r>
    </w:p>
    <w:p w14:paraId="1DCCCB22" w14:textId="77777777" w:rsidR="00DE1537" w:rsidRPr="00442860" w:rsidRDefault="00DE1537" w:rsidP="00343F3E">
      <w:pPr>
        <w:pStyle w:val="QuoteBullet"/>
      </w:pPr>
      <w:r w:rsidRPr="00442860">
        <w:t xml:space="preserve">production and release of new publicly available flood hazard mapping for the Rapid Creek catchment, and consequential amendments to the NT Planning Scheme, responding to a changed risk profile </w:t>
      </w:r>
    </w:p>
    <w:p w14:paraId="549989C7" w14:textId="77777777" w:rsidR="00DE1537" w:rsidRPr="00442860" w:rsidRDefault="00DE1537" w:rsidP="00343F3E">
      <w:pPr>
        <w:pStyle w:val="QuoteBullet"/>
      </w:pPr>
      <w:proofErr w:type="gramStart"/>
      <w:r w:rsidRPr="00442860">
        <w:t>amendments</w:t>
      </w:r>
      <w:proofErr w:type="gramEnd"/>
      <w:r w:rsidRPr="00442860">
        <w:t xml:space="preserve"> to the NT Planning Scheme requiring the disclosure of detailed flood hazard information in development applications for all subdivisions of rural and unzoned land.</w:t>
      </w:r>
    </w:p>
    <w:p w14:paraId="21477A80" w14:textId="77777777" w:rsidR="00DE1537" w:rsidRDefault="00DE1537" w:rsidP="00343F3E">
      <w:pPr>
        <w:pStyle w:val="BodyText"/>
      </w:pPr>
      <w:r>
        <w:t xml:space="preserve">Some local governments also noted that they make hazard information publicly available (for example, </w:t>
      </w:r>
      <w:r w:rsidRPr="00726C91">
        <w:t xml:space="preserve">Burdekin </w:t>
      </w:r>
      <w:r>
        <w:t>Shire Council (Qld), sub. </w:t>
      </w:r>
      <w:proofErr w:type="gramStart"/>
      <w:r>
        <w:t xml:space="preserve">DR165; </w:t>
      </w:r>
      <w:r w:rsidRPr="00045F86">
        <w:t>Cassowary Coast Regional Council (Qld), sub.</w:t>
      </w:r>
      <w:proofErr w:type="gramEnd"/>
      <w:r>
        <w:t> </w:t>
      </w:r>
      <w:proofErr w:type="gramStart"/>
      <w:r w:rsidRPr="00045F86">
        <w:t>DR140</w:t>
      </w:r>
      <w:r>
        <w:t xml:space="preserve">; </w:t>
      </w:r>
      <w:r w:rsidRPr="00CC4D22">
        <w:t>Western Downs Regional Council (Qld)</w:t>
      </w:r>
      <w:r>
        <w:t xml:space="preserve">, </w:t>
      </w:r>
      <w:r w:rsidRPr="00CC4D22">
        <w:t>sub.</w:t>
      </w:r>
      <w:proofErr w:type="gramEnd"/>
      <w:r>
        <w:t> </w:t>
      </w:r>
      <w:r w:rsidRPr="00CC4D22">
        <w:t>DR180)</w:t>
      </w:r>
      <w:r>
        <w:t>, indicating that they have used natural hazard information in preparing local planning schemes:</w:t>
      </w:r>
    </w:p>
    <w:p w14:paraId="4E3346DB" w14:textId="77777777" w:rsidR="00DE1537" w:rsidRDefault="00DE1537" w:rsidP="00343F3E">
      <w:pPr>
        <w:pStyle w:val="Quote"/>
      </w:pPr>
      <w:r>
        <w:t>Council has utilised considerable hazard data that it has available to inform the development of the proposed Cassowary Coast Region Planning Scheme, including flood, bushfire and landslip. However, further work is required for coastal hazard risk data. (Cassowary Coast Regional Council (Qld), sub. DR140, p. 9)</w:t>
      </w:r>
    </w:p>
    <w:p w14:paraId="20322EE8" w14:textId="77777777" w:rsidR="00DE1537" w:rsidRDefault="00DE1537" w:rsidP="00343F3E">
      <w:pPr>
        <w:pStyle w:val="BodyText"/>
      </w:pPr>
      <w:r>
        <w:t>However, information provision does not necessarily guarantee a particular decision, in the presence of different community preferences and appetites for risk. Risk Frontiers (sub. 19, p. 7) submitted that:</w:t>
      </w:r>
    </w:p>
    <w:p w14:paraId="403E2A9C" w14:textId="77777777" w:rsidR="00DE1537" w:rsidRDefault="00DE1537" w:rsidP="00343F3E">
      <w:pPr>
        <w:pStyle w:val="Quote"/>
      </w:pPr>
      <w:r w:rsidRPr="00453BB5">
        <w:t>In the long run, it might be expected that better knowledge of natural hazard risks would lead to a reduction of development in high risk areas and ultimately lower insurance and economic losses</w:t>
      </w:r>
      <w:r>
        <w:t xml:space="preserve"> … </w:t>
      </w:r>
      <w:r w:rsidRPr="00453BB5">
        <w:t>however, to date there is no evidence that this is happening</w:t>
      </w:r>
      <w:r>
        <w:t xml:space="preserve"> … </w:t>
      </w:r>
    </w:p>
    <w:p w14:paraId="2BF58295" w14:textId="77777777" w:rsidR="00DE1537" w:rsidRDefault="00DE1537" w:rsidP="00343F3E">
      <w:pPr>
        <w:pStyle w:val="BodyText"/>
      </w:pPr>
      <w:r>
        <w:t>There is also some evidence that local planning authorities have not acted on the advice received from fire and emergency service agencies. The Australasian Fire and Emergency Service Authorities Council (sub. 47, p. 13) submitted that there have been ‘</w:t>
      </w:r>
      <w:r w:rsidRPr="0096727F">
        <w:t xml:space="preserve">many examples where a range of </w:t>
      </w:r>
      <w:r>
        <w:t xml:space="preserve">disaster </w:t>
      </w:r>
      <w:r w:rsidRPr="0096727F">
        <w:t xml:space="preserve">experts have advised against developing in certain areas only to see developments go ahead </w:t>
      </w:r>
      <w:r>
        <w:t xml:space="preserve">in known high risk environments’. </w:t>
      </w:r>
    </w:p>
    <w:p w14:paraId="049F54CA" w14:textId="77777777" w:rsidR="00DE1537" w:rsidRDefault="00DE1537" w:rsidP="00343F3E">
      <w:pPr>
        <w:pStyle w:val="BodyText"/>
      </w:pPr>
      <w:r>
        <w:t>There is a need for transparency in the way these decisions incorporate understanding and management of natural disaster risk. Such transparency should be achieved through state governments publicly articulating the statewide natural disaster risk appetite, and setting out how trade</w:t>
      </w:r>
      <w:r>
        <w:noBreakHyphen/>
        <w:t xml:space="preserve">offs should be made between managing natural disaster risks and other competing objectives, as well as by local governments publishing rationales for decisions upon request. </w:t>
      </w:r>
    </w:p>
    <w:p w14:paraId="6F8487DF" w14:textId="77777777" w:rsidR="00DE1537" w:rsidRDefault="00DE1537" w:rsidP="00343F3E">
      <w:pPr>
        <w:pStyle w:val="BodyText"/>
      </w:pPr>
      <w:r>
        <w:lastRenderedPageBreak/>
        <w:t>Processes for transparency could be made part of policy and legislative frameworks, as suggested by the CSIRO (sub. 72, p. 7).</w:t>
      </w:r>
    </w:p>
    <w:p w14:paraId="4A5D6295" w14:textId="77777777" w:rsidR="00DE1537" w:rsidRDefault="00DE1537" w:rsidP="00343F3E">
      <w:pPr>
        <w:pStyle w:val="Quote"/>
      </w:pPr>
      <w:r>
        <w:t>As well as the economic costs of managing natural disasters, there are governance factors that currently operate as disincentives for the effective management of risks, such as coastal flooding at local scales. For instance, contentious decisions about coastal development proposals in the hazard zone being made by local government could benefit from a supportive planning policy and legislative framework (e.g. on sea</w:t>
      </w:r>
      <w:r>
        <w:noBreakHyphen/>
        <w:t>level rise planning benchmarks).</w:t>
      </w:r>
    </w:p>
    <w:p w14:paraId="7B9BCF9B" w14:textId="77777777" w:rsidR="00DE1537" w:rsidRDefault="00DE1537" w:rsidP="00343F3E">
      <w:pPr>
        <w:pStyle w:val="Heading4"/>
      </w:pPr>
      <w:r w:rsidRPr="0061434F">
        <w:t>Land use planning decisions are made in the context of diverse community preferences</w:t>
      </w:r>
    </w:p>
    <w:p w14:paraId="23787994" w14:textId="77777777" w:rsidR="00DE1537" w:rsidRDefault="00DE1537" w:rsidP="00343F3E">
      <w:pPr>
        <w:pStyle w:val="BodyText"/>
      </w:pPr>
      <w:r>
        <w:t xml:space="preserve">There are costs and benefits of living in any given geographic location. As noted earlier, </w:t>
      </w:r>
      <w:r w:rsidRPr="007C62F5">
        <w:t xml:space="preserve">households </w:t>
      </w:r>
      <w:r>
        <w:t xml:space="preserve">and communities differ in their preferences for attributes of geographic areas and in their views on an acceptable level of risk. Natural disaster risk is one consideration they make in choosing to move into, continue living in, or leave a particular area. Areas that are exposed to relatively high risk of natural disaster may have other attributes that are valued by households and communities, such as proximity to coastlines or bushland. </w:t>
      </w:r>
    </w:p>
    <w:p w14:paraId="5FDCD770" w14:textId="77777777" w:rsidR="00DE1537" w:rsidRDefault="00DE1537" w:rsidP="00343F3E">
      <w:pPr>
        <w:pStyle w:val="BodyText"/>
      </w:pPr>
      <w:r>
        <w:t xml:space="preserve">Some participants argued that decisions to reflect disaster risk in land use planning should be made on a ‘top down’ basis, in the interests of a consistent (statewide or national) approach to natural disaster risk management, rather than being overly influenced by local political pressures (Alexander Lewis, sub. 7; FMA, sub. 79; MAV, sub. 98; </w:t>
      </w:r>
      <w:r w:rsidRPr="00807425">
        <w:t>NSCT</w:t>
      </w:r>
      <w:r>
        <w:t xml:space="preserve">, sub. 18; Planning Institute of Australia, sub. 53; Victorian Coastal Council, sub. 76; </w:t>
      </w:r>
      <w:r w:rsidRPr="00E005B6">
        <w:t>WGCS</w:t>
      </w:r>
      <w:r>
        <w:t xml:space="preserve">, </w:t>
      </w:r>
      <w:r w:rsidRPr="00B20C71">
        <w:t>sub.</w:t>
      </w:r>
      <w:r>
        <w:t> </w:t>
      </w:r>
      <w:r w:rsidRPr="00B20C71">
        <w:t>DR192</w:t>
      </w:r>
      <w:r>
        <w:t>). For example, the Victorian Coastal Council (</w:t>
      </w:r>
      <w:r w:rsidRPr="00365B50">
        <w:t>sub. 76, p. 4)</w:t>
      </w:r>
      <w:r>
        <w:t xml:space="preserve"> expressed concern that political considerations had a detrimental impact on the quality of planning decisions:</w:t>
      </w:r>
    </w:p>
    <w:p w14:paraId="3641D821" w14:textId="77777777" w:rsidR="00DE1537" w:rsidRPr="00365B50" w:rsidRDefault="00DE1537" w:rsidP="00343F3E">
      <w:pPr>
        <w:pStyle w:val="Quote"/>
      </w:pPr>
      <w:r w:rsidRPr="00365B50">
        <w:t xml:space="preserve">Potentially the biggest challenge is to remove the impact of immediate political considerations from local decision making as higher level principles are applied at the local level. Tough decisions need to be made not to rebuild in areas where the risk outweighs the benefit … We need to plan for this and educate the community and industry around the risks … </w:t>
      </w:r>
    </w:p>
    <w:p w14:paraId="170D27CF" w14:textId="77777777" w:rsidR="00DE1537" w:rsidRDefault="00DE1537" w:rsidP="00343F3E">
      <w:pPr>
        <w:pStyle w:val="BodyText"/>
      </w:pPr>
      <w:r>
        <w:t>The Attorney</w:t>
      </w:r>
      <w:r>
        <w:noBreakHyphen/>
        <w:t>General’s Department (sub. 90, p. 10) noted that land use planning can be difficult given community and developer ‘</w:t>
      </w:r>
      <w:r w:rsidRPr="00991B58">
        <w:t>pressure to release highly desirable land on waterfronts and on the peri</w:t>
      </w:r>
      <w:r>
        <w:noBreakHyphen/>
      </w:r>
      <w:r w:rsidRPr="00991B58">
        <w:t>urban fringe</w:t>
      </w:r>
      <w:r>
        <w:t>’.</w:t>
      </w:r>
    </w:p>
    <w:p w14:paraId="6EBCDE0E" w14:textId="77777777" w:rsidR="00DE1537" w:rsidRDefault="00DE1537" w:rsidP="00343F3E">
      <w:pPr>
        <w:pStyle w:val="BodyText"/>
      </w:pPr>
      <w:r>
        <w:t xml:space="preserve">On the other hand, the Property Council of Australia (sub. 44, p. 1) submitted that inconsistent planning controls ‘unfairly impact the property industry’, and that it prefers the use of building requirements rather than planning controls to manage disaster risk. </w:t>
      </w:r>
    </w:p>
    <w:p w14:paraId="5E9F9F38" w14:textId="4B098259" w:rsidR="00DE1537" w:rsidRDefault="00DE1537" w:rsidP="00343F3E">
      <w:pPr>
        <w:pStyle w:val="BodyText"/>
      </w:pPr>
      <w:r>
        <w:t xml:space="preserve">However, the Commission’s view is that both land use planning and building regulations are needed for effective management of natural disaster risk in the built environment. They are complementary rather than substitute policy areas, in that they address different components of the risk to built assets (box 6.1). </w:t>
      </w:r>
    </w:p>
    <w:p w14:paraId="2CAC02FC" w14:textId="762A71DF" w:rsidR="00DE1537" w:rsidRDefault="00DE1537" w:rsidP="00343F3E">
      <w:pPr>
        <w:pStyle w:val="BodyText"/>
      </w:pPr>
      <w:r w:rsidRPr="00973077">
        <w:lastRenderedPageBreak/>
        <w:t xml:space="preserve">Effective risk management does not necessarily imply that there should be no development in high risk areas. If there is a strong community preference for living in areas prone to flood or fire (for example), it might be </w:t>
      </w:r>
      <w:r>
        <w:t>preferable</w:t>
      </w:r>
      <w:r w:rsidRPr="00973077">
        <w:t xml:space="preserve"> for governments to permit such development subject to appropriate management of the risks involved </w:t>
      </w:r>
      <w:r w:rsidRPr="00362A7A">
        <w:rPr>
          <w:szCs w:val="24"/>
        </w:rPr>
        <w:t>(PC 2012)</w:t>
      </w:r>
      <w:r w:rsidRPr="00973077">
        <w:t>. As noted by Lake Macquarie City Council</w:t>
      </w:r>
      <w:r>
        <w:t xml:space="preserve"> (NSW) (</w:t>
      </w:r>
      <w:r w:rsidRPr="00973077">
        <w:t>sub.</w:t>
      </w:r>
      <w:r>
        <w:t> </w:t>
      </w:r>
      <w:r w:rsidRPr="00973077">
        <w:t>74), the competing objectives of land use planning mean that development will rarely be confined to hazard</w:t>
      </w:r>
      <w:r>
        <w:noBreakHyphen/>
      </w:r>
      <w:r w:rsidRPr="00973077">
        <w:t>free areas, so in many cases development will need to incorporate investment in mitigation, whether in the choice of building materials and design standards or in the provision of supporting infrastructure.</w:t>
      </w:r>
    </w:p>
    <w:p w14:paraId="5DFB36A4" w14:textId="65ED8B86" w:rsidR="00DE1537" w:rsidRDefault="00DE1537" w:rsidP="00343F3E">
      <w:pPr>
        <w:pStyle w:val="BodyText"/>
      </w:pPr>
      <w:r>
        <w:t xml:space="preserve">Decisions informed by public consultation and made with respect to local needs and multiple planning objectives will not necessarily be consistent across regions or states, as the nature of hazards as well as community needs and preferences will vary. For example, the Victorian Government </w:t>
      </w:r>
      <w:r w:rsidRPr="00534098">
        <w:t>(2014a)</w:t>
      </w:r>
      <w:r>
        <w:t xml:space="preserve"> made a series of amendments to its bushfire planning regulations in mid</w:t>
      </w:r>
      <w:r>
        <w:noBreakHyphen/>
        <w:t>2014 to enable greater flexibility in the way property owners and developers could achieve compliance with bushfire</w:t>
      </w:r>
      <w:r>
        <w:noBreakHyphen/>
        <w:t xml:space="preserve">related planning and building regulations, as a result of public consultation. </w:t>
      </w:r>
    </w:p>
    <w:p w14:paraId="096C1B28" w14:textId="77777777" w:rsidR="00DE1537" w:rsidRDefault="00DE1537" w:rsidP="00343F3E">
      <w:pPr>
        <w:pStyle w:val="BodyText"/>
      </w:pPr>
      <w:proofErr w:type="gramStart"/>
      <w:r>
        <w:t>As further evidence of the contrasting outcomes that can follow from public consultation in the presence of diverse preferences, James Cook University (sub.</w:t>
      </w:r>
      <w:proofErr w:type="gramEnd"/>
      <w:r>
        <w:t xml:space="preserve"> DR127, </w:t>
      </w:r>
      <w:r w:rsidRPr="00B20F24">
        <w:t>p.</w:t>
      </w:r>
      <w:r>
        <w:t> </w:t>
      </w:r>
      <w:r w:rsidRPr="00B20F24">
        <w:t>2</w:t>
      </w:r>
      <w:r>
        <w:t>) cited the cases of local communities in Queensland:</w:t>
      </w:r>
    </w:p>
    <w:p w14:paraId="135A7E63" w14:textId="77777777" w:rsidR="00DE1537" w:rsidRDefault="00DE1537" w:rsidP="00343F3E">
      <w:pPr>
        <w:pStyle w:val="Quote"/>
      </w:pPr>
      <w:r>
        <w:t xml:space="preserve">… </w:t>
      </w:r>
      <w:proofErr w:type="gramStart"/>
      <w:r w:rsidRPr="00B20F24">
        <w:t>in</w:t>
      </w:r>
      <w:proofErr w:type="gramEnd"/>
      <w:r w:rsidRPr="00B20F24">
        <w:t xml:space="preserve"> the Lockyer Valley an extremely rare hazard event was approached with a retreat strategy of relocation and buyback. At Tully and Hull Heads a much higher probability event (storm surge accompanying a severe cyclone) generated community desire to rebuild on the same site. Rationally, the opposite should have occurred at each location. Good quality and sympathetic community consultation led to the outcome in each location. This is not an argument against community consultation, but rather a warning that communities following a disaster are highly emotional and traumatised.</w:t>
      </w:r>
      <w:r>
        <w:t xml:space="preserve"> … </w:t>
      </w:r>
      <w:proofErr w:type="gramStart"/>
      <w:r w:rsidRPr="00B20F24">
        <w:t>it</w:t>
      </w:r>
      <w:proofErr w:type="gramEnd"/>
      <w:r w:rsidRPr="00B20F24">
        <w:t xml:space="preserve"> is difficult to institute disaster risk reduction for future events without strong legislation that supports decisions that may contradict community sentiment. </w:t>
      </w:r>
    </w:p>
    <w:p w14:paraId="11AF5FEE" w14:textId="77777777" w:rsidR="00DE1537" w:rsidRDefault="00DE1537" w:rsidP="00343F3E">
      <w:pPr>
        <w:pStyle w:val="BodyText"/>
      </w:pPr>
      <w:r>
        <w:t xml:space="preserve">The </w:t>
      </w:r>
      <w:r w:rsidRPr="007A0043">
        <w:t>Australian national, state and terri</w:t>
      </w:r>
      <w:r>
        <w:t>tory Councils of Social Service</w:t>
      </w:r>
      <w:r w:rsidRPr="0011799F">
        <w:t xml:space="preserve"> </w:t>
      </w:r>
      <w:r>
        <w:t>(</w:t>
      </w:r>
      <w:r w:rsidRPr="00016A39">
        <w:t>sub.</w:t>
      </w:r>
      <w:r>
        <w:t> </w:t>
      </w:r>
      <w:r w:rsidRPr="00016A39">
        <w:t>DR197, pp.</w:t>
      </w:r>
      <w:r>
        <w:t> </w:t>
      </w:r>
      <w:r w:rsidRPr="00016A39">
        <w:t>13</w:t>
      </w:r>
      <w:r>
        <w:t>–</w:t>
      </w:r>
      <w:r w:rsidRPr="00016A39">
        <w:t>14)</w:t>
      </w:r>
      <w:r>
        <w:t xml:space="preserve"> also emphasised the need for consultation to draw out local needs and preferences and ensure these are reflected in decision making:</w:t>
      </w:r>
    </w:p>
    <w:p w14:paraId="0FFFD746" w14:textId="77777777" w:rsidR="00DE1537" w:rsidRPr="00016A39" w:rsidRDefault="00DE1537" w:rsidP="00343F3E">
      <w:pPr>
        <w:pStyle w:val="Quote"/>
      </w:pPr>
      <w:r w:rsidRPr="00016A39">
        <w:t>Top</w:t>
      </w:r>
      <w:r>
        <w:noBreakHyphen/>
      </w:r>
      <w:r w:rsidRPr="00016A39">
        <w:t>down disaster risk reduction and mitigation programs often fail to address the specific vulnerabilities, needs and demands of at</w:t>
      </w:r>
      <w:r>
        <w:noBreakHyphen/>
      </w:r>
      <w:r w:rsidRPr="00016A39">
        <w:t>risk communities. These vulnerabilities and needs can only be identified through direct consultation with the communities concerned, because communities understand local realities and c</w:t>
      </w:r>
      <w:r>
        <w:t>ontexts better than outsiders.</w:t>
      </w:r>
      <w:r w:rsidRPr="00016A39">
        <w:t xml:space="preserve"> </w:t>
      </w:r>
    </w:p>
    <w:p w14:paraId="64F2598A" w14:textId="77777777" w:rsidR="00DE1537" w:rsidRDefault="00DE1537" w:rsidP="00343F3E">
      <w:pPr>
        <w:pStyle w:val="BodyText"/>
      </w:pPr>
      <w:r>
        <w:t>Land use planning systems need to be sufficiently flexible to incorporate community consultation and to be based on community preferences, but should also be based on good risk management principles. It is crucial that analysis of the costs and benefits of planning decisions is built into the planning process in a transparent manner, so that decisions reflect community views on acceptable levels of risk and maximise overall community wellbeing. It is ultimately up to state and territory governments to provide appropriate policy and governance frameworks for this to occur.</w:t>
      </w:r>
    </w:p>
    <w:p w14:paraId="4061FD6B" w14:textId="77777777" w:rsidR="00DE1537" w:rsidRDefault="00DE1537" w:rsidP="00343F3E">
      <w:pPr>
        <w:pStyle w:val="Heading4"/>
      </w:pPr>
      <w:r w:rsidRPr="00C958DC">
        <w:lastRenderedPageBreak/>
        <w:t>Resource, capacity and capability constraints</w:t>
      </w:r>
    </w:p>
    <w:p w14:paraId="0A43B622" w14:textId="77777777" w:rsidR="00DE1537" w:rsidRDefault="00DE1537" w:rsidP="00343F3E">
      <w:pPr>
        <w:pStyle w:val="BodyText"/>
      </w:pPr>
      <w:r>
        <w:t>Local governments require sufficient resources</w:t>
      </w:r>
      <w:r w:rsidRPr="0089451B">
        <w:t xml:space="preserve"> </w:t>
      </w:r>
      <w:r>
        <w:t>to be able to fulfil their responsibilities in interpreting and implementing land use planning as set out in state planning policy frameworks. Inadequate funding and/or a lack of appropriate skills, expertise and information can impede local governments’ ability to effectively implement planning policies.</w:t>
      </w:r>
    </w:p>
    <w:p w14:paraId="62AEFC08" w14:textId="77777777" w:rsidR="00DE1537" w:rsidRDefault="00DE1537" w:rsidP="00343F3E">
      <w:pPr>
        <w:pStyle w:val="BodyText"/>
      </w:pPr>
      <w:r>
        <w:t xml:space="preserve">Several participants expressed concern that local governments are inadequately resourced with respect to their planning responsibilities (ALGA, sub. 52; Beatty Legal, sub. 23; FMA, sub. 79; Lake Macquarie City Council (NSW), sub. 74; </w:t>
      </w:r>
      <w:r w:rsidRPr="00807425">
        <w:t>LGASA</w:t>
      </w:r>
      <w:r>
        <w:t xml:space="preserve">, sub. 13; </w:t>
      </w:r>
      <w:r w:rsidRPr="00807425">
        <w:t>LGNSW</w:t>
      </w:r>
      <w:r>
        <w:t>, sub. 81; MAV, sub. DR162). Participants identified as constraints:</w:t>
      </w:r>
    </w:p>
    <w:p w14:paraId="6E07BC42" w14:textId="77777777" w:rsidR="00DE1537" w:rsidRDefault="00DE1537" w:rsidP="00343F3E">
      <w:pPr>
        <w:pStyle w:val="ListBullet"/>
      </w:pPr>
      <w:r>
        <w:t>lack of appropriately skilled and trained planning staff with detailed knowledge of risk management</w:t>
      </w:r>
    </w:p>
    <w:p w14:paraId="39CE2BC2" w14:textId="77777777" w:rsidR="00DE1537" w:rsidRDefault="00DE1537" w:rsidP="00343F3E">
      <w:pPr>
        <w:pStyle w:val="ListBullet"/>
        <w:spacing w:line="320" w:lineRule="atLeast"/>
      </w:pPr>
      <w:r>
        <w:t>insufficient legal and financial expertise to inform planning decisions, such as with respect to providing compensation and support for property owners affected by decisions, and for allocating funds to support planning decisions such as upgrading infrastructure or purchasing and relocating properties</w:t>
      </w:r>
    </w:p>
    <w:p w14:paraId="35718E04" w14:textId="77777777" w:rsidR="00DE1537" w:rsidRDefault="00DE1537" w:rsidP="00343F3E">
      <w:pPr>
        <w:pStyle w:val="ListBullet"/>
        <w:spacing w:line="320" w:lineRule="atLeast"/>
      </w:pPr>
      <w:r>
        <w:t>high staff turnover and difficulty attracting and retaining suitable staff</w:t>
      </w:r>
    </w:p>
    <w:p w14:paraId="6061EF71" w14:textId="77777777" w:rsidR="00DE1537" w:rsidRDefault="00DE1537" w:rsidP="00343F3E">
      <w:pPr>
        <w:pStyle w:val="ListBullet"/>
        <w:spacing w:line="320" w:lineRule="atLeast"/>
      </w:pPr>
      <w:r>
        <w:t xml:space="preserve">limited funding to allocate to incorporating risk management into land use planning, as a result of increased local government responsibilities and limited ability to source additional revenue — this </w:t>
      </w:r>
      <w:r w:rsidRPr="00F30EB7">
        <w:t>results in strong incentives for local governments to invest in immediate service delivery and disincentive</w:t>
      </w:r>
      <w:r>
        <w:t>s</w:t>
      </w:r>
      <w:r w:rsidRPr="00F30EB7">
        <w:t xml:space="preserve"> to invest in planning, mitigation and education activities</w:t>
      </w:r>
    </w:p>
    <w:p w14:paraId="282BA08A" w14:textId="77777777" w:rsidR="00DE1537" w:rsidRDefault="00DE1537" w:rsidP="00343F3E">
      <w:pPr>
        <w:pStyle w:val="ListBullet"/>
        <w:spacing w:line="320" w:lineRule="atLeast"/>
      </w:pPr>
      <w:r>
        <w:t>lack of necessary motivation or will to make long</w:t>
      </w:r>
      <w:r>
        <w:noBreakHyphen/>
        <w:t>term, costly and politically difficult decisions</w:t>
      </w:r>
    </w:p>
    <w:p w14:paraId="2CBA837C" w14:textId="77777777" w:rsidR="00DE1537" w:rsidRDefault="00DE1537" w:rsidP="00343F3E">
      <w:pPr>
        <w:pStyle w:val="ListBullet"/>
        <w:spacing w:line="320" w:lineRule="atLeast"/>
      </w:pPr>
      <w:r>
        <w:t>insufficient resources to undertake comprehensive community consultation on acceptable levels of risk to inform land use planning, particularly where planning decisions are complex in nature and politically sensitive, and local communities are characterised by diversity in age, disability, culture and language.</w:t>
      </w:r>
    </w:p>
    <w:p w14:paraId="0A52EC1D" w14:textId="6BED7E84" w:rsidR="00DE1537" w:rsidRDefault="00DE1537" w:rsidP="00343F3E">
      <w:pPr>
        <w:pStyle w:val="BodyText"/>
      </w:pPr>
      <w:r>
        <w:t xml:space="preserve">The Commission previously found that capacity and capability constraints were barriers to local governments planning for and implementing effective risk management </w:t>
      </w:r>
      <w:r w:rsidRPr="00362A7A">
        <w:rPr>
          <w:szCs w:val="24"/>
        </w:rPr>
        <w:t>(PC 2012)</w:t>
      </w:r>
      <w:r>
        <w:t xml:space="preserve">. Local governments consulted for a 2006 report commissioned by the </w:t>
      </w:r>
      <w:r w:rsidRPr="00807425">
        <w:t>Australian Local Government Association</w:t>
      </w:r>
      <w:r>
        <w:t xml:space="preserve"> expressed concern that state and territory governments tend to set policy frameworks and then leave it up to local governments ‘to incorporate and implement the policy into their local strategic plan with little support or instruction’ </w:t>
      </w:r>
      <w:r w:rsidRPr="00362A7A">
        <w:rPr>
          <w:szCs w:val="24"/>
        </w:rPr>
        <w:t>(SMEC and IID 2006, p. 37)</w:t>
      </w:r>
      <w:r>
        <w:t xml:space="preserve">. The report also identified a perception that costs have been shifted to local governments, as their roles have increased, and a concern that some local governments have faced a ‘critical shortage of planners’, impeding their ability to use planning and development controls for effective disaster risk management </w:t>
      </w:r>
      <w:r w:rsidRPr="00362A7A">
        <w:rPr>
          <w:szCs w:val="24"/>
        </w:rPr>
        <w:t>(SMEC and IID 2006, p. 41)</w:t>
      </w:r>
      <w:r>
        <w:t>.</w:t>
      </w:r>
    </w:p>
    <w:p w14:paraId="2A38D3A0" w14:textId="77777777" w:rsidR="00DE1537" w:rsidRDefault="00DE1537" w:rsidP="00343F3E">
      <w:pPr>
        <w:pStyle w:val="BodyText"/>
      </w:pPr>
      <w:r>
        <w:lastRenderedPageBreak/>
        <w:t>The Commission considers that the incorporation of effective natural disaster risk management in land use planning requires that local governments have clear understanding of how to implement state planning policies, and have resources commensurate with their responsibilities under these policies. State governments should ensure that the local governments in their jurisdictions have adequate understanding of the statewide planning framework (including in relation to trade</w:t>
      </w:r>
      <w:r>
        <w:noBreakHyphen/>
        <w:t>offs and how to manage competing objectives) and are appropriately resourced to implement it.</w:t>
      </w:r>
    </w:p>
    <w:p w14:paraId="611B78B7" w14:textId="77777777" w:rsidR="00DE1537" w:rsidRDefault="00DE1537" w:rsidP="00343F3E">
      <w:pPr>
        <w:pStyle w:val="Heading4"/>
      </w:pPr>
      <w:r>
        <w:t>Local government liability for sharing risk information and making land use planning changes</w:t>
      </w:r>
    </w:p>
    <w:p w14:paraId="75F2EB47" w14:textId="77777777" w:rsidR="00DE1537" w:rsidRDefault="00DE1537" w:rsidP="00343F3E">
      <w:pPr>
        <w:pStyle w:val="BodyText"/>
      </w:pPr>
      <w:r>
        <w:t xml:space="preserve">The provision and communication of risk information can affect property values and insurance premiums in a given geographic location. Local governments collect or obtain such information for the purposes of making land use planning and development decisions, and many have been unsure about the implications of releasing the information. Where local governments are in possession of relevant risk information, there are likely to be overall social benefits from making it publicly available. Sharing such information can assist private agents (including households, businesses, communities and insurers) to more effectively incorporate natural disaster risk management into their decision making. </w:t>
      </w:r>
    </w:p>
    <w:p w14:paraId="03390B17" w14:textId="77777777" w:rsidR="00DE1537" w:rsidRDefault="00DE1537" w:rsidP="00343F3E">
      <w:pPr>
        <w:pStyle w:val="BodyText"/>
      </w:pPr>
      <w:r>
        <w:t xml:space="preserve">If the information reduces the market values of some properties or development projects, or raises insurance premiums, it may be an unwelcome event for asset owners but is a necessary part of reflecting risk in asset prices. Similarly, changes to planning controls affecting a given area of land and its allowable uses — such as identifying an area as a floodplain and rejecting proposals for its development — can also have an impact on market values. </w:t>
      </w:r>
    </w:p>
    <w:p w14:paraId="3E6B346B" w14:textId="77777777" w:rsidR="00DE1537" w:rsidRDefault="00DE1537" w:rsidP="00343F3E">
      <w:pPr>
        <w:pStyle w:val="BodyText"/>
      </w:pPr>
      <w:r>
        <w:t xml:space="preserve">As noted by </w:t>
      </w:r>
      <w:r w:rsidRPr="00115CC6">
        <w:t>Cassowary Coast Regional Council (Qld) (sub.</w:t>
      </w:r>
      <w:r>
        <w:t> </w:t>
      </w:r>
      <w:r w:rsidRPr="00115CC6">
        <w:t>DR140</w:t>
      </w:r>
      <w:r>
        <w:t>, p. 7</w:t>
      </w:r>
      <w:r w:rsidRPr="00115CC6">
        <w:t>)</w:t>
      </w:r>
      <w:r>
        <w:t>, for example:</w:t>
      </w:r>
    </w:p>
    <w:p w14:paraId="31C6B628" w14:textId="77777777" w:rsidR="00DE1537" w:rsidRDefault="00DE1537" w:rsidP="00343F3E">
      <w:pPr>
        <w:pStyle w:val="Quote"/>
      </w:pPr>
      <w:r>
        <w:t>While making data publicly available may have implications regarding an individual’s insurance premiums or the ability to obtain loans to purchase land subject to high natural disaster risk, it will enable the public, insurance companies and financial institutions to be aware of the potential risks of natural disasters. By using the best available information it is hoped that the current natural disaster risk is not increased through poor planning or decision</w:t>
      </w:r>
      <w:r>
        <w:noBreakHyphen/>
        <w:t>making.</w:t>
      </w:r>
    </w:p>
    <w:p w14:paraId="2F46D960" w14:textId="36151BCF" w:rsidR="00DE1537" w:rsidRDefault="00DE1537" w:rsidP="00343F3E">
      <w:pPr>
        <w:pStyle w:val="BodyText"/>
      </w:pPr>
      <w:r>
        <w:t>Academic research on the effect of disclosing flood risk information on property values is mixed. Though some US</w:t>
      </w:r>
      <w:r>
        <w:noBreakHyphen/>
        <w:t>based studies reported a discount in the range of 4–12 per cent for flood</w:t>
      </w:r>
      <w:r>
        <w:noBreakHyphen/>
        <w:t>prone residential properties, compared with equivalent non</w:t>
      </w:r>
      <w:r>
        <w:noBreakHyphen/>
        <w:t xml:space="preserve">flood prone properties, most studies found no difference, suggesting the evidence for a significant negative impact is weak </w:t>
      </w:r>
      <w:r w:rsidRPr="00EC56DB">
        <w:rPr>
          <w:szCs w:val="24"/>
        </w:rPr>
        <w:t>(Yeo 2004)</w:t>
      </w:r>
      <w:r>
        <w:t xml:space="preserve">. </w:t>
      </w:r>
    </w:p>
    <w:p w14:paraId="4C0DFE3B" w14:textId="4E63A812" w:rsidR="00DE1537" w:rsidRDefault="00DE1537" w:rsidP="00343F3E">
      <w:pPr>
        <w:pStyle w:val="Quote"/>
      </w:pPr>
      <w:r>
        <w:t>The balance of evidence suggests that the fears are over</w:t>
      </w:r>
      <w:r>
        <w:noBreakHyphen/>
        <w:t xml:space="preserve">rated. The benefits of disclosure for planning and public education outweigh the risks of adverse effect. </w:t>
      </w:r>
      <w:proofErr w:type="gramStart"/>
      <w:r w:rsidRPr="00DC4800">
        <w:rPr>
          <w:sz w:val="24"/>
          <w:szCs w:val="24"/>
        </w:rPr>
        <w:t>(Yeo 2004, p. 267)</w:t>
      </w:r>
      <w:r>
        <w:t>.</w:t>
      </w:r>
      <w:proofErr w:type="gramEnd"/>
    </w:p>
    <w:p w14:paraId="4FDF0CC7" w14:textId="77777777" w:rsidR="00DE1537" w:rsidRDefault="00DE1537" w:rsidP="00343F3E">
      <w:pPr>
        <w:pStyle w:val="Heading5"/>
      </w:pPr>
      <w:r>
        <w:lastRenderedPageBreak/>
        <w:t>Participants’ views</w:t>
      </w:r>
    </w:p>
    <w:p w14:paraId="3AFA04FC" w14:textId="77777777" w:rsidR="00DE1537" w:rsidRDefault="00DE1537" w:rsidP="00343F3E">
      <w:pPr>
        <w:pStyle w:val="BodyText"/>
      </w:pPr>
      <w:r>
        <w:t>Some participants expressed concerns about the legal ramifications for local governments of publishing such information, and submitted that this has affected local governments’ decisions to share information.</w:t>
      </w:r>
    </w:p>
    <w:p w14:paraId="249E1775" w14:textId="77777777" w:rsidR="00DE1537" w:rsidRPr="009F4985" w:rsidRDefault="00DE1537" w:rsidP="00343F3E">
      <w:pPr>
        <w:pStyle w:val="Quote"/>
      </w:pPr>
      <w:r>
        <w:t>[G]</w:t>
      </w:r>
      <w:r w:rsidRPr="009F4985">
        <w:t>overnment bodies (especially local governments) have been reluctant to make flood mapping available to the public for fear that the council would be sued because of the perceived impact on property values … (ERSA, sub. 12, p. 12)</w:t>
      </w:r>
      <w:r>
        <w:t xml:space="preserve"> </w:t>
      </w:r>
    </w:p>
    <w:p w14:paraId="5FF6AA29" w14:textId="77777777" w:rsidR="00DE1537" w:rsidRDefault="00DE1537" w:rsidP="00343F3E">
      <w:pPr>
        <w:pStyle w:val="Quote"/>
      </w:pPr>
      <w:r>
        <w:t>[W]hilst many councils do make their flood mapping data publicly available (with appropriate qualifications), there are also other local government authorities that simply do not have relevant data or are more conservative in their approach to making such information freely available. This reticence arises from potential legal liability concerns, the quality of data and the varying methodological approaches adopted by councils in mapping flood risk. (ALGA, sub. 52, p. 8)</w:t>
      </w:r>
    </w:p>
    <w:p w14:paraId="14EACBC0" w14:textId="77777777" w:rsidR="00DE1537" w:rsidRPr="00895A90" w:rsidRDefault="00DE1537" w:rsidP="00343F3E">
      <w:pPr>
        <w:pStyle w:val="Quote"/>
      </w:pPr>
      <w:r w:rsidRPr="00895A90">
        <w:t>Educating and engaging the broader community on their vulnerability to the impact of flooding and other natural hazards is also essential to building resilience</w:t>
      </w:r>
      <w:r>
        <w:t xml:space="preserve"> … </w:t>
      </w:r>
      <w:r w:rsidRPr="00895A90">
        <w:t xml:space="preserve">We acknowledge many of our local government members face political and public pressure due to perceptions </w:t>
      </w:r>
      <w:r>
        <w:t>—</w:t>
      </w:r>
      <w:r w:rsidRPr="00895A90">
        <w:t xml:space="preserve"> justified or otherwise </w:t>
      </w:r>
      <w:r>
        <w:t>—</w:t>
      </w:r>
      <w:r w:rsidRPr="00895A90">
        <w:t xml:space="preserve"> about the impact releasing flood risk information has on property values, development opportunities and insurance premiums. </w:t>
      </w:r>
      <w:r>
        <w:t>(FMA, sub. 79, p. 7)</w:t>
      </w:r>
    </w:p>
    <w:p w14:paraId="0E974AF6" w14:textId="77777777" w:rsidR="00DE1537" w:rsidRDefault="00DE1537" w:rsidP="00343F3E">
      <w:pPr>
        <w:pStyle w:val="Quote"/>
      </w:pPr>
      <w:r>
        <w:t xml:space="preserve">The LGA believes that there are risks either way when releasing data that third parties may use for purposes outside of the context in which the data was originally collected. This puts the originator (Council) at risk if e.g. a householder bases their decision to buy a house on inappropriate and dated flood threat information if the house is subsequently flooded. Conversely it could be argued that the information should be openly available for the householder to make an informed decision as possible. … </w:t>
      </w:r>
      <w:proofErr w:type="gramStart"/>
      <w:r>
        <w:t>information</w:t>
      </w:r>
      <w:proofErr w:type="gramEnd"/>
      <w:r>
        <w:t xml:space="preserve"> should be released but have clear caveats indicating the limitations of its application to purposes other than the original intent. </w:t>
      </w:r>
      <w:proofErr w:type="gramStart"/>
      <w:r>
        <w:t>(LGASA, sub.</w:t>
      </w:r>
      <w:proofErr w:type="gramEnd"/>
      <w:r>
        <w:t> DR161, p. 13)</w:t>
      </w:r>
    </w:p>
    <w:p w14:paraId="5D237A69" w14:textId="77777777" w:rsidR="00DE1537" w:rsidRDefault="00DE1537" w:rsidP="00343F3E">
      <w:pPr>
        <w:pStyle w:val="BodyText"/>
      </w:pPr>
      <w:r>
        <w:t>Beatty Legal (sub. 23) noted that an increasingly important concern for local governments is the perceived risk and expense of litigation, including in the form of planning tribunal appeals. In some cases, local governments’ objections to proposed development or land uses are being overruled by higher levels of government or independent bodies.</w:t>
      </w:r>
    </w:p>
    <w:p w14:paraId="351BED14" w14:textId="77777777" w:rsidR="00DE1537" w:rsidRPr="00F06ABF" w:rsidRDefault="00DE1537" w:rsidP="00343F3E">
      <w:pPr>
        <w:pStyle w:val="Quote"/>
      </w:pPr>
      <w:r w:rsidRPr="00F06ABF">
        <w:t>[E]ven when both councils and emergency services object to new development on the basis of risk, these objections are often dismissed in the Land &amp; Environment Court. (Risk Frontiers, sub. 19, p. 11)</w:t>
      </w:r>
    </w:p>
    <w:p w14:paraId="0B62F76E" w14:textId="1765DC4F" w:rsidR="00DE1537" w:rsidRPr="00B23DDA" w:rsidRDefault="00DE1537" w:rsidP="00343F3E">
      <w:pPr>
        <w:pStyle w:val="BodyText"/>
      </w:pPr>
      <w:r>
        <w:t>Illustrating the potential flow</w:t>
      </w:r>
      <w:r>
        <w:noBreakHyphen/>
        <w:t xml:space="preserve">on effect of such decisions, the </w:t>
      </w:r>
      <w:r w:rsidRPr="00B42EDF">
        <w:t>National Sea C</w:t>
      </w:r>
      <w:r>
        <w:t>hange Taskforce (sub. 18) and Suncorp Group (sub. 71) drew attention to the approval by the Gold Coast City Council of a 970</w:t>
      </w:r>
      <w:r>
        <w:noBreakHyphen/>
        <w:t>dwelling complex on a high</w:t>
      </w:r>
      <w:r>
        <w:noBreakHyphen/>
        <w:t xml:space="preserve">risk flood plain. In this case, according to Stephens </w:t>
      </w:r>
      <w:r w:rsidRPr="00362A7A">
        <w:t>(2013)</w:t>
      </w:r>
      <w:r>
        <w:t>, the council believed it had no choice but to approve the development, due to a perception of legal precedent set by a court ruling on an adjacent development. In an attempt to impose protective conditions, it required the developer to provide lifeboats, a helipad and a three</w:t>
      </w:r>
      <w:r>
        <w:noBreakHyphen/>
        <w:t>day food supply. Suncorp Group (sub. 71, p. 15) cited this as a ‘good example of the need to strengthen planning regulations’.</w:t>
      </w:r>
    </w:p>
    <w:p w14:paraId="6EBADE4C" w14:textId="2C3E04D4" w:rsidR="00DE1537" w:rsidRDefault="00DE1537" w:rsidP="00343F3E">
      <w:pPr>
        <w:pStyle w:val="BodyText"/>
      </w:pPr>
      <w:r>
        <w:lastRenderedPageBreak/>
        <w:t xml:space="preserve">The NEMC </w:t>
      </w:r>
      <w:r w:rsidRPr="00EF6A8F">
        <w:rPr>
          <w:szCs w:val="24"/>
        </w:rPr>
        <w:t>(2012c, p. 17)</w:t>
      </w:r>
      <w:r>
        <w:t xml:space="preserve"> recommended increased legal protection for local governments releasing natural hazard information.</w:t>
      </w:r>
    </w:p>
    <w:p w14:paraId="11EEF150" w14:textId="77777777" w:rsidR="00DE1537" w:rsidRPr="00F03D46" w:rsidRDefault="00DE1537" w:rsidP="00343F3E">
      <w:pPr>
        <w:pStyle w:val="Quote"/>
      </w:pPr>
      <w:r w:rsidRPr="00F03D46">
        <w:t xml:space="preserve">Liability on the release of hazard data remains a key consideration. Indemnity for any Local or State Government on the release of natural hazard mapping, investigations or studies also needs to be provided. </w:t>
      </w:r>
    </w:p>
    <w:p w14:paraId="16AC4C87" w14:textId="77777777" w:rsidR="00DE1537" w:rsidRDefault="00DE1537" w:rsidP="00343F3E">
      <w:pPr>
        <w:pStyle w:val="BodyText"/>
      </w:pPr>
      <w:r>
        <w:t xml:space="preserve">On the other hand, legal experts have expressed the view that </w:t>
      </w:r>
      <w:r w:rsidRPr="005173F0">
        <w:t>the potential legal liability of local governments to subsequent property owners as a result of failing to release reasonably accurate hazard information could be much greater than the liability to current owners associated with releasing the information</w:t>
      </w:r>
      <w:r>
        <w:t>.</w:t>
      </w:r>
    </w:p>
    <w:p w14:paraId="6B008EF0" w14:textId="03F024CD" w:rsidR="00DE1537" w:rsidRPr="002B3F64" w:rsidRDefault="00DE1537" w:rsidP="00343F3E">
      <w:pPr>
        <w:pStyle w:val="Quote"/>
      </w:pPr>
      <w:r w:rsidRPr="0065703F">
        <w:t>Councils are required to make decisions according to law but they should not make decisions simply</w:t>
      </w:r>
      <w:r w:rsidRPr="00227341">
        <w:t xml:space="preserve"> for fear that someone may take them to court to seek a review of that decision</w:t>
      </w:r>
      <w:r w:rsidRPr="00FA7CA0">
        <w:t xml:space="preserve"> … </w:t>
      </w:r>
      <w:r w:rsidRPr="002B3F64">
        <w:t xml:space="preserve">That does not mean </w:t>
      </w:r>
      <w:r w:rsidRPr="00722C82">
        <w:t>that councils should release inaccurate or irrelevant information, rather they need to make information</w:t>
      </w:r>
      <w:r w:rsidRPr="00293012">
        <w:t xml:space="preserve"> available in a careful way, with due consideration of how the information will be used and by whom. </w:t>
      </w:r>
      <w:r w:rsidRPr="00362A7A">
        <w:rPr>
          <w:szCs w:val="24"/>
        </w:rPr>
        <w:t>(Eburn and Handmer 2012, p. 26)</w:t>
      </w:r>
    </w:p>
    <w:p w14:paraId="0F787A5C" w14:textId="77777777" w:rsidR="00DE1537" w:rsidRDefault="00DE1537" w:rsidP="00343F3E">
      <w:pPr>
        <w:pStyle w:val="BodyText"/>
      </w:pPr>
      <w:r>
        <w:t>This emphasises the need for local governments to be accountable for the quality and accuracy of the information they share, so that it influences market values in a way that improves rather than distorts risk management decisions. Clarification by state governments of local governments’ responsibilities in communicating risk information — as suggested by Beatty Legal (sub. 23) — and in assessing the reliability and accuracy of such information, would assist in increasing local governments’ confidence in releasing information and making land use planning decisions where doing so is in the best interests of the local community.</w:t>
      </w:r>
    </w:p>
    <w:p w14:paraId="1BFAE7ED" w14:textId="77777777" w:rsidR="00DE1537" w:rsidRDefault="00DE1537" w:rsidP="00343F3E">
      <w:pPr>
        <w:pStyle w:val="Heading5"/>
      </w:pPr>
      <w:r>
        <w:t>Legislative provisions</w:t>
      </w:r>
    </w:p>
    <w:p w14:paraId="03A03409" w14:textId="078116F9" w:rsidR="00DE1537" w:rsidRDefault="00DE1537" w:rsidP="00343F3E">
      <w:pPr>
        <w:pStyle w:val="BodyText"/>
      </w:pPr>
      <w:r>
        <w:t xml:space="preserve">Local governments in Queensland drew attention to the implications of the ‘injurious affection’ legislative provisions of the </w:t>
      </w:r>
      <w:r w:rsidRPr="00876EA4">
        <w:rPr>
          <w:i/>
        </w:rPr>
        <w:t>Sustainable Planning Act 2009</w:t>
      </w:r>
      <w:r>
        <w:t xml:space="preserve"> (Qld), which require compensation for landowners adversely affected by changes to planning regulations (box 6.4).</w:t>
      </w:r>
    </w:p>
    <w:p w14:paraId="51830852" w14:textId="1A7C46AD" w:rsidR="005812DD" w:rsidRPr="005812DD" w:rsidRDefault="00DE1537" w:rsidP="005812DD">
      <w:pPr>
        <w:pStyle w:val="Quote"/>
      </w:pPr>
      <w:r>
        <w:t>A concern to local government in terms of risk management for natural hazards is the potential for compensation claims for injurious affection where a previously allowable use is restricted. Current legislation is open to interpretation and argument when including natural hazard responses in local government planning instruments. The LGAQ has formally requested the State Government to change the planning legislation by limiting the scope for injurious affection for natural hazard responses in local government planning instruments. (LGAQ, sub. 34, p. 3)</w:t>
      </w:r>
    </w:p>
    <w:p w14:paraId="70D999D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703DB2C2" w14:textId="77777777" w:rsidTr="00343F3E">
        <w:tc>
          <w:tcPr>
            <w:tcW w:w="8771" w:type="dxa"/>
            <w:tcBorders>
              <w:top w:val="single" w:sz="6" w:space="0" w:color="78A22F"/>
              <w:left w:val="nil"/>
              <w:bottom w:val="nil"/>
              <w:right w:val="nil"/>
            </w:tcBorders>
            <w:shd w:val="clear" w:color="auto" w:fill="F2F2F2" w:themeFill="background1" w:themeFillShade="F2"/>
          </w:tcPr>
          <w:p w14:paraId="66EEBFB7" w14:textId="7176730F" w:rsidR="00DE1537" w:rsidRDefault="00DE1537" w:rsidP="00343F3E">
            <w:pPr>
              <w:pStyle w:val="BoxTitle"/>
            </w:pPr>
            <w:r>
              <w:rPr>
                <w:b w:val="0"/>
              </w:rPr>
              <w:t>Box 6.</w:t>
            </w:r>
            <w:r>
              <w:rPr>
                <w:b w:val="0"/>
                <w:noProof/>
              </w:rPr>
              <w:t>4</w:t>
            </w:r>
            <w:r>
              <w:tab/>
            </w:r>
            <w:r w:rsidRPr="00827CA6">
              <w:t>Legal liability: New South Wales and Queensland</w:t>
            </w:r>
            <w:r>
              <w:t xml:space="preserve"> provisions</w:t>
            </w:r>
          </w:p>
        </w:tc>
      </w:tr>
      <w:tr w:rsidR="00DE1537" w14:paraId="2418DC92" w14:textId="77777777" w:rsidTr="00343F3E">
        <w:trPr>
          <w:cantSplit/>
        </w:trPr>
        <w:tc>
          <w:tcPr>
            <w:tcW w:w="8771" w:type="dxa"/>
            <w:tcBorders>
              <w:top w:val="nil"/>
              <w:left w:val="nil"/>
              <w:bottom w:val="nil"/>
              <w:right w:val="nil"/>
            </w:tcBorders>
            <w:shd w:val="clear" w:color="auto" w:fill="F2F2F2" w:themeFill="background1" w:themeFillShade="F2"/>
          </w:tcPr>
          <w:p w14:paraId="09FFB02B" w14:textId="77777777" w:rsidR="00DE1537" w:rsidRDefault="00DE1537" w:rsidP="00343F3E">
            <w:pPr>
              <w:pStyle w:val="BoxHeading1"/>
            </w:pPr>
            <w:r>
              <w:t>Queensland — ‘injurious affection’ (compensation) provisions</w:t>
            </w:r>
          </w:p>
          <w:p w14:paraId="3116267B" w14:textId="77777777" w:rsidR="00DE1537" w:rsidRDefault="00DE1537" w:rsidP="00343F3E">
            <w:pPr>
              <w:pStyle w:val="Box"/>
            </w:pPr>
            <w:r>
              <w:t xml:space="preserve">Section 704 of the </w:t>
            </w:r>
            <w:r w:rsidRPr="00FD3584">
              <w:rPr>
                <w:i/>
              </w:rPr>
              <w:t>Sustainable Planning Act 2009</w:t>
            </w:r>
            <w:r>
              <w:t xml:space="preserve"> (Qld) provides for compensation to be paid by local governments when they make changes to </w:t>
            </w:r>
            <w:proofErr w:type="gramStart"/>
            <w:r>
              <w:t>a planning scheme that diminish</w:t>
            </w:r>
            <w:proofErr w:type="gramEnd"/>
            <w:r>
              <w:t xml:space="preserve"> a property owner’s land value. It states that a land owner ‘</w:t>
            </w:r>
            <w:r w:rsidRPr="00882A25">
              <w:t>is entitled to be paid</w:t>
            </w:r>
            <w:r>
              <w:t xml:space="preserve"> </w:t>
            </w:r>
            <w:r w:rsidRPr="00882A25">
              <w:t>reasonable compensation</w:t>
            </w:r>
            <w:r>
              <w:t xml:space="preserve">’ if a local government makes a planning change that reduces the value of the owner’s interest in the land. Section 706(1) of the </w:t>
            </w:r>
            <w:r w:rsidRPr="004972B3">
              <w:t>Sustainable Planning Act</w:t>
            </w:r>
            <w:r w:rsidRPr="00FD3584">
              <w:rPr>
                <w:i/>
              </w:rPr>
              <w:t xml:space="preserve"> </w:t>
            </w:r>
            <w:r>
              <w:t>offers exemption from liability if the planning scheme change ‘affects development that, had it happened under the superseded planning scheme — (i) would have led to significant risk to persons or property from natural processes (including flooding, land slippage or erosion) and the risk could not have been significantly reduced by conditions attached to a development approval’.</w:t>
            </w:r>
          </w:p>
          <w:p w14:paraId="39CF13C0" w14:textId="77777777" w:rsidR="00DE1537" w:rsidRDefault="00DE1537" w:rsidP="00343F3E">
            <w:pPr>
              <w:pStyle w:val="Box"/>
            </w:pPr>
            <w:r>
              <w:t xml:space="preserve">The draft </w:t>
            </w:r>
            <w:r w:rsidRPr="000B3DA1">
              <w:rPr>
                <w:i/>
              </w:rPr>
              <w:t>Planning and Development Bill 2014</w:t>
            </w:r>
            <w:r w:rsidRPr="0096725F">
              <w:t xml:space="preserve"> </w:t>
            </w:r>
            <w:r>
              <w:t xml:space="preserve">(Qld) </w:t>
            </w:r>
            <w:r w:rsidRPr="0096725F">
              <w:t>(</w:t>
            </w:r>
            <w:r>
              <w:t xml:space="preserve">intended to </w:t>
            </w:r>
            <w:r w:rsidRPr="0096725F">
              <w:t xml:space="preserve">replace the Sustainable Planning Act) </w:t>
            </w:r>
            <w:r>
              <w:t>includes suggested alternative provision (section 25(4)(e)) that would provide for compensation not to be payable if a planning scheme change is made:</w:t>
            </w:r>
          </w:p>
          <w:p w14:paraId="58358923" w14:textId="77777777" w:rsidR="00DE1537" w:rsidRDefault="00DE1537" w:rsidP="00343F3E">
            <w:pPr>
              <w:pStyle w:val="BoxQuote"/>
            </w:pPr>
            <w:r>
              <w:t>(i) to reduce the risk to persons or property from natural processes, including flooding, bushfires, landslides, or coastal erosion; and</w:t>
            </w:r>
          </w:p>
          <w:p w14:paraId="18DADC22" w14:textId="77777777" w:rsidR="00DE1537" w:rsidRDefault="00DE1537" w:rsidP="00343F3E">
            <w:pPr>
              <w:pStyle w:val="BoxQuote"/>
            </w:pPr>
            <w:r>
              <w:t xml:space="preserve">(ii) </w:t>
            </w:r>
            <w:proofErr w:type="gramStart"/>
            <w:r>
              <w:t>in</w:t>
            </w:r>
            <w:proofErr w:type="gramEnd"/>
            <w:r>
              <w:t xml:space="preserve"> good faith, having regard to an assessment of the risk to the persons or property carried out by a person appropriately qualified … on the best available information. </w:t>
            </w:r>
          </w:p>
          <w:p w14:paraId="1F3BC4B8" w14:textId="77777777" w:rsidR="00DE1537" w:rsidRPr="00B356B2" w:rsidRDefault="00DE1537" w:rsidP="00343F3E">
            <w:pPr>
              <w:pStyle w:val="BoxHeading1"/>
            </w:pPr>
            <w:r w:rsidRPr="00B356B2">
              <w:t>New South Wales — indemnity for actions ‘in good faith’</w:t>
            </w:r>
          </w:p>
          <w:p w14:paraId="52F67B71" w14:textId="77777777" w:rsidR="00DE1537" w:rsidRDefault="00DE1537" w:rsidP="00343F3E">
            <w:pPr>
              <w:pStyle w:val="Box"/>
            </w:pPr>
            <w:r w:rsidRPr="00792C6A">
              <w:t>Section</w:t>
            </w:r>
            <w:r>
              <w:t> </w:t>
            </w:r>
            <w:r w:rsidRPr="00792C6A">
              <w:t xml:space="preserve">733 of the </w:t>
            </w:r>
            <w:r w:rsidRPr="00DC019C">
              <w:rPr>
                <w:i/>
              </w:rPr>
              <w:t>Local Government Act 1993</w:t>
            </w:r>
            <w:r w:rsidRPr="00792C6A">
              <w:t xml:space="preserve"> (NSW) provides local governments in New South Wales with a measure of protection fro</w:t>
            </w:r>
            <w:r w:rsidRPr="00FA10DF">
              <w:t xml:space="preserve">m liability for advice given or actions taken or not taken </w:t>
            </w:r>
            <w:r w:rsidRPr="00573AC4">
              <w:t xml:space="preserve">‘in good faith’ in relation to land at risk from </w:t>
            </w:r>
            <w:r>
              <w:t xml:space="preserve">flood or bushfire or land in a coastal zone. It states that a local government ‘does not incur any liability in respect of any advice furnished </w:t>
            </w:r>
            <w:r w:rsidRPr="009312F0">
              <w:t>in good faith</w:t>
            </w:r>
            <w:r>
              <w:t xml:space="preserve">’ or ‘anything done or omitted to be done in good faith’ in relation to the likelihood </w:t>
            </w:r>
            <w:r w:rsidRPr="006C2597">
              <w:t>and</w:t>
            </w:r>
            <w:r>
              <w:t xml:space="preserve"> impact of the land being affected by flood, bushfire or a coastline hazard. The legislation also offers protection for local governments taking action consistent with state planning policy, by stating that (without limiting other circumstances that might constitute acting in good faith) a local government: </w:t>
            </w:r>
          </w:p>
          <w:p w14:paraId="54EA8B85" w14:textId="77777777" w:rsidR="00DE1537" w:rsidRDefault="00DE1537" w:rsidP="00343F3E">
            <w:pPr>
              <w:pStyle w:val="BoxQuote"/>
            </w:pPr>
            <w:r>
              <w:t xml:space="preserve">… is, </w:t>
            </w:r>
            <w:r w:rsidRPr="00E055FB">
              <w:t xml:space="preserve">unless the contrary is proved, taken to have acted in good faith for the purposes of this section if the advice was furnished, or the thing was done or omitted to be done, substantially in accordance with the principles </w:t>
            </w:r>
            <w:r w:rsidRPr="00BA0831">
              <w:t>contained in the relevant manual most recently notified</w:t>
            </w:r>
            <w:r>
              <w:t xml:space="preserve"> [by the Minister for Planning, in relation to the management of land affected by flood, coastal hazard or bushfire].</w:t>
            </w:r>
          </w:p>
          <w:p w14:paraId="44F7559E" w14:textId="77777777" w:rsidR="00DE1537" w:rsidRDefault="00DE1537" w:rsidP="00343F3E">
            <w:pPr>
              <w:pStyle w:val="BoxHeading1"/>
            </w:pPr>
            <w:r>
              <w:t>Other jurisdictions</w:t>
            </w:r>
          </w:p>
          <w:p w14:paraId="5F9C623E" w14:textId="77777777" w:rsidR="00DE1537" w:rsidRDefault="00DE1537" w:rsidP="00343F3E">
            <w:pPr>
              <w:pStyle w:val="Box"/>
            </w:pPr>
            <w:r>
              <w:t>According to legal experts in a report for the Australian Local Government Association:</w:t>
            </w:r>
          </w:p>
          <w:p w14:paraId="0D71C82E" w14:textId="77777777" w:rsidR="00DE1537" w:rsidRDefault="00DE1537" w:rsidP="00343F3E">
            <w:pPr>
              <w:pStyle w:val="BoxQuote"/>
            </w:pPr>
            <w:r w:rsidRPr="00B82544">
              <w:t>In each State and Territory (with the exception of the Northern Territory and South Australia, for which there is a general but weaker defence at common law) there is legislation which can limit the liability of Councils in civil litigation. The extent of these defences vary between States</w:t>
            </w:r>
            <w:r>
              <w:t xml:space="preserve"> …</w:t>
            </w:r>
            <w:r w:rsidRPr="00B82544">
              <w:t xml:space="preserve"> However, on this basis, a Council will not ordinarily be liable for any act or omission unless it can be shown that it was manifestly unreasonable. </w:t>
            </w:r>
          </w:p>
          <w:p w14:paraId="61195683" w14:textId="47BE4157" w:rsidR="00DE1537" w:rsidRPr="005A2F91" w:rsidRDefault="00DE1537" w:rsidP="00343F3E">
            <w:pPr>
              <w:pStyle w:val="BoxQuote"/>
            </w:pPr>
            <w:r>
              <w:t xml:space="preserve">… </w:t>
            </w:r>
            <w:r w:rsidRPr="00B82544">
              <w:t>In our view, it is highly likely that, in the coming years, more litigation will be brought against or will otherwise involve Councils as a result of the decisions taken, policies and plans adopted and functions exercised by Councils. In many instances</w:t>
            </w:r>
            <w:r>
              <w:t xml:space="preserve"> </w:t>
            </w:r>
            <w:proofErr w:type="gramStart"/>
            <w:r>
              <w:t xml:space="preserve">… </w:t>
            </w:r>
            <w:r w:rsidRPr="00B82544">
              <w:t>,</w:t>
            </w:r>
            <w:proofErr w:type="gramEnd"/>
            <w:r w:rsidRPr="00B82544">
              <w:t xml:space="preserve"> particularly where actions</w:t>
            </w:r>
            <w:r>
              <w:t xml:space="preserve"> involve merit reviews, Council</w:t>
            </w:r>
            <w:r w:rsidRPr="00B82544">
              <w:t>s will be unable to recover the costs (both legal and administrative) associated with this litigation. This poses a significant financial and resource burden on Councils</w:t>
            </w:r>
            <w:r>
              <w:t xml:space="preserve"> … </w:t>
            </w:r>
            <w:r w:rsidRPr="001E15B7">
              <w:rPr>
                <w:rFonts w:cs="Arial"/>
                <w:szCs w:val="24"/>
              </w:rPr>
              <w:t>(Baker and McKenzie 2011, pp. 4–5)</w:t>
            </w:r>
          </w:p>
        </w:tc>
      </w:tr>
      <w:tr w:rsidR="00DE1537" w14:paraId="743658F6"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8D2A5FA" w14:textId="77777777" w:rsidR="00DE1537" w:rsidRDefault="00DE1537" w:rsidP="00343F3E">
            <w:pPr>
              <w:pStyle w:val="Box"/>
              <w:spacing w:before="0" w:line="120" w:lineRule="exact"/>
            </w:pPr>
          </w:p>
        </w:tc>
      </w:tr>
      <w:tr w:rsidR="00DE1537" w:rsidRPr="000863A5" w14:paraId="648983A2" w14:textId="77777777" w:rsidTr="00343F3E">
        <w:tc>
          <w:tcPr>
            <w:tcW w:w="8771" w:type="dxa"/>
            <w:tcBorders>
              <w:top w:val="single" w:sz="6" w:space="0" w:color="78A22F"/>
              <w:left w:val="nil"/>
              <w:bottom w:val="nil"/>
              <w:right w:val="nil"/>
            </w:tcBorders>
          </w:tcPr>
          <w:p w14:paraId="63FFB9D8" w14:textId="77777777" w:rsidR="00DE1537" w:rsidRPr="00626D32" w:rsidRDefault="00DE1537" w:rsidP="00343F3E">
            <w:pPr>
              <w:pStyle w:val="BoxSpaceBelow"/>
            </w:pPr>
          </w:p>
        </w:tc>
      </w:tr>
    </w:tbl>
    <w:p w14:paraId="0A8BDAD6" w14:textId="77777777" w:rsidR="00DE1537" w:rsidRDefault="00DE1537" w:rsidP="00343F3E">
      <w:pPr>
        <w:pStyle w:val="BodyText"/>
      </w:pPr>
      <w:r>
        <w:lastRenderedPageBreak/>
        <w:t>Several other participants also supported the repeal of these provisions (</w:t>
      </w:r>
      <w:r w:rsidRPr="00F21DF7">
        <w:t>Brisbane</w:t>
      </w:r>
      <w:r>
        <w:t xml:space="preserve"> City Council (Qld), sub. </w:t>
      </w:r>
      <w:proofErr w:type="gramStart"/>
      <w:r>
        <w:t xml:space="preserve">DR169; </w:t>
      </w:r>
      <w:r w:rsidRPr="00045F86">
        <w:t>Cassowary Coast Regional Council (Qld), sub.</w:t>
      </w:r>
      <w:proofErr w:type="gramEnd"/>
      <w:r>
        <w:t> </w:t>
      </w:r>
      <w:proofErr w:type="gramStart"/>
      <w:r w:rsidRPr="00045F86">
        <w:t>DR140</w:t>
      </w:r>
      <w:r>
        <w:t xml:space="preserve">; </w:t>
      </w:r>
      <w:r w:rsidRPr="00DA7B13">
        <w:t>Central Highlands Reg</w:t>
      </w:r>
      <w:r>
        <w:t>ional Council (Qld), sub.</w:t>
      </w:r>
      <w:proofErr w:type="gramEnd"/>
      <w:r>
        <w:t> </w:t>
      </w:r>
      <w:proofErr w:type="gramStart"/>
      <w:r>
        <w:t xml:space="preserve">DR174; FNQROC, </w:t>
      </w:r>
      <w:r w:rsidRPr="00664A74">
        <w:t>sub.</w:t>
      </w:r>
      <w:proofErr w:type="gramEnd"/>
      <w:r>
        <w:t> </w:t>
      </w:r>
      <w:proofErr w:type="gramStart"/>
      <w:r w:rsidRPr="00664A74">
        <w:t>DR148</w:t>
      </w:r>
      <w:r>
        <w:t xml:space="preserve">; </w:t>
      </w:r>
      <w:r w:rsidRPr="00096B91">
        <w:t>Lockyer Valley Regional Council (Qld), sub.</w:t>
      </w:r>
      <w:proofErr w:type="gramEnd"/>
      <w:r>
        <w:t> </w:t>
      </w:r>
      <w:proofErr w:type="gramStart"/>
      <w:r w:rsidRPr="00096B91">
        <w:t>DR125</w:t>
      </w:r>
      <w:r>
        <w:t xml:space="preserve">; </w:t>
      </w:r>
      <w:r w:rsidRPr="00725DB8">
        <w:t>Mackay Regional Council (Qld), sub.</w:t>
      </w:r>
      <w:proofErr w:type="gramEnd"/>
      <w:r>
        <w:t> </w:t>
      </w:r>
      <w:proofErr w:type="gramStart"/>
      <w:r w:rsidRPr="00725DB8">
        <w:t>DR133</w:t>
      </w:r>
      <w:r>
        <w:t xml:space="preserve">; </w:t>
      </w:r>
      <w:r w:rsidRPr="006B70FE">
        <w:t>Tab</w:t>
      </w:r>
      <w:r>
        <w:t xml:space="preserve">lelands Regional Council (Qld), </w:t>
      </w:r>
      <w:r w:rsidRPr="006B70FE">
        <w:t>sub.</w:t>
      </w:r>
      <w:proofErr w:type="gramEnd"/>
      <w:r>
        <w:t> </w:t>
      </w:r>
      <w:proofErr w:type="gramStart"/>
      <w:r w:rsidRPr="006B70FE">
        <w:t>DR146</w:t>
      </w:r>
      <w:r>
        <w:t xml:space="preserve">; </w:t>
      </w:r>
      <w:r w:rsidRPr="00036EA3">
        <w:t>Toowoomba Regional Council (Qld)</w:t>
      </w:r>
      <w:r>
        <w:t>,</w:t>
      </w:r>
      <w:r w:rsidRPr="00036EA3">
        <w:t xml:space="preserve"> sub.</w:t>
      </w:r>
      <w:proofErr w:type="gramEnd"/>
      <w:r>
        <w:t> </w:t>
      </w:r>
      <w:proofErr w:type="gramStart"/>
      <w:r>
        <w:t xml:space="preserve">DR170; </w:t>
      </w:r>
      <w:r w:rsidRPr="00CC4D22">
        <w:t>Wester</w:t>
      </w:r>
      <w:r>
        <w:t xml:space="preserve">n Downs Regional Council (Qld), </w:t>
      </w:r>
      <w:r w:rsidRPr="00CC4D22">
        <w:t>sub.</w:t>
      </w:r>
      <w:proofErr w:type="gramEnd"/>
      <w:r>
        <w:t> </w:t>
      </w:r>
      <w:r w:rsidRPr="00CC4D22">
        <w:t>DR180)</w:t>
      </w:r>
      <w:r>
        <w:t>.</w:t>
      </w:r>
    </w:p>
    <w:p w14:paraId="3256F652" w14:textId="4FDBB5DE" w:rsidR="00DE1537" w:rsidRDefault="00DE1537" w:rsidP="00343F3E">
      <w:pPr>
        <w:pStyle w:val="BodyText"/>
      </w:pPr>
      <w:r>
        <w:t xml:space="preserve">This issue was also identified by the Queensland Floods Commission of Inquiry </w:t>
      </w:r>
      <w:r w:rsidRPr="00164FA1">
        <w:rPr>
          <w:szCs w:val="24"/>
        </w:rPr>
        <w:t>(QFCI 2012, p. 15)</w:t>
      </w:r>
      <w:r>
        <w:t xml:space="preserve">, which recommended </w:t>
      </w:r>
      <w:proofErr w:type="gramStart"/>
      <w:r>
        <w:t>that</w:t>
      </w:r>
      <w:proofErr w:type="gramEnd"/>
      <w:r>
        <w:t xml:space="preserve"> the Queensland Government:</w:t>
      </w:r>
    </w:p>
    <w:p w14:paraId="4D347291" w14:textId="77777777" w:rsidR="00DE1537" w:rsidRDefault="00DE1537" w:rsidP="00343F3E">
      <w:pPr>
        <w:pStyle w:val="Quote"/>
      </w:pPr>
      <w:r>
        <w:t xml:space="preserve">… </w:t>
      </w:r>
      <w:proofErr w:type="gramStart"/>
      <w:r>
        <w:t>investigate</w:t>
      </w:r>
      <w:proofErr w:type="gramEnd"/>
      <w:r>
        <w:t xml:space="preserve"> whether the compensation provisions of the </w:t>
      </w:r>
      <w:r w:rsidRPr="00503596">
        <w:rPr>
          <w:i/>
        </w:rPr>
        <w:t>Sustainable Planning Act 2009</w:t>
      </w:r>
      <w:r>
        <w:t xml:space="preserve"> act as a deterrent to the inclusion of flood controls in a planning scheme and consider whether they ought [to] be amended. </w:t>
      </w:r>
    </w:p>
    <w:p w14:paraId="701C0927" w14:textId="77777777" w:rsidR="00DE1537" w:rsidRDefault="00DE1537" w:rsidP="00343F3E">
      <w:pPr>
        <w:pStyle w:val="BodyText"/>
      </w:pPr>
      <w:r>
        <w:t>An exception is the Property Council of Australia (sub. DR198, p. 2), which expressed concern that ‘</w:t>
      </w:r>
      <w:r w:rsidRPr="002B434B">
        <w:t>by reducing the liability of local governments that accountability for the impacts of planning decisions, development assessments and the quality and accuracy of the information they release will deteriorate</w:t>
      </w:r>
      <w:r>
        <w:t>’.</w:t>
      </w:r>
    </w:p>
    <w:p w14:paraId="7E980D42" w14:textId="03942D4C" w:rsidR="00DE1537" w:rsidRDefault="00DE1537" w:rsidP="00343F3E">
      <w:pPr>
        <w:pStyle w:val="BodyText"/>
      </w:pPr>
      <w:r w:rsidRPr="00D00294">
        <w:t>The Queensland</w:t>
      </w:r>
      <w:r>
        <w:t xml:space="preserve"> Government (sub. 95, p. 23) agreed that ‘[i]</w:t>
      </w:r>
      <w:r w:rsidRPr="00D00294">
        <w:t>ndemnity and compensation of governments altering property rights to protect life and property continues to be an issue identified as a barrier to st</w:t>
      </w:r>
      <w:r>
        <w:t xml:space="preserve">ronger risk management measures’. In February 2013, the Queensland Government announced that it would begin consulting with local governments and industry on the possibility of a legislative change to the injurious affection provisions </w:t>
      </w:r>
      <w:r w:rsidRPr="00362A7A">
        <w:rPr>
          <w:szCs w:val="24"/>
        </w:rPr>
        <w:t>(Walker 2013)</w:t>
      </w:r>
      <w:r>
        <w:t>. As noted in its post</w:t>
      </w:r>
      <w:r>
        <w:noBreakHyphen/>
        <w:t>draft submission:</w:t>
      </w:r>
    </w:p>
    <w:p w14:paraId="2A4192FE" w14:textId="77777777" w:rsidR="00DE1537" w:rsidRDefault="00DE1537" w:rsidP="00343F3E">
      <w:pPr>
        <w:pStyle w:val="Quote"/>
      </w:pPr>
      <w:r>
        <w:t>…</w:t>
      </w:r>
      <w:r w:rsidRPr="008D190E">
        <w:t xml:space="preserve"> </w:t>
      </w:r>
      <w:proofErr w:type="gramStart"/>
      <w:r w:rsidRPr="008D190E">
        <w:t>the</w:t>
      </w:r>
      <w:proofErr w:type="gramEnd"/>
      <w:r w:rsidRPr="008D190E">
        <w:t xml:space="preserve"> compensation provisions of </w:t>
      </w:r>
      <w:r>
        <w:t>[the Sustainable Planning Act]</w:t>
      </w:r>
      <w:r w:rsidRPr="008D190E">
        <w:t xml:space="preserve"> are currently under consideration through consultation on the draft Planning and Development Bill 2014 and in response to recommendation 4.1 of the Queensland Floods Commission of Inquiry. </w:t>
      </w:r>
      <w:proofErr w:type="gramStart"/>
      <w:r w:rsidRPr="008D190E">
        <w:t>(Queensland Government, sub.</w:t>
      </w:r>
      <w:proofErr w:type="gramEnd"/>
      <w:r>
        <w:t> </w:t>
      </w:r>
      <w:r w:rsidRPr="008D190E">
        <w:t>DR184, p.</w:t>
      </w:r>
      <w:r>
        <w:t> </w:t>
      </w:r>
      <w:r w:rsidRPr="008D190E">
        <w:t>38)</w:t>
      </w:r>
    </w:p>
    <w:p w14:paraId="30B0D10C" w14:textId="0E64AFC8" w:rsidR="00DE1537" w:rsidRPr="00907F3E" w:rsidRDefault="00DE1537" w:rsidP="00343F3E">
      <w:pPr>
        <w:pStyle w:val="BodyText"/>
      </w:pPr>
      <w:r>
        <w:t xml:space="preserve">Section 25 of the draft </w:t>
      </w:r>
      <w:r w:rsidRPr="003A6D57">
        <w:rPr>
          <w:i/>
        </w:rPr>
        <w:t>Planning and Development Bill 2014</w:t>
      </w:r>
      <w:r>
        <w:t xml:space="preserve"> (Qld) (which, if passed, would replace the Sustainable Planning Act) raises the possibility of exempting planning scheme changes from eligibility for compensation, where such changes aim ‘to reduce </w:t>
      </w:r>
      <w:r w:rsidRPr="00907F3E">
        <w:t>the risk to persons or property from natural processes</w:t>
      </w:r>
      <w:r>
        <w:t>’ and are made ‘in good faith’, based on appropriate risk assessment (box 6.4).</w:t>
      </w:r>
    </w:p>
    <w:p w14:paraId="0A508ABC" w14:textId="5F6D551D" w:rsidR="00DE1537" w:rsidRDefault="00DE1537" w:rsidP="00343F3E">
      <w:pPr>
        <w:pStyle w:val="BodyText"/>
      </w:pPr>
      <w:r>
        <w:t xml:space="preserve">This review process is ongoing; the Queensland Government </w:t>
      </w:r>
      <w:r w:rsidRPr="0054369D">
        <w:t xml:space="preserve">introduced the planning bills to Parliament in November 2014 and </w:t>
      </w:r>
      <w:r>
        <w:t>indicated that its ‘</w:t>
      </w:r>
      <w:r w:rsidRPr="00A733D8">
        <w:t>intent is to pass the new legislation in late 2014, for enacting in the second quarter of 2015</w:t>
      </w:r>
      <w:r>
        <w:t xml:space="preserve">’ </w:t>
      </w:r>
      <w:r w:rsidRPr="00B94C85">
        <w:rPr>
          <w:szCs w:val="24"/>
        </w:rPr>
        <w:t>(Queensland Department of State Development, Infrastructure and Planning 2014a)</w:t>
      </w:r>
      <w:r>
        <w:t>.</w:t>
      </w:r>
    </w:p>
    <w:p w14:paraId="4EE70BD0" w14:textId="77777777" w:rsidR="00DE1537" w:rsidRDefault="00DE1537" w:rsidP="00343F3E">
      <w:pPr>
        <w:pStyle w:val="BodyText"/>
      </w:pPr>
      <w:proofErr w:type="gramStart"/>
      <w:r>
        <w:t>Several local governments in Queensland (</w:t>
      </w:r>
      <w:r w:rsidRPr="00F21DF7">
        <w:t>Brisbane</w:t>
      </w:r>
      <w:r>
        <w:t xml:space="preserve"> City Council, sub.</w:t>
      </w:r>
      <w:proofErr w:type="gramEnd"/>
      <w:r>
        <w:t> </w:t>
      </w:r>
      <w:proofErr w:type="gramStart"/>
      <w:r>
        <w:t xml:space="preserve">DR169; </w:t>
      </w:r>
      <w:r w:rsidRPr="0043065F">
        <w:t>Bundaberg Reg</w:t>
      </w:r>
      <w:r>
        <w:t>ional Council, sub.</w:t>
      </w:r>
      <w:proofErr w:type="gramEnd"/>
      <w:r>
        <w:t> </w:t>
      </w:r>
      <w:proofErr w:type="gramStart"/>
      <w:r>
        <w:t xml:space="preserve">DR168; </w:t>
      </w:r>
      <w:r w:rsidRPr="00DA7B13">
        <w:t>Central Highlands Reg</w:t>
      </w:r>
      <w:r>
        <w:t>ional Council, sub.</w:t>
      </w:r>
      <w:proofErr w:type="gramEnd"/>
      <w:r>
        <w:t> </w:t>
      </w:r>
      <w:proofErr w:type="gramStart"/>
      <w:r>
        <w:t xml:space="preserve">DR174; </w:t>
      </w:r>
      <w:r w:rsidRPr="00DC5379">
        <w:t>Lockyer Valley Regional Council, sub.</w:t>
      </w:r>
      <w:proofErr w:type="gramEnd"/>
      <w:r>
        <w:t> </w:t>
      </w:r>
      <w:proofErr w:type="gramStart"/>
      <w:r w:rsidRPr="00DC5379">
        <w:t>DR125</w:t>
      </w:r>
      <w:r>
        <w:t xml:space="preserve">; </w:t>
      </w:r>
      <w:r w:rsidRPr="00A50953">
        <w:t>Mackay Regional Council, sub.</w:t>
      </w:r>
      <w:proofErr w:type="gramEnd"/>
      <w:r>
        <w:t> </w:t>
      </w:r>
      <w:proofErr w:type="gramStart"/>
      <w:r w:rsidRPr="00A50953">
        <w:t>DR133</w:t>
      </w:r>
      <w:r>
        <w:t xml:space="preserve">; </w:t>
      </w:r>
      <w:r w:rsidRPr="00036EA3">
        <w:t>Toowoomba Regional Council</w:t>
      </w:r>
      <w:r>
        <w:t>,</w:t>
      </w:r>
      <w:r w:rsidRPr="00036EA3">
        <w:t xml:space="preserve"> sub.</w:t>
      </w:r>
      <w:proofErr w:type="gramEnd"/>
      <w:r>
        <w:t xml:space="preserve"> DR170) submitted, however, that beyond removal of the injurious affection provisions, there should be a broader statutory exemption from </w:t>
      </w:r>
      <w:r>
        <w:lastRenderedPageBreak/>
        <w:t>liability for ‘reasonably</w:t>
      </w:r>
      <w:r>
        <w:noBreakHyphen/>
        <w:t xml:space="preserve">based </w:t>
      </w:r>
      <w:proofErr w:type="gramStart"/>
      <w:r>
        <w:t>decision making</w:t>
      </w:r>
      <w:proofErr w:type="gramEnd"/>
      <w:r>
        <w:t xml:space="preserve"> and actions’ taken to manage natural disaster risk in land use planning (</w:t>
      </w:r>
      <w:r w:rsidRPr="00DC5379">
        <w:t>L</w:t>
      </w:r>
      <w:r>
        <w:t>ockyer Valley Regional Council</w:t>
      </w:r>
      <w:r w:rsidRPr="00DC5379">
        <w:t>, sub.</w:t>
      </w:r>
      <w:r>
        <w:t> </w:t>
      </w:r>
      <w:proofErr w:type="gramStart"/>
      <w:r w:rsidRPr="00DC5379">
        <w:t>DR125, p.</w:t>
      </w:r>
      <w:r>
        <w:t> </w:t>
      </w:r>
      <w:r w:rsidRPr="00DC5379">
        <w:t>6)</w:t>
      </w:r>
      <w:r>
        <w:t>.</w:t>
      </w:r>
      <w:proofErr w:type="gramEnd"/>
      <w:r>
        <w:t xml:space="preserve"> </w:t>
      </w:r>
    </w:p>
    <w:p w14:paraId="10BD0946" w14:textId="77777777" w:rsidR="00DE1537" w:rsidRDefault="00DE1537" w:rsidP="00343F3E">
      <w:pPr>
        <w:pStyle w:val="BodyText"/>
      </w:pPr>
      <w:r>
        <w:t>Inquiry participants in other jurisdictions have also called for such legislative protection (IPWEA, sub. </w:t>
      </w:r>
      <w:proofErr w:type="gramStart"/>
      <w:r>
        <w:t>DR181; MAV, sub.</w:t>
      </w:r>
      <w:proofErr w:type="gramEnd"/>
      <w:r>
        <w:t xml:space="preserve"> DR162). </w:t>
      </w:r>
      <w:proofErr w:type="gramStart"/>
      <w:r>
        <w:t>For example, the Municipal Association of Victoria (</w:t>
      </w:r>
      <w:r w:rsidRPr="00A15D9A">
        <w:t>sub.</w:t>
      </w:r>
      <w:proofErr w:type="gramEnd"/>
      <w:r>
        <w:t> </w:t>
      </w:r>
      <w:r w:rsidRPr="00A15D9A">
        <w:t>DR162, p.</w:t>
      </w:r>
      <w:r>
        <w:t> </w:t>
      </w:r>
      <w:r w:rsidRPr="00A15D9A">
        <w:t>15)</w:t>
      </w:r>
      <w:r>
        <w:t xml:space="preserve"> submitted that it:</w:t>
      </w:r>
    </w:p>
    <w:p w14:paraId="3F198CAF" w14:textId="77777777" w:rsidR="00DE1537" w:rsidRDefault="00DE1537" w:rsidP="00343F3E">
      <w:pPr>
        <w:pStyle w:val="Quote"/>
      </w:pPr>
      <w:r>
        <w:t>…</w:t>
      </w:r>
      <w:r w:rsidRPr="00A15D9A">
        <w:t xml:space="preserve"> </w:t>
      </w:r>
      <w:proofErr w:type="gramStart"/>
      <w:r w:rsidRPr="00A15D9A">
        <w:t>supports</w:t>
      </w:r>
      <w:proofErr w:type="gramEnd"/>
      <w:r w:rsidRPr="00A15D9A">
        <w:t xml:space="preserve"> additional guidance being provided to local government regarding legal liability. However, the Commission should expand this recommendation to include the protection of councils from common law liability where planning decisions are consistent with State planning rules (in Victoria the Victoria Planning Provisions) and associated guidance material. </w:t>
      </w:r>
    </w:p>
    <w:p w14:paraId="5236EFA3" w14:textId="12AAD074" w:rsidR="00DE1537" w:rsidRDefault="00DE1537" w:rsidP="00343F3E">
      <w:pPr>
        <w:pStyle w:val="BodyText"/>
      </w:pPr>
      <w:r>
        <w:t xml:space="preserve">Some suggested that legislative protection could be modelled on that available to local governments in New South Wales under section 733 of the </w:t>
      </w:r>
      <w:r w:rsidRPr="003B6202">
        <w:rPr>
          <w:i/>
        </w:rPr>
        <w:t>Local Government Act 1993</w:t>
      </w:r>
      <w:r>
        <w:t xml:space="preserve"> (NSW), which gives some indemnity or protection for local governments having made planning decisions ‘in good faith’ (box 6.4). Lake Macquarie City Council (NSW) (sub. 74, p. 2) argued that the section 733 provision facilitates NSW local governments’ ability to ‘undertake floodplain risk management planning activities in accordance with the NSW Floodplain Development Manual’. The Local Government Association of Queensland (sub. 34) stated that it has requested a similar indemnity provision in Queensland. </w:t>
      </w:r>
    </w:p>
    <w:p w14:paraId="209426CB" w14:textId="77777777" w:rsidR="00DE1537" w:rsidRDefault="00DE1537" w:rsidP="00343F3E">
      <w:pPr>
        <w:pStyle w:val="BodyText"/>
      </w:pPr>
      <w:r>
        <w:t>Beatty Legal (sub. 23, p. 2) argued that:</w:t>
      </w:r>
    </w:p>
    <w:p w14:paraId="6EA106C5" w14:textId="77777777" w:rsidR="00DE1537" w:rsidRDefault="00DE1537" w:rsidP="00343F3E">
      <w:pPr>
        <w:pStyle w:val="Quote"/>
      </w:pPr>
      <w:r>
        <w:t>This provision gives Councils in NSW a real degree of protection from judgments against them in negligence if they act in good faith and rely on up to date information. It thus encourages Councils to make decisions on disaster risk mitigation issues in the first place as well as discouraging frivolous actions against them … The decision making environment of Councils in other Australian jurisdictions would be improved if similar provisions were enacted there.</w:t>
      </w:r>
    </w:p>
    <w:p w14:paraId="328DA948" w14:textId="769B8E0D" w:rsidR="00DE1537" w:rsidDel="007A10E3" w:rsidRDefault="00DE1537" w:rsidP="00343F3E">
      <w:pPr>
        <w:pStyle w:val="BodyText"/>
      </w:pPr>
      <w:r w:rsidDel="007A10E3">
        <w:t xml:space="preserve">Similarly, in a report prepared for the Australian Local Government Association, legal firm Baker &amp; McKenzie </w:t>
      </w:r>
      <w:r w:rsidRPr="00AD1F59">
        <w:rPr>
          <w:szCs w:val="24"/>
        </w:rPr>
        <w:t>(2011, p. 12)</w:t>
      </w:r>
      <w:r>
        <w:t xml:space="preserve"> </w:t>
      </w:r>
      <w:r w:rsidDel="007A10E3">
        <w:t>suggested that there might be merit in this idea.</w:t>
      </w:r>
    </w:p>
    <w:p w14:paraId="7FA3F06A" w14:textId="77777777" w:rsidR="00DE1537" w:rsidRPr="001E1E45" w:rsidDel="007A10E3" w:rsidRDefault="00DE1537" w:rsidP="00343F3E">
      <w:pPr>
        <w:pStyle w:val="Quote"/>
      </w:pPr>
      <w:r w:rsidRPr="001E1E45" w:rsidDel="007A10E3">
        <w:t>Defences similar to the defence under s</w:t>
      </w:r>
      <w:r w:rsidRPr="002F65C4" w:rsidDel="007A10E3">
        <w:t xml:space="preserve"> 733 of the </w:t>
      </w:r>
      <w:r w:rsidRPr="001B4ED6" w:rsidDel="007A10E3">
        <w:rPr>
          <w:i/>
        </w:rPr>
        <w:t xml:space="preserve">Local Government Act 1993 </w:t>
      </w:r>
      <w:r w:rsidRPr="002F65C4" w:rsidDel="007A10E3">
        <w:t>(NSW) are an important protection for Councils. They allow for Councils to respond to the threat of climate change according to their capabilities without the fear of incurring liability in negligence or nuisance</w:t>
      </w:r>
      <w:r w:rsidRPr="0087714D" w:rsidDel="007A10E3">
        <w:t xml:space="preserve">. </w:t>
      </w:r>
    </w:p>
    <w:p w14:paraId="4F4B1ABA" w14:textId="77777777" w:rsidR="00DE1537" w:rsidRDefault="00DE1537" w:rsidP="00343F3E">
      <w:pPr>
        <w:pStyle w:val="Heading5"/>
      </w:pPr>
      <w:r>
        <w:t>The Commission’s view</w:t>
      </w:r>
    </w:p>
    <w:p w14:paraId="0F4D33F4" w14:textId="682687E6" w:rsidR="00DE1537" w:rsidRDefault="00DE1537" w:rsidP="00343F3E">
      <w:pPr>
        <w:pStyle w:val="BodyText"/>
      </w:pPr>
      <w:r>
        <w:t xml:space="preserve">There may be costs and benefits of altering legislative arrangements around legal liability and possible compensation as a result of land use planning decisions, either in terms of removing the ‘injurious affections’ provisions from the Queensland legislation or incorporating legal indemnity provisions. Reducing the liability of local governments has the potential to reduce their accountability for the impacts of planning decisions and development assessments. The Commission has also identified a role for compensatory measures </w:t>
      </w:r>
      <w:r w:rsidRPr="00B76447">
        <w:t>in some circumstances</w:t>
      </w:r>
      <w:r>
        <w:t xml:space="preserve"> when policy changes impose costs on some </w:t>
      </w:r>
      <w:r w:rsidRPr="007C62F5">
        <w:t xml:space="preserve">households </w:t>
      </w:r>
      <w:r>
        <w:t xml:space="preserve">or groups, even if the changes have net social benefits </w:t>
      </w:r>
      <w:r w:rsidRPr="00362A7A">
        <w:rPr>
          <w:szCs w:val="24"/>
        </w:rPr>
        <w:t>(PC 2001)</w:t>
      </w:r>
      <w:r>
        <w:t xml:space="preserve">. It could also be argued that </w:t>
      </w:r>
      <w:r>
        <w:lastRenderedPageBreak/>
        <w:t>council actions to approve development applications but with conditions that reflect the presence of natural hazards, as in the Gold Coast City Council example above, might be an example of effective natural disaster risk management, depending on community preferences. As noted earlier, it is not necessarily the case that there should be no development permitted in high</w:t>
      </w:r>
      <w:r>
        <w:noBreakHyphen/>
        <w:t>risk areas.</w:t>
      </w:r>
    </w:p>
    <w:p w14:paraId="1FCEDE13" w14:textId="77777777" w:rsidR="00DE1537" w:rsidRDefault="00DE1537" w:rsidP="00343F3E">
      <w:pPr>
        <w:pStyle w:val="BodyText"/>
      </w:pPr>
      <w:r>
        <w:t xml:space="preserve">Alternatively, reducing legal liability risk could improve the ability of local governments to make decisions that reflect natural disaster risk assessment and overall community risk appetite, rather than being unduly influenced by the possibility of having to pay compensation to some </w:t>
      </w:r>
      <w:r w:rsidRPr="007C62F5">
        <w:t xml:space="preserve">households </w:t>
      </w:r>
      <w:r>
        <w:t>and groups. Further, developers and property owners must take some responsibility for assessing the likely consequences of owning land in high</w:t>
      </w:r>
      <w:r>
        <w:noBreakHyphen/>
        <w:t>risk locations. As noted by the Early Warning Network (sub. 42, p. 4):</w:t>
      </w:r>
    </w:p>
    <w:p w14:paraId="5E2A4ED9" w14:textId="77777777" w:rsidR="00DE1537" w:rsidRDefault="00DE1537" w:rsidP="00343F3E">
      <w:pPr>
        <w:pStyle w:val="Quote"/>
      </w:pPr>
      <w:r>
        <w:t>…</w:t>
      </w:r>
      <w:r w:rsidRPr="00E42DED">
        <w:t xml:space="preserve"> </w:t>
      </w:r>
      <w:proofErr w:type="gramStart"/>
      <w:r w:rsidRPr="00E42DED">
        <w:t>in</w:t>
      </w:r>
      <w:proofErr w:type="gramEnd"/>
      <w:r w:rsidRPr="00E42DED">
        <w:t xml:space="preserve"> zones which have historically shown themselves to be high risk areas, there should be no question of compensation for developers who have been holding land for future development. Too often an industry ignores information and then seeks compensation when the consequences of this information become apparent </w:t>
      </w:r>
      <w:r>
        <w:t>—</w:t>
      </w:r>
      <w:r w:rsidRPr="00E42DED">
        <w:t xml:space="preserve"> in this case, the exclusion of some areas from development due to an unacceptable risk level</w:t>
      </w:r>
      <w:r>
        <w:t xml:space="preserve"> in terms of flooding and fire.</w:t>
      </w:r>
    </w:p>
    <w:p w14:paraId="181FD3C5" w14:textId="77777777" w:rsidR="00DE1537" w:rsidRDefault="00DE1537" w:rsidP="00343F3E">
      <w:pPr>
        <w:pStyle w:val="BodyText"/>
      </w:pPr>
      <w:r>
        <w:t xml:space="preserve">The Commission takes the view that some form of increased legislative protection could improve local governments’ ability to share and act upon natural hazard information in land use planning and development assessments. In the absence of identifying any legal impediments or other unintended adverse consequences, state governments (except in New South Wales, where the section 733 provisions appear to be serving this purpose) should introduce such legislative protection. In addition, the injurious affection provisions should be removed from Queensland’s </w:t>
      </w:r>
      <w:r w:rsidRPr="00101953">
        <w:t>Sustainable Planning Act</w:t>
      </w:r>
      <w:r>
        <w:t xml:space="preserve">. They enshrine a right to compensation for changes to a local planning scheme, rather than viewing such compensation as justified only under certain conditions, and as such are a barrier to local governments making effective planning decisions. </w:t>
      </w:r>
    </w:p>
    <w:p w14:paraId="180BE67D" w14:textId="77777777" w:rsidR="00DE1537" w:rsidRDefault="00DE1537" w:rsidP="00343F3E">
      <w:pPr>
        <w:pStyle w:val="Heading3"/>
      </w:pPr>
      <w:r w:rsidRPr="006E2651">
        <w:t>Strategies for improving risk management in land use planning</w:t>
      </w:r>
    </w:p>
    <w:p w14:paraId="1B960C8C" w14:textId="77777777" w:rsidR="00DE1537" w:rsidRDefault="00DE1537" w:rsidP="00343F3E">
      <w:pPr>
        <w:pStyle w:val="Heading4"/>
        <w:spacing w:before="240"/>
      </w:pPr>
      <w:r w:rsidRPr="006E2651">
        <w:t>Strengthening local government capabilities</w:t>
      </w:r>
    </w:p>
    <w:p w14:paraId="666C271B" w14:textId="77777777" w:rsidR="00DE1537" w:rsidRDefault="00DE1537" w:rsidP="00343F3E">
      <w:pPr>
        <w:pStyle w:val="BodyText"/>
      </w:pPr>
      <w:r>
        <w:t>As outlined earlier, local governments are responsible for the interpretation and implementation of state planning policy. Whereas state governments set the risk appetite across the jurisdiction and across natural hazard types, local governments can incorporate natural disaster risk management into local land use planning and development decision making by:</w:t>
      </w:r>
    </w:p>
    <w:p w14:paraId="5E252540" w14:textId="77777777" w:rsidR="00DE1537" w:rsidRDefault="00DE1537" w:rsidP="00343F3E">
      <w:pPr>
        <w:pStyle w:val="ListBullet"/>
      </w:pPr>
      <w:r>
        <w:t>obtaining hazard information specific to their area on relevant natural hazards to identify areas of high risk, through their own mapping and/or by using statewide hazard maps (such as bushfire maps)</w:t>
      </w:r>
    </w:p>
    <w:p w14:paraId="5212FE69" w14:textId="3851C917" w:rsidR="00DE1537" w:rsidRDefault="00DE1537" w:rsidP="00343F3E">
      <w:pPr>
        <w:pStyle w:val="ListBullet"/>
      </w:pPr>
      <w:r>
        <w:lastRenderedPageBreak/>
        <w:t>using appropriate planning and development controls (box 6.2) in local planning schemes based on this hazard information, within the parameters set out by state planning legislation, policies and guidelines</w:t>
      </w:r>
    </w:p>
    <w:p w14:paraId="3DB6ED25" w14:textId="77777777" w:rsidR="00DE1537" w:rsidRDefault="00DE1537" w:rsidP="00343F3E">
      <w:pPr>
        <w:pStyle w:val="ListBullet"/>
      </w:pPr>
      <w:r>
        <w:t>assessing applications for development and making decisions to approve, reject or approve with conditions, in accordance with local planning schemes and state planning frameworks</w:t>
      </w:r>
    </w:p>
    <w:p w14:paraId="2DB4669B" w14:textId="77777777" w:rsidR="00DE1537" w:rsidRDefault="00DE1537" w:rsidP="00343F3E">
      <w:pPr>
        <w:pStyle w:val="ListBullet"/>
      </w:pPr>
      <w:r>
        <w:t>consulting with relevant expert agencies (such as emergency services authorities) where required or appropriate — for example, NSW local governments preparing planning schemes in areas of high bushfire risk are required to consult with the state’s Rural Fire Service (NSW Government, sub. 114)</w:t>
      </w:r>
    </w:p>
    <w:p w14:paraId="7CD10AB1" w14:textId="77777777" w:rsidR="00DE1537" w:rsidRDefault="00DE1537" w:rsidP="00343F3E">
      <w:pPr>
        <w:pStyle w:val="ListBullet"/>
      </w:pPr>
      <w:proofErr w:type="gramStart"/>
      <w:r>
        <w:t>communicating</w:t>
      </w:r>
      <w:proofErr w:type="gramEnd"/>
      <w:r>
        <w:t xml:space="preserve"> hazard information and its impact upon planning and development decisions to local communities.</w:t>
      </w:r>
    </w:p>
    <w:p w14:paraId="7A9425F4" w14:textId="77777777" w:rsidR="00DE1537" w:rsidRDefault="00DE1537" w:rsidP="00343F3E">
      <w:pPr>
        <w:pStyle w:val="BodyText"/>
      </w:pPr>
      <w:r>
        <w:t>State governments have a responsibility to ensure that local governments understand how to implement the respective state planning policies, and have the requisite resources and capabilities needed to implement them effectively.</w:t>
      </w:r>
      <w:r w:rsidRPr="0000328B">
        <w:t xml:space="preserve"> </w:t>
      </w:r>
      <w:r>
        <w:t>Direction and support at the state level can also improve the credibility of local governments in terms of making decisions based on hazard information. At the same time, following from the principle of subsidiarity, local governments need the flexibility to make decisions that reflect local circumstances.</w:t>
      </w:r>
    </w:p>
    <w:p w14:paraId="2080F302" w14:textId="6A11CDC8" w:rsidR="00DE1537" w:rsidRDefault="00DE1537" w:rsidP="00343F3E">
      <w:pPr>
        <w:pStyle w:val="BodyText"/>
      </w:pPr>
      <w:r>
        <w:t xml:space="preserve">Several inquiry participants argued that local governments need increased support from state governments to clarify their land use planning responsibilities and priorities and to secure the resources necessary to fulfil these responsibilities (ALGA, sub. 52; CSIRO, sub. 72; FMA, sub. 79; </w:t>
      </w:r>
      <w:r w:rsidRPr="00807425">
        <w:t>FNQROC</w:t>
      </w:r>
      <w:r>
        <w:t xml:space="preserve">, sub. 36; </w:t>
      </w:r>
      <w:r w:rsidRPr="00807425">
        <w:t>LGASA</w:t>
      </w:r>
      <w:r>
        <w:t>, sub. 13; MAV, sub. 98). Participants identified several areas in which local governments would benefit from increased state support (box 6.5), in the form of:</w:t>
      </w:r>
    </w:p>
    <w:p w14:paraId="0DF766D3" w14:textId="77777777" w:rsidR="00DE1537" w:rsidRDefault="00DE1537" w:rsidP="00343F3E">
      <w:pPr>
        <w:pStyle w:val="ListBullet"/>
        <w:spacing w:line="320" w:lineRule="atLeast"/>
      </w:pPr>
      <w:r>
        <w:t>stronger leadership to support local government decisions to control or restrict development in high</w:t>
      </w:r>
      <w:r>
        <w:noBreakHyphen/>
        <w:t>risk areas</w:t>
      </w:r>
    </w:p>
    <w:p w14:paraId="673070FC" w14:textId="641F1BAB" w:rsidR="00DE1537" w:rsidRDefault="00DE1537" w:rsidP="00343F3E">
      <w:pPr>
        <w:pStyle w:val="ListBullet"/>
        <w:spacing w:line="320" w:lineRule="atLeast"/>
      </w:pPr>
      <w:r>
        <w:t>sharing risk information, such as statewide hazard mapping, and guidance on assessing the quality of such information and using it to inform planning decisions (including by setting out standards and/or benchmarks for the use of such information in local planning decisions, as suggested by Lake Macquarie City Council (NSW), box 6.5)</w:t>
      </w:r>
    </w:p>
    <w:p w14:paraId="486B6690" w14:textId="77777777" w:rsidR="00DE1537" w:rsidRDefault="00DE1537" w:rsidP="00343F3E">
      <w:pPr>
        <w:pStyle w:val="ListBullet"/>
        <w:spacing w:line="320" w:lineRule="atLeast"/>
      </w:pPr>
      <w:proofErr w:type="gramStart"/>
      <w:r>
        <w:t>training</w:t>
      </w:r>
      <w:proofErr w:type="gramEnd"/>
      <w:r>
        <w:t xml:space="preserve"> and assistance in interpreting and implementing state planning policy.</w:t>
      </w:r>
    </w:p>
    <w:p w14:paraId="5B4A752F" w14:textId="77777777" w:rsidR="00DE1537" w:rsidRDefault="00DE1537" w:rsidP="00343F3E">
      <w:pPr>
        <w:pStyle w:val="BodyText"/>
      </w:pPr>
      <w:r>
        <w:t>Some jurisdictions indicated that they have already implemented some or all of these measures (Government of South Australia, sub. </w:t>
      </w:r>
      <w:proofErr w:type="gramStart"/>
      <w:r>
        <w:t>DR209; Queensland Government, sub.</w:t>
      </w:r>
      <w:proofErr w:type="gramEnd"/>
      <w:r>
        <w:t> </w:t>
      </w:r>
      <w:proofErr w:type="gramStart"/>
      <w:r>
        <w:t xml:space="preserve">DR184; Tasmanian Government, </w:t>
      </w:r>
      <w:r w:rsidRPr="00BE0176">
        <w:t>sub.</w:t>
      </w:r>
      <w:proofErr w:type="gramEnd"/>
      <w:r w:rsidRPr="00BE0176">
        <w:t> </w:t>
      </w:r>
      <w:proofErr w:type="gramStart"/>
      <w:r>
        <w:t>DR223; Victorian Government, sub.</w:t>
      </w:r>
      <w:proofErr w:type="gramEnd"/>
      <w:r>
        <w:t xml:space="preserve"> DR215). </w:t>
      </w:r>
      <w:proofErr w:type="gramStart"/>
      <w:r>
        <w:t>For example, the Government of South Australia (sub.</w:t>
      </w:r>
      <w:proofErr w:type="gramEnd"/>
      <w:r>
        <w:t> DR209, pp. 26–27) indicated that:</w:t>
      </w:r>
    </w:p>
    <w:p w14:paraId="527E61DE" w14:textId="77777777" w:rsidR="00DE1537" w:rsidRDefault="00DE1537" w:rsidP="00343F3E">
      <w:pPr>
        <w:pStyle w:val="Quote"/>
      </w:pPr>
      <w:r w:rsidRPr="00E9454F">
        <w:t>There are planning library documents which define standard conditions for all regional plans, and flow through to the state</w:t>
      </w:r>
      <w:r>
        <w:t>’</w:t>
      </w:r>
      <w:r w:rsidRPr="00E9454F">
        <w:t>s 72 development plans. The planning library is reviewed and amended overtime</w:t>
      </w:r>
      <w:r>
        <w:t>.</w:t>
      </w:r>
    </w:p>
    <w:p w14:paraId="450BFD8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0D93AD0" w14:textId="77777777" w:rsidTr="00343F3E">
        <w:tc>
          <w:tcPr>
            <w:tcW w:w="8771" w:type="dxa"/>
            <w:tcBorders>
              <w:top w:val="single" w:sz="6" w:space="0" w:color="78A22F"/>
              <w:left w:val="nil"/>
              <w:bottom w:val="nil"/>
              <w:right w:val="nil"/>
            </w:tcBorders>
            <w:shd w:val="clear" w:color="auto" w:fill="F2F2F2" w:themeFill="background1" w:themeFillShade="F2"/>
          </w:tcPr>
          <w:p w14:paraId="78091E38" w14:textId="4786A048" w:rsidR="00DE1537" w:rsidRDefault="00DE1537" w:rsidP="00343F3E">
            <w:pPr>
              <w:pStyle w:val="BoxTitle"/>
            </w:pPr>
            <w:r>
              <w:rPr>
                <w:b w:val="0"/>
              </w:rPr>
              <w:t>Box 6.</w:t>
            </w:r>
            <w:r>
              <w:rPr>
                <w:b w:val="0"/>
                <w:noProof/>
              </w:rPr>
              <w:t>5</w:t>
            </w:r>
            <w:r>
              <w:tab/>
            </w:r>
            <w:r w:rsidRPr="00BE26F4">
              <w:t>What local governments need from state governments: participants’ views</w:t>
            </w:r>
          </w:p>
        </w:tc>
      </w:tr>
      <w:tr w:rsidR="00DE1537" w14:paraId="6390E4DE" w14:textId="77777777" w:rsidTr="00343F3E">
        <w:trPr>
          <w:cantSplit/>
        </w:trPr>
        <w:tc>
          <w:tcPr>
            <w:tcW w:w="8771" w:type="dxa"/>
            <w:tcBorders>
              <w:top w:val="nil"/>
              <w:left w:val="nil"/>
              <w:bottom w:val="nil"/>
              <w:right w:val="nil"/>
            </w:tcBorders>
            <w:shd w:val="clear" w:color="auto" w:fill="F2F2F2" w:themeFill="background1" w:themeFillShade="F2"/>
          </w:tcPr>
          <w:p w14:paraId="78B209C3" w14:textId="77777777" w:rsidR="00DE1537" w:rsidRDefault="00DE1537" w:rsidP="00343F3E">
            <w:pPr>
              <w:pStyle w:val="Box"/>
            </w:pPr>
            <w:r>
              <w:t>The Far North Queensland Regional Organisation of Councils (sub. 36, p. 20) submitted that:</w:t>
            </w:r>
          </w:p>
          <w:p w14:paraId="612D73A0" w14:textId="77777777" w:rsidR="00DE1537" w:rsidRDefault="00DE1537" w:rsidP="00343F3E">
            <w:pPr>
              <w:pStyle w:val="BoxQuote"/>
            </w:pPr>
            <w:r>
              <w:t>There would need to be stronger support provided at a State level for planning decisions restricting development in hazard prone areas … The risks from natural hazards will only be reduced if there is less development in hazard prone areas, or if development in those areas is designed to withstand the hazards that are present. This leadership needs to come from the State Government.</w:t>
            </w:r>
          </w:p>
          <w:p w14:paraId="27B9AFA5" w14:textId="77777777" w:rsidR="00DE1537" w:rsidRDefault="00DE1537" w:rsidP="00343F3E">
            <w:pPr>
              <w:pStyle w:val="Box"/>
            </w:pPr>
            <w:r>
              <w:t xml:space="preserve">The </w:t>
            </w:r>
            <w:r w:rsidRPr="006F251F">
              <w:t>Australian Local Government Association</w:t>
            </w:r>
            <w:r>
              <w:t xml:space="preserve"> (sub. 52, p. 13) considered that: </w:t>
            </w:r>
          </w:p>
          <w:p w14:paraId="199423B6" w14:textId="77777777" w:rsidR="00DE1537" w:rsidRDefault="00DE1537" w:rsidP="00343F3E">
            <w:pPr>
              <w:pStyle w:val="BoxQuote"/>
            </w:pPr>
            <w:r w:rsidRPr="00FC6605">
              <w:t>Land use planning could become a much stronger instrument in the risk mitigation area if state and territory governments provided higher level support to local governments.</w:t>
            </w:r>
            <w:r>
              <w:t xml:space="preserve"> </w:t>
            </w:r>
            <w:r w:rsidRPr="00FC6605">
              <w:t>This could be through shared mapping, data and information, training and assistance with interpretation and implementation of state planning policy.</w:t>
            </w:r>
          </w:p>
          <w:p w14:paraId="632ABDA1" w14:textId="77777777" w:rsidR="00DE1537" w:rsidRDefault="00DE1537" w:rsidP="00343F3E">
            <w:pPr>
              <w:pStyle w:val="Box"/>
            </w:pPr>
            <w:r>
              <w:t>Lake Macquarie City Council (NSW) (sub. 74, p. 4) noted that:</w:t>
            </w:r>
          </w:p>
          <w:p w14:paraId="79B9B262" w14:textId="77777777" w:rsidR="00DE1537" w:rsidRDefault="00DE1537" w:rsidP="00343F3E">
            <w:pPr>
              <w:pStyle w:val="BoxQuote"/>
            </w:pPr>
            <w:r>
              <w:t>Access to reliable and understandable information, including methodologies for decision</w:t>
            </w:r>
            <w:r>
              <w:noBreakHyphen/>
              <w:t xml:space="preserve">making and determining costs and benefits of mitigation options in addition to standards and </w:t>
            </w:r>
            <w:r w:rsidRPr="005461C9">
              <w:t>benchmarks</w:t>
            </w:r>
            <w:r>
              <w:t xml:space="preserve"> will facilitate effective hazard risk management planning by Local Government.</w:t>
            </w:r>
          </w:p>
          <w:p w14:paraId="63FD6531" w14:textId="77777777" w:rsidR="00DE1537" w:rsidRDefault="00DE1537" w:rsidP="00343F3E">
            <w:pPr>
              <w:pStyle w:val="Box"/>
            </w:pPr>
            <w:r>
              <w:t>The Wentworth Group of Concerned Scientists (sub. DR192, p. 3) recommended that:</w:t>
            </w:r>
          </w:p>
          <w:p w14:paraId="0B1FF1EE" w14:textId="77777777" w:rsidR="00DE1537" w:rsidRPr="00E5606F" w:rsidRDefault="00DE1537" w:rsidP="00343F3E">
            <w:pPr>
              <w:pStyle w:val="BoxQuote"/>
            </w:pPr>
            <w:r>
              <w:t xml:space="preserve">… </w:t>
            </w:r>
            <w:r w:rsidRPr="00E5606F">
              <w:t>the national framework for natural disaster mitigation recognise the value of states and territories implementing a process of strategic land use planning that integrate understanding of cumulative impacts and disaster risk at regional planning scales.</w:t>
            </w:r>
          </w:p>
        </w:tc>
      </w:tr>
      <w:tr w:rsidR="00DE1537" w14:paraId="14D8B22C"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8A8F556" w14:textId="77777777" w:rsidR="00DE1537" w:rsidRDefault="00DE1537" w:rsidP="00343F3E">
            <w:pPr>
              <w:pStyle w:val="Box"/>
              <w:spacing w:before="0" w:line="120" w:lineRule="exact"/>
            </w:pPr>
          </w:p>
        </w:tc>
      </w:tr>
      <w:tr w:rsidR="00DE1537" w:rsidRPr="000863A5" w14:paraId="754687BE" w14:textId="77777777" w:rsidTr="00343F3E">
        <w:tc>
          <w:tcPr>
            <w:tcW w:w="8771" w:type="dxa"/>
            <w:tcBorders>
              <w:top w:val="single" w:sz="6" w:space="0" w:color="78A22F"/>
              <w:left w:val="nil"/>
              <w:bottom w:val="nil"/>
              <w:right w:val="nil"/>
            </w:tcBorders>
          </w:tcPr>
          <w:p w14:paraId="5837F1DD" w14:textId="77777777" w:rsidR="00DE1537" w:rsidRPr="00626D32" w:rsidRDefault="00DE1537" w:rsidP="00343F3E">
            <w:pPr>
              <w:pStyle w:val="BoxSpaceBelow"/>
            </w:pPr>
          </w:p>
        </w:tc>
      </w:tr>
    </w:tbl>
    <w:p w14:paraId="2DD289C6" w14:textId="77777777" w:rsidR="00DE1537" w:rsidRDefault="00DE1537" w:rsidP="00343F3E">
      <w:pPr>
        <w:pStyle w:val="BodyText"/>
      </w:pPr>
      <w:proofErr w:type="gramStart"/>
      <w:r>
        <w:t>The Wentworth Group of Concerned Scientists (sub.</w:t>
      </w:r>
      <w:proofErr w:type="gramEnd"/>
      <w:r>
        <w:t> DR192; trans., Melbourne, p. 105) argued for a strategic approach to regional planning processes, particularly in terms of addressing environmental challenges at a level in between state planning frameworks and local planning schemes.</w:t>
      </w:r>
    </w:p>
    <w:p w14:paraId="00FC2D40" w14:textId="77777777" w:rsidR="00DE1537" w:rsidRDefault="00DE1537" w:rsidP="00343F3E">
      <w:pPr>
        <w:pStyle w:val="Quote"/>
      </w:pPr>
      <w:r>
        <w:t>The challenge that Australia has at the moment is we are not using the regional planning processes. We tend to go from straight policies straight down into local plans, which is fine for assessing specific site developments and managing the local community trade</w:t>
      </w:r>
      <w:r>
        <w:noBreakHyphen/>
        <w:t xml:space="preserve">offs, but … [for issues such as] climate change or water management or landscape conservation … that is the wrong scale for addressing those processes. </w:t>
      </w:r>
    </w:p>
    <w:p w14:paraId="6560AC31" w14:textId="77777777" w:rsidR="00DE1537" w:rsidRDefault="00DE1537" w:rsidP="00343F3E">
      <w:pPr>
        <w:pStyle w:val="BodyText"/>
      </w:pPr>
      <w:r>
        <w:t>While ultimately state governments are responsible for ensuring that local governments and regional planning and development authorities have the capacity and capability to carry out their risk management functions, there can also be benefit from co</w:t>
      </w:r>
      <w:r>
        <w:noBreakHyphen/>
        <w:t>operative efforts, such as:</w:t>
      </w:r>
    </w:p>
    <w:p w14:paraId="48BAB9A1" w14:textId="77777777" w:rsidR="00DE1537" w:rsidRDefault="00DE1537" w:rsidP="00343F3E">
      <w:pPr>
        <w:pStyle w:val="ListBullet"/>
        <w:spacing w:line="320" w:lineRule="atLeast"/>
      </w:pPr>
      <w:r>
        <w:t>local government associations providing training for their member governments</w:t>
      </w:r>
    </w:p>
    <w:p w14:paraId="3E703506" w14:textId="77777777" w:rsidR="00DE1537" w:rsidRDefault="00DE1537" w:rsidP="00343F3E">
      <w:pPr>
        <w:pStyle w:val="ListBullet"/>
        <w:spacing w:line="320" w:lineRule="atLeast"/>
      </w:pPr>
      <w:r>
        <w:t>alliances, committees or other networks of local governments enabling resource sharing to overcome capacity and skill constraints</w:t>
      </w:r>
    </w:p>
    <w:p w14:paraId="71AEF15B" w14:textId="77777777" w:rsidR="00DE1537" w:rsidRDefault="00DE1537" w:rsidP="00343F3E">
      <w:pPr>
        <w:pStyle w:val="ListBullet"/>
        <w:spacing w:line="320" w:lineRule="atLeast"/>
      </w:pPr>
      <w:r>
        <w:t>state government advancing analysis and advice on planning issues across local governments (for example, legal impediments to information release and cross</w:t>
      </w:r>
      <w:r>
        <w:noBreakHyphen/>
        <w:t>boundary hazard mapping)</w:t>
      </w:r>
    </w:p>
    <w:p w14:paraId="5F6E2984" w14:textId="77777777" w:rsidR="00DE1537" w:rsidRDefault="00DE1537" w:rsidP="00343F3E">
      <w:pPr>
        <w:pStyle w:val="ListBullet"/>
        <w:spacing w:line="320" w:lineRule="atLeast"/>
      </w:pPr>
      <w:proofErr w:type="gramStart"/>
      <w:r>
        <w:lastRenderedPageBreak/>
        <w:t>partnership</w:t>
      </w:r>
      <w:proofErr w:type="gramEnd"/>
      <w:r>
        <w:t xml:space="preserve"> arrangements between state and local governments and insurers (supplementary paper 4).</w:t>
      </w:r>
    </w:p>
    <w:p w14:paraId="203B97BA" w14:textId="72E94CA0" w:rsidR="00DE1537" w:rsidRDefault="00DE1537" w:rsidP="00343F3E">
      <w:pPr>
        <w:pStyle w:val="Heading2"/>
      </w:pPr>
      <w:bookmarkStart w:id="75" w:name="_Toc406424344"/>
      <w:r>
        <w:t>6.</w:t>
      </w:r>
      <w:r>
        <w:rPr>
          <w:noProof/>
        </w:rPr>
        <w:t>4</w:t>
      </w:r>
      <w:r>
        <w:tab/>
        <w:t>Building regulations</w:t>
      </w:r>
      <w:bookmarkEnd w:id="75"/>
    </w:p>
    <w:p w14:paraId="29388E31" w14:textId="77777777" w:rsidR="00DE1537" w:rsidRDefault="00DE1537" w:rsidP="00343F3E">
      <w:pPr>
        <w:pStyle w:val="BodyText"/>
      </w:pPr>
      <w:r>
        <w:t>Building regulations play an important role in natural disaster risk management, as a form of mitigation or betterment. The structural design of buildings and the quality of building materials can influence the resilience of buildings to natural disasters and therefore their vulnerability to natural disasters. The efficiency and effectiveness of building codes is an important consideration for natural disaster funding arrangements.</w:t>
      </w:r>
    </w:p>
    <w:p w14:paraId="79B3BC8C" w14:textId="77777777" w:rsidR="00DE1537" w:rsidRDefault="00DE1537" w:rsidP="00343F3E">
      <w:pPr>
        <w:pStyle w:val="BodyText"/>
      </w:pPr>
      <w:r>
        <w:t>Governments have a role in regulating building construction to address market failures, including:</w:t>
      </w:r>
    </w:p>
    <w:p w14:paraId="7F554363" w14:textId="77777777" w:rsidR="00DE1537" w:rsidRDefault="00DE1537" w:rsidP="00343F3E">
      <w:pPr>
        <w:pStyle w:val="ListBullet"/>
        <w:spacing w:line="320" w:lineRule="atLeast"/>
      </w:pPr>
      <w:r>
        <w:t>information asymmetries — t</w:t>
      </w:r>
      <w:r w:rsidRPr="00144595">
        <w:t>he complex information and knowledge gaps involved in the construction of a building mean that</w:t>
      </w:r>
      <w:r>
        <w:t xml:space="preserve"> its degree of resilience to natural disasters is </w:t>
      </w:r>
      <w:r w:rsidRPr="00144595">
        <w:t>not easily assessable by most people</w:t>
      </w:r>
    </w:p>
    <w:p w14:paraId="050728D3" w14:textId="1100EC2A" w:rsidR="00DE1537" w:rsidRDefault="00DE1537" w:rsidP="00343F3E">
      <w:pPr>
        <w:pStyle w:val="ListBullet"/>
        <w:spacing w:line="320" w:lineRule="atLeast"/>
      </w:pPr>
      <w:r>
        <w:t xml:space="preserve">externalities — buildings and their construction can have negative effects on residents and those in the surrounding community, such as where buildings constructed to low standards of fire resistance increase the vulnerability of surrounding properties </w:t>
      </w:r>
      <w:r w:rsidRPr="00362A7A">
        <w:rPr>
          <w:szCs w:val="24"/>
        </w:rPr>
        <w:t>(PC 2012)</w:t>
      </w:r>
      <w:r>
        <w:t>.</w:t>
      </w:r>
    </w:p>
    <w:p w14:paraId="7EB5E3DE" w14:textId="77777777" w:rsidR="00DE1537" w:rsidRDefault="00DE1537" w:rsidP="00343F3E">
      <w:pPr>
        <w:pStyle w:val="BodyText"/>
      </w:pPr>
      <w:r>
        <w:t>Where these market failures exist, governments can potentially improve community wellbeing by imposing building regulations that mandate safety and quality</w:t>
      </w:r>
      <w:r w:rsidRPr="006A7619">
        <w:t xml:space="preserve"> </w:t>
      </w:r>
      <w:r>
        <w:t xml:space="preserve">standards, including with respect to natural disasters. At the same time, building regulations can increase the cost of building construction, particularly where building codes impose high standards that require the use of expensive building materials or processes. </w:t>
      </w:r>
    </w:p>
    <w:p w14:paraId="22F3A4DA" w14:textId="77777777" w:rsidR="00DE1537" w:rsidRDefault="00DE1537" w:rsidP="00343F3E">
      <w:pPr>
        <w:pStyle w:val="Heading3"/>
      </w:pPr>
      <w:r>
        <w:t>Roles, responsibilities and governance</w:t>
      </w:r>
    </w:p>
    <w:p w14:paraId="7807F391" w14:textId="6647EDF4" w:rsidR="00DE1537" w:rsidRDefault="00DE1537" w:rsidP="00343F3E">
      <w:pPr>
        <w:pStyle w:val="BodyText"/>
      </w:pPr>
      <w:r>
        <w:t xml:space="preserve">Building regulations are a shared responsibility of the Australian, state and local governments, with some variance in specific arrangements across jurisdictions (figure 6.2). State and territory governments have primary responsibility for building regulations under the Australian Constitution. However, they have agreed to operate under national standards in the form of the National Construction Code (NCC), which are developed and maintained by the </w:t>
      </w:r>
      <w:r w:rsidRPr="00534282">
        <w:t>Australian Building Codes Board</w:t>
      </w:r>
      <w:r>
        <w:t xml:space="preserve"> (ABCB). </w:t>
      </w:r>
      <w:r w:rsidRPr="00996BE7">
        <w:t xml:space="preserve">The ABCB was established in </w:t>
      </w:r>
      <w:r>
        <w:t>a</w:t>
      </w:r>
      <w:r w:rsidRPr="00996BE7">
        <w:t xml:space="preserve"> 1994 </w:t>
      </w:r>
      <w:r>
        <w:t xml:space="preserve">COAG </w:t>
      </w:r>
      <w:r w:rsidRPr="00996BE7">
        <w:t>intergovernmental agreement as the body responsible for writing the standards for the NCC.</w:t>
      </w:r>
      <w:r>
        <w:t xml:space="preserve"> </w:t>
      </w:r>
    </w:p>
    <w:p w14:paraId="6418009A" w14:textId="2238894E" w:rsidR="00DE1537" w:rsidRPr="002579D2" w:rsidRDefault="00DE1537" w:rsidP="00343F3E">
      <w:pPr>
        <w:pStyle w:val="BodyText"/>
      </w:pPr>
      <w:r>
        <w:t xml:space="preserve">The NCC </w:t>
      </w:r>
      <w:r w:rsidRPr="008C197C">
        <w:t xml:space="preserve">comprises </w:t>
      </w:r>
      <w:r>
        <w:t xml:space="preserve">the Building Code of Australia </w:t>
      </w:r>
      <w:r w:rsidRPr="008C197C">
        <w:t>and the Plumbing Code of Australia</w:t>
      </w:r>
      <w:r>
        <w:t xml:space="preserve">, and represents </w:t>
      </w:r>
      <w:r w:rsidRPr="009027D8">
        <w:t xml:space="preserve">the minimum </w:t>
      </w:r>
      <w:r>
        <w:t>performance</w:t>
      </w:r>
      <w:r w:rsidRPr="009027D8">
        <w:t xml:space="preserve"> requirements for building construction and </w:t>
      </w:r>
      <w:r w:rsidRPr="002579D2">
        <w:t xml:space="preserve">plumbing in Australia. Each state and territory has legislation that gives legal effect to the NCC, but the intergovernmental agreement </w:t>
      </w:r>
      <w:r>
        <w:t xml:space="preserve">establishing the ABCB </w:t>
      </w:r>
      <w:r w:rsidRPr="002579D2">
        <w:t xml:space="preserve">acknowledges that in </w:t>
      </w:r>
      <w:r w:rsidRPr="002579D2">
        <w:lastRenderedPageBreak/>
        <w:t>certain circumstances it is necessary for state</w:t>
      </w:r>
      <w:r w:rsidRPr="002579D2">
        <w:noBreakHyphen/>
        <w:t xml:space="preserve">specific departures (variations or additions), which should be justified through regulatory impact analysis </w:t>
      </w:r>
      <w:r w:rsidRPr="00362A7A">
        <w:rPr>
          <w:szCs w:val="24"/>
        </w:rPr>
        <w:t>(COAG 2012)</w:t>
      </w:r>
      <w:r w:rsidRPr="002579D2">
        <w:t xml:space="preserve">. </w:t>
      </w:r>
    </w:p>
    <w:p w14:paraId="07DC089D" w14:textId="104EE93F" w:rsidR="00DE1537" w:rsidRPr="002579D2" w:rsidRDefault="00DE1537" w:rsidP="00343F3E">
      <w:pPr>
        <w:pStyle w:val="BodyText"/>
      </w:pPr>
      <w:r w:rsidRPr="002579D2">
        <w:t>In some cases, local governments may impose additional building requirements through by</w:t>
      </w:r>
      <w:r w:rsidRPr="002579D2">
        <w:noBreakHyphen/>
        <w:t>laws (or planning controls) applicable to their local government area (except in the ACT and Northern Territory, where territory governments have responsibility for implementing building and planning regulations)</w:t>
      </w:r>
      <w:r>
        <w:t xml:space="preserve"> </w:t>
      </w:r>
      <w:r w:rsidRPr="00362A7A">
        <w:rPr>
          <w:szCs w:val="24"/>
        </w:rPr>
        <w:t>(PC 2012)</w:t>
      </w:r>
      <w:r w:rsidRPr="002579D2">
        <w:t>. The ABCB intergovernmental agreement commits state and territory governments to, ‘as far as practicable’, implement:</w:t>
      </w:r>
    </w:p>
    <w:p w14:paraId="1F431B65" w14:textId="1040CEDC" w:rsidR="00DE1537" w:rsidRPr="00381E55" w:rsidRDefault="00DE1537" w:rsidP="00343F3E">
      <w:pPr>
        <w:pStyle w:val="Quote"/>
      </w:pPr>
      <w:r w:rsidRPr="00381E55">
        <w:t xml:space="preserve">… </w:t>
      </w:r>
      <w:proofErr w:type="gramStart"/>
      <w:r w:rsidRPr="00381E55">
        <w:t>a</w:t>
      </w:r>
      <w:proofErr w:type="gramEnd"/>
      <w:r w:rsidRPr="00381E55">
        <w:t xml:space="preserve"> ‘gateway’ model which prevents local governments and other local government</w:t>
      </w:r>
      <w:r w:rsidRPr="00381E55">
        <w:noBreakHyphen/>
        <w:t xml:space="preserve">like bodies from setting prescriptive standards for buildings that override performance requirements in the [National Construction Code] … </w:t>
      </w:r>
      <w:r w:rsidRPr="00362A7A">
        <w:rPr>
          <w:szCs w:val="24"/>
        </w:rPr>
        <w:t>(COAG 2012, p. 2)</w:t>
      </w:r>
    </w:p>
    <w:p w14:paraId="6C7EB98C" w14:textId="77777777" w:rsidR="00DE1537" w:rsidRDefault="00DE1537" w:rsidP="00343F3E">
      <w:pPr>
        <w:pStyle w:val="BodyText"/>
      </w:pPr>
      <w:r>
        <w:t>The ABCB (pers. comm., 3 September 2014) has also suggested to state and territory governments that there might be merit in collaborating to prepare national guidelines or practice notes for application through the ABCB framework.</w:t>
      </w:r>
    </w:p>
    <w:p w14:paraId="54A1111E" w14:textId="77777777" w:rsidR="00DE1537" w:rsidRDefault="00DE1537" w:rsidP="00343F3E">
      <w:pPr>
        <w:pStyle w:val="Heading4"/>
      </w:pPr>
      <w:r w:rsidRPr="00E113F5">
        <w:t>Objectives of building regulation</w:t>
      </w:r>
      <w:r>
        <w:t>s</w:t>
      </w:r>
    </w:p>
    <w:p w14:paraId="421A7CE5" w14:textId="2A511DF4" w:rsidR="00DE1537" w:rsidRDefault="00DE1537" w:rsidP="00343F3E">
      <w:pPr>
        <w:pStyle w:val="BodyText"/>
      </w:pPr>
      <w:r w:rsidRPr="00996BE7">
        <w:t xml:space="preserve">The ABCB’s </w:t>
      </w:r>
      <w:r w:rsidRPr="00B074B2">
        <w:rPr>
          <w:szCs w:val="24"/>
        </w:rPr>
        <w:t>(2014b, p. 3)</w:t>
      </w:r>
      <w:r>
        <w:t xml:space="preserve"> </w:t>
      </w:r>
      <w:r w:rsidRPr="00996BE7">
        <w:t>mission is</w:t>
      </w:r>
      <w:r>
        <w:t xml:space="preserve"> ‘</w:t>
      </w:r>
      <w:r w:rsidRPr="00996BE7">
        <w:t>to address issues of safety and health, amenity and sustainability in the design, construction and performance of buildings</w:t>
      </w:r>
      <w:r>
        <w:t>’, and the stated objective of the Building Code of Australia is:</w:t>
      </w:r>
    </w:p>
    <w:p w14:paraId="0D364499" w14:textId="4A5F9C41" w:rsidR="00DE1537" w:rsidRPr="005440E5" w:rsidRDefault="00DE1537" w:rsidP="00343F3E">
      <w:pPr>
        <w:pStyle w:val="Quote"/>
      </w:pPr>
      <w:r w:rsidRPr="005440E5">
        <w:t xml:space="preserve">… </w:t>
      </w:r>
      <w:proofErr w:type="gramStart"/>
      <w:r w:rsidRPr="005440E5">
        <w:t>to</w:t>
      </w:r>
      <w:proofErr w:type="gramEnd"/>
      <w:r w:rsidRPr="005440E5">
        <w:t xml:space="preserve"> enable the achievement of nationally consistent, minimum necessary standards of relevant safety (including structural safety and safety from fire), health, amenity and sustainability objectives efficiently. </w:t>
      </w:r>
      <w:r w:rsidRPr="00837C77">
        <w:rPr>
          <w:szCs w:val="24"/>
        </w:rPr>
        <w:t>(ABCB 2013c)</w:t>
      </w:r>
    </w:p>
    <w:p w14:paraId="75F2482B" w14:textId="5117019E" w:rsidR="00DE1537" w:rsidRPr="00C16B93" w:rsidRDefault="00DE1537" w:rsidP="00343F3E">
      <w:pPr>
        <w:pStyle w:val="BodyText"/>
      </w:pPr>
      <w:r>
        <w:t xml:space="preserve">The ABCB </w:t>
      </w:r>
      <w:r w:rsidRPr="00362A7A">
        <w:rPr>
          <w:szCs w:val="24"/>
        </w:rPr>
        <w:t>(2014b, p. 2)</w:t>
      </w:r>
      <w:r>
        <w:t xml:space="preserve"> has indicated that its mission incorporates natural disaster risk management, in that the objective of sustainability gives rise to NCC requirements for buildings to be ‘designed and constructed to withstand extreme climate related natural disaster events, including wind and cyclones, rainfall, snow, bushfire and flood, as appropriate to their location’. It has also noted that it works within natural disaster risk management ‘policy expectations and boundaries’ established by frameworks such as the COAG </w:t>
      </w:r>
      <w:r w:rsidRPr="004531C2">
        <w:rPr>
          <w:i/>
        </w:rPr>
        <w:t>National Strategy for Disaster Resilience</w:t>
      </w:r>
      <w:r>
        <w:t xml:space="preserve"> </w:t>
      </w:r>
      <w:r w:rsidRPr="00362A7A">
        <w:rPr>
          <w:szCs w:val="24"/>
        </w:rPr>
        <w:t>(ABCB 2014b, p. 4)</w:t>
      </w:r>
      <w:r>
        <w:t>.</w:t>
      </w:r>
    </w:p>
    <w:p w14:paraId="03C74376" w14:textId="60D910F1" w:rsidR="00DE1537" w:rsidRPr="00950E8C" w:rsidRDefault="00DE1537" w:rsidP="00343F3E">
      <w:pPr>
        <w:pStyle w:val="BodyText"/>
      </w:pPr>
      <w:r>
        <w:t>Suncorp Group (sub. 71, p. 11) argued that the current stated objectives of the ABCB be expanded to include explicit mention of building resilience, so that the ‘full range of economic benefits associated with code improvements’ are taken into account in regulatory impact analysis. It submitted that ‘t</w:t>
      </w:r>
      <w:r w:rsidRPr="00AA3002">
        <w:t>his would recognise the economic and productive value of assets in addition to the protection of life goals cu</w:t>
      </w:r>
      <w:r>
        <w:t>rrently within the regulation’ (Suncorp Group, sub. 71, p. 12). This was further reiterated in post</w:t>
      </w:r>
      <w:r>
        <w:noBreakHyphen/>
        <w:t>draft submissions (ABRDRSC</w:t>
      </w:r>
      <w:r w:rsidRPr="002B1F07">
        <w:t>, sub.</w:t>
      </w:r>
      <w:r>
        <w:t> </w:t>
      </w:r>
      <w:proofErr w:type="gramStart"/>
      <w:r w:rsidRPr="002B1F07">
        <w:t>DR160</w:t>
      </w:r>
      <w:r>
        <w:t>; IAG, sub.</w:t>
      </w:r>
      <w:proofErr w:type="gramEnd"/>
      <w:r>
        <w:t> </w:t>
      </w:r>
      <w:proofErr w:type="gramStart"/>
      <w:r>
        <w:t xml:space="preserve">DR158; </w:t>
      </w:r>
      <w:r w:rsidRPr="00983211">
        <w:t>ICA, sub.</w:t>
      </w:r>
      <w:proofErr w:type="gramEnd"/>
      <w:r>
        <w:t> </w:t>
      </w:r>
      <w:proofErr w:type="gramStart"/>
      <w:r w:rsidRPr="00983211">
        <w:t>DR185</w:t>
      </w:r>
      <w:r>
        <w:t xml:space="preserve">; </w:t>
      </w:r>
      <w:r w:rsidRPr="001E5B78">
        <w:t>M</w:t>
      </w:r>
      <w:r>
        <w:t xml:space="preserve">unich Reinsurance Company, </w:t>
      </w:r>
      <w:r w:rsidRPr="001E5B78">
        <w:t>sub.</w:t>
      </w:r>
      <w:proofErr w:type="gramEnd"/>
      <w:r w:rsidRPr="001E5B78">
        <w:t> </w:t>
      </w:r>
      <w:r w:rsidR="005A2F91">
        <w:t>DR136).</w:t>
      </w:r>
    </w:p>
    <w:p w14:paraId="0E73BA1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DEF2DDF" w14:textId="77777777" w:rsidTr="00343F3E">
        <w:tc>
          <w:tcPr>
            <w:tcW w:w="8771" w:type="dxa"/>
            <w:tcBorders>
              <w:top w:val="single" w:sz="6" w:space="0" w:color="78A22F"/>
              <w:left w:val="nil"/>
              <w:bottom w:val="nil"/>
              <w:right w:val="nil"/>
            </w:tcBorders>
            <w:shd w:val="clear" w:color="auto" w:fill="auto"/>
          </w:tcPr>
          <w:p w14:paraId="08B6F55A" w14:textId="5D347AF7" w:rsidR="00DE1537" w:rsidRPr="00176D3F" w:rsidRDefault="00DE1537" w:rsidP="00343F3E">
            <w:pPr>
              <w:pStyle w:val="FigureTitle"/>
            </w:pPr>
            <w:r w:rsidRPr="00784A05">
              <w:rPr>
                <w:b w:val="0"/>
              </w:rPr>
              <w:t xml:space="preserve">Figure </w:t>
            </w:r>
            <w:r>
              <w:rPr>
                <w:b w:val="0"/>
              </w:rPr>
              <w:t>6.</w:t>
            </w:r>
            <w:r>
              <w:rPr>
                <w:b w:val="0"/>
                <w:noProof/>
              </w:rPr>
              <w:t>2</w:t>
            </w:r>
            <w:r>
              <w:tab/>
            </w:r>
            <w:r w:rsidRPr="000E06CC">
              <w:t>Building regulation</w:t>
            </w:r>
            <w:r>
              <w:t>s</w:t>
            </w:r>
            <w:r w:rsidRPr="000E06CC">
              <w:t xml:space="preserve"> </w:t>
            </w:r>
            <w:r>
              <w:t>and natural disaster risk</w:t>
            </w:r>
          </w:p>
        </w:tc>
      </w:tr>
      <w:tr w:rsidR="00DE1537" w14:paraId="553F2362"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55A9713B" w14:textId="77777777" w:rsidTr="00343F3E">
              <w:tc>
                <w:tcPr>
                  <w:tcW w:w="5000" w:type="pct"/>
                  <w:tcBorders>
                    <w:top w:val="nil"/>
                    <w:bottom w:val="nil"/>
                  </w:tcBorders>
                </w:tcPr>
                <w:p w14:paraId="0BBFBC5A" w14:textId="77777777" w:rsidR="00DE1537" w:rsidRDefault="00DE1537" w:rsidP="00343F3E">
                  <w:pPr>
                    <w:pStyle w:val="Figure"/>
                    <w:spacing w:before="60" w:after="60"/>
                  </w:pPr>
                  <w:r w:rsidRPr="009A7FBE">
                    <w:rPr>
                      <w:noProof/>
                    </w:rPr>
                    <w:drawing>
                      <wp:inline distT="0" distB="0" distL="0" distR="0" wp14:anchorId="604A1321" wp14:editId="14CCB65A">
                        <wp:extent cx="5400000" cy="5542105"/>
                        <wp:effectExtent l="0" t="0" r="0" b="1905"/>
                        <wp:docPr id="143" name="Picture 143" descr="Figure 6.2 Building regulations arrangements. This figure shows a flow diagram of building regulations arrangements. The left-hand side shows the parts of the process (e.g. setting risk appetite, legislation and policy architecture, local translation). The middle section shows the mechanisms for each part of the process (e.g. National Construction Code, statewide building legislation). The right-hand side indicates who is responsible for each part of the process (e.g. state and territory governments, local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00000" cy="5542105"/>
                                </a:xfrm>
                                <a:prstGeom prst="rect">
                                  <a:avLst/>
                                </a:prstGeom>
                                <a:noFill/>
                                <a:ln>
                                  <a:noFill/>
                                </a:ln>
                              </pic:spPr>
                            </pic:pic>
                          </a:graphicData>
                        </a:graphic>
                      </wp:inline>
                    </w:drawing>
                  </w:r>
                </w:p>
              </w:tc>
            </w:tr>
          </w:tbl>
          <w:p w14:paraId="6069C889" w14:textId="77777777" w:rsidR="00DE1537" w:rsidRDefault="00DE1537" w:rsidP="00343F3E">
            <w:pPr>
              <w:pStyle w:val="Figure"/>
            </w:pPr>
          </w:p>
        </w:tc>
      </w:tr>
      <w:tr w:rsidR="00DE1537" w14:paraId="346D8EBF" w14:textId="77777777" w:rsidTr="00343F3E">
        <w:tc>
          <w:tcPr>
            <w:tcW w:w="8771" w:type="dxa"/>
            <w:tcBorders>
              <w:top w:val="nil"/>
              <w:left w:val="nil"/>
              <w:bottom w:val="single" w:sz="6" w:space="0" w:color="78A22F"/>
              <w:right w:val="nil"/>
            </w:tcBorders>
            <w:shd w:val="clear" w:color="auto" w:fill="auto"/>
          </w:tcPr>
          <w:p w14:paraId="723D4ADA" w14:textId="77777777" w:rsidR="00DE1537" w:rsidRDefault="00DE1537" w:rsidP="00343F3E">
            <w:pPr>
              <w:pStyle w:val="Figurespace"/>
            </w:pPr>
          </w:p>
        </w:tc>
      </w:tr>
      <w:tr w:rsidR="00DE1537" w:rsidRPr="000863A5" w14:paraId="1F4D31DD" w14:textId="77777777" w:rsidTr="00343F3E">
        <w:tc>
          <w:tcPr>
            <w:tcW w:w="8771" w:type="dxa"/>
            <w:tcBorders>
              <w:top w:val="single" w:sz="6" w:space="0" w:color="78A22F"/>
              <w:left w:val="nil"/>
              <w:bottom w:val="nil"/>
              <w:right w:val="nil"/>
            </w:tcBorders>
          </w:tcPr>
          <w:p w14:paraId="6A0A1179" w14:textId="77777777" w:rsidR="00DE1537" w:rsidRPr="00626D32" w:rsidRDefault="00DE1537" w:rsidP="00343F3E">
            <w:pPr>
              <w:pStyle w:val="BoxSpaceBelow"/>
            </w:pPr>
          </w:p>
        </w:tc>
      </w:tr>
    </w:tbl>
    <w:p w14:paraId="6F7EBC21" w14:textId="2FB1DA65" w:rsidR="00DE1537" w:rsidRDefault="00DE1537" w:rsidP="00343F3E">
      <w:pPr>
        <w:pStyle w:val="BodyText"/>
      </w:pPr>
      <w:r>
        <w:t>Private property owners and builders are not prevented from constructing buildings to higher standards than those required under the building code, if they wish to increase the building’s resilience. There are also privately provided tools available for assessing the resilience of existing buildings to inform property owners’ decision</w:t>
      </w:r>
      <w:r>
        <w:noBreakHyphen/>
        <w:t>making processes (such as the Building Resilience Rating Tool, section 6.5). U</w:t>
      </w:r>
      <w:r w:rsidRPr="00E63321">
        <w:t xml:space="preserve">nless there is an information asymmetry (or other market failure) that needs addressing, the benefits of higher building standards </w:t>
      </w:r>
      <w:r>
        <w:t xml:space="preserve">that are </w:t>
      </w:r>
      <w:r w:rsidRPr="00E63321">
        <w:t xml:space="preserve">aimed at </w:t>
      </w:r>
      <w:r>
        <w:t xml:space="preserve">achieving </w:t>
      </w:r>
      <w:r w:rsidRPr="00E63321">
        <w:t>building resilience would be mostly private and so would not warrant government intervention</w:t>
      </w:r>
      <w:r>
        <w:t xml:space="preserve">, nor would they justify the costs imposed by minimum standards aimed at achieving building durability. Private market alternatives also have the advantage of being able to influence property owners’ decisions to invest in the resilience of existing buildings, whereas building standards affect only new construction or </w:t>
      </w:r>
      <w:r>
        <w:lastRenderedPageBreak/>
        <w:t xml:space="preserve">substantial modification to existing buildings. </w:t>
      </w:r>
      <w:r w:rsidRPr="003A15BA">
        <w:t xml:space="preserve">The Commission </w:t>
      </w:r>
      <w:r>
        <w:t>maintains</w:t>
      </w:r>
      <w:r w:rsidRPr="003A15BA">
        <w:t xml:space="preserve"> its previously expressed view that the current objectives of building regulation</w:t>
      </w:r>
      <w:r>
        <w:t xml:space="preserve">s are appropriate </w:t>
      </w:r>
      <w:r w:rsidRPr="00362A7A">
        <w:rPr>
          <w:szCs w:val="24"/>
        </w:rPr>
        <w:t>(PC 2012)</w:t>
      </w:r>
      <w:r w:rsidRPr="003A15BA">
        <w:t>.</w:t>
      </w:r>
      <w:r>
        <w:t xml:space="preserve"> </w:t>
      </w:r>
    </w:p>
    <w:p w14:paraId="6C043DD0" w14:textId="77777777" w:rsidR="00DE1537" w:rsidRDefault="00DE1537" w:rsidP="00343F3E">
      <w:pPr>
        <w:pStyle w:val="Heading3"/>
      </w:pPr>
      <w:r w:rsidRPr="00EF4628">
        <w:t xml:space="preserve">Has natural disaster risk management been reflected in </w:t>
      </w:r>
      <w:r>
        <w:t>building regulations</w:t>
      </w:r>
      <w:r w:rsidRPr="00EF4628">
        <w:t>?</w:t>
      </w:r>
    </w:p>
    <w:p w14:paraId="79C4501E" w14:textId="77777777" w:rsidR="00DE1537" w:rsidRDefault="00DE1537" w:rsidP="00343F3E">
      <w:pPr>
        <w:pStyle w:val="Heading4"/>
        <w:spacing w:before="240"/>
      </w:pPr>
      <w:r w:rsidRPr="00332676">
        <w:t xml:space="preserve">Building regulations are generally working well </w:t>
      </w:r>
    </w:p>
    <w:p w14:paraId="7B427CF7" w14:textId="77777777" w:rsidR="00DE1537" w:rsidRDefault="00DE1537" w:rsidP="00343F3E">
      <w:pPr>
        <w:pStyle w:val="BodyText"/>
      </w:pPr>
      <w:r>
        <w:t>Good regulatory process has enabled the system of building regulations to generally work well. The ABCB conducts rigorous regulatory impact analysis, including assessment of costs and benefits of existing and proposed building regulations, consultation with stakeholders and regular reviews. The NCC has been favourably evaluated by the NEMC as:</w:t>
      </w:r>
    </w:p>
    <w:p w14:paraId="40C1097D" w14:textId="14842C3C" w:rsidR="00DE1537" w:rsidRDefault="00DE1537" w:rsidP="00343F3E">
      <w:pPr>
        <w:pStyle w:val="Quote"/>
      </w:pPr>
      <w:r w:rsidRPr="00DC7ECB">
        <w:t xml:space="preserve">… a high quality example of a regular review regime and collaboration between all tiers of government and includes assessment criteria that addresses the majority of natural hazards … [It] is dynamic and generally includes best practice natural hazard information … </w:t>
      </w:r>
      <w:r w:rsidRPr="00362A7A">
        <w:rPr>
          <w:szCs w:val="24"/>
        </w:rPr>
        <w:t>(NEMC 2012b, p. 24)</w:t>
      </w:r>
    </w:p>
    <w:p w14:paraId="4895E0B1" w14:textId="51A76F8E" w:rsidR="00DE1537" w:rsidRDefault="00DE1537" w:rsidP="00343F3E">
      <w:pPr>
        <w:pStyle w:val="BodyText"/>
      </w:pPr>
      <w:r>
        <w:t xml:space="preserve">The NEMC noted that the NCC review processes are well coordinated, with comprehensive engagement across all levels of government, and with satisfactory resourcing, although it noted that the continued effectiveness of the NCC depends on ongoing risk assessment and hazard mapping </w:t>
      </w:r>
      <w:r w:rsidRPr="00362A7A">
        <w:rPr>
          <w:szCs w:val="24"/>
        </w:rPr>
        <w:t>(NEMC 2012b)</w:t>
      </w:r>
      <w:r>
        <w:t>. Participants to this inquiry noted positive impacts on the housing stock from updates to building standards, with some room for improvement (box 6.6).</w:t>
      </w:r>
    </w:p>
    <w:p w14:paraId="38D9CFCD" w14:textId="77777777" w:rsidR="00DE1537" w:rsidRDefault="00DE1537" w:rsidP="00343F3E">
      <w:pPr>
        <w:pStyle w:val="BodyText"/>
      </w:pPr>
      <w:r>
        <w:t>Building standards are regularly reviewed and updated to ensure they incorporate current understanding of natural disaster risks, as stated by the ABCB Chairman.</w:t>
      </w:r>
    </w:p>
    <w:p w14:paraId="1705BBB9" w14:textId="1E3FC55F" w:rsidR="00DE1537" w:rsidRDefault="00DE1537" w:rsidP="00343F3E">
      <w:pPr>
        <w:pStyle w:val="Quote"/>
      </w:pPr>
      <w:r w:rsidRPr="006C438B">
        <w:t xml:space="preserve">Building standards have undergone constant review, particularly after major hazard events and via research, to ensure adequate levels of safety and health are maintained for the community. Where the building standards proved to be inadequate, as identified in the wake of Cyclones Althea in 1971 and Tracy in 1974, they were subsequently upgraded. These improved standards for high wind design were later demonstrated to be satisfactory as evidenced by the small number of building failures resulting from Cyclones Vance in 1999, Larry in 2006 and Yasi in 2011. </w:t>
      </w:r>
      <w:r w:rsidRPr="00362A7A">
        <w:rPr>
          <w:szCs w:val="24"/>
        </w:rPr>
        <w:t>(Thwaites 2012, p. 6)</w:t>
      </w:r>
    </w:p>
    <w:p w14:paraId="51FF704A" w14:textId="77777777" w:rsidR="00DE1537" w:rsidRDefault="00DE1537" w:rsidP="00343F3E">
      <w:pPr>
        <w:pStyle w:val="BodyText"/>
      </w:pPr>
      <w:r>
        <w:t xml:space="preserve">Insurance Australia Group (sub. DR158, </w:t>
      </w:r>
      <w:r w:rsidRPr="001055B4">
        <w:t>p.</w:t>
      </w:r>
      <w:r>
        <w:t> 4) highlighted the importance of continued regular review of building regulations:</w:t>
      </w:r>
    </w:p>
    <w:p w14:paraId="06387C36" w14:textId="0789F55E" w:rsidR="00DE1537" w:rsidRPr="00ED7E5A" w:rsidRDefault="00DE1537" w:rsidP="005A2F91">
      <w:pPr>
        <w:pStyle w:val="Quote"/>
      </w:pPr>
      <w:r w:rsidRPr="001055B4">
        <w:t>We acknowledge the positive impact of existing building codes for cyclone, bushfire and flood. However, given changing weather conditions and exposure as well as technological developments in construction, design and materials it is important to keep these codes under regular review t</w:t>
      </w:r>
      <w:r w:rsidR="005A2F91">
        <w:t>o ensure they remain effective.</w:t>
      </w:r>
    </w:p>
    <w:p w14:paraId="4001E5C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3E43949" w14:textId="77777777" w:rsidTr="00343F3E">
        <w:tc>
          <w:tcPr>
            <w:tcW w:w="8771" w:type="dxa"/>
            <w:tcBorders>
              <w:top w:val="single" w:sz="6" w:space="0" w:color="78A22F"/>
              <w:left w:val="nil"/>
              <w:bottom w:val="nil"/>
              <w:right w:val="nil"/>
            </w:tcBorders>
            <w:shd w:val="clear" w:color="auto" w:fill="F2F2F2" w:themeFill="background1" w:themeFillShade="F2"/>
          </w:tcPr>
          <w:p w14:paraId="23D8EC0B" w14:textId="019AEB25" w:rsidR="00DE1537" w:rsidRDefault="00DE1537" w:rsidP="00343F3E">
            <w:pPr>
              <w:pStyle w:val="BoxTitle"/>
            </w:pPr>
            <w:r>
              <w:rPr>
                <w:b w:val="0"/>
              </w:rPr>
              <w:t>Box 6.</w:t>
            </w:r>
            <w:r>
              <w:rPr>
                <w:b w:val="0"/>
                <w:noProof/>
              </w:rPr>
              <w:t>6</w:t>
            </w:r>
            <w:r>
              <w:tab/>
              <w:t>Impact of b</w:t>
            </w:r>
            <w:r w:rsidRPr="004611A6">
              <w:t>uilding regulations: participants’ views</w:t>
            </w:r>
          </w:p>
        </w:tc>
      </w:tr>
      <w:tr w:rsidR="00DE1537" w14:paraId="5EBD63B4" w14:textId="77777777" w:rsidTr="00343F3E">
        <w:trPr>
          <w:cantSplit/>
        </w:trPr>
        <w:tc>
          <w:tcPr>
            <w:tcW w:w="8771" w:type="dxa"/>
            <w:tcBorders>
              <w:top w:val="nil"/>
              <w:left w:val="nil"/>
              <w:bottom w:val="nil"/>
              <w:right w:val="nil"/>
            </w:tcBorders>
            <w:shd w:val="clear" w:color="auto" w:fill="F2F2F2" w:themeFill="background1" w:themeFillShade="F2"/>
          </w:tcPr>
          <w:p w14:paraId="757696CF" w14:textId="77777777" w:rsidR="00DE1537" w:rsidRDefault="00DE1537" w:rsidP="00343F3E">
            <w:pPr>
              <w:pStyle w:val="BoxHeading1"/>
            </w:pPr>
            <w:r>
              <w:t>Examples of building regulations having reduced natural disaster vulnerability</w:t>
            </w:r>
          </w:p>
          <w:p w14:paraId="6184759D" w14:textId="77777777" w:rsidR="00DE1537" w:rsidRDefault="00DE1537" w:rsidP="00343F3E">
            <w:pPr>
              <w:pStyle w:val="Box"/>
            </w:pPr>
            <w:r>
              <w:t xml:space="preserve">Geoscience Australia (sub. 111, p. 7) submitted that, based on its simulation of: </w:t>
            </w:r>
          </w:p>
          <w:p w14:paraId="31A0EFF6" w14:textId="77777777" w:rsidR="00DE1537" w:rsidRDefault="00DE1537" w:rsidP="00343F3E">
            <w:pPr>
              <w:pStyle w:val="BoxQuote"/>
            </w:pPr>
            <w:r>
              <w:t xml:space="preserve">Tropical Cyclone … </w:t>
            </w:r>
            <w:r w:rsidRPr="007F1353">
              <w:t>Tracy’s impa</w:t>
            </w:r>
            <w:r>
              <w:t>ct on Darwin as it was in 1974</w:t>
            </w:r>
            <w:r w:rsidRPr="007F1353">
              <w:t xml:space="preserve"> </w:t>
            </w:r>
            <w:r>
              <w:t>and on Darwin as it was in 2008 … [d]</w:t>
            </w:r>
            <w:r w:rsidRPr="007F1353">
              <w:t>amage severity in terms of reconstruction cost for the modern Darwin was estimated to be 90% less than that incurred in 1974 due to the reduction in building vulnerability achieved through improved post</w:t>
            </w:r>
            <w:r>
              <w:noBreakHyphen/>
            </w:r>
            <w:r w:rsidRPr="007F1353">
              <w:t>Tracy building standards.</w:t>
            </w:r>
          </w:p>
          <w:p w14:paraId="062287BD" w14:textId="77777777" w:rsidR="00DE1537" w:rsidRDefault="00DE1537" w:rsidP="00343F3E">
            <w:pPr>
              <w:pStyle w:val="Box"/>
            </w:pPr>
            <w:r>
              <w:t>The Regional Australia Institute (sub. 61, attachment 5, p. 14) submitted that, in relation to the town of Cardwell following Tropical Cyclone Yasi:</w:t>
            </w:r>
          </w:p>
          <w:p w14:paraId="75BE0931" w14:textId="77777777" w:rsidR="00DE1537" w:rsidRPr="000D05C9" w:rsidRDefault="00DE1537" w:rsidP="00343F3E">
            <w:pPr>
              <w:pStyle w:val="BoxQuote"/>
            </w:pPr>
            <w:r>
              <w:t xml:space="preserve">… </w:t>
            </w:r>
            <w:proofErr w:type="gramStart"/>
            <w:r w:rsidRPr="000D05C9">
              <w:t>the</w:t>
            </w:r>
            <w:proofErr w:type="gramEnd"/>
            <w:r w:rsidRPr="000D05C9">
              <w:t xml:space="preserve"> majority of insurance funded reconstruction work has seen an increase in the standard of construction, particularly the standard to which housing stock has been rebuilt. Despite the delays and frustrations experienced by the community in the reconstruction process, there is recognition that improving the quality and increasing the standards of construction will enhance the town’s resilience to future cyclones.</w:t>
            </w:r>
          </w:p>
          <w:p w14:paraId="16738B19" w14:textId="77777777" w:rsidR="00DE1537" w:rsidRDefault="00DE1537" w:rsidP="00343F3E">
            <w:pPr>
              <w:pStyle w:val="BoxHeading1"/>
            </w:pPr>
            <w:r>
              <w:t>Examples of legacy issues yet to be resolved by current building standards</w:t>
            </w:r>
          </w:p>
          <w:p w14:paraId="69ABFFF1" w14:textId="77777777" w:rsidR="00DE1537" w:rsidRDefault="00DE1537" w:rsidP="00343F3E">
            <w:pPr>
              <w:pStyle w:val="Box"/>
            </w:pPr>
            <w:r>
              <w:t>Geoscience Australia (sub. 111, p. 5) indicated that:</w:t>
            </w:r>
          </w:p>
          <w:p w14:paraId="0686B3CB" w14:textId="77777777" w:rsidR="00DE1537" w:rsidRDefault="00DE1537" w:rsidP="00343F3E">
            <w:pPr>
              <w:pStyle w:val="BoxQuote"/>
            </w:pPr>
            <w:r>
              <w:t xml:space="preserve">… </w:t>
            </w:r>
            <w:proofErr w:type="gramStart"/>
            <w:r w:rsidRPr="00B256FE">
              <w:t>many</w:t>
            </w:r>
            <w:proofErr w:type="gramEnd"/>
            <w:r w:rsidRPr="00B256FE">
              <w:t xml:space="preserve"> coastal communities in North Queensland have building stock that comprises 60% legacy buildings that do not meet current wind</w:t>
            </w:r>
            <w:r>
              <w:noBreakHyphen/>
            </w:r>
            <w:r w:rsidRPr="00B256FE">
              <w:t>loading standards</w:t>
            </w:r>
            <w:r>
              <w:t>.</w:t>
            </w:r>
          </w:p>
          <w:p w14:paraId="78AC3428" w14:textId="77777777" w:rsidR="00DE1537" w:rsidRDefault="00DE1537" w:rsidP="00343F3E">
            <w:pPr>
              <w:pStyle w:val="Box"/>
            </w:pPr>
            <w:r>
              <w:t>The Bushfire and Natural Hazards Cooperative Research Centre (sub. 41, p. 14) noted that:</w:t>
            </w:r>
          </w:p>
          <w:p w14:paraId="0159D254" w14:textId="77777777" w:rsidR="00DE1537" w:rsidRDefault="00DE1537" w:rsidP="00343F3E">
            <w:pPr>
              <w:pStyle w:val="BoxQuote"/>
            </w:pPr>
            <w:r w:rsidRPr="005110B0">
              <w:t>Typically older Australian houses built prior to the mid</w:t>
            </w:r>
            <w:r>
              <w:noBreakHyphen/>
            </w:r>
            <w:r w:rsidRPr="005110B0">
              <w:t>1980s do not offer the same level of performance and protection during windstorms as houses constructed to contemporary building standards. Given that existing houses will represent the bulk of the housing stock for many decades, practical structural upgrading solutions based on the latest research will make a significant improvement to housing performance and to the economic and social wellbeing of the community.</w:t>
            </w:r>
          </w:p>
          <w:p w14:paraId="6DE6944A" w14:textId="77777777" w:rsidR="00DE1537" w:rsidRDefault="00DE1537" w:rsidP="00343F3E">
            <w:pPr>
              <w:pStyle w:val="Box"/>
            </w:pPr>
            <w:r>
              <w:t>The Actuaries Institute (sub. 97, p. 9) expressed concern that:</w:t>
            </w:r>
          </w:p>
          <w:p w14:paraId="41D3C86E" w14:textId="77777777" w:rsidR="00DE1537" w:rsidRDefault="00DE1537" w:rsidP="00343F3E">
            <w:pPr>
              <w:pStyle w:val="BoxQuote"/>
            </w:pPr>
            <w:r w:rsidRPr="005D7852">
              <w:t>Following an event, damaged properties tend to be rebuilt with little or no additional mitigation works on the property or surrounding areas. An example of this is the recent flooding across QLD (2011/12, 2013), in which many areas were flooded, rebuilt, then flooded again</w:t>
            </w:r>
            <w:r>
              <w:t xml:space="preserve"> …</w:t>
            </w:r>
          </w:p>
          <w:p w14:paraId="74BCF867" w14:textId="77777777" w:rsidR="00DE1537" w:rsidRDefault="00DE1537" w:rsidP="00343F3E">
            <w:pPr>
              <w:pStyle w:val="Box"/>
            </w:pPr>
            <w:r w:rsidRPr="003B4090">
              <w:t>Ja</w:t>
            </w:r>
            <w:r>
              <w:t>mes Cook University (sub. DR127, p. 1) argued that there is room for improvement:</w:t>
            </w:r>
          </w:p>
          <w:p w14:paraId="10927C76" w14:textId="77777777" w:rsidR="00DE1537" w:rsidRPr="003B4090" w:rsidRDefault="00DE1537" w:rsidP="00343F3E">
            <w:pPr>
              <w:pStyle w:val="BoxQuote"/>
            </w:pPr>
            <w:r w:rsidRPr="003B4090">
              <w:t xml:space="preserve">Building standards </w:t>
            </w:r>
            <w:r>
              <w:t xml:space="preserve">… [have] </w:t>
            </w:r>
            <w:r w:rsidRPr="003B4090">
              <w:t>been most effective in cyclone prone areas but a great deal of development is yet to occur in flood proofing, bushfire mitigation and retrofitting of older buildings more generally.</w:t>
            </w:r>
          </w:p>
        </w:tc>
      </w:tr>
      <w:tr w:rsidR="00DE1537" w14:paraId="73A06B7E"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2A6CA02" w14:textId="77777777" w:rsidR="00DE1537" w:rsidRDefault="00DE1537" w:rsidP="00343F3E">
            <w:pPr>
              <w:pStyle w:val="Box"/>
              <w:spacing w:before="0" w:line="120" w:lineRule="exact"/>
            </w:pPr>
          </w:p>
        </w:tc>
      </w:tr>
      <w:tr w:rsidR="00DE1537" w:rsidRPr="000863A5" w14:paraId="3A295625" w14:textId="77777777" w:rsidTr="00343F3E">
        <w:tc>
          <w:tcPr>
            <w:tcW w:w="8771" w:type="dxa"/>
            <w:tcBorders>
              <w:top w:val="single" w:sz="6" w:space="0" w:color="78A22F"/>
              <w:left w:val="nil"/>
              <w:bottom w:val="nil"/>
              <w:right w:val="nil"/>
            </w:tcBorders>
          </w:tcPr>
          <w:p w14:paraId="6C48A686" w14:textId="77777777" w:rsidR="00DE1537" w:rsidRPr="00626D32" w:rsidRDefault="00DE1537" w:rsidP="00343F3E">
            <w:pPr>
              <w:pStyle w:val="BoxSpaceBelow"/>
            </w:pPr>
          </w:p>
        </w:tc>
      </w:tr>
    </w:tbl>
    <w:p w14:paraId="5EDA9FD5" w14:textId="77777777" w:rsidR="00DE1537" w:rsidRDefault="00DE1537" w:rsidP="00343F3E">
      <w:pPr>
        <w:pStyle w:val="BodyText"/>
      </w:pPr>
      <w:proofErr w:type="gramStart"/>
      <w:r>
        <w:t xml:space="preserve">James </w:t>
      </w:r>
      <w:r w:rsidRPr="00963D86">
        <w:t>Cook University (sub.</w:t>
      </w:r>
      <w:proofErr w:type="gramEnd"/>
      <w:r>
        <w:t> </w:t>
      </w:r>
      <w:r w:rsidRPr="00963D86">
        <w:t>DR127</w:t>
      </w:r>
      <w:r>
        <w:t>, p. 1</w:t>
      </w:r>
      <w:r w:rsidRPr="00963D86">
        <w:t>)</w:t>
      </w:r>
      <w:r>
        <w:t xml:space="preserve"> saw merit in increased involvement of ‘independent technical experts’ and research organisations, such as the CSIRO, in the ABCB’s standards development processes.</w:t>
      </w:r>
    </w:p>
    <w:p w14:paraId="043298C8" w14:textId="16027A8C" w:rsidR="00DE1537" w:rsidRDefault="00DE1537" w:rsidP="00343F3E">
      <w:pPr>
        <w:pStyle w:val="BodyText"/>
      </w:pPr>
      <w:r>
        <w:t xml:space="preserve">Building regulations impose costs, including on those building or rebuilding properties after a natural </w:t>
      </w:r>
      <w:proofErr w:type="gramStart"/>
      <w:r>
        <w:t>disaster,</w:t>
      </w:r>
      <w:proofErr w:type="gramEnd"/>
      <w:r>
        <w:t xml:space="preserve"> and these are taken into account in the regulatory impact analysis performed by the ABCB. The National Sea Change Taskforce (sub. 18) recommended an increase in the stringency of building regulations, in order to ‘disaster</w:t>
      </w:r>
      <w:r>
        <w:noBreakHyphen/>
        <w:t xml:space="preserve">proof’ buildings in high disaster risk locations, such as coastal areas, in a manner analogous to the change in building codes in Darwin following Cyclone Tracy in 1974. The ABCB takes a </w:t>
      </w:r>
      <w:r>
        <w:br/>
        <w:t xml:space="preserve">cost–benefit approach to suggested changes (box 6.7) and has stated that changes to the </w:t>
      </w:r>
      <w:r>
        <w:lastRenderedPageBreak/>
        <w:t>building code must be ‘</w:t>
      </w:r>
      <w:r w:rsidRPr="00B30BD3">
        <w:t>evidence based with the problem clearly articulated and the response proportion</w:t>
      </w:r>
      <w:r>
        <w:t xml:space="preserve">al to the issue being addressed’ </w:t>
      </w:r>
      <w:r w:rsidRPr="00362A7A">
        <w:rPr>
          <w:szCs w:val="24"/>
        </w:rPr>
        <w:t>(Thwaites 2012, p. 10)</w:t>
      </w:r>
      <w:r>
        <w:t>.</w:t>
      </w:r>
    </w:p>
    <w:p w14:paraId="241BE17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49EE182" w14:textId="77777777" w:rsidTr="00343F3E">
        <w:tc>
          <w:tcPr>
            <w:tcW w:w="8771" w:type="dxa"/>
            <w:tcBorders>
              <w:top w:val="single" w:sz="6" w:space="0" w:color="78A22F"/>
              <w:left w:val="nil"/>
              <w:bottom w:val="nil"/>
              <w:right w:val="nil"/>
            </w:tcBorders>
            <w:shd w:val="clear" w:color="auto" w:fill="F2F2F2" w:themeFill="background1" w:themeFillShade="F2"/>
          </w:tcPr>
          <w:p w14:paraId="5CA442AD" w14:textId="4C70E3DC" w:rsidR="00DE1537" w:rsidRDefault="00DE1537" w:rsidP="00343F3E">
            <w:pPr>
              <w:pStyle w:val="BoxTitle"/>
            </w:pPr>
            <w:r>
              <w:rPr>
                <w:b w:val="0"/>
              </w:rPr>
              <w:t>Box 6.</w:t>
            </w:r>
            <w:r>
              <w:rPr>
                <w:b w:val="0"/>
                <w:noProof/>
              </w:rPr>
              <w:t>7</w:t>
            </w:r>
            <w:r>
              <w:tab/>
              <w:t>National Construction Code: r</w:t>
            </w:r>
            <w:r w:rsidRPr="004611A6">
              <w:t>egulation impact analysis processes</w:t>
            </w:r>
          </w:p>
        </w:tc>
      </w:tr>
      <w:tr w:rsidR="00DE1537" w14:paraId="347DC524" w14:textId="77777777" w:rsidTr="00343F3E">
        <w:trPr>
          <w:cantSplit/>
        </w:trPr>
        <w:tc>
          <w:tcPr>
            <w:tcW w:w="8771" w:type="dxa"/>
            <w:tcBorders>
              <w:top w:val="nil"/>
              <w:left w:val="nil"/>
              <w:bottom w:val="nil"/>
              <w:right w:val="nil"/>
            </w:tcBorders>
            <w:shd w:val="clear" w:color="auto" w:fill="F2F2F2" w:themeFill="background1" w:themeFillShade="F2"/>
          </w:tcPr>
          <w:p w14:paraId="7E3DF8F6" w14:textId="77777777" w:rsidR="00DE1537" w:rsidRDefault="00DE1537" w:rsidP="00343F3E">
            <w:pPr>
              <w:pStyle w:val="Box"/>
            </w:pPr>
            <w:r>
              <w:t>T</w:t>
            </w:r>
            <w:r w:rsidRPr="000F54DB">
              <w:t xml:space="preserve">he Australian Building Codes Board (ABCB) </w:t>
            </w:r>
            <w:r>
              <w:t xml:space="preserve">uses regulation impact analysis processes </w:t>
            </w:r>
            <w:r w:rsidRPr="000F54DB">
              <w:t xml:space="preserve">to </w:t>
            </w:r>
            <w:r>
              <w:t>assess the likely impacts of a proposed regulation, relative to alternative options for meeting the same policy objectives. The processes incorporate consultation with stakeholders to gather information about the potential costs and benefits of a proposed change to building regulations. Regulation impact analysis is required for compliance with the COAG intergovernmental agreement that established the ABCB, and follows COAG Best Practice Regulation guidelines.</w:t>
            </w:r>
          </w:p>
          <w:p w14:paraId="2A84F32C" w14:textId="77777777" w:rsidR="00DE1537" w:rsidRDefault="00DE1537" w:rsidP="00343F3E">
            <w:pPr>
              <w:pStyle w:val="Box"/>
            </w:pPr>
            <w:r>
              <w:t>The ABCB follows a three</w:t>
            </w:r>
            <w:r>
              <w:noBreakHyphen/>
              <w:t>tiered approach to regulation impact analysis.</w:t>
            </w:r>
          </w:p>
          <w:p w14:paraId="4971B7ED" w14:textId="77777777" w:rsidR="00DE1537" w:rsidRDefault="00DE1537" w:rsidP="00343F3E">
            <w:pPr>
              <w:pStyle w:val="BoxListNumber"/>
              <w:spacing w:before="60" w:line="280" w:lineRule="atLeast"/>
            </w:pPr>
            <w:r>
              <w:t>Proposal for change — requiring proponents to justify proposed amendments to the National Construction Code. If considered to have merit, the proposed amendments may be included in the following public comment draft of the relevant volume of the National Construction Code.</w:t>
            </w:r>
          </w:p>
          <w:p w14:paraId="2AA9C9E1" w14:textId="77777777" w:rsidR="00DE1537" w:rsidRDefault="00DE1537" w:rsidP="00343F3E">
            <w:pPr>
              <w:pStyle w:val="BoxListNumber"/>
              <w:spacing w:before="60" w:line="280" w:lineRule="atLeast"/>
            </w:pPr>
            <w:r>
              <w:t>Preliminary impact analysis — early</w:t>
            </w:r>
            <w:r>
              <w:noBreakHyphen/>
              <w:t>stage analysis of proposed amendments, identifying ‘material impacts’ and assessing whether a full regulation impact statement should be developed.</w:t>
            </w:r>
          </w:p>
          <w:p w14:paraId="4EB27ADA" w14:textId="77777777" w:rsidR="00DE1537" w:rsidRDefault="00DE1537" w:rsidP="00343F3E">
            <w:pPr>
              <w:pStyle w:val="BoxListNumber"/>
              <w:spacing w:before="60" w:line="280" w:lineRule="atLeast"/>
            </w:pPr>
            <w:r>
              <w:t xml:space="preserve">Regulation impact statement — a comprehensive </w:t>
            </w:r>
            <w:r w:rsidRPr="00B71191">
              <w:t>assessment of the impacts of proposed regulation</w:t>
            </w:r>
            <w:r>
              <w:t xml:space="preserve">, including </w:t>
            </w:r>
            <w:r w:rsidRPr="00B71191">
              <w:t>comparative analysis of the impacts of all regulatory and non</w:t>
            </w:r>
            <w:r>
              <w:noBreakHyphen/>
            </w:r>
            <w:r w:rsidRPr="00B71191">
              <w:t>regulatory options</w:t>
            </w:r>
            <w:r>
              <w:t xml:space="preserve"> to identify the option that yields the greatest community net benefit.</w:t>
            </w:r>
          </w:p>
          <w:p w14:paraId="301FED4A" w14:textId="77777777" w:rsidR="00DE1537" w:rsidRDefault="00DE1537" w:rsidP="00343F3E">
            <w:pPr>
              <w:pStyle w:val="Box"/>
            </w:pPr>
            <w:r>
              <w:t>The ABCB notes that all its preliminary impact analyses and regulation impact statements are required to:</w:t>
            </w:r>
          </w:p>
          <w:p w14:paraId="53DEFF88" w14:textId="77777777" w:rsidR="00DE1537" w:rsidRPr="00334217" w:rsidRDefault="00DE1537" w:rsidP="00343F3E">
            <w:pPr>
              <w:pStyle w:val="BoxListBullet"/>
              <w:spacing w:before="60" w:line="280" w:lineRule="atLeast"/>
            </w:pPr>
            <w:r w:rsidRPr="00334217">
              <w:t>identify the n</w:t>
            </w:r>
            <w:r>
              <w:t>ature and extent of the problem</w:t>
            </w:r>
          </w:p>
          <w:p w14:paraId="2CFDE178" w14:textId="77777777" w:rsidR="00DE1537" w:rsidRPr="00334217" w:rsidRDefault="00DE1537" w:rsidP="00343F3E">
            <w:pPr>
              <w:pStyle w:val="BoxListBullet"/>
              <w:spacing w:before="60" w:line="280" w:lineRule="atLeast"/>
            </w:pPr>
            <w:r w:rsidRPr="00334217">
              <w:t>specify the ob</w:t>
            </w:r>
            <w:r>
              <w:t>jectives of the proposed change</w:t>
            </w:r>
          </w:p>
          <w:p w14:paraId="22BF8300" w14:textId="77777777" w:rsidR="00DE1537" w:rsidRPr="00334217" w:rsidRDefault="00DE1537" w:rsidP="00343F3E">
            <w:pPr>
              <w:pStyle w:val="BoxListBullet"/>
              <w:spacing w:before="60" w:line="280" w:lineRule="atLeast"/>
            </w:pPr>
            <w:r w:rsidRPr="00334217">
              <w:t>identify all options including no ch</w:t>
            </w:r>
            <w:r>
              <w:t>ange and non</w:t>
            </w:r>
            <w:r>
              <w:noBreakHyphen/>
              <w:t>regulatory options</w:t>
            </w:r>
          </w:p>
          <w:p w14:paraId="281158A4" w14:textId="77777777" w:rsidR="00DE1537" w:rsidRPr="00334217" w:rsidRDefault="00DE1537" w:rsidP="00343F3E">
            <w:pPr>
              <w:pStyle w:val="BoxListBullet"/>
              <w:spacing w:before="60" w:line="280" w:lineRule="atLeast"/>
            </w:pPr>
            <w:r w:rsidRPr="00334217">
              <w:t>consider the impacts including compliance c</w:t>
            </w:r>
            <w:r>
              <w:t>osts and effects on competition</w:t>
            </w:r>
          </w:p>
          <w:p w14:paraId="3C82438D" w14:textId="77777777" w:rsidR="00DE1537" w:rsidRPr="00334217" w:rsidRDefault="00DE1537" w:rsidP="00343F3E">
            <w:pPr>
              <w:pStyle w:val="BoxListBullet"/>
              <w:spacing w:before="60" w:line="280" w:lineRule="atLeast"/>
            </w:pPr>
            <w:r w:rsidRPr="00334217">
              <w:t xml:space="preserve">analyse the costs and </w:t>
            </w:r>
            <w:r>
              <w:t>benefits of the various options</w:t>
            </w:r>
          </w:p>
          <w:p w14:paraId="6C6645FF" w14:textId="77777777" w:rsidR="00DE1537" w:rsidRPr="00334217" w:rsidRDefault="00DE1537" w:rsidP="00343F3E">
            <w:pPr>
              <w:pStyle w:val="BoxListBullet"/>
              <w:spacing w:before="60" w:line="280" w:lineRule="atLeast"/>
            </w:pPr>
            <w:r w:rsidRPr="00334217">
              <w:t>include details and outco</w:t>
            </w:r>
            <w:r>
              <w:t>mes of stakeholder consultation</w:t>
            </w:r>
          </w:p>
          <w:p w14:paraId="2A98364F" w14:textId="77777777" w:rsidR="00DE1537" w:rsidRDefault="00DE1537" w:rsidP="00343F3E">
            <w:pPr>
              <w:pStyle w:val="BoxListBullet"/>
              <w:spacing w:before="60" w:line="280" w:lineRule="atLeast"/>
            </w:pPr>
            <w:r w:rsidRPr="00334217">
              <w:t>consider the timeframe and metho</w:t>
            </w:r>
            <w:r>
              <w:t>d for implementation and review</w:t>
            </w:r>
          </w:p>
          <w:p w14:paraId="2C68331E" w14:textId="77777777" w:rsidR="00DE1537" w:rsidRDefault="00DE1537" w:rsidP="00343F3E">
            <w:pPr>
              <w:pStyle w:val="BoxListBullet"/>
              <w:spacing w:before="60" w:line="280" w:lineRule="atLeast"/>
            </w:pPr>
            <w:proofErr w:type="gramStart"/>
            <w:r w:rsidRPr="00334217">
              <w:t>recommend</w:t>
            </w:r>
            <w:proofErr w:type="gramEnd"/>
            <w:r w:rsidRPr="00334217">
              <w:t xml:space="preserve"> the option with the greatest net social and economic benefit.</w:t>
            </w:r>
          </w:p>
        </w:tc>
      </w:tr>
      <w:tr w:rsidR="00DE1537" w14:paraId="2E35EA16" w14:textId="77777777" w:rsidTr="00343F3E">
        <w:trPr>
          <w:cantSplit/>
        </w:trPr>
        <w:tc>
          <w:tcPr>
            <w:tcW w:w="8771" w:type="dxa"/>
            <w:tcBorders>
              <w:top w:val="nil"/>
              <w:left w:val="nil"/>
              <w:bottom w:val="nil"/>
              <w:right w:val="nil"/>
            </w:tcBorders>
            <w:shd w:val="clear" w:color="auto" w:fill="F2F2F2" w:themeFill="background1" w:themeFillShade="F2"/>
          </w:tcPr>
          <w:p w14:paraId="5800B53E" w14:textId="21F710E1" w:rsidR="00DE1537" w:rsidRDefault="00DE1537" w:rsidP="00343F3E">
            <w:pPr>
              <w:pStyle w:val="BoxSource"/>
            </w:pPr>
            <w:r>
              <w:rPr>
                <w:i/>
              </w:rPr>
              <w:t>Sources</w:t>
            </w:r>
            <w:r w:rsidRPr="00167F06">
              <w:t xml:space="preserve">: </w:t>
            </w:r>
            <w:r>
              <w:t xml:space="preserve">ABCB </w:t>
            </w:r>
            <w:r w:rsidRPr="00362A7A">
              <w:rPr>
                <w:rFonts w:cs="Arial"/>
              </w:rPr>
              <w:t>(2011, 2013a, 2013b)</w:t>
            </w:r>
            <w:r>
              <w:t>.</w:t>
            </w:r>
          </w:p>
        </w:tc>
      </w:tr>
      <w:tr w:rsidR="00DE1537" w14:paraId="7D325B0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5620A4F" w14:textId="77777777" w:rsidR="00DE1537" w:rsidRDefault="00DE1537" w:rsidP="00343F3E">
            <w:pPr>
              <w:pStyle w:val="Box"/>
              <w:spacing w:before="0" w:line="120" w:lineRule="exact"/>
            </w:pPr>
          </w:p>
        </w:tc>
      </w:tr>
      <w:tr w:rsidR="00DE1537" w:rsidRPr="000863A5" w14:paraId="3D51FAF2" w14:textId="77777777" w:rsidTr="00343F3E">
        <w:tc>
          <w:tcPr>
            <w:tcW w:w="8771" w:type="dxa"/>
            <w:tcBorders>
              <w:top w:val="single" w:sz="6" w:space="0" w:color="78A22F"/>
              <w:left w:val="nil"/>
              <w:bottom w:val="nil"/>
              <w:right w:val="nil"/>
            </w:tcBorders>
          </w:tcPr>
          <w:p w14:paraId="0FDA1B32" w14:textId="77777777" w:rsidR="00DE1537" w:rsidRPr="00626D32" w:rsidRDefault="00DE1537" w:rsidP="00343F3E">
            <w:pPr>
              <w:pStyle w:val="BoxSpaceBelow"/>
            </w:pPr>
          </w:p>
        </w:tc>
      </w:tr>
    </w:tbl>
    <w:p w14:paraId="0D14EF15" w14:textId="6B8FC412" w:rsidR="00380F08" w:rsidRDefault="00380F08" w:rsidP="00343F3E">
      <w:pPr>
        <w:pStyle w:val="BodyText"/>
      </w:pPr>
    </w:p>
    <w:p w14:paraId="0561D36A" w14:textId="77777777" w:rsidR="00380F08" w:rsidRDefault="00380F08">
      <w:pPr>
        <w:rPr>
          <w:szCs w:val="20"/>
        </w:rPr>
      </w:pPr>
      <w:r>
        <w:br w:type="page"/>
      </w:r>
    </w:p>
    <w:p w14:paraId="55CB8F64" w14:textId="1F52C2E4" w:rsidR="00DE1537" w:rsidRPr="005A2F91" w:rsidRDefault="00DE1537" w:rsidP="00380F08">
      <w:pPr>
        <w:pStyle w:val="BodyText"/>
      </w:pPr>
      <w:r>
        <w:lastRenderedPageBreak/>
        <w:t>For example, building code amendments following the 2009 Victorian bushfires increased the costs of rebuilding properties in fire</w:t>
      </w:r>
      <w:r>
        <w:noBreakHyphen/>
        <w:t>prone areas.</w:t>
      </w:r>
      <w:r>
        <w:rPr>
          <w:rStyle w:val="FootnoteReference"/>
        </w:rPr>
        <w:footnoteReference w:id="15"/>
      </w:r>
      <w:r>
        <w:t xml:space="preserve"> Anecdotal evidence submitted by Legal Aid NSW (sub. 100) estimated the additional costs at up to $150 000 per property. The Victorian Government subsequently sought to reduce the costs of regulatory compliance through a set of bushfire planning reforms. These included approval of localised schedules for compliance with the Bushfire Management Overlay for three local governments, as well as the removal of about 7500 properties from state Bushfire Prone Area mapping (the latter change was estimated to reduce compliance costs for affected property owners by approximately $24 million in total) </w:t>
      </w:r>
      <w:r w:rsidRPr="0035102D">
        <w:t>(Victorian Government</w:t>
      </w:r>
      <w:r w:rsidRPr="0023529D">
        <w:t> </w:t>
      </w:r>
      <w:r w:rsidRPr="0035102D">
        <w:t>2014b, 2014c)</w:t>
      </w:r>
      <w:r>
        <w:t>. This example illustrates the potential flow</w:t>
      </w:r>
      <w:r>
        <w:noBreakHyphen/>
        <w:t xml:space="preserve">on effects of changes in building standards into land use planning decisions, and again demonstrates the importance of consistency between these </w:t>
      </w:r>
      <w:r w:rsidRPr="006A15DA">
        <w:t xml:space="preserve">policy areas. </w:t>
      </w:r>
    </w:p>
    <w:p w14:paraId="7D48E08B" w14:textId="0EB068E8" w:rsidR="00DE1537" w:rsidRDefault="00DE1537" w:rsidP="00343F3E">
      <w:pPr>
        <w:pStyle w:val="BodyText"/>
      </w:pPr>
      <w:r>
        <w:t xml:space="preserve">Evidence that building regulations have incorporated natural disaster risk management can be seen in recent initiatives that take account of risks posed by flood and bushfire hazards (box 6.8). More stringent building codes have, in some cases, contributed to reducing the impact of subsequent disasters. As submitted by Suncorp Group (sub. 71), the replacement and repair of buildings in north Queensland following Cyclone Larry in 2006, to a more stringent standard following changes to the NCC, resulted in lower average repair costs following the subsequent Cyclone Yasi in 2011 in the rebuilt areas. </w:t>
      </w:r>
    </w:p>
    <w:p w14:paraId="6FDB1FF1" w14:textId="77777777" w:rsidR="00DE1537" w:rsidRDefault="00DE1537" w:rsidP="00343F3E">
      <w:pPr>
        <w:pStyle w:val="Heading3"/>
      </w:pPr>
      <w:r w:rsidRPr="00FA3B08">
        <w:t>Strategies for improving risk management in building regulations</w:t>
      </w:r>
    </w:p>
    <w:p w14:paraId="44654C86" w14:textId="77777777" w:rsidR="00DE1537" w:rsidRPr="006A15DA" w:rsidRDefault="00DE1537" w:rsidP="00343F3E">
      <w:pPr>
        <w:pStyle w:val="BodyText"/>
      </w:pPr>
      <w:r>
        <w:t xml:space="preserve">It is also important that changes to building standards are communicated effectively. Some participants drew attention to a lack of awareness of the effect of updated building regulations on reconstruction costs after the 2013 Blue Mountains bushfires, resulting in underinsurance (Chris Hamill, sub. 20; Legal Aid NSW, sub. 100; Treasury, sub. 91). </w:t>
      </w:r>
    </w:p>
    <w:p w14:paraId="7D3580C6" w14:textId="77777777" w:rsidR="00DE1537" w:rsidRDefault="00DE1537" w:rsidP="00343F3E">
      <w:pPr>
        <w:pStyle w:val="BodyText"/>
      </w:pPr>
      <w:r>
        <w:t xml:space="preserve">Chris Hamill (sub. 20) argued that governments and insurers together should keep property owners informed of changes to building regulations that will significantly impact rebuilding costs, including providing an estimate of the likely change in costs. Treasury (sub. 91) similarly noted that after that event, many property owners faced rebuilding costs substantially in excess of their insurance payouts as a result of the updated building code. Legal Aid NSW (sub. 100, p. 3) recommended that there be ‘effective public education of building code changes and their impact on the cost of rebuild and individual insurance’, and that insurers should take a more active role in disclosing information to policyholders about the additional costs required to meet building standards. Such underinsurance is also </w:t>
      </w:r>
      <w:r>
        <w:lastRenderedPageBreak/>
        <w:t>attributable to most insurance policies not providing total replacement cover — rather, they provide sum insured cover — and a lack of understanding by households about what their insurance policy covers (supplementary paper 5).</w:t>
      </w:r>
    </w:p>
    <w:p w14:paraId="089A32CE"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74F1DD6" w14:textId="77777777" w:rsidTr="00343F3E">
        <w:tc>
          <w:tcPr>
            <w:tcW w:w="8771" w:type="dxa"/>
            <w:tcBorders>
              <w:top w:val="single" w:sz="6" w:space="0" w:color="78A22F"/>
              <w:left w:val="nil"/>
              <w:bottom w:val="nil"/>
              <w:right w:val="nil"/>
            </w:tcBorders>
            <w:shd w:val="clear" w:color="auto" w:fill="F2F2F2" w:themeFill="background1" w:themeFillShade="F2"/>
          </w:tcPr>
          <w:p w14:paraId="1E9BBA84" w14:textId="292FC8AD" w:rsidR="00DE1537" w:rsidRDefault="00DE1537" w:rsidP="00343F3E">
            <w:pPr>
              <w:pStyle w:val="BoxTitle"/>
            </w:pPr>
            <w:r>
              <w:rPr>
                <w:b w:val="0"/>
              </w:rPr>
              <w:t>Box 6.</w:t>
            </w:r>
            <w:r>
              <w:rPr>
                <w:b w:val="0"/>
                <w:noProof/>
              </w:rPr>
              <w:t>8</w:t>
            </w:r>
            <w:r>
              <w:tab/>
            </w:r>
            <w:r w:rsidRPr="00F3311E">
              <w:t>Recent changes to building regulations — reflecting natural disaster risk management</w:t>
            </w:r>
          </w:p>
        </w:tc>
      </w:tr>
      <w:tr w:rsidR="00DE1537" w14:paraId="73FA2796" w14:textId="77777777" w:rsidTr="00343F3E">
        <w:trPr>
          <w:cantSplit/>
        </w:trPr>
        <w:tc>
          <w:tcPr>
            <w:tcW w:w="8771" w:type="dxa"/>
            <w:tcBorders>
              <w:top w:val="nil"/>
              <w:left w:val="nil"/>
              <w:bottom w:val="nil"/>
              <w:right w:val="nil"/>
            </w:tcBorders>
            <w:shd w:val="clear" w:color="auto" w:fill="F2F2F2" w:themeFill="background1" w:themeFillShade="F2"/>
          </w:tcPr>
          <w:p w14:paraId="11388A50" w14:textId="77777777" w:rsidR="00DE1537" w:rsidRDefault="00DE1537" w:rsidP="00343F3E">
            <w:pPr>
              <w:pStyle w:val="BoxHeading1"/>
            </w:pPr>
            <w:r>
              <w:t>Building in flood</w:t>
            </w:r>
            <w:r>
              <w:noBreakHyphen/>
              <w:t>prone areas</w:t>
            </w:r>
          </w:p>
          <w:p w14:paraId="411EE44C" w14:textId="77777777" w:rsidR="00DE1537" w:rsidRPr="00F3739F" w:rsidRDefault="00DE1537" w:rsidP="00343F3E">
            <w:pPr>
              <w:pStyle w:val="Box"/>
            </w:pPr>
            <w:r w:rsidRPr="00F3739F">
              <w:t>In 2012</w:t>
            </w:r>
            <w:r>
              <w:t>,</w:t>
            </w:r>
            <w:r w:rsidRPr="00F3739F">
              <w:t xml:space="preserve"> the </w:t>
            </w:r>
            <w:r w:rsidRPr="00996BE7">
              <w:t xml:space="preserve">Australian Building Codes Board </w:t>
            </w:r>
            <w:r>
              <w:t xml:space="preserve">(ABCB) </w:t>
            </w:r>
            <w:r w:rsidRPr="00F3739F">
              <w:t>produced stricter building standards for the construction of buildings in flood hazard areas. The new standard</w:t>
            </w:r>
            <w:r>
              <w:t>s</w:t>
            </w:r>
            <w:r w:rsidRPr="00F3739F">
              <w:t xml:space="preserve"> </w:t>
            </w:r>
            <w:r>
              <w:t xml:space="preserve">were </w:t>
            </w:r>
            <w:r w:rsidRPr="00F3739F">
              <w:t>introduced in 2013 with the aim of protecting lives</w:t>
            </w:r>
            <w:r>
              <w:t xml:space="preserve"> in the event of a flood. Each state, t</w:t>
            </w:r>
            <w:r w:rsidRPr="00F3739F">
              <w:t xml:space="preserve">erritory or local government authority holds responsibility for identifying </w:t>
            </w:r>
            <w:r>
              <w:t xml:space="preserve">applicable </w:t>
            </w:r>
            <w:r w:rsidRPr="00F3739F">
              <w:t>flood hazard areas.</w:t>
            </w:r>
          </w:p>
          <w:p w14:paraId="59290B27" w14:textId="77777777" w:rsidR="00DE1537" w:rsidRPr="00F3739F" w:rsidRDefault="00DE1537" w:rsidP="00343F3E">
            <w:pPr>
              <w:pStyle w:val="Box"/>
            </w:pPr>
            <w:r>
              <w:t>The ABCB noted</w:t>
            </w:r>
            <w:r w:rsidRPr="00F3739F">
              <w:t xml:space="preserve"> that the new standard should be used in conjunction with other mitigation measures to reduce the risk to life from floodin</w:t>
            </w:r>
            <w:r>
              <w:t xml:space="preserve">g. </w:t>
            </w:r>
            <w:r w:rsidRPr="00F3739F">
              <w:t>This set of measures generally involves a combination of effective land use planning considering flood hazard, flood mitigation measures, emergency response strategies for fl</w:t>
            </w:r>
            <w:r>
              <w:t>ooding and building standards</w:t>
            </w:r>
            <w:r w:rsidRPr="00F3739F">
              <w:t>.</w:t>
            </w:r>
          </w:p>
          <w:p w14:paraId="169DC551" w14:textId="77777777" w:rsidR="00DE1537" w:rsidRDefault="00DE1537" w:rsidP="00343F3E">
            <w:pPr>
              <w:pStyle w:val="BoxHeading1"/>
            </w:pPr>
            <w:r>
              <w:t>Bushfire</w:t>
            </w:r>
            <w:r>
              <w:noBreakHyphen/>
              <w:t>related standards</w:t>
            </w:r>
          </w:p>
          <w:p w14:paraId="3DA7685A" w14:textId="77777777" w:rsidR="00DE1537" w:rsidRPr="00F3739F" w:rsidRDefault="00DE1537" w:rsidP="00343F3E">
            <w:pPr>
              <w:pStyle w:val="Box"/>
            </w:pPr>
            <w:r w:rsidRPr="00F3739F">
              <w:t xml:space="preserve">In its final report delivered in 2010, the </w:t>
            </w:r>
            <w:r>
              <w:t xml:space="preserve">2009 </w:t>
            </w:r>
            <w:r w:rsidRPr="00F3739F">
              <w:t>Victor</w:t>
            </w:r>
            <w:r>
              <w:t xml:space="preserve">ian Bushfires Royal Commission </w:t>
            </w:r>
            <w:r w:rsidRPr="00F3739F">
              <w:t xml:space="preserve">made several recommendations directed at improvements to be made by the ABCB. For example, it recommended that the performance requirements in the </w:t>
            </w:r>
            <w:r>
              <w:t>Building Code of Australia</w:t>
            </w:r>
            <w:r w:rsidRPr="00F3739F">
              <w:t xml:space="preserve"> be amended to incorporate reducing the risk of ignition from ember attack.</w:t>
            </w:r>
          </w:p>
          <w:p w14:paraId="5A5B19D0" w14:textId="77777777" w:rsidR="00DE1537" w:rsidRDefault="00DE1537" w:rsidP="00343F3E">
            <w:pPr>
              <w:pStyle w:val="Box"/>
            </w:pPr>
            <w:r w:rsidRPr="00F3739F">
              <w:t xml:space="preserve">The ABCB has taken steps in response to the </w:t>
            </w:r>
            <w:r>
              <w:t xml:space="preserve">2009 Victorian Bushfires Royal Commission’s </w:t>
            </w:r>
            <w:r w:rsidRPr="00F3739F">
              <w:t xml:space="preserve">recommendations such as publishing a performance standard for private bushfire shelters and amending the </w:t>
            </w:r>
            <w:r>
              <w:t>National Construction Code</w:t>
            </w:r>
            <w:r w:rsidRPr="00F3739F">
              <w:t xml:space="preserve"> to</w:t>
            </w:r>
            <w:r>
              <w:t xml:space="preserve"> include</w:t>
            </w:r>
            <w:r w:rsidRPr="00F3739F">
              <w:t xml:space="preserve"> a requirement to reduce the risk </w:t>
            </w:r>
            <w:r>
              <w:t>of ignition from ember attack</w:t>
            </w:r>
            <w:r w:rsidRPr="00F3739F">
              <w:t>. The ABCB is also working with Standards Australia</w:t>
            </w:r>
            <w:r>
              <w:t xml:space="preserve"> on the development of bushfire</w:t>
            </w:r>
            <w:r>
              <w:noBreakHyphen/>
            </w:r>
            <w:r w:rsidRPr="00F3739F">
              <w:t>related standards and their dissemination to the community.</w:t>
            </w:r>
          </w:p>
        </w:tc>
      </w:tr>
      <w:tr w:rsidR="00DE1537" w14:paraId="10F31F81" w14:textId="77777777" w:rsidTr="00343F3E">
        <w:trPr>
          <w:cantSplit/>
        </w:trPr>
        <w:tc>
          <w:tcPr>
            <w:tcW w:w="8771" w:type="dxa"/>
            <w:tcBorders>
              <w:top w:val="nil"/>
              <w:left w:val="nil"/>
              <w:bottom w:val="nil"/>
              <w:right w:val="nil"/>
            </w:tcBorders>
            <w:shd w:val="clear" w:color="auto" w:fill="F2F2F2" w:themeFill="background1" w:themeFillShade="F2"/>
          </w:tcPr>
          <w:p w14:paraId="5ECD9C54" w14:textId="3761151A" w:rsidR="00DE1537" w:rsidRDefault="00DE1537" w:rsidP="00343F3E">
            <w:pPr>
              <w:pStyle w:val="BoxSource"/>
            </w:pPr>
            <w:r>
              <w:rPr>
                <w:i/>
              </w:rPr>
              <w:t>Sources</w:t>
            </w:r>
            <w:r w:rsidRPr="00167F06">
              <w:t xml:space="preserve">: </w:t>
            </w:r>
            <w:r>
              <w:t xml:space="preserve">ABCB </w:t>
            </w:r>
            <w:r w:rsidRPr="00362A7A">
              <w:rPr>
                <w:rFonts w:cs="Arial"/>
              </w:rPr>
              <w:t>(2012, 2014a)</w:t>
            </w:r>
            <w:r>
              <w:t xml:space="preserve">; VBRC </w:t>
            </w:r>
            <w:r w:rsidR="007C5656" w:rsidRPr="007C5656">
              <w:rPr>
                <w:rFonts w:cs="Arial"/>
              </w:rPr>
              <w:t>(2010a)</w:t>
            </w:r>
            <w:r>
              <w:t>.</w:t>
            </w:r>
          </w:p>
        </w:tc>
      </w:tr>
      <w:tr w:rsidR="00DE1537" w14:paraId="27175EBC"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A0C5B4C" w14:textId="77777777" w:rsidR="00DE1537" w:rsidRDefault="00DE1537" w:rsidP="00343F3E">
            <w:pPr>
              <w:pStyle w:val="Box"/>
              <w:spacing w:before="0" w:line="120" w:lineRule="exact"/>
            </w:pPr>
          </w:p>
        </w:tc>
      </w:tr>
      <w:tr w:rsidR="00DE1537" w:rsidRPr="000863A5" w14:paraId="1E7A677E" w14:textId="77777777" w:rsidTr="00343F3E">
        <w:tc>
          <w:tcPr>
            <w:tcW w:w="8771" w:type="dxa"/>
            <w:tcBorders>
              <w:top w:val="single" w:sz="6" w:space="0" w:color="78A22F"/>
              <w:left w:val="nil"/>
              <w:bottom w:val="nil"/>
              <w:right w:val="nil"/>
            </w:tcBorders>
          </w:tcPr>
          <w:p w14:paraId="469A09E5" w14:textId="77777777" w:rsidR="00DE1537" w:rsidRPr="00626D32" w:rsidRDefault="00DE1537" w:rsidP="00343F3E">
            <w:pPr>
              <w:pStyle w:val="BoxSpaceBelow"/>
            </w:pPr>
          </w:p>
        </w:tc>
      </w:tr>
    </w:tbl>
    <w:p w14:paraId="58E10352" w14:textId="77777777" w:rsidR="00DE1537" w:rsidRDefault="00DE1537" w:rsidP="00343F3E">
      <w:pPr>
        <w:pStyle w:val="BodyText"/>
      </w:pPr>
      <w:r>
        <w:t xml:space="preserve">To be effective, building regulations — as enacted in state and territory legislation — must be appropriately implemented, monitored and enforced. Some participants expressed concern about compliance with building standards (ERSA, sub. 12; Suncorp Group, sub. 71). For example, </w:t>
      </w:r>
      <w:r w:rsidRPr="00807425">
        <w:t>Environment</w:t>
      </w:r>
      <w:r>
        <w:t>al</w:t>
      </w:r>
      <w:r w:rsidRPr="00807425">
        <w:t xml:space="preserve"> Risk Science and Audit </w:t>
      </w:r>
      <w:r>
        <w:t>suggested that there may have been a decrease in compliance with standards since the use of private building certifiers.</w:t>
      </w:r>
    </w:p>
    <w:p w14:paraId="4B49439E" w14:textId="77777777" w:rsidR="00DE1537" w:rsidRDefault="00DE1537" w:rsidP="00343F3E">
      <w:pPr>
        <w:pStyle w:val="Quote"/>
      </w:pPr>
      <w:r w:rsidRPr="001C5905">
        <w:t xml:space="preserve">Up until the 1990s, council building inspectors were responsible for seeing that the construction standards under the Building Code were maintained. With the introduction of the Competition Policy, most </w:t>
      </w:r>
      <w:proofErr w:type="gramStart"/>
      <w:r w:rsidRPr="001C5905">
        <w:t>councils</w:t>
      </w:r>
      <w:proofErr w:type="gramEnd"/>
      <w:r w:rsidRPr="001C5905">
        <w:t xml:space="preserve"> ceased to undertake compliance inspections and this role was taken over by private building certifiers. There is some anecdotal evidence that there has been a general decline in conformance to the standards since the inspection role was taken over by private certifiers, resulting in some more modern buildings being less resistant to wind or earthquake damage than older buildings in the same community.</w:t>
      </w:r>
      <w:r>
        <w:t xml:space="preserve"> (ERSA, sub. 12, p. 10)</w:t>
      </w:r>
    </w:p>
    <w:p w14:paraId="54B3F4A4" w14:textId="4BD3DFBF" w:rsidR="00DE1537" w:rsidRDefault="00DE1537" w:rsidP="00343F3E">
      <w:pPr>
        <w:pStyle w:val="Heading2"/>
      </w:pPr>
      <w:bookmarkStart w:id="76" w:name="_Toc406424345"/>
      <w:r>
        <w:lastRenderedPageBreak/>
        <w:t>6.</w:t>
      </w:r>
      <w:r>
        <w:rPr>
          <w:noProof/>
        </w:rPr>
        <w:t>5</w:t>
      </w:r>
      <w:r>
        <w:tab/>
        <w:t>Existing areas of settlement</w:t>
      </w:r>
      <w:bookmarkEnd w:id="76"/>
    </w:p>
    <w:p w14:paraId="16BD152B" w14:textId="2E5EB7CE" w:rsidR="00DE1537" w:rsidRDefault="00DE1537" w:rsidP="00343F3E">
      <w:pPr>
        <w:pStyle w:val="BodyText"/>
      </w:pPr>
      <w:r>
        <w:t xml:space="preserve">Land use planning </w:t>
      </w:r>
      <w:r w:rsidRPr="00EC3CD5">
        <w:t>and building reg</w:t>
      </w:r>
      <w:r>
        <w:t>ulations</w:t>
      </w:r>
      <w:r w:rsidRPr="00EC3CD5">
        <w:t xml:space="preserve"> o</w:t>
      </w:r>
      <w:r>
        <w:t xml:space="preserve">nly apply to new properties and </w:t>
      </w:r>
      <w:r w:rsidRPr="00EC3CD5">
        <w:t>developments</w:t>
      </w:r>
      <w:r>
        <w:t xml:space="preserve"> or significant modification to existing properties</w:t>
      </w:r>
      <w:r w:rsidRPr="00EC3CD5">
        <w:t xml:space="preserve">. </w:t>
      </w:r>
      <w:r>
        <w:t xml:space="preserve">Changes to residential building codes impact on about 1.3 per cent of the housing stock each year, implying that it would take on average about 44 years for such changes to cover the entire housing stock </w:t>
      </w:r>
      <w:r w:rsidRPr="00362A7A">
        <w:rPr>
          <w:szCs w:val="24"/>
        </w:rPr>
        <w:t>(Deloitte Access Economics 2013)</w:t>
      </w:r>
      <w:r>
        <w:t>. Land use planning can have an impact on risk exposure over an even longer period: for example, Suncorp Group (sub. 71, p. 15) argued that ‘</w:t>
      </w:r>
      <w:r w:rsidRPr="00B6681E">
        <w:t>a shortfall in the planning scheme can leave the community at an unacceptable le</w:t>
      </w:r>
      <w:r>
        <w:t>vel of risk environment for 100 </w:t>
      </w:r>
      <w:r w:rsidRPr="00B6681E">
        <w:t>years or more</w:t>
      </w:r>
      <w:r>
        <w:t>’. Retrofitting existing dwellings to present</w:t>
      </w:r>
      <w:r>
        <w:noBreakHyphen/>
        <w:t>day building regulations can be very expensive. Existing areas of settlement pose challenges for natural disaster risk management, including issues of differing risk preferences, community expectations and trade</w:t>
      </w:r>
      <w:r>
        <w:noBreakHyphen/>
        <w:t xml:space="preserve">offs between public amenity and private property. </w:t>
      </w:r>
    </w:p>
    <w:p w14:paraId="6EE1C113" w14:textId="77777777" w:rsidR="00DE1537" w:rsidRDefault="00DE1537" w:rsidP="00343F3E">
      <w:pPr>
        <w:pStyle w:val="BodyText"/>
      </w:pPr>
      <w:r>
        <w:t>These ‘legacy’ issues — which represent the effects of past land use planning, development and building standards decisions — emphasise the importance of good decision making in land use planning and building regulations. Such issues were raised by inquiry participants. For example:</w:t>
      </w:r>
    </w:p>
    <w:p w14:paraId="65B8E76B" w14:textId="77777777" w:rsidR="00DE1537" w:rsidRDefault="00DE1537" w:rsidP="00343F3E">
      <w:pPr>
        <w:pStyle w:val="Quote"/>
      </w:pPr>
      <w:r>
        <w:t>While improved land use planning and development controls limit increases in flood prone residential and commercial activities, there is a significant legacy of historical development in what is now considered flood prone areas. Because of the significant private and public investment in these areas, retreat strategies such as property buy</w:t>
      </w:r>
      <w:r>
        <w:noBreakHyphen/>
        <w:t>backs are not economic unless in isolated circumstances. (Rockhampton Regional Council (Qld), sub. 68, p. 1)</w:t>
      </w:r>
    </w:p>
    <w:p w14:paraId="0192D4E8" w14:textId="77777777" w:rsidR="00DE1537" w:rsidRDefault="00DE1537" w:rsidP="00343F3E">
      <w:pPr>
        <w:pStyle w:val="Quote"/>
      </w:pPr>
      <w:r>
        <w:t xml:space="preserve">… </w:t>
      </w:r>
      <w:proofErr w:type="gramStart"/>
      <w:r w:rsidRPr="00D23049">
        <w:t>improved</w:t>
      </w:r>
      <w:proofErr w:type="gramEnd"/>
      <w:r w:rsidRPr="00D23049">
        <w:t xml:space="preserve"> land use policy, urban design and housing construction standards will make a difference in new urban developments but will do nothing for the very large number of semi</w:t>
      </w:r>
      <w:r>
        <w:noBreakHyphen/>
      </w:r>
      <w:r w:rsidRPr="00D23049">
        <w:t>urban and rural residential developments that exist already in bushfire prone areas</w:t>
      </w:r>
      <w:r>
        <w:t xml:space="preserve"> … </w:t>
      </w:r>
      <w:r w:rsidRPr="00D23049">
        <w:t>In other words, your proposals go only about 15% of the way forward.</w:t>
      </w:r>
      <w:r>
        <w:t xml:space="preserve"> </w:t>
      </w:r>
      <w:proofErr w:type="gramStart"/>
      <w:r w:rsidRPr="00D23049">
        <w:t>(The Bushfire Front Inc, sub.</w:t>
      </w:r>
      <w:proofErr w:type="gramEnd"/>
      <w:r>
        <w:t> </w:t>
      </w:r>
      <w:r w:rsidRPr="00D23049">
        <w:t>DR131, p.</w:t>
      </w:r>
      <w:r>
        <w:t> </w:t>
      </w:r>
      <w:r w:rsidRPr="00D23049">
        <w:t>2)</w:t>
      </w:r>
    </w:p>
    <w:p w14:paraId="78FE845F" w14:textId="77777777" w:rsidR="00DE1537" w:rsidRDefault="00DE1537" w:rsidP="00343F3E">
      <w:pPr>
        <w:pStyle w:val="BodyText"/>
      </w:pPr>
      <w:r>
        <w:t>This section focuses on natural disaster risk facing private buildings and property in existing settlements. A key challenge is delineating public and private ownership of the natural disaster risks associated with existing areas of settlement: deciding who owns the risk, who benefits from a reduction in risk and who should pay to manage it (for example, by obtaining information, undertaking mitigation or funding post</w:t>
      </w:r>
      <w:r>
        <w:noBreakHyphen/>
        <w:t xml:space="preserve">disaster recovery). </w:t>
      </w:r>
    </w:p>
    <w:p w14:paraId="57292447" w14:textId="15E3779A" w:rsidR="00DE1537" w:rsidRDefault="00DE1537" w:rsidP="00343F3E">
      <w:pPr>
        <w:pStyle w:val="BodyText"/>
      </w:pPr>
      <w:r>
        <w:t xml:space="preserve">In principle, asset owners are best placed to manage the risks to their property, as they have some control over mitigation, and stand to benefit from a reduction in these risks (supplementary paper 3). However, not all communities have sufficient information and understanding about the risks they face and who is responsible for these risks, as well as the importance of their own efforts in risk mitigation </w:t>
      </w:r>
      <w:r w:rsidRPr="00362A7A">
        <w:rPr>
          <w:szCs w:val="24"/>
        </w:rPr>
        <w:t>(SMEC and IID 2006)</w:t>
      </w:r>
      <w:r>
        <w:t>. There is a role for governments in terms of:</w:t>
      </w:r>
    </w:p>
    <w:p w14:paraId="60618F15" w14:textId="77777777" w:rsidR="00DE1537" w:rsidRDefault="00DE1537" w:rsidP="00343F3E">
      <w:pPr>
        <w:pStyle w:val="ListBullet"/>
        <w:spacing w:line="320" w:lineRule="atLeast"/>
      </w:pPr>
      <w:r>
        <w:t>sharing risk information (section 6.3), particularly where there are information asymmetries</w:t>
      </w:r>
    </w:p>
    <w:p w14:paraId="19BB09EC" w14:textId="77777777" w:rsidR="00DE1537" w:rsidRDefault="00DE1537" w:rsidP="00343F3E">
      <w:pPr>
        <w:pStyle w:val="ListBullet"/>
        <w:spacing w:line="320" w:lineRule="atLeast"/>
      </w:pPr>
      <w:r>
        <w:lastRenderedPageBreak/>
        <w:t xml:space="preserve">clarifying the responsibilities of governments and private agents in terms of managing risks </w:t>
      </w:r>
    </w:p>
    <w:p w14:paraId="37786ECA" w14:textId="77777777" w:rsidR="00DE1537" w:rsidRDefault="00DE1537" w:rsidP="00343F3E">
      <w:pPr>
        <w:pStyle w:val="ListBullet"/>
        <w:spacing w:line="320" w:lineRule="atLeast"/>
      </w:pPr>
      <w:r>
        <w:t>supporting management of shared risks, such as in the case of community assets in existing settlements (including intangible assets such as social capital and community cohesion)</w:t>
      </w:r>
    </w:p>
    <w:p w14:paraId="223EFCDF" w14:textId="77777777" w:rsidR="00DE1537" w:rsidRDefault="00DE1537" w:rsidP="00343F3E">
      <w:pPr>
        <w:pStyle w:val="ListBullet"/>
        <w:spacing w:line="320" w:lineRule="atLeast"/>
      </w:pPr>
      <w:proofErr w:type="gramStart"/>
      <w:r>
        <w:t>establishing</w:t>
      </w:r>
      <w:proofErr w:type="gramEnd"/>
      <w:r>
        <w:t xml:space="preserve"> a credible position with respect to what action they will and will not take following a natural disaster.</w:t>
      </w:r>
    </w:p>
    <w:p w14:paraId="6577C768" w14:textId="77777777" w:rsidR="00DE1537" w:rsidRDefault="00DE1537" w:rsidP="00343F3E">
      <w:pPr>
        <w:pStyle w:val="Heading3"/>
      </w:pPr>
      <w:r w:rsidRPr="005F039E">
        <w:t xml:space="preserve">Improving risk management </w:t>
      </w:r>
      <w:r>
        <w:t>in</w:t>
      </w:r>
      <w:r w:rsidRPr="005F039E">
        <w:t xml:space="preserve"> areas of existing settlement</w:t>
      </w:r>
    </w:p>
    <w:p w14:paraId="3F29DD2A" w14:textId="3AD5671D" w:rsidR="00DE1537" w:rsidRDefault="00DE1537" w:rsidP="00343F3E">
      <w:pPr>
        <w:pStyle w:val="BodyText"/>
      </w:pPr>
      <w:r>
        <w:t>Managing natural disaster risks to existing settlements can involve a combination of ‘protect’ and ‘accommodate’ (mitigation) or ‘retreat’ (relocating settlements to lower</w:t>
      </w:r>
      <w:r>
        <w:noBreakHyphen/>
        <w:t xml:space="preserve">risk areas) strategies, undertaken by private households, organisations or governments </w:t>
      </w:r>
      <w:r w:rsidRPr="00362A7A">
        <w:rPr>
          <w:szCs w:val="24"/>
        </w:rPr>
        <w:t>(PC 2012)</w:t>
      </w:r>
      <w:r>
        <w:t xml:space="preserve">. Choosing an appropriate mix of these strategies can be complex and difficult. </w:t>
      </w:r>
    </w:p>
    <w:p w14:paraId="44165BD0" w14:textId="77777777" w:rsidR="00DE1537" w:rsidRDefault="00DE1537" w:rsidP="00343F3E">
      <w:pPr>
        <w:pStyle w:val="Heading4"/>
      </w:pPr>
      <w:r w:rsidRPr="00957BAB">
        <w:t>Providing risk information to the community</w:t>
      </w:r>
    </w:p>
    <w:p w14:paraId="28CD2650" w14:textId="77777777" w:rsidR="00DE1537" w:rsidRDefault="00DE1537" w:rsidP="00343F3E">
      <w:pPr>
        <w:pStyle w:val="BodyText"/>
      </w:pPr>
      <w:r>
        <w:t xml:space="preserve">Specific, detailed and accurate risk information can potentially improve </w:t>
      </w:r>
      <w:r w:rsidRPr="007C62F5">
        <w:t>households</w:t>
      </w:r>
      <w:r>
        <w:t xml:space="preserve">’ awareness of the risks they face and encourage them to take appropriate action to manage these risks, in accordance with their risk preferences. There are various channels through which property owners and prospective buyers can obtain such information. </w:t>
      </w:r>
    </w:p>
    <w:p w14:paraId="6143862E" w14:textId="77777777" w:rsidR="00DE1537" w:rsidRDefault="00DE1537" w:rsidP="00343F3E">
      <w:pPr>
        <w:pStyle w:val="BodyText"/>
      </w:pPr>
      <w:r>
        <w:t>Governments have already made some information publicly available, such as state</w:t>
      </w:r>
      <w:r>
        <w:noBreakHyphen/>
        <w:t>level flood and bushfire mapping. They also communicate a range of public safety information about managing natural disaster risks (such as preparing a bushfire plan). Some local governments also provide detailed risk information to their residents. For example, Lake Macquarie City Council (NSW) (sub. 74) stated that it is developing a free online service for residents to access detailed flood</w:t>
      </w:r>
      <w:r>
        <w:noBreakHyphen/>
        <w:t xml:space="preserve">risk information about their property and area. </w:t>
      </w:r>
    </w:p>
    <w:p w14:paraId="767F789C" w14:textId="77777777" w:rsidR="00DE1537" w:rsidRDefault="00DE1537" w:rsidP="00343F3E">
      <w:pPr>
        <w:pStyle w:val="BodyText"/>
      </w:pPr>
      <w:r>
        <w:t>Private markets can also provide risk information, such as in insurance premiums and property prices. Insurance markets can play an important role in signalling risk to communities (supplementary papers 4 and 5), as noted by Treasury (sub. 91) as well as by the Floodplain Management Association (sub. 79, p. 10).</w:t>
      </w:r>
    </w:p>
    <w:p w14:paraId="1342FA13" w14:textId="77777777" w:rsidR="00DE1537" w:rsidRDefault="00DE1537" w:rsidP="00343F3E">
      <w:pPr>
        <w:pStyle w:val="Quote"/>
      </w:pPr>
      <w:r>
        <w:t>…</w:t>
      </w:r>
      <w:r w:rsidRPr="00712093">
        <w:t xml:space="preserve"> </w:t>
      </w:r>
      <w:proofErr w:type="gramStart"/>
      <w:r w:rsidRPr="00712093">
        <w:t>people</w:t>
      </w:r>
      <w:proofErr w:type="gramEnd"/>
      <w:r w:rsidRPr="00712093">
        <w:t xml:space="preserve"> may ignore messages from Council or education campaigns </w:t>
      </w:r>
      <w:r>
        <w:t>[but]</w:t>
      </w:r>
      <w:r w:rsidRPr="00712093">
        <w:t xml:space="preserve"> will not ignore the shock of an insurance premium. Provided those premiums do accurately and reasonably reflect the cost of the risk, it is a legitimate incentive for individuals and governments to address the underlying cause </w:t>
      </w:r>
      <w:r>
        <w:t>—</w:t>
      </w:r>
      <w:r w:rsidRPr="00712093">
        <w:t xml:space="preserve"> the vulnerability of property to flood damage.</w:t>
      </w:r>
      <w:r>
        <w:t xml:space="preserve"> </w:t>
      </w:r>
    </w:p>
    <w:p w14:paraId="0B80790E" w14:textId="41F374AA" w:rsidR="00DE1537" w:rsidRDefault="00DE1537" w:rsidP="00343F3E">
      <w:pPr>
        <w:pStyle w:val="BodyText"/>
      </w:pPr>
      <w:r>
        <w:t xml:space="preserve">In addition, the Insurance Council of Australia has developed a Building Resilience Rating Tool </w:t>
      </w:r>
      <w:r w:rsidRPr="009F0464">
        <w:t xml:space="preserve">to provide households with information on how vulnerable their properties are to a range of natural </w:t>
      </w:r>
      <w:r>
        <w:t xml:space="preserve">disasters (box 6.9). This tool enables property owners to access a rating for their property on a scale of 1 to 5, based on natural disaster risk information, and could </w:t>
      </w:r>
      <w:r>
        <w:lastRenderedPageBreak/>
        <w:t>assist households</w:t>
      </w:r>
      <w:r w:rsidRPr="00E265EE">
        <w:t xml:space="preserve"> </w:t>
      </w:r>
      <w:r>
        <w:t>‘</w:t>
      </w:r>
      <w:r w:rsidRPr="00E265EE">
        <w:t>to educate themselves about the risks they face and make smarter decisions about bui</w:t>
      </w:r>
      <w:r>
        <w:t>lding or renovating their homes’</w:t>
      </w:r>
      <w:r w:rsidRPr="00E265EE">
        <w:t xml:space="preserve"> </w:t>
      </w:r>
      <w:r>
        <w:t>(Suncorp Group, sub. 71, p. 13).</w:t>
      </w:r>
    </w:p>
    <w:p w14:paraId="5AB0D2DE" w14:textId="77777777" w:rsidR="00DE1537" w:rsidRDefault="00DE1537" w:rsidP="00343F3E">
      <w:pPr>
        <w:pStyle w:val="BodyText"/>
      </w:pPr>
      <w:r>
        <w:t>Non</w:t>
      </w:r>
      <w:r>
        <w:noBreakHyphen/>
        <w:t xml:space="preserve">government and community organisations also provide information to households about how to manage natural disaster risk to their properties. </w:t>
      </w:r>
      <w:proofErr w:type="gramStart"/>
      <w:r>
        <w:t xml:space="preserve">For example, Firewise WA </w:t>
      </w:r>
      <w:r w:rsidRPr="00833F59">
        <w:t>(sub.</w:t>
      </w:r>
      <w:proofErr w:type="gramEnd"/>
      <w:r>
        <w:t> </w:t>
      </w:r>
      <w:r w:rsidRPr="00833F59">
        <w:t>DR145;</w:t>
      </w:r>
      <w:r>
        <w:t xml:space="preserve"> trans., Melbourne</w:t>
      </w:r>
      <w:r w:rsidRPr="00E819CF">
        <w:t xml:space="preserve">) </w:t>
      </w:r>
      <w:r>
        <w:t>seeks to inform households about how to reduce the property’s vulnerability to bushfire through, for example, choices about building materials and surrounding vegetation.</w:t>
      </w:r>
    </w:p>
    <w:p w14:paraId="4C96851C" w14:textId="6E3EA7F5" w:rsidR="00DE1537" w:rsidRDefault="00DE1537" w:rsidP="00343F3E">
      <w:pPr>
        <w:pStyle w:val="BodyText"/>
      </w:pPr>
      <w:r>
        <w:t xml:space="preserve">Vendor statements are an existing means of communicating risk information to prospective property buyers. However, the design and content of these statements as a tool for disclosing natural disaster risk varies across jurisdictions (table 6.1). </w:t>
      </w:r>
      <w:r w:rsidRPr="0009536C">
        <w:t xml:space="preserve">Vendor disclosure was identified as a priority area for reform by the NEMC in its </w:t>
      </w:r>
      <w:r w:rsidRPr="0009536C">
        <w:rPr>
          <w:i/>
        </w:rPr>
        <w:t xml:space="preserve">Enhancing Disaster Resilience in the Built Environment Roadmap </w:t>
      </w:r>
      <w:r w:rsidRPr="00362A7A">
        <w:rPr>
          <w:szCs w:val="24"/>
        </w:rPr>
        <w:t>(NEMC 2012c)</w:t>
      </w:r>
      <w:r w:rsidRPr="0009536C">
        <w:t>. It argued that effective natural disaster risk management for the built environment requires ‘a nationally</w:t>
      </w:r>
      <w:r w:rsidRPr="0009536C">
        <w:noBreakHyphen/>
        <w:t>consistent legisla</w:t>
      </w:r>
      <w:r>
        <w:t>tive framework’ with extensive</w:t>
      </w:r>
      <w:r w:rsidRPr="0009536C">
        <w:t xml:space="preserve"> vendor disclosure requirements with respect to hazard information during the sale of a property </w:t>
      </w:r>
      <w:r w:rsidRPr="00362A7A">
        <w:rPr>
          <w:szCs w:val="24"/>
        </w:rPr>
        <w:t>(NEMC 2012b, p. 12)</w:t>
      </w:r>
      <w:r w:rsidRPr="0009536C">
        <w:t xml:space="preserve">. The NEMC assessed only one state, Victoria, as having a </w:t>
      </w:r>
      <w:r>
        <w:t>robust</w:t>
      </w:r>
      <w:r w:rsidRPr="0009536C">
        <w:t xml:space="preserve"> system of vendor disclosure </w:t>
      </w:r>
      <w:r w:rsidRPr="00B66471">
        <w:rPr>
          <w:szCs w:val="24"/>
        </w:rPr>
        <w:t>(NEMC 2012b)</w:t>
      </w:r>
      <w:r w:rsidRPr="0009536C">
        <w:t xml:space="preserve">. </w:t>
      </w:r>
    </w:p>
    <w:p w14:paraId="457D63AE" w14:textId="77777777" w:rsidR="00DE1537" w:rsidRDefault="00DE1537" w:rsidP="00343F3E">
      <w:pPr>
        <w:pStyle w:val="BodyText"/>
      </w:pPr>
      <w:r w:rsidRPr="0009536C">
        <w:t>As noted earlier (section </w:t>
      </w:r>
      <w:r>
        <w:t>6</w:t>
      </w:r>
      <w:r w:rsidRPr="0009536C">
        <w:t xml:space="preserve">.2), the Australian, state and territory governments are working on capability and investment plans that will outline the implementation of </w:t>
      </w:r>
      <w:r>
        <w:t xml:space="preserve">the </w:t>
      </w:r>
      <w:r w:rsidRPr="0009536C">
        <w:t>Roadmap (Attorney</w:t>
      </w:r>
      <w:r w:rsidRPr="0009536C">
        <w:noBreakHyphen/>
        <w:t>General’s Department, pers. comm., 3 September 2014). These plans will l</w:t>
      </w:r>
      <w:r>
        <w:t>ikely include vendor disclosure. P</w:t>
      </w:r>
      <w:r w:rsidRPr="0009536C">
        <w:t>rogress on development of the plans will be reviewed by the Land Use Planning and Building Cod</w:t>
      </w:r>
      <w:r>
        <w:t>es Taskforce in the near future.</w:t>
      </w:r>
      <w:r w:rsidRPr="0009536C">
        <w:t xml:space="preserve"> </w:t>
      </w:r>
      <w:r>
        <w:t>O</w:t>
      </w:r>
      <w:r w:rsidRPr="0009536C">
        <w:t>nce a sufficient number of plans have been appropriately endorsed, there will be an Australian Government</w:t>
      </w:r>
      <w:r w:rsidRPr="0009536C">
        <w:noBreakHyphen/>
        <w:t>led analysis and evaluation of progress against the Roadmap (Attorney</w:t>
      </w:r>
      <w:r w:rsidRPr="0009536C">
        <w:noBreakHyphen/>
        <w:t>General’s Department, pers. comm., 3 September 2014).</w:t>
      </w:r>
    </w:p>
    <w:p w14:paraId="7665E240" w14:textId="77777777" w:rsidR="00DE1537" w:rsidRPr="0009536C" w:rsidRDefault="00DE1537" w:rsidP="00343F3E">
      <w:pPr>
        <w:pStyle w:val="BodyText"/>
      </w:pPr>
      <w:r w:rsidRPr="0009536C">
        <w:t xml:space="preserve">Some participants in this inquiry also suggested that there should be more consistent national standards for vendor disclosure requirements about natural disasters (FNQROC, sub. 36; Government of South Australia, sub. 67; Suncorp Group, sub. 71). </w:t>
      </w:r>
    </w:p>
    <w:p w14:paraId="3DA59B80" w14:textId="77777777" w:rsidR="00DE1537" w:rsidRDefault="00DE1537" w:rsidP="00343F3E">
      <w:pPr>
        <w:pStyle w:val="Quote"/>
      </w:pPr>
      <w:r w:rsidRPr="00744D53">
        <w:t xml:space="preserve">Harmonising this regulation would come at minimal cost but would significantly improve risk awareness and prompt Australians to consider natural </w:t>
      </w:r>
      <w:r>
        <w:t xml:space="preserve">disaster </w:t>
      </w:r>
      <w:r w:rsidRPr="00744D53">
        <w:t>risk when purchasing their homes</w:t>
      </w:r>
      <w:r>
        <w:t xml:space="preserve"> (Suncorp Group, sub. 71, p. 27). </w:t>
      </w:r>
    </w:p>
    <w:p w14:paraId="154B46B5" w14:textId="77777777" w:rsidR="00DE1537" w:rsidRDefault="00DE1537" w:rsidP="00343F3E">
      <w:pPr>
        <w:pStyle w:val="BodyText"/>
      </w:pPr>
      <w:r>
        <w:t xml:space="preserve">Senator Doug Cameron went further and argued that homeowners should be able to assess risk to their property and obtain insurance via </w:t>
      </w:r>
      <w:proofErr w:type="gramStart"/>
      <w:r>
        <w:t>a</w:t>
      </w:r>
      <w:proofErr w:type="gramEnd"/>
      <w:r>
        <w:t xml:space="preserve"> ‘one</w:t>
      </w:r>
      <w:r>
        <w:noBreakHyphen/>
        <w:t>stop shop’ organised by governments and insurers. He stated that ‘[t]</w:t>
      </w:r>
      <w:r w:rsidRPr="00334E8C">
        <w:t>here is a responsibility on the insurance industry, state government, and local government to resolve this information asymmetry as a matter o</w:t>
      </w:r>
      <w:r>
        <w:t>f urgency’ (Senator Doug Cameron, sub. 69, pp. 3–4).</w:t>
      </w:r>
    </w:p>
    <w:p w14:paraId="03E452FE" w14:textId="77777777" w:rsidR="00DE1537" w:rsidRDefault="00DE1537" w:rsidP="00343F3E">
      <w:pPr>
        <w:pStyle w:val="BodyText"/>
      </w:pPr>
    </w:p>
    <w:p w14:paraId="69508774"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1DFD9CF" w14:textId="77777777" w:rsidTr="00343F3E">
        <w:tc>
          <w:tcPr>
            <w:tcW w:w="8771" w:type="dxa"/>
            <w:tcBorders>
              <w:top w:val="single" w:sz="6" w:space="0" w:color="78A22F"/>
              <w:left w:val="nil"/>
              <w:bottom w:val="nil"/>
              <w:right w:val="nil"/>
            </w:tcBorders>
            <w:shd w:val="clear" w:color="auto" w:fill="F2F2F2" w:themeFill="background1" w:themeFillShade="F2"/>
          </w:tcPr>
          <w:p w14:paraId="51695B49" w14:textId="43FB4E72" w:rsidR="00DE1537" w:rsidRDefault="00DE1537" w:rsidP="00343F3E">
            <w:pPr>
              <w:pStyle w:val="BoxTitle"/>
            </w:pPr>
            <w:r>
              <w:rPr>
                <w:b w:val="0"/>
              </w:rPr>
              <w:t>Box 6.</w:t>
            </w:r>
            <w:r>
              <w:rPr>
                <w:b w:val="0"/>
                <w:noProof/>
              </w:rPr>
              <w:t>9</w:t>
            </w:r>
            <w:r>
              <w:tab/>
              <w:t>The Building Resilience Rating Tool</w:t>
            </w:r>
          </w:p>
        </w:tc>
      </w:tr>
      <w:tr w:rsidR="00DE1537" w14:paraId="5825509D" w14:textId="77777777" w:rsidTr="00343F3E">
        <w:trPr>
          <w:cantSplit/>
        </w:trPr>
        <w:tc>
          <w:tcPr>
            <w:tcW w:w="8771" w:type="dxa"/>
            <w:tcBorders>
              <w:top w:val="nil"/>
              <w:left w:val="nil"/>
              <w:bottom w:val="nil"/>
              <w:right w:val="nil"/>
            </w:tcBorders>
            <w:shd w:val="clear" w:color="auto" w:fill="F2F2F2" w:themeFill="background1" w:themeFillShade="F2"/>
          </w:tcPr>
          <w:p w14:paraId="13B3AF52" w14:textId="77777777" w:rsidR="00DE1537" w:rsidRDefault="00DE1537" w:rsidP="00343F3E">
            <w:pPr>
              <w:pStyle w:val="Box"/>
            </w:pPr>
            <w:r>
              <w:t>The Insurance Council of Australia is in the process of developing a Building Resilience Rating Tool to help households understand the vulnerability of their property to several types of natural hazard. It is intended to cover inundation (riverine flooding and storm surge), storms, cyclones, bushfires, earthquakes and extreme heat for a range of property types, including standalone residential properties, strata developments and commercial properties.</w:t>
            </w:r>
          </w:p>
          <w:p w14:paraId="6F599D73" w14:textId="77777777" w:rsidR="00DE1537" w:rsidRDefault="00DE1537" w:rsidP="00343F3E">
            <w:pPr>
              <w:pStyle w:val="Box"/>
            </w:pPr>
            <w:r>
              <w:t>When complete, the tool will be provided through an online interface that allows users to enter their street address and information about their property’s age, design and construction materials. A ‘resilience rating’ (a score out of five) is then calculated for the property, indicating how likely different parts of the building are to be damaged in an extreme weather event. Users are also provided with an indication of the relative likelihood of each natural hazard (at a property level) and with advice on how to improve the resilience of their properties.</w:t>
            </w:r>
          </w:p>
          <w:p w14:paraId="5BFA3B9D" w14:textId="77777777" w:rsidR="00DE1537" w:rsidRDefault="00DE1537" w:rsidP="00343F3E">
            <w:pPr>
              <w:pStyle w:val="Box"/>
            </w:pPr>
            <w:r>
              <w:t>Some inquiry participants were uncertain about the likely impact of the rating tool. The Financial Rights Legal Centre (sub. DR130) expressed concern about the accuracy of the data provided, and whether the ratings would incorporate individual mitigation efforts, as well as whether the results would be reflected in insurance premiums.</w:t>
            </w:r>
          </w:p>
          <w:p w14:paraId="29CDD306" w14:textId="77777777" w:rsidR="00DE1537" w:rsidRPr="00E008B4" w:rsidRDefault="00DE1537" w:rsidP="00343F3E">
            <w:pPr>
              <w:pStyle w:val="Box"/>
              <w:jc w:val="center"/>
              <w:rPr>
                <w:rStyle w:val="DraftingNote"/>
              </w:rPr>
            </w:pPr>
            <w:r>
              <w:rPr>
                <w:noProof/>
              </w:rPr>
              <w:drawing>
                <wp:inline distT="0" distB="0" distL="0" distR="0" wp14:anchorId="0C7C5A9D" wp14:editId="19ACEA31">
                  <wp:extent cx="4623268" cy="5040000"/>
                  <wp:effectExtent l="0" t="0" r="6350" b="8255"/>
                  <wp:docPr id="30" name="Picture 30" descr="Box 6.9 The Building Resilience Rating Tool. This figure shows a screenshot of the Building Resilience Rating Tool. The left-hand sidebar shows a menu with the following components: Your Hazard Profile, Your House Type, Your House, House Details, Your Resilience Rating. The last of these components, Your Resilience Rating, has been selected, and the main part of the screen shows a stylised image of a house, a large number ‘4’ to indicate the rating, and below this, details of how the rating has been calc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 BRRT Screenshot.png"/>
                          <pic:cNvPicPr/>
                        </pic:nvPicPr>
                        <pic:blipFill>
                          <a:blip r:embed="rId82">
                            <a:extLst>
                              <a:ext uri="{28A0092B-C50C-407E-A947-70E740481C1C}">
                                <a14:useLocalDpi xmlns:a14="http://schemas.microsoft.com/office/drawing/2010/main" val="0"/>
                              </a:ext>
                            </a:extLst>
                          </a:blip>
                          <a:stretch>
                            <a:fillRect/>
                          </a:stretch>
                        </pic:blipFill>
                        <pic:spPr>
                          <a:xfrm>
                            <a:off x="0" y="0"/>
                            <a:ext cx="4623268" cy="5040000"/>
                          </a:xfrm>
                          <a:prstGeom prst="rect">
                            <a:avLst/>
                          </a:prstGeom>
                        </pic:spPr>
                      </pic:pic>
                    </a:graphicData>
                  </a:graphic>
                </wp:inline>
              </w:drawing>
            </w:r>
          </w:p>
        </w:tc>
      </w:tr>
      <w:tr w:rsidR="00DE1537" w14:paraId="51BE737E" w14:textId="77777777" w:rsidTr="00343F3E">
        <w:trPr>
          <w:cantSplit/>
        </w:trPr>
        <w:tc>
          <w:tcPr>
            <w:tcW w:w="8771" w:type="dxa"/>
            <w:tcBorders>
              <w:top w:val="nil"/>
              <w:left w:val="nil"/>
              <w:bottom w:val="nil"/>
              <w:right w:val="nil"/>
            </w:tcBorders>
            <w:shd w:val="clear" w:color="auto" w:fill="F2F2F2" w:themeFill="background1" w:themeFillShade="F2"/>
          </w:tcPr>
          <w:p w14:paraId="2A928329" w14:textId="6F303204" w:rsidR="00DE1537" w:rsidRDefault="00DE1537" w:rsidP="00343F3E">
            <w:pPr>
              <w:pStyle w:val="BoxSource"/>
            </w:pPr>
            <w:r>
              <w:rPr>
                <w:i/>
              </w:rPr>
              <w:t>Sources</w:t>
            </w:r>
            <w:r w:rsidRPr="00167F06">
              <w:t>:</w:t>
            </w:r>
            <w:r>
              <w:t xml:space="preserve"> Australian Resilience Taskforce</w:t>
            </w:r>
            <w:r w:rsidRPr="00167F06">
              <w:t xml:space="preserve"> </w:t>
            </w:r>
            <w:r w:rsidRPr="00362A7A">
              <w:rPr>
                <w:rFonts w:cs="Arial"/>
              </w:rPr>
              <w:t>(2014)</w:t>
            </w:r>
            <w:r>
              <w:t>; ICA (pers. comm., 5 September 2014).</w:t>
            </w:r>
          </w:p>
        </w:tc>
      </w:tr>
      <w:tr w:rsidR="00DE1537" w14:paraId="4094E173"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2617A13" w14:textId="77777777" w:rsidR="00DE1537" w:rsidRDefault="00DE1537" w:rsidP="00343F3E">
            <w:pPr>
              <w:pStyle w:val="Box"/>
              <w:spacing w:before="0" w:line="120" w:lineRule="exact"/>
            </w:pPr>
          </w:p>
        </w:tc>
      </w:tr>
      <w:tr w:rsidR="00DE1537" w:rsidRPr="000863A5" w14:paraId="6B8AB98D" w14:textId="77777777" w:rsidTr="00343F3E">
        <w:tc>
          <w:tcPr>
            <w:tcW w:w="8771" w:type="dxa"/>
            <w:tcBorders>
              <w:top w:val="single" w:sz="6" w:space="0" w:color="78A22F"/>
              <w:left w:val="nil"/>
              <w:bottom w:val="nil"/>
              <w:right w:val="nil"/>
            </w:tcBorders>
          </w:tcPr>
          <w:p w14:paraId="2A99DB9C" w14:textId="77777777" w:rsidR="00DE1537" w:rsidRPr="00626D32" w:rsidRDefault="00DE1537" w:rsidP="00343F3E">
            <w:pPr>
              <w:pStyle w:val="BoxSpaceBelow"/>
            </w:pPr>
          </w:p>
        </w:tc>
      </w:tr>
    </w:tbl>
    <w:p w14:paraId="43FD33CF"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59CEA7D7" w14:textId="77777777" w:rsidTr="00343F3E">
        <w:tc>
          <w:tcPr>
            <w:tcW w:w="8771" w:type="dxa"/>
            <w:tcBorders>
              <w:top w:val="single" w:sz="6" w:space="0" w:color="78A22F" w:themeColor="accent1"/>
              <w:left w:val="nil"/>
              <w:bottom w:val="nil"/>
              <w:right w:val="nil"/>
            </w:tcBorders>
            <w:shd w:val="clear" w:color="auto" w:fill="auto"/>
          </w:tcPr>
          <w:p w14:paraId="63B96117" w14:textId="63B465D4" w:rsidR="00DE1537" w:rsidRPr="00784A05" w:rsidRDefault="00DE1537" w:rsidP="00343F3E">
            <w:pPr>
              <w:pStyle w:val="TableTitle"/>
            </w:pPr>
            <w:r>
              <w:rPr>
                <w:b w:val="0"/>
              </w:rPr>
              <w:t>Table 6.</w:t>
            </w:r>
            <w:r>
              <w:rPr>
                <w:b w:val="0"/>
                <w:noProof/>
              </w:rPr>
              <w:t>1</w:t>
            </w:r>
            <w:r>
              <w:tab/>
              <w:t>State and territory vendor disclosure requirements</w:t>
            </w:r>
          </w:p>
        </w:tc>
      </w:tr>
      <w:tr w:rsidR="00DE1537" w14:paraId="60FDEBD7"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0"/>
              <w:gridCol w:w="1830"/>
              <w:gridCol w:w="1813"/>
              <w:gridCol w:w="4114"/>
            </w:tblGrid>
            <w:tr w:rsidR="00DE1537" w14:paraId="4BAE9507" w14:textId="77777777" w:rsidTr="00343F3E">
              <w:tc>
                <w:tcPr>
                  <w:tcW w:w="430" w:type="pct"/>
                  <w:tcBorders>
                    <w:top w:val="single" w:sz="6" w:space="0" w:color="BFBFBF" w:themeColor="background2"/>
                    <w:bottom w:val="single" w:sz="6" w:space="0" w:color="BFBFBF" w:themeColor="background2"/>
                  </w:tcBorders>
                  <w:shd w:val="clear" w:color="auto" w:fill="auto"/>
                  <w:tcMar>
                    <w:top w:w="28" w:type="dxa"/>
                  </w:tcMar>
                </w:tcPr>
                <w:p w14:paraId="6809BFF1" w14:textId="77777777" w:rsidR="00DE1537" w:rsidRDefault="00DE1537" w:rsidP="00343F3E">
                  <w:pPr>
                    <w:pStyle w:val="TableColumnHeading"/>
                    <w:jc w:val="left"/>
                  </w:pPr>
                  <w:r>
                    <w:t>State/ territory</w:t>
                  </w:r>
                </w:p>
              </w:tc>
              <w:tc>
                <w:tcPr>
                  <w:tcW w:w="1078" w:type="pct"/>
                  <w:tcBorders>
                    <w:top w:val="single" w:sz="6" w:space="0" w:color="BFBFBF" w:themeColor="background2"/>
                    <w:bottom w:val="single" w:sz="6" w:space="0" w:color="BFBFBF" w:themeColor="background2"/>
                  </w:tcBorders>
                </w:tcPr>
                <w:p w14:paraId="59155C69" w14:textId="77777777" w:rsidR="00DE1537" w:rsidDel="00AC4858" w:rsidRDefault="00DE1537" w:rsidP="00343F3E">
                  <w:pPr>
                    <w:pStyle w:val="TableColumnHeading"/>
                    <w:ind w:right="28"/>
                    <w:jc w:val="left"/>
                  </w:pPr>
                  <w:r>
                    <w:t>Legislation</w:t>
                  </w:r>
                </w:p>
              </w:tc>
              <w:tc>
                <w:tcPr>
                  <w:tcW w:w="1068" w:type="pct"/>
                  <w:tcBorders>
                    <w:top w:val="single" w:sz="6" w:space="0" w:color="BFBFBF" w:themeColor="background2"/>
                    <w:bottom w:val="single" w:sz="6" w:space="0" w:color="BFBFBF" w:themeColor="background2"/>
                  </w:tcBorders>
                </w:tcPr>
                <w:p w14:paraId="23871C83" w14:textId="77777777" w:rsidR="00DE1537" w:rsidRDefault="00DE1537" w:rsidP="00343F3E">
                  <w:pPr>
                    <w:pStyle w:val="TableColumnHeading"/>
                    <w:ind w:right="28"/>
                    <w:jc w:val="left"/>
                  </w:pPr>
                  <w:r>
                    <w:t>Responsible department</w:t>
                  </w:r>
                </w:p>
              </w:tc>
              <w:tc>
                <w:tcPr>
                  <w:tcW w:w="2424" w:type="pct"/>
                  <w:tcBorders>
                    <w:top w:val="single" w:sz="6" w:space="0" w:color="BFBFBF" w:themeColor="background2"/>
                    <w:bottom w:val="single" w:sz="6" w:space="0" w:color="BFBFBF" w:themeColor="background2"/>
                  </w:tcBorders>
                  <w:shd w:val="clear" w:color="auto" w:fill="auto"/>
                  <w:tcMar>
                    <w:top w:w="28" w:type="dxa"/>
                  </w:tcMar>
                </w:tcPr>
                <w:p w14:paraId="115D8471" w14:textId="77777777" w:rsidR="00DE1537" w:rsidRDefault="00DE1537" w:rsidP="00343F3E">
                  <w:pPr>
                    <w:pStyle w:val="TableColumnHeading"/>
                    <w:ind w:right="28"/>
                    <w:jc w:val="left"/>
                  </w:pPr>
                  <w:r>
                    <w:t>Vendor disclosure requirements relating to natural hazards</w:t>
                  </w:r>
                </w:p>
              </w:tc>
            </w:tr>
            <w:tr w:rsidR="00DE1537" w14:paraId="134D39DC" w14:textId="77777777" w:rsidTr="00343F3E">
              <w:tc>
                <w:tcPr>
                  <w:tcW w:w="430" w:type="pct"/>
                  <w:shd w:val="clear" w:color="auto" w:fill="F2F2F2" w:themeFill="accent4"/>
                </w:tcPr>
                <w:p w14:paraId="03980D4E" w14:textId="77777777" w:rsidR="00DE1537" w:rsidRPr="00A268BB" w:rsidRDefault="00DE1537" w:rsidP="00343F3E">
                  <w:pPr>
                    <w:pStyle w:val="TableBodyText"/>
                    <w:spacing w:before="40"/>
                    <w:jc w:val="left"/>
                  </w:pPr>
                  <w:r>
                    <w:t>NSW</w:t>
                  </w:r>
                  <w:r w:rsidRPr="00A268BB">
                    <w:t xml:space="preserve"> </w:t>
                  </w:r>
                </w:p>
              </w:tc>
              <w:tc>
                <w:tcPr>
                  <w:tcW w:w="1078" w:type="pct"/>
                  <w:shd w:val="clear" w:color="auto" w:fill="F2F2F2" w:themeFill="accent4"/>
                </w:tcPr>
                <w:p w14:paraId="7B43220E" w14:textId="77777777" w:rsidR="00DE1537" w:rsidRPr="00C0520E" w:rsidRDefault="00DE1537" w:rsidP="00343F3E">
                  <w:pPr>
                    <w:pStyle w:val="TableBodyText"/>
                    <w:spacing w:before="40"/>
                    <w:jc w:val="left"/>
                  </w:pPr>
                  <w:r w:rsidRPr="00A815FB">
                    <w:rPr>
                      <w:i/>
                    </w:rPr>
                    <w:t>Conveyancing (Sale of Land) Regulation</w:t>
                  </w:r>
                  <w:r>
                    <w:t xml:space="preserve"> </w:t>
                  </w:r>
                  <w:r w:rsidRPr="00CF2631">
                    <w:rPr>
                      <w:i/>
                    </w:rPr>
                    <w:t>2010</w:t>
                  </w:r>
                </w:p>
              </w:tc>
              <w:tc>
                <w:tcPr>
                  <w:tcW w:w="1068" w:type="pct"/>
                  <w:shd w:val="clear" w:color="auto" w:fill="F2F2F2" w:themeFill="accent4"/>
                </w:tcPr>
                <w:p w14:paraId="597E602E" w14:textId="77777777" w:rsidR="00DE1537" w:rsidRDefault="00DE1537" w:rsidP="00343F3E">
                  <w:pPr>
                    <w:pStyle w:val="TableBodyText"/>
                    <w:spacing w:before="40"/>
                    <w:jc w:val="left"/>
                  </w:pPr>
                  <w:r>
                    <w:t>Land and Property Information (Office of Finance Services)</w:t>
                  </w:r>
                </w:p>
              </w:tc>
              <w:tc>
                <w:tcPr>
                  <w:tcW w:w="2424" w:type="pct"/>
                  <w:shd w:val="clear" w:color="auto" w:fill="F2F2F2" w:themeFill="accent4"/>
                </w:tcPr>
                <w:p w14:paraId="603CB088" w14:textId="77777777" w:rsidR="00DE1537" w:rsidRPr="00A268BB" w:rsidRDefault="00DE1537" w:rsidP="00343F3E">
                  <w:pPr>
                    <w:pStyle w:val="TableBodyText"/>
                    <w:spacing w:before="40"/>
                    <w:jc w:val="left"/>
                  </w:pPr>
                  <w:r>
                    <w:t>Contracts for sale of land must have attached a section 149 certificate, disclosing whether the land is affected by coastal hazards and whether there are development restrictions due to risk of landslip, bushfire, flood, tidal inundation or subsidence.</w:t>
                  </w:r>
                </w:p>
              </w:tc>
            </w:tr>
            <w:tr w:rsidR="00DE1537" w14:paraId="714918F4" w14:textId="77777777" w:rsidTr="00343F3E">
              <w:tc>
                <w:tcPr>
                  <w:tcW w:w="430" w:type="pct"/>
                </w:tcPr>
                <w:p w14:paraId="14B16858" w14:textId="77777777" w:rsidR="00DE1537" w:rsidRPr="00A268BB" w:rsidRDefault="00DE1537" w:rsidP="00343F3E">
                  <w:pPr>
                    <w:pStyle w:val="TableBodyText"/>
                    <w:jc w:val="left"/>
                  </w:pPr>
                  <w:r>
                    <w:t>Vic</w:t>
                  </w:r>
                </w:p>
              </w:tc>
              <w:tc>
                <w:tcPr>
                  <w:tcW w:w="1078" w:type="pct"/>
                </w:tcPr>
                <w:p w14:paraId="74FCAD04" w14:textId="77777777" w:rsidR="00DE1537" w:rsidRPr="00A268BB" w:rsidRDefault="00DE1537" w:rsidP="00343F3E">
                  <w:pPr>
                    <w:pStyle w:val="TableBodyText"/>
                    <w:jc w:val="left"/>
                  </w:pPr>
                  <w:r w:rsidRPr="0021490F">
                    <w:rPr>
                      <w:i/>
                    </w:rPr>
                    <w:t>Sale of Land Act</w:t>
                  </w:r>
                  <w:r>
                    <w:t xml:space="preserve"> </w:t>
                  </w:r>
                  <w:r w:rsidRPr="0021490F">
                    <w:rPr>
                      <w:i/>
                    </w:rPr>
                    <w:t>1962</w:t>
                  </w:r>
                </w:p>
              </w:tc>
              <w:tc>
                <w:tcPr>
                  <w:tcW w:w="1068" w:type="pct"/>
                </w:tcPr>
                <w:p w14:paraId="1C86635F" w14:textId="77777777" w:rsidR="00DE1537" w:rsidRDefault="00DE1537" w:rsidP="00343F3E">
                  <w:pPr>
                    <w:pStyle w:val="TableBodyText"/>
                    <w:jc w:val="left"/>
                  </w:pPr>
                  <w:r>
                    <w:t>Consumer Affairs Victoria (Department of Justice)</w:t>
                  </w:r>
                </w:p>
              </w:tc>
              <w:tc>
                <w:tcPr>
                  <w:tcW w:w="2424" w:type="pct"/>
                </w:tcPr>
                <w:p w14:paraId="6A9F0329" w14:textId="77777777" w:rsidR="00DE1537" w:rsidRPr="00A268BB" w:rsidRDefault="00DE1537" w:rsidP="00343F3E">
                  <w:pPr>
                    <w:pStyle w:val="TableBodyText"/>
                    <w:jc w:val="left"/>
                  </w:pPr>
                  <w:r>
                    <w:t>Contracts for sale of land must have attached a vendor’s statement disclosing applicable planning instruments (such as zoning and restrictions), and whether the land is bushfire</w:t>
                  </w:r>
                  <w:r>
                    <w:noBreakHyphen/>
                    <w:t>prone.</w:t>
                  </w:r>
                </w:p>
              </w:tc>
            </w:tr>
            <w:tr w:rsidR="00DE1537" w14:paraId="7EF2B251" w14:textId="77777777" w:rsidTr="00343F3E">
              <w:tc>
                <w:tcPr>
                  <w:tcW w:w="430" w:type="pct"/>
                  <w:shd w:val="clear" w:color="auto" w:fill="F2F2F2" w:themeFill="accent4"/>
                </w:tcPr>
                <w:p w14:paraId="1C4F3969" w14:textId="77777777" w:rsidR="00DE1537" w:rsidRPr="00A268BB" w:rsidRDefault="00DE1537" w:rsidP="00343F3E">
                  <w:pPr>
                    <w:pStyle w:val="TableBodyText"/>
                    <w:jc w:val="left"/>
                  </w:pPr>
                  <w:r>
                    <w:t>Qld</w:t>
                  </w:r>
                </w:p>
              </w:tc>
              <w:tc>
                <w:tcPr>
                  <w:tcW w:w="1078" w:type="pct"/>
                  <w:shd w:val="clear" w:color="auto" w:fill="F2F2F2" w:themeFill="accent4"/>
                </w:tcPr>
                <w:p w14:paraId="265A32DC" w14:textId="77777777" w:rsidR="00DE1537" w:rsidRDefault="00DE1537" w:rsidP="00343F3E">
                  <w:pPr>
                    <w:pStyle w:val="TableBodyText"/>
                    <w:jc w:val="left"/>
                  </w:pPr>
                  <w:r w:rsidRPr="00175885">
                    <w:rPr>
                      <w:i/>
                    </w:rPr>
                    <w:t>Land Sales Act 1984</w:t>
                  </w:r>
                </w:p>
                <w:p w14:paraId="6D5DE0DC" w14:textId="77777777" w:rsidR="00DE1537" w:rsidRPr="00A268BB" w:rsidRDefault="00DE1537" w:rsidP="00343F3E">
                  <w:pPr>
                    <w:pStyle w:val="TableBodyText"/>
                    <w:jc w:val="left"/>
                  </w:pPr>
                  <w:r w:rsidRPr="00175885">
                    <w:rPr>
                      <w:i/>
                    </w:rPr>
                    <w:t>Coastal Protection and Management Act 1995</w:t>
                  </w:r>
                </w:p>
              </w:tc>
              <w:tc>
                <w:tcPr>
                  <w:tcW w:w="1068" w:type="pct"/>
                  <w:shd w:val="clear" w:color="auto" w:fill="F2F2F2" w:themeFill="accent4"/>
                </w:tcPr>
                <w:p w14:paraId="458847F1" w14:textId="77777777" w:rsidR="00DE1537" w:rsidRDefault="00DE1537" w:rsidP="00343F3E">
                  <w:pPr>
                    <w:pStyle w:val="TableBodyText"/>
                    <w:jc w:val="left"/>
                  </w:pPr>
                  <w:r>
                    <w:t>Department of Justice and Attorney</w:t>
                  </w:r>
                  <w:r>
                    <w:noBreakHyphen/>
                    <w:t>General</w:t>
                  </w:r>
                </w:p>
              </w:tc>
              <w:tc>
                <w:tcPr>
                  <w:tcW w:w="2424" w:type="pct"/>
                  <w:shd w:val="clear" w:color="auto" w:fill="F2F2F2" w:themeFill="accent4"/>
                </w:tcPr>
                <w:p w14:paraId="183CB14F" w14:textId="77777777" w:rsidR="00DE1537" w:rsidRDefault="00DE1537" w:rsidP="00343F3E">
                  <w:pPr>
                    <w:pStyle w:val="TableBodyText"/>
                    <w:jc w:val="left"/>
                  </w:pPr>
                  <w:r>
                    <w:t>Vendors must supply a disclosure plan and disclosure allotment, but with no requirements for disclosing natural hazards.</w:t>
                  </w:r>
                </w:p>
                <w:p w14:paraId="6B6AE57C" w14:textId="77777777" w:rsidR="00DE1537" w:rsidRPr="00A268BB" w:rsidRDefault="00DE1537" w:rsidP="00343F3E">
                  <w:pPr>
                    <w:pStyle w:val="TableBodyText"/>
                    <w:jc w:val="left"/>
                  </w:pPr>
                  <w:r>
                    <w:t>Vendors must give notice of any undischarged coastal protection or tidal works notices.</w:t>
                  </w:r>
                </w:p>
              </w:tc>
            </w:tr>
            <w:tr w:rsidR="00DE1537" w14:paraId="7CE020B6" w14:textId="77777777" w:rsidTr="00343F3E">
              <w:tc>
                <w:tcPr>
                  <w:tcW w:w="430" w:type="pct"/>
                </w:tcPr>
                <w:p w14:paraId="3FAFB966" w14:textId="77777777" w:rsidR="00DE1537" w:rsidRPr="00A268BB" w:rsidRDefault="00DE1537" w:rsidP="00343F3E">
                  <w:pPr>
                    <w:pStyle w:val="TableBodyText"/>
                    <w:jc w:val="left"/>
                  </w:pPr>
                  <w:r>
                    <w:t>SA</w:t>
                  </w:r>
                </w:p>
              </w:tc>
              <w:tc>
                <w:tcPr>
                  <w:tcW w:w="1078" w:type="pct"/>
                </w:tcPr>
                <w:p w14:paraId="53684E27" w14:textId="77777777" w:rsidR="00DE1537" w:rsidRPr="00A268BB" w:rsidRDefault="00DE1537" w:rsidP="00343F3E">
                  <w:pPr>
                    <w:pStyle w:val="TableBodyText"/>
                    <w:jc w:val="left"/>
                  </w:pPr>
                  <w:r w:rsidRPr="00363EBD">
                    <w:rPr>
                      <w:i/>
                    </w:rPr>
                    <w:t xml:space="preserve">Land and Business (Sale and Conveyancing) Act </w:t>
                  </w:r>
                  <w:r w:rsidRPr="00A774FF">
                    <w:rPr>
                      <w:i/>
                    </w:rPr>
                    <w:t>1994</w:t>
                  </w:r>
                </w:p>
              </w:tc>
              <w:tc>
                <w:tcPr>
                  <w:tcW w:w="1068" w:type="pct"/>
                </w:tcPr>
                <w:p w14:paraId="638B0EAC" w14:textId="77777777" w:rsidR="00DE1537" w:rsidRDefault="00DE1537" w:rsidP="00343F3E">
                  <w:pPr>
                    <w:pStyle w:val="TableBodyText"/>
                    <w:jc w:val="left"/>
                  </w:pPr>
                  <w:r>
                    <w:t>Consumer and Business Services (Attorney</w:t>
                  </w:r>
                  <w:r>
                    <w:noBreakHyphen/>
                    <w:t>General’s Department)</w:t>
                  </w:r>
                </w:p>
              </w:tc>
              <w:tc>
                <w:tcPr>
                  <w:tcW w:w="2424" w:type="pct"/>
                </w:tcPr>
                <w:p w14:paraId="68BEDAE3" w14:textId="77777777" w:rsidR="00DE1537" w:rsidRPr="00A268BB" w:rsidRDefault="00DE1537" w:rsidP="00343F3E">
                  <w:pPr>
                    <w:pStyle w:val="TableBodyText"/>
                    <w:jc w:val="left"/>
                  </w:pPr>
                  <w:r>
                    <w:t>Sale of land must be accompanied by a Form 1 Vendor’s statement including applicable planning and development controls and any emergency order or fire safety order affecting the land, but otherwise no requirements for disclosure of potential natural hazards.</w:t>
                  </w:r>
                </w:p>
              </w:tc>
            </w:tr>
            <w:tr w:rsidR="00DE1537" w14:paraId="5A8FE1ED" w14:textId="77777777" w:rsidTr="00343F3E">
              <w:tc>
                <w:tcPr>
                  <w:tcW w:w="430" w:type="pct"/>
                  <w:shd w:val="clear" w:color="auto" w:fill="F2F2F2" w:themeFill="accent4"/>
                </w:tcPr>
                <w:p w14:paraId="3D53D5B0" w14:textId="77777777" w:rsidR="00DE1537" w:rsidRPr="00A268BB" w:rsidRDefault="00DE1537" w:rsidP="00343F3E">
                  <w:pPr>
                    <w:pStyle w:val="TableBodyText"/>
                    <w:jc w:val="left"/>
                  </w:pPr>
                  <w:r>
                    <w:t>WA</w:t>
                  </w:r>
                </w:p>
              </w:tc>
              <w:tc>
                <w:tcPr>
                  <w:tcW w:w="1078" w:type="pct"/>
                  <w:shd w:val="clear" w:color="auto" w:fill="F2F2F2" w:themeFill="accent4"/>
                </w:tcPr>
                <w:p w14:paraId="5439863F" w14:textId="77777777" w:rsidR="00DE1537" w:rsidRPr="00A268BB" w:rsidRDefault="00DE1537" w:rsidP="00343F3E">
                  <w:pPr>
                    <w:pStyle w:val="TableBodyText"/>
                    <w:jc w:val="left"/>
                  </w:pPr>
                  <w:r w:rsidRPr="006238E6">
                    <w:rPr>
                      <w:i/>
                    </w:rPr>
                    <w:t>Real Estate and Business Agents Act 1978</w:t>
                  </w:r>
                </w:p>
              </w:tc>
              <w:tc>
                <w:tcPr>
                  <w:tcW w:w="1068" w:type="pct"/>
                  <w:shd w:val="clear" w:color="auto" w:fill="F2F2F2" w:themeFill="accent4"/>
                </w:tcPr>
                <w:p w14:paraId="3DDFF967" w14:textId="77777777" w:rsidR="00DE1537" w:rsidRDefault="00DE1537" w:rsidP="00343F3E">
                  <w:pPr>
                    <w:pStyle w:val="TableBodyText"/>
                    <w:jc w:val="left"/>
                  </w:pPr>
                  <w:r>
                    <w:t>Department of Commerce</w:t>
                  </w:r>
                </w:p>
              </w:tc>
              <w:tc>
                <w:tcPr>
                  <w:tcW w:w="2424" w:type="pct"/>
                  <w:shd w:val="clear" w:color="auto" w:fill="F2F2F2" w:themeFill="accent4"/>
                </w:tcPr>
                <w:p w14:paraId="546FA814" w14:textId="77777777" w:rsidR="00DE1537" w:rsidRPr="00A268BB" w:rsidRDefault="00DE1537" w:rsidP="00343F3E">
                  <w:pPr>
                    <w:pStyle w:val="TableBodyText"/>
                    <w:jc w:val="left"/>
                  </w:pPr>
                  <w:r>
                    <w:t>There is no mandatory seller disclosure statement in Western Australia, but real estate agents are required to find out or verify pertinent facts about the property transaction and communicate them promptly to the purchaser.</w:t>
                  </w:r>
                </w:p>
              </w:tc>
            </w:tr>
            <w:tr w:rsidR="00DE1537" w14:paraId="559E0EF8" w14:textId="77777777" w:rsidTr="00343F3E">
              <w:tc>
                <w:tcPr>
                  <w:tcW w:w="430" w:type="pct"/>
                </w:tcPr>
                <w:p w14:paraId="5CDB390E" w14:textId="77777777" w:rsidR="00DE1537" w:rsidRPr="00A268BB" w:rsidRDefault="00DE1537" w:rsidP="00343F3E">
                  <w:pPr>
                    <w:pStyle w:val="TableBodyText"/>
                    <w:jc w:val="left"/>
                  </w:pPr>
                  <w:r>
                    <w:t>Tas</w:t>
                  </w:r>
                </w:p>
              </w:tc>
              <w:tc>
                <w:tcPr>
                  <w:tcW w:w="1078" w:type="pct"/>
                </w:tcPr>
                <w:p w14:paraId="6128C6DE" w14:textId="77777777" w:rsidR="00DE1537" w:rsidRPr="00A268BB" w:rsidRDefault="00DE1537" w:rsidP="00343F3E">
                  <w:pPr>
                    <w:pStyle w:val="TableBodyText"/>
                    <w:jc w:val="left"/>
                  </w:pPr>
                  <w:r w:rsidRPr="00A95B98">
                    <w:rPr>
                      <w:i/>
                    </w:rPr>
                    <w:t>Property Agents and Land Transactions Act 2005</w:t>
                  </w:r>
                </w:p>
              </w:tc>
              <w:tc>
                <w:tcPr>
                  <w:tcW w:w="1068" w:type="pct"/>
                </w:tcPr>
                <w:p w14:paraId="74622B5B" w14:textId="77777777" w:rsidR="00DE1537" w:rsidRDefault="00DE1537" w:rsidP="00343F3E">
                  <w:pPr>
                    <w:pStyle w:val="TableBodyText"/>
                    <w:jc w:val="left"/>
                  </w:pPr>
                  <w:r>
                    <w:t>Consumer Affairs and Fair Trading (Department of Justice)</w:t>
                  </w:r>
                </w:p>
              </w:tc>
              <w:tc>
                <w:tcPr>
                  <w:tcW w:w="2424" w:type="pct"/>
                </w:tcPr>
                <w:p w14:paraId="752633CC" w14:textId="77777777" w:rsidR="00DE1537" w:rsidRPr="00A268BB" w:rsidRDefault="00DE1537" w:rsidP="00343F3E">
                  <w:pPr>
                    <w:pStyle w:val="TableBodyText"/>
                    <w:jc w:val="left"/>
                  </w:pPr>
                  <w:r>
                    <w:t>Vendors must provide relevant disclosure documents, including a vendor statement, and information about planning restrictions, but with no requirements for disclosing natural hazards. Purchasers are advised to conduct their own investigations, including into whether the land is in a flood</w:t>
                  </w:r>
                  <w:r>
                    <w:noBreakHyphen/>
                    <w:t>prone or declared landslip area.</w:t>
                  </w:r>
                </w:p>
              </w:tc>
            </w:tr>
            <w:tr w:rsidR="00DE1537" w14:paraId="3F30EA59" w14:textId="77777777" w:rsidTr="00343F3E">
              <w:tc>
                <w:tcPr>
                  <w:tcW w:w="430" w:type="pct"/>
                  <w:shd w:val="clear" w:color="auto" w:fill="F2F2F2" w:themeFill="accent4"/>
                </w:tcPr>
                <w:p w14:paraId="2BB135A8" w14:textId="77777777" w:rsidR="00DE1537" w:rsidRPr="00A268BB" w:rsidRDefault="00DE1537" w:rsidP="00343F3E">
                  <w:pPr>
                    <w:pStyle w:val="TableBodyText"/>
                    <w:jc w:val="left"/>
                  </w:pPr>
                  <w:r>
                    <w:t>NT</w:t>
                  </w:r>
                </w:p>
              </w:tc>
              <w:tc>
                <w:tcPr>
                  <w:tcW w:w="1078" w:type="pct"/>
                  <w:shd w:val="clear" w:color="auto" w:fill="F2F2F2" w:themeFill="accent4"/>
                </w:tcPr>
                <w:p w14:paraId="486447A5" w14:textId="77777777" w:rsidR="00DE1537" w:rsidRPr="00A268BB" w:rsidRDefault="00DE1537" w:rsidP="00343F3E">
                  <w:pPr>
                    <w:pStyle w:val="TableBodyText"/>
                    <w:jc w:val="left"/>
                  </w:pPr>
                  <w:r w:rsidRPr="00034EFB">
                    <w:rPr>
                      <w:i/>
                    </w:rPr>
                    <w:t>Sale of Land (Rights</w:t>
                  </w:r>
                  <w:r>
                    <w:rPr>
                      <w:i/>
                    </w:rPr>
                    <w:t xml:space="preserve"> </w:t>
                  </w:r>
                  <w:r w:rsidRPr="00034EFB">
                    <w:rPr>
                      <w:i/>
                    </w:rPr>
                    <w:t>and Duties of Parties)</w:t>
                  </w:r>
                  <w:r>
                    <w:rPr>
                      <w:i/>
                    </w:rPr>
                    <w:t xml:space="preserve"> </w:t>
                  </w:r>
                  <w:r w:rsidRPr="00034EFB">
                    <w:rPr>
                      <w:i/>
                    </w:rPr>
                    <w:t>Act 2010</w:t>
                  </w:r>
                  <w:r>
                    <w:t>, repealed in July 2013</w:t>
                  </w:r>
                </w:p>
              </w:tc>
              <w:tc>
                <w:tcPr>
                  <w:tcW w:w="1068" w:type="pct"/>
                  <w:shd w:val="clear" w:color="auto" w:fill="F2F2F2" w:themeFill="accent4"/>
                </w:tcPr>
                <w:p w14:paraId="4A1D6812" w14:textId="77777777" w:rsidR="00DE1537" w:rsidRDefault="00DE1537" w:rsidP="00343F3E">
                  <w:pPr>
                    <w:pStyle w:val="TableBodyText"/>
                    <w:jc w:val="left"/>
                  </w:pPr>
                  <w:r>
                    <w:t>Department of the Attorney</w:t>
                  </w:r>
                  <w:r>
                    <w:noBreakHyphen/>
                    <w:t>General and Justice</w:t>
                  </w:r>
                </w:p>
              </w:tc>
              <w:tc>
                <w:tcPr>
                  <w:tcW w:w="2424" w:type="pct"/>
                  <w:shd w:val="clear" w:color="auto" w:fill="F2F2F2" w:themeFill="accent4"/>
                </w:tcPr>
                <w:p w14:paraId="652E604A" w14:textId="77777777" w:rsidR="00DE1537" w:rsidRPr="00A268BB" w:rsidRDefault="00DE1537" w:rsidP="00343F3E">
                  <w:pPr>
                    <w:pStyle w:val="TableBodyText"/>
                    <w:jc w:val="left"/>
                  </w:pPr>
                  <w:r>
                    <w:t>Statutory disclosure legislation commenced in October 2012 and was later repealed. It had required vendors to disclose details about planning restrictions and any data that exists on flood and storm surge hazards that impact the property.</w:t>
                  </w:r>
                  <w:r w:rsidRPr="00A268BB">
                    <w:t xml:space="preserve"> </w:t>
                  </w:r>
                  <w:r>
                    <w:t>It was repealed with the aim of reducing costs imposed on vendors in terms of disclosing information that could not easily be obtained.</w:t>
                  </w:r>
                </w:p>
              </w:tc>
            </w:tr>
            <w:tr w:rsidR="00DE1537" w14:paraId="4B036F23" w14:textId="77777777" w:rsidTr="00343F3E">
              <w:tc>
                <w:tcPr>
                  <w:tcW w:w="430" w:type="pct"/>
                  <w:tcBorders>
                    <w:bottom w:val="single" w:sz="6" w:space="0" w:color="C8C8C8"/>
                  </w:tcBorders>
                  <w:shd w:val="clear" w:color="auto" w:fill="auto"/>
                </w:tcPr>
                <w:p w14:paraId="529B2EA6" w14:textId="77777777" w:rsidR="00DE1537" w:rsidRPr="00A268BB" w:rsidRDefault="00DE1537" w:rsidP="00343F3E">
                  <w:pPr>
                    <w:pStyle w:val="TableBodyText"/>
                    <w:jc w:val="left"/>
                  </w:pPr>
                  <w:r>
                    <w:t>ACT</w:t>
                  </w:r>
                </w:p>
              </w:tc>
              <w:tc>
                <w:tcPr>
                  <w:tcW w:w="1078" w:type="pct"/>
                  <w:tcBorders>
                    <w:bottom w:val="single" w:sz="6" w:space="0" w:color="C8C8C8"/>
                  </w:tcBorders>
                </w:tcPr>
                <w:p w14:paraId="265979BD" w14:textId="77777777" w:rsidR="00DE1537" w:rsidRPr="00C214A1" w:rsidRDefault="00DE1537" w:rsidP="00343F3E">
                  <w:pPr>
                    <w:pStyle w:val="TableBodyText"/>
                    <w:jc w:val="left"/>
                    <w:rPr>
                      <w:i/>
                    </w:rPr>
                  </w:pPr>
                  <w:r w:rsidRPr="00C214A1">
                    <w:rPr>
                      <w:i/>
                    </w:rPr>
                    <w:t>Civil Law (Sale of</w:t>
                  </w:r>
                </w:p>
                <w:p w14:paraId="519FFC8F" w14:textId="77777777" w:rsidR="00DE1537" w:rsidRPr="00A268BB" w:rsidRDefault="00DE1537" w:rsidP="00343F3E">
                  <w:pPr>
                    <w:pStyle w:val="TableBodyText"/>
                    <w:jc w:val="left"/>
                  </w:pPr>
                  <w:r w:rsidRPr="00C214A1">
                    <w:rPr>
                      <w:i/>
                    </w:rPr>
                    <w:t>Residential Property</w:t>
                  </w:r>
                  <w:r>
                    <w:rPr>
                      <w:i/>
                    </w:rPr>
                    <w:t>) A</w:t>
                  </w:r>
                  <w:r w:rsidRPr="00C214A1">
                    <w:rPr>
                      <w:i/>
                    </w:rPr>
                    <w:t xml:space="preserve">ct </w:t>
                  </w:r>
                  <w:r>
                    <w:rPr>
                      <w:i/>
                    </w:rPr>
                    <w:t>2</w:t>
                  </w:r>
                  <w:r w:rsidRPr="00C214A1">
                    <w:rPr>
                      <w:i/>
                    </w:rPr>
                    <w:t>003</w:t>
                  </w:r>
                </w:p>
              </w:tc>
              <w:tc>
                <w:tcPr>
                  <w:tcW w:w="1068" w:type="pct"/>
                  <w:tcBorders>
                    <w:bottom w:val="single" w:sz="6" w:space="0" w:color="C8C8C8"/>
                  </w:tcBorders>
                </w:tcPr>
                <w:p w14:paraId="01A8DCEF" w14:textId="77777777" w:rsidR="00DE1537" w:rsidRDefault="00DE1537" w:rsidP="00343F3E">
                  <w:pPr>
                    <w:pStyle w:val="TableBodyText"/>
                    <w:jc w:val="left"/>
                  </w:pPr>
                  <w:r>
                    <w:t>Office of Regulatory Services (Justice and Community Safety Directorate)</w:t>
                  </w:r>
                </w:p>
              </w:tc>
              <w:tc>
                <w:tcPr>
                  <w:tcW w:w="2424" w:type="pct"/>
                  <w:tcBorders>
                    <w:bottom w:val="single" w:sz="6" w:space="0" w:color="C8C8C8"/>
                  </w:tcBorders>
                  <w:shd w:val="clear" w:color="auto" w:fill="auto"/>
                </w:tcPr>
                <w:p w14:paraId="46306E47" w14:textId="77777777" w:rsidR="00DE1537" w:rsidRPr="00A268BB" w:rsidRDefault="00DE1537" w:rsidP="00343F3E">
                  <w:pPr>
                    <w:pStyle w:val="TableBodyText"/>
                    <w:jc w:val="left"/>
                  </w:pPr>
                  <w:r>
                    <w:t>Vendors must make available certain ‘required documents’ to prospective purchasers, including any development conditions, but with no requirements for disclosure of potential natural hazards.</w:t>
                  </w:r>
                </w:p>
              </w:tc>
            </w:tr>
          </w:tbl>
          <w:p w14:paraId="5DCB72BF" w14:textId="77777777" w:rsidR="00DE1537" w:rsidRDefault="00DE1537" w:rsidP="00343F3E">
            <w:pPr>
              <w:pStyle w:val="Box"/>
            </w:pPr>
          </w:p>
        </w:tc>
      </w:tr>
      <w:tr w:rsidR="00DE1537" w14:paraId="21D558D7" w14:textId="77777777" w:rsidTr="00343F3E">
        <w:trPr>
          <w:cantSplit/>
        </w:trPr>
        <w:tc>
          <w:tcPr>
            <w:tcW w:w="8771" w:type="dxa"/>
            <w:tcBorders>
              <w:top w:val="nil"/>
              <w:left w:val="nil"/>
              <w:bottom w:val="nil"/>
              <w:right w:val="nil"/>
            </w:tcBorders>
            <w:shd w:val="clear" w:color="auto" w:fill="auto"/>
          </w:tcPr>
          <w:p w14:paraId="084D8AE0" w14:textId="4884618E" w:rsidR="00DE1537" w:rsidRPr="005343D5" w:rsidRDefault="00DE1537" w:rsidP="00343F3E">
            <w:pPr>
              <w:pStyle w:val="Source"/>
            </w:pPr>
            <w:r w:rsidRPr="005343D5">
              <w:rPr>
                <w:i/>
              </w:rPr>
              <w:t>Sources</w:t>
            </w:r>
            <w:r w:rsidRPr="005343D5">
              <w:t>: Commercial and Property Law Research Centre (2014); NEMC (2012a); PC (2012); Western Australian Department of Commerce (2014).</w:t>
            </w:r>
          </w:p>
        </w:tc>
      </w:tr>
      <w:tr w:rsidR="00DE1537" w14:paraId="6487E67B" w14:textId="77777777" w:rsidTr="00343F3E">
        <w:trPr>
          <w:cantSplit/>
        </w:trPr>
        <w:tc>
          <w:tcPr>
            <w:tcW w:w="8771" w:type="dxa"/>
            <w:tcBorders>
              <w:top w:val="nil"/>
              <w:left w:val="nil"/>
              <w:bottom w:val="single" w:sz="6" w:space="0" w:color="78A22F" w:themeColor="accent1"/>
              <w:right w:val="nil"/>
            </w:tcBorders>
            <w:shd w:val="clear" w:color="auto" w:fill="auto"/>
          </w:tcPr>
          <w:p w14:paraId="10BE030E" w14:textId="77777777" w:rsidR="00DE1537" w:rsidRDefault="00DE1537" w:rsidP="00343F3E">
            <w:pPr>
              <w:pStyle w:val="Box"/>
              <w:spacing w:before="0" w:line="120" w:lineRule="exact"/>
            </w:pPr>
          </w:p>
        </w:tc>
      </w:tr>
      <w:tr w:rsidR="00DE1537" w:rsidRPr="000863A5" w14:paraId="7CB1AAAB" w14:textId="77777777" w:rsidTr="00343F3E">
        <w:tc>
          <w:tcPr>
            <w:tcW w:w="8771" w:type="dxa"/>
            <w:tcBorders>
              <w:top w:val="single" w:sz="6" w:space="0" w:color="78A22F" w:themeColor="accent1"/>
              <w:left w:val="nil"/>
              <w:bottom w:val="nil"/>
              <w:right w:val="nil"/>
            </w:tcBorders>
          </w:tcPr>
          <w:p w14:paraId="4CA1F7F1" w14:textId="77777777" w:rsidR="00DE1537" w:rsidRPr="00626D32" w:rsidRDefault="00DE1537" w:rsidP="00343F3E">
            <w:pPr>
              <w:pStyle w:val="BoxSpaceBelow"/>
            </w:pPr>
          </w:p>
        </w:tc>
      </w:tr>
    </w:tbl>
    <w:p w14:paraId="46ED6552" w14:textId="77777777" w:rsidR="00DE1537" w:rsidRDefault="00DE1537" w:rsidP="00343F3E">
      <w:pPr>
        <w:pStyle w:val="BodyText"/>
      </w:pPr>
    </w:p>
    <w:p w14:paraId="1C54D6BB" w14:textId="77777777" w:rsidR="00DE1537" w:rsidRDefault="00DE1537">
      <w:pPr>
        <w:rPr>
          <w:szCs w:val="20"/>
        </w:rPr>
      </w:pPr>
      <w:r>
        <w:br w:type="page"/>
      </w:r>
    </w:p>
    <w:p w14:paraId="7DBE7289" w14:textId="77777777" w:rsidR="00DE1537" w:rsidRDefault="00DE1537" w:rsidP="00343F3E">
      <w:pPr>
        <w:pStyle w:val="BodyText"/>
      </w:pPr>
      <w:r>
        <w:lastRenderedPageBreak/>
        <w:t>The Far North Queensland Regional Organisation of Councils (sub. 36, p. 19) suggested that risk information at the individual property level should be provided directly to prospective buyers during their search process.</w:t>
      </w:r>
    </w:p>
    <w:p w14:paraId="0E3CF13A" w14:textId="77777777" w:rsidR="00DE1537" w:rsidRDefault="00DE1537" w:rsidP="00343F3E">
      <w:pPr>
        <w:pStyle w:val="Quote"/>
      </w:pPr>
      <w:r w:rsidRPr="00133BCC">
        <w:t>Planning schemes in Queensland do identify hazard areas and mapping of these are available to the public. However, it may be more appropriate to identify risks as a notification against individual properties so that when a person does a property search, prior to purchasing a property, they are advised as to the natural hazards that are present.</w:t>
      </w:r>
      <w:r>
        <w:t xml:space="preserve"> </w:t>
      </w:r>
    </w:p>
    <w:p w14:paraId="52FEF07F" w14:textId="77777777" w:rsidR="00DE1537" w:rsidRDefault="00DE1537" w:rsidP="00343F3E">
      <w:pPr>
        <w:pStyle w:val="BodyText"/>
      </w:pPr>
      <w:r w:rsidRPr="0009536C">
        <w:t xml:space="preserve">The Commission considers that there is merit in consistent guidelines for the disclosure of natural hazards affecting existing properties, and that this might also alleviate some of the legal liability concerns </w:t>
      </w:r>
      <w:proofErr w:type="gramStart"/>
      <w:r w:rsidRPr="0009536C">
        <w:t>raised</w:t>
      </w:r>
      <w:proofErr w:type="gramEnd"/>
      <w:r w:rsidRPr="0009536C">
        <w:t xml:space="preserve"> in section </w:t>
      </w:r>
      <w:r>
        <w:t>6</w:t>
      </w:r>
      <w:r w:rsidRPr="0009536C">
        <w:t xml:space="preserve">.3. </w:t>
      </w:r>
      <w:r>
        <w:t xml:space="preserve">Such guidelines would need to incorporate reasonable expectations of vendors’ ability to access all relevant hazard information that they are required to disclose. </w:t>
      </w:r>
    </w:p>
    <w:p w14:paraId="195D1B58" w14:textId="77777777" w:rsidR="00DE1537" w:rsidRDefault="00DE1537" w:rsidP="00343F3E">
      <w:pPr>
        <w:pStyle w:val="Quote"/>
      </w:pPr>
      <w:r>
        <w:t xml:space="preserve">… </w:t>
      </w:r>
      <w:r w:rsidRPr="009F786D">
        <w:t xml:space="preserve">currently existing natural hazard data should be made available to consumers when it is relevant to risk levels on their property or on property that they are interested in purchasing. </w:t>
      </w:r>
      <w:r>
        <w:t xml:space="preserve">… </w:t>
      </w:r>
      <w:r w:rsidRPr="009F786D">
        <w:t>Currently, providing this information is likely to be outside of a vendor’s capability without enough public information available and this is unlikely to be fair onus to place on an individual householder until such time as this risk information is more accessible.</w:t>
      </w:r>
      <w:r>
        <w:t xml:space="preserve"> </w:t>
      </w:r>
      <w:proofErr w:type="gramStart"/>
      <w:r w:rsidRPr="009F786D">
        <w:t>(</w:t>
      </w:r>
      <w:r>
        <w:t>FRLC</w:t>
      </w:r>
      <w:r w:rsidRPr="009F786D">
        <w:t>, sub.</w:t>
      </w:r>
      <w:proofErr w:type="gramEnd"/>
      <w:r>
        <w:t> </w:t>
      </w:r>
      <w:r w:rsidRPr="009F786D">
        <w:t>DR130, p.</w:t>
      </w:r>
      <w:r>
        <w:t> </w:t>
      </w:r>
      <w:r w:rsidRPr="009F786D">
        <w:t>7)</w:t>
      </w:r>
    </w:p>
    <w:p w14:paraId="23EEC554" w14:textId="77777777" w:rsidR="00DE1537" w:rsidRPr="007262B7" w:rsidRDefault="00DE1537" w:rsidP="00343F3E">
      <w:pPr>
        <w:pStyle w:val="Quote"/>
      </w:pPr>
      <w:r>
        <w:rPr>
          <w:sz w:val="23"/>
          <w:szCs w:val="23"/>
        </w:rPr>
        <w:t xml:space="preserve">… MAV </w:t>
      </w:r>
      <w:r w:rsidRPr="007262B7">
        <w:t xml:space="preserve">supports vendor disclosure as a critical component of the natural hazards risk management process. However it is important to ensure that achieving disclosure requirements is not overly burdensome. </w:t>
      </w:r>
      <w:proofErr w:type="gramStart"/>
      <w:r w:rsidRPr="007262B7">
        <w:t>(MAV, sub.</w:t>
      </w:r>
      <w:proofErr w:type="gramEnd"/>
      <w:r>
        <w:t> </w:t>
      </w:r>
      <w:r w:rsidRPr="007262B7">
        <w:t>DR162, p.</w:t>
      </w:r>
      <w:r>
        <w:t> </w:t>
      </w:r>
      <w:r w:rsidRPr="007262B7">
        <w:t>14)</w:t>
      </w:r>
    </w:p>
    <w:p w14:paraId="1A14F080" w14:textId="77777777" w:rsidR="00DE1537" w:rsidRDefault="00DE1537" w:rsidP="00343F3E">
      <w:pPr>
        <w:pStyle w:val="BodyText"/>
        <w:rPr>
          <w:szCs w:val="24"/>
        </w:rPr>
      </w:pPr>
      <w:r>
        <w:t>Insurance Australia Group (</w:t>
      </w:r>
      <w:r>
        <w:rPr>
          <w:szCs w:val="24"/>
        </w:rPr>
        <w:t>sub. DR158) saw scope for improvement in vendor disclosure statements so that they incorporate information not only about relevant planning controls, but about the natural hazards (directly). It reported evidence of public confusion due to the difference between these two types of information:</w:t>
      </w:r>
    </w:p>
    <w:p w14:paraId="305B0ED4" w14:textId="77777777" w:rsidR="00DE1537" w:rsidRDefault="00DE1537" w:rsidP="00343F3E">
      <w:pPr>
        <w:pStyle w:val="Quote"/>
      </w:pPr>
      <w:r>
        <w:t xml:space="preserve">… </w:t>
      </w:r>
      <w:proofErr w:type="gramStart"/>
      <w:r>
        <w:t>a</w:t>
      </w:r>
      <w:proofErr w:type="gramEnd"/>
      <w:r>
        <w:t xml:space="preserve"> significant number of people misinterpret an absence of planning controls as an indication that their property is ‘risk free’. However, a number of properties not subject to development controls will still have a small but relevant flood risk that will be reflected in their home insurance premiums. This creates confusion as residents try to reconcile these messages. It can also create an administrative burden for councils as they have to provide additional information to their ratepayers which may not then result in a reduction of premium. The misapprehension can also lead to people deciding not to take out flood cover as they rely on their s149 certificates as the ‘source of truth’ on their flood risk. </w:t>
      </w:r>
      <w:proofErr w:type="gramStart"/>
      <w:r>
        <w:t>(IAG, sub.</w:t>
      </w:r>
      <w:proofErr w:type="gramEnd"/>
      <w:r>
        <w:t> DR158, p. 10)</w:t>
      </w:r>
    </w:p>
    <w:p w14:paraId="3054BAED" w14:textId="142BF17C" w:rsidR="00DE1537" w:rsidRPr="005654D8" w:rsidRDefault="00DE1537" w:rsidP="00343F3E">
      <w:pPr>
        <w:pStyle w:val="BodyText"/>
      </w:pPr>
      <w:r>
        <w:t xml:space="preserve">There is evidence that some states have provided guidance to local governments on facilitating the inclusion of natural hazard information in vendor disclosure statements. For example, the NSW Government has advised NSW local governments to explicitly include current and future coastal hazards in section 149 planning certificates (which can then be purchased from local governments to meet vendor disclosure requirements) </w:t>
      </w:r>
      <w:r w:rsidRPr="006E1ED0">
        <w:rPr>
          <w:szCs w:val="24"/>
        </w:rPr>
        <w:t>(NSW Department of Planning and Environment </w:t>
      </w:r>
      <w:r w:rsidRPr="000B3BC2">
        <w:rPr>
          <w:szCs w:val="24"/>
        </w:rPr>
        <w:t>2014a)</w:t>
      </w:r>
      <w:r>
        <w:t>.</w:t>
      </w:r>
    </w:p>
    <w:p w14:paraId="3D93DCC1" w14:textId="77777777" w:rsidR="00DE1537" w:rsidRPr="0009536C" w:rsidRDefault="00DE1537" w:rsidP="00343F3E">
      <w:pPr>
        <w:pStyle w:val="BodyText"/>
      </w:pPr>
      <w:r w:rsidRPr="0009536C">
        <w:t>Community understanding and decision making about these natural hazards could also be improved if governments and/or insurers shared general hazard information</w:t>
      </w:r>
      <w:r>
        <w:t xml:space="preserve"> with </w:t>
      </w:r>
      <w:r>
        <w:lastRenderedPageBreak/>
        <w:t>households</w:t>
      </w:r>
      <w:r w:rsidRPr="0009536C">
        <w:t xml:space="preserve"> in a manner that is relatively regular and low cost, such as through council rates notices, rental contracts or insurance renewal statements. It remains the case that where private agents stand to benefit from more specific, tailored risk information, they have an incentive to seek out and potentially pay for this information themselves, just as they would information about other attributes of the property they own or are considering purchasing. </w:t>
      </w:r>
    </w:p>
    <w:p w14:paraId="6C88BCF7" w14:textId="77777777" w:rsidR="00DE1537" w:rsidRDefault="00DE1537" w:rsidP="00343F3E">
      <w:pPr>
        <w:pStyle w:val="Heading4"/>
      </w:pPr>
      <w:r w:rsidRPr="00370B76">
        <w:t>Incentives for private mitigation</w:t>
      </w:r>
    </w:p>
    <w:p w14:paraId="54C63C4D" w14:textId="77777777" w:rsidR="00DE1537" w:rsidRDefault="00DE1537" w:rsidP="00343F3E">
      <w:pPr>
        <w:pStyle w:val="BodyText"/>
      </w:pPr>
      <w:r>
        <w:t xml:space="preserve">Property owners may choose to go beyond the minimum standards set out in the building code by investing in mitigation to improve the resilience of their property (such as through retrofitting more resilient building materials). There are inherent economic incentives for individual property owners to undertake voluntary mitigation. These incentives can include reduced risk of asset loss or damage in a natural disaster event, higher property values and lower insurance premiums. The Floodplain Management Association (sub. 79) and Lake Macquarie City Council (NSW) (sub. 74) stated that they had evidence of property owners receiving or negotiating lower insurance premiums when insurers had access to better risk information. </w:t>
      </w:r>
    </w:p>
    <w:p w14:paraId="54043774" w14:textId="77777777" w:rsidR="00DE1537" w:rsidRDefault="00DE1537" w:rsidP="00343F3E">
      <w:pPr>
        <w:pStyle w:val="BodyText"/>
      </w:pPr>
      <w:r>
        <w:t>One possible impediment to using insurance premiums as a mechanism for private risk management is information asymmetry. There is evidence that mitigation measures undertaken by households may not result in lower premiums, particularly where insurers have limited information about the vulnerability of individual properties to natural hazards. Some participants argued that insurance premiums are set based on general parameters (such as building type) and postcode</w:t>
      </w:r>
      <w:r>
        <w:noBreakHyphen/>
        <w:t xml:space="preserve">based risk assessments, rather than mitigation actions taken at the individual property level (supplementary paper 5). The Insurance Council of Australia (sub. 57) argued that mitigation at the property level can reduce insurance costs where credible data can be obtained. </w:t>
      </w:r>
    </w:p>
    <w:p w14:paraId="40D0430B" w14:textId="77777777" w:rsidR="00DE1537" w:rsidRDefault="00DE1537" w:rsidP="00343F3E">
      <w:pPr>
        <w:pStyle w:val="BodyText"/>
      </w:pPr>
      <w:r>
        <w:t xml:space="preserve">A further impediment may be insurers’ unwillingness to share details of their risk assessment and premium pricing calculations, for commercial reasons (FMA, sub. 79; Lake Macquarie City Council (NSW), sub. 74). This can reduce the ability of communities to understand the relationship between mitigation efforts and insurance premiums. Greater information sharing by insurers would deliver positive outcomes (supplementary papers 4 and 5). </w:t>
      </w:r>
    </w:p>
    <w:p w14:paraId="10A8D80A" w14:textId="77777777" w:rsidR="00DE1537" w:rsidRDefault="00DE1537" w:rsidP="00343F3E">
      <w:pPr>
        <w:pStyle w:val="BodyText"/>
      </w:pPr>
      <w:r>
        <w:t xml:space="preserve">Some participants argued that property owners in existing settlements need additional financial incentives to manage the risks they face. Such additional incentives range from government rebates linked to measures of property resilience, to more extreme measures such as property buyback offers. For example, Suncorp Group (sub. 71, p. 13) submitted that property owners face ‘competing cost interests’ (such as during renovation) that could be overcome by a program that links the Building Resilience Rating Tool to incentives such as building permit rebates, state tax concessions and grant funding for retrofitting or building costs. The Floodplain Management Association (sub. 79) also suggested that </w:t>
      </w:r>
      <w:r>
        <w:lastRenderedPageBreak/>
        <w:t>financial incentives could be provided to property owners choosing to invest in mitigation activities such as retrofitting their properties with more resilient building materials.</w:t>
      </w:r>
    </w:p>
    <w:p w14:paraId="38749F58" w14:textId="3EA016F3" w:rsidR="00DE1537" w:rsidRDefault="00DE1537" w:rsidP="00343F3E">
      <w:pPr>
        <w:pStyle w:val="BodyText"/>
      </w:pPr>
      <w:r>
        <w:t>Others have argued that for very high</w:t>
      </w:r>
      <w:r>
        <w:noBreakHyphen/>
        <w:t xml:space="preserve">risk existing settlements, increased funding should be made available for property relocation (as in the Grantham Land Swap, box 6.10) (Floodplain Management Association, sub. 79). However, relocations are very expensive and only viable in exceptional circumstances. </w:t>
      </w:r>
      <w:proofErr w:type="gramStart"/>
      <w:r>
        <w:t>James Cook University (</w:t>
      </w:r>
      <w:r w:rsidRPr="004E7FAA">
        <w:t>sub.</w:t>
      </w:r>
      <w:proofErr w:type="gramEnd"/>
      <w:r>
        <w:t> </w:t>
      </w:r>
      <w:r w:rsidRPr="004E7FAA">
        <w:t>DR127</w:t>
      </w:r>
      <w:r>
        <w:t xml:space="preserve">, </w:t>
      </w:r>
      <w:r w:rsidRPr="004E7FAA">
        <w:t>p.</w:t>
      </w:r>
      <w:r>
        <w:t> </w:t>
      </w:r>
      <w:r w:rsidRPr="004E7FAA">
        <w:t>1</w:t>
      </w:r>
      <w:r>
        <w:t>) highlighted the trade</w:t>
      </w:r>
      <w:r>
        <w:noBreakHyphen/>
        <w:t>offs involved in the choice to relocate or fund relocation.</w:t>
      </w:r>
    </w:p>
    <w:p w14:paraId="6D11D725" w14:textId="77777777" w:rsidR="00DE1537" w:rsidRDefault="00DE1537" w:rsidP="00343F3E">
      <w:pPr>
        <w:pStyle w:val="Quote"/>
      </w:pPr>
      <w:r w:rsidRPr="004E7FAA">
        <w:t>The cost of relocation is a disincentive to both the private and government sectors, but relocation, or retreat, will be cheaper in the long term than recovery costs. However, the rec</w:t>
      </w:r>
      <w:r>
        <w:t>overy cost is not a certainty —</w:t>
      </w:r>
      <w:r w:rsidRPr="004E7FAA">
        <w:t xml:space="preserve"> the disaster may no</w:t>
      </w:r>
      <w:r>
        <w:t>t happen in any given location.</w:t>
      </w:r>
    </w:p>
    <w:p w14:paraId="6077A106" w14:textId="77777777" w:rsidR="00DE1537" w:rsidRDefault="00DE1537" w:rsidP="00343F3E">
      <w:pPr>
        <w:pStyle w:val="BodyText"/>
      </w:pPr>
      <w:proofErr w:type="gramStart"/>
      <w:r>
        <w:t>The Floodplain Management Association (sub.</w:t>
      </w:r>
      <w:proofErr w:type="gramEnd"/>
      <w:r>
        <w:t> DR166, p. 6) expressed the view that government funding for relocation should be reserved for the most severe cases:</w:t>
      </w:r>
    </w:p>
    <w:p w14:paraId="6869434F" w14:textId="77777777" w:rsidR="00DE1537" w:rsidRPr="004E4917" w:rsidRDefault="00DE1537" w:rsidP="00343F3E">
      <w:pPr>
        <w:pStyle w:val="Quote"/>
      </w:pPr>
      <w:r w:rsidRPr="004E4917">
        <w:t>The FMA agrees that the focus of policy reform and additional funding should be on substantial further improvements that could be made to land use planning where it relates to new development. However, there is still practical benefit in funding voluntary house raising and voluntary purchasing for some communities with severe leg</w:t>
      </w:r>
      <w:r>
        <w:t>acy flood vulnerability issues.</w:t>
      </w:r>
    </w:p>
    <w:p w14:paraId="29482FA0" w14:textId="77777777" w:rsidR="00DE1537" w:rsidRDefault="00DE1537" w:rsidP="00343F3E">
      <w:pPr>
        <w:pStyle w:val="BodyText"/>
      </w:pPr>
      <w:r>
        <w:t>As an alternative, in the case of bushfire hazard, some participants favoured the use of land and vegetation management strategies (such as prescribed burning) as more cost</w:t>
      </w:r>
      <w:r>
        <w:noBreakHyphen/>
        <w:t xml:space="preserve">effective strategies for reducing the exposure of existing settlements (Firewise WA, sub. DR145; </w:t>
      </w:r>
      <w:r w:rsidRPr="00BB4779">
        <w:t>Max Margetts and Associates, sub.</w:t>
      </w:r>
      <w:r>
        <w:t> </w:t>
      </w:r>
      <w:r w:rsidRPr="00BB4779">
        <w:t>DR129</w:t>
      </w:r>
      <w:r>
        <w:t xml:space="preserve">; </w:t>
      </w:r>
      <w:proofErr w:type="gramStart"/>
      <w:r>
        <w:t>The</w:t>
      </w:r>
      <w:proofErr w:type="gramEnd"/>
      <w:r>
        <w:t xml:space="preserve"> Bushfire Front Inc, sub. DR131). </w:t>
      </w:r>
      <w:proofErr w:type="gramStart"/>
      <w:r>
        <w:t>Firewise WA (sub.</w:t>
      </w:r>
      <w:proofErr w:type="gramEnd"/>
      <w:r>
        <w:t> DR145), for example, argued that distance from bushland is the most significant factor affecting whether a property is lost to bushfire, and prescribed burning of bushland would be a less expensive (and more effective) means of protecting nearby properties than retrofitting with more fire</w:t>
      </w:r>
      <w:r>
        <w:noBreakHyphen/>
        <w:t>resistant building materials.</w:t>
      </w:r>
    </w:p>
    <w:p w14:paraId="5157E59D" w14:textId="77777777" w:rsidR="00DE1537" w:rsidRDefault="00DE1537" w:rsidP="00343F3E">
      <w:pPr>
        <w:pStyle w:val="BodyText"/>
      </w:pPr>
      <w:proofErr w:type="gramStart"/>
      <w:r>
        <w:t>Although many participants identified the potentially high cost of retrofitting buildings as a mitigation measure, the CSIRO (</w:t>
      </w:r>
      <w:r w:rsidRPr="008D59CC">
        <w:t>sub.</w:t>
      </w:r>
      <w:proofErr w:type="gramEnd"/>
      <w:r>
        <w:t> </w:t>
      </w:r>
      <w:r w:rsidRPr="008D59CC">
        <w:t>DR151, p.</w:t>
      </w:r>
      <w:r>
        <w:t> </w:t>
      </w:r>
      <w:r w:rsidRPr="008D59CC">
        <w:t>4)</w:t>
      </w:r>
      <w:r>
        <w:t xml:space="preserve"> noted that there are some </w:t>
      </w:r>
      <w:r w:rsidRPr="008D59CC">
        <w:t>cost</w:t>
      </w:r>
      <w:r>
        <w:noBreakHyphen/>
        <w:t>effective retrofitting options for some hazard types, such as:</w:t>
      </w:r>
    </w:p>
    <w:p w14:paraId="3410A5BB" w14:textId="77777777" w:rsidR="00DE1537" w:rsidRPr="00BB4779" w:rsidRDefault="00DE1537" w:rsidP="00343F3E">
      <w:pPr>
        <w:pStyle w:val="Quote"/>
      </w:pPr>
      <w:r>
        <w:t>… modest and inexpensive improvements to roof tiles … [which] deliver significant protection for old buildings in cyclone areas, though less than the full application of cyclone building codes in new buildings.</w:t>
      </w:r>
    </w:p>
    <w:p w14:paraId="7DB2CDC6" w14:textId="7A9622C5" w:rsidR="00DE1537" w:rsidRDefault="00DE1537" w:rsidP="00343F3E">
      <w:pPr>
        <w:pStyle w:val="BodyText"/>
      </w:pPr>
      <w:r>
        <w:t xml:space="preserve">In the Commission’s view, it is not clear why existing economic incentives should be insufficient to compel property owners to obtain information and undertake risk management with respect to their individual property. In some situations, there may be barriers to such voluntary mitigation, such as in the case of rental properties where the benefits of risk reduction are split between tenants and landlords </w:t>
      </w:r>
      <w:r w:rsidRPr="00362A7A">
        <w:rPr>
          <w:szCs w:val="24"/>
        </w:rPr>
        <w:t>(PC 2012)</w:t>
      </w:r>
      <w:r>
        <w:t xml:space="preserve">. </w:t>
      </w:r>
    </w:p>
    <w:p w14:paraId="4F8D12C6" w14:textId="77777777" w:rsidR="00DE1537" w:rsidRDefault="00DE1537" w:rsidP="00343F3E">
      <w:pPr>
        <w:pStyle w:val="BodyText"/>
      </w:pPr>
      <w:r>
        <w:t>The Commission remains unconvinced of the need for across</w:t>
      </w:r>
      <w:r>
        <w:noBreakHyphen/>
        <w:t>the</w:t>
      </w:r>
      <w:r>
        <w:noBreakHyphen/>
        <w:t>board additional financial incentives for private mitigation. It considers that the costs and benefits of such incentives — whether they seek to encourage mitigation or retreat — should be examined on an individual case basis.</w:t>
      </w:r>
    </w:p>
    <w:p w14:paraId="72161AB5"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3EEC396" w14:textId="77777777" w:rsidTr="00343F3E">
        <w:tc>
          <w:tcPr>
            <w:tcW w:w="8771" w:type="dxa"/>
            <w:tcBorders>
              <w:top w:val="single" w:sz="6" w:space="0" w:color="78A22F"/>
              <w:left w:val="nil"/>
              <w:bottom w:val="nil"/>
              <w:right w:val="nil"/>
            </w:tcBorders>
            <w:shd w:val="clear" w:color="auto" w:fill="F2F2F2" w:themeFill="background1" w:themeFillShade="F2"/>
          </w:tcPr>
          <w:p w14:paraId="550B775B" w14:textId="7F0B58D7" w:rsidR="00DE1537" w:rsidRDefault="00DE1537" w:rsidP="00343F3E">
            <w:pPr>
              <w:pStyle w:val="BoxTitle"/>
            </w:pPr>
            <w:r>
              <w:rPr>
                <w:b w:val="0"/>
              </w:rPr>
              <w:t>Box 6.</w:t>
            </w:r>
            <w:r>
              <w:rPr>
                <w:b w:val="0"/>
                <w:noProof/>
              </w:rPr>
              <w:t>10</w:t>
            </w:r>
            <w:r>
              <w:tab/>
              <w:t>Relocation policy in Grantham, Queensland</w:t>
            </w:r>
          </w:p>
        </w:tc>
      </w:tr>
      <w:tr w:rsidR="00DE1537" w14:paraId="6613A716" w14:textId="77777777" w:rsidTr="00343F3E">
        <w:trPr>
          <w:cantSplit/>
        </w:trPr>
        <w:tc>
          <w:tcPr>
            <w:tcW w:w="8771" w:type="dxa"/>
            <w:tcBorders>
              <w:top w:val="nil"/>
              <w:left w:val="nil"/>
              <w:bottom w:val="nil"/>
              <w:right w:val="nil"/>
            </w:tcBorders>
            <w:shd w:val="clear" w:color="auto" w:fill="F2F2F2" w:themeFill="background1" w:themeFillShade="F2"/>
          </w:tcPr>
          <w:p w14:paraId="69D2300D" w14:textId="77777777" w:rsidR="00DE1537" w:rsidRDefault="00DE1537" w:rsidP="00343F3E">
            <w:pPr>
              <w:pStyle w:val="BoxHeading1"/>
            </w:pPr>
            <w:r>
              <w:t>Background</w:t>
            </w:r>
          </w:p>
          <w:p w14:paraId="3F8A4567" w14:textId="77777777" w:rsidR="00DE1537" w:rsidRDefault="00DE1537" w:rsidP="00343F3E">
            <w:pPr>
              <w:pStyle w:val="BoxHeading2"/>
              <w:rPr>
                <w:i w:val="0"/>
                <w:sz w:val="20"/>
              </w:rPr>
            </w:pPr>
            <w:r w:rsidRPr="00354216">
              <w:rPr>
                <w:i w:val="0"/>
                <w:sz w:val="20"/>
              </w:rPr>
              <w:t xml:space="preserve">Grantham is a rural township </w:t>
            </w:r>
            <w:r>
              <w:rPr>
                <w:i w:val="0"/>
                <w:sz w:val="20"/>
              </w:rPr>
              <w:t>two</w:t>
            </w:r>
            <w:r w:rsidRPr="00354216">
              <w:rPr>
                <w:i w:val="0"/>
                <w:sz w:val="20"/>
              </w:rPr>
              <w:t xml:space="preserve"> hours west of Brisbane</w:t>
            </w:r>
            <w:r>
              <w:rPr>
                <w:i w:val="0"/>
                <w:sz w:val="20"/>
              </w:rPr>
              <w:t>, with a population of about 36</w:t>
            </w:r>
            <w:r w:rsidRPr="00354216">
              <w:rPr>
                <w:i w:val="0"/>
                <w:sz w:val="20"/>
              </w:rPr>
              <w:t>0</w:t>
            </w:r>
            <w:r>
              <w:rPr>
                <w:i w:val="0"/>
                <w:sz w:val="20"/>
              </w:rPr>
              <w:t> people</w:t>
            </w:r>
            <w:r w:rsidRPr="00354216">
              <w:rPr>
                <w:i w:val="0"/>
                <w:sz w:val="20"/>
              </w:rPr>
              <w:t xml:space="preserve">. </w:t>
            </w:r>
            <w:r>
              <w:rPr>
                <w:i w:val="0"/>
                <w:sz w:val="20"/>
              </w:rPr>
              <w:t>T</w:t>
            </w:r>
            <w:r w:rsidRPr="00354216">
              <w:rPr>
                <w:i w:val="0"/>
                <w:sz w:val="20"/>
              </w:rPr>
              <w:t xml:space="preserve">he January 2011 </w:t>
            </w:r>
            <w:r>
              <w:rPr>
                <w:i w:val="0"/>
                <w:sz w:val="20"/>
              </w:rPr>
              <w:t>floods left 119 homes significantly damaged, 19 damaged beyond repair and 10 completely destroyed</w:t>
            </w:r>
            <w:r w:rsidRPr="00354216">
              <w:rPr>
                <w:i w:val="0"/>
                <w:sz w:val="20"/>
              </w:rPr>
              <w:t xml:space="preserve">. </w:t>
            </w:r>
            <w:r>
              <w:rPr>
                <w:i w:val="0"/>
                <w:sz w:val="20"/>
              </w:rPr>
              <w:t xml:space="preserve">Twelve Grantham residents lost their lives. </w:t>
            </w:r>
            <w:r w:rsidRPr="00354216">
              <w:rPr>
                <w:i w:val="0"/>
                <w:sz w:val="20"/>
              </w:rPr>
              <w:t>Most of the town’s infrastructure was destroyed (including around 70 per cent of the town</w:t>
            </w:r>
            <w:r>
              <w:rPr>
                <w:i w:val="0"/>
                <w:sz w:val="20"/>
              </w:rPr>
              <w:t>’</w:t>
            </w:r>
            <w:r w:rsidRPr="00354216">
              <w:rPr>
                <w:i w:val="0"/>
                <w:sz w:val="20"/>
              </w:rPr>
              <w:t>s roads).</w:t>
            </w:r>
          </w:p>
          <w:p w14:paraId="369562BA" w14:textId="77777777" w:rsidR="00DE1537" w:rsidRDefault="00DE1537" w:rsidP="00343F3E">
            <w:pPr>
              <w:pStyle w:val="BoxHeading1"/>
            </w:pPr>
            <w:r>
              <w:t>The Grantham Land Swap</w:t>
            </w:r>
          </w:p>
          <w:p w14:paraId="1BF93909" w14:textId="77777777" w:rsidR="00DE1537" w:rsidRDefault="00DE1537" w:rsidP="00343F3E">
            <w:pPr>
              <w:pStyle w:val="Box"/>
            </w:pPr>
            <w:r>
              <w:t>In response to the floods, the Lockyer Valley Regional Council implemented a relocation policy in the interests of rebuilding the town in a less risky area. It stated that:</w:t>
            </w:r>
          </w:p>
          <w:p w14:paraId="430DE257" w14:textId="77777777" w:rsidR="00DE1537" w:rsidRDefault="00DE1537" w:rsidP="00343F3E">
            <w:pPr>
              <w:pStyle w:val="BoxQuote"/>
            </w:pPr>
            <w:r w:rsidRPr="00CC3DEB">
              <w:t>Following the floods, it was quite clear to Council that rebuilding Grantham in the same manner in which it was prior to the flood would have been irresponsible and kept people’s lives at risk.</w:t>
            </w:r>
            <w:r>
              <w:t xml:space="preserve"> </w:t>
            </w:r>
            <w:r w:rsidRPr="00CC3DEB">
              <w:t>In order to save lives and allow Grantham to grow and prosper for generations to come, Council decided to relocate the town i</w:t>
            </w:r>
            <w:r>
              <w:t>n its entirety to higher ground. (Lockyer Valley Regional Council (Qld), sub. 108, p. 8)</w:t>
            </w:r>
          </w:p>
          <w:p w14:paraId="06B0F5CE" w14:textId="77777777" w:rsidR="00DE1537" w:rsidRDefault="00DE1537" w:rsidP="00343F3E">
            <w:pPr>
              <w:pStyle w:val="Box"/>
            </w:pPr>
            <w:r>
              <w:t xml:space="preserve">The council bought </w:t>
            </w:r>
            <w:r w:rsidRPr="00345D39">
              <w:t>935 acres of land lots on ‘safer’ ground and offered flood</w:t>
            </w:r>
            <w:r>
              <w:noBreakHyphen/>
            </w:r>
            <w:r w:rsidRPr="00345D39">
              <w:t xml:space="preserve">affected residents the opportunity to swap their existing lot for a new one of equivalent size. Residents had the option to move their existing </w:t>
            </w:r>
            <w:r>
              <w:t>house</w:t>
            </w:r>
            <w:r w:rsidRPr="00345D39">
              <w:t xml:space="preserve"> or construct a new one. The first ballo</w:t>
            </w:r>
            <w:r>
              <w:t>t offered new lots to around 80 </w:t>
            </w:r>
            <w:r w:rsidRPr="00345D39">
              <w:t>households and most residents got their first preference of</w:t>
            </w:r>
            <w:r>
              <w:t xml:space="preserve"> new lots. Within 11 </w:t>
            </w:r>
            <w:r w:rsidRPr="00345D39">
              <w:t>months, residents began moving into the new lots. To date, over 100 families from the flood</w:t>
            </w:r>
            <w:r>
              <w:noBreakHyphen/>
            </w:r>
            <w:r w:rsidRPr="00345D39">
              <w:t xml:space="preserve">affected areas have </w:t>
            </w:r>
            <w:r>
              <w:t>relocated</w:t>
            </w:r>
            <w:r w:rsidRPr="00345D39">
              <w:t>.</w:t>
            </w:r>
            <w:r>
              <w:t xml:space="preserve"> The flood</w:t>
            </w:r>
            <w:r>
              <w:noBreakHyphen/>
              <w:t>affected land, now property of the council, can no longer be used for residential purposes, except for the few properties that remain on the land as a result of individual property owners’ choices.</w:t>
            </w:r>
          </w:p>
          <w:p w14:paraId="4DD29D47" w14:textId="77777777" w:rsidR="00DE1537" w:rsidRDefault="00DE1537" w:rsidP="00343F3E">
            <w:pPr>
              <w:pStyle w:val="Box"/>
            </w:pPr>
            <w:r>
              <w:t>The old Grantham town was completely flooded again in January 2013, but that event left only three houses damaged while the new estate was unaffected.</w:t>
            </w:r>
          </w:p>
          <w:p w14:paraId="23E88489" w14:textId="77777777" w:rsidR="00DE1537" w:rsidRDefault="00DE1537" w:rsidP="00343F3E">
            <w:pPr>
              <w:pStyle w:val="BoxHeading1"/>
            </w:pPr>
            <w:r>
              <w:t>Recovery and rebuilding</w:t>
            </w:r>
          </w:p>
          <w:p w14:paraId="2A314A25" w14:textId="77777777" w:rsidR="00DE1537" w:rsidRDefault="00DE1537" w:rsidP="00343F3E">
            <w:pPr>
              <w:pStyle w:val="Box"/>
            </w:pPr>
            <w:r>
              <w:t>Reconstruction has taken place in consultation with the Queensland Reconstruction Authority and (ultimately) with funding support from the Australian and Queensland Governments totalling $18 million provided under category D of the Natural Disaster Relief and Recovery Arrangements. This funding met the full costs of the land swap and future development of the area.</w:t>
            </w:r>
          </w:p>
          <w:p w14:paraId="3FF64722" w14:textId="77777777" w:rsidR="00DE1537" w:rsidRPr="00EE72A9" w:rsidRDefault="00DE1537" w:rsidP="00343F3E">
            <w:pPr>
              <w:pStyle w:val="Box"/>
            </w:pPr>
            <w:r w:rsidRPr="00EE72A9">
              <w:t>The town has been rebuil</w:t>
            </w:r>
            <w:r w:rsidRPr="00CC3DEB">
              <w:t>t over time under several broader plans — including the Grantham Master Plan, the Strengthening Grantham Project and the Lockyer Valley Community Recovery Plan. These plans comprised the rebuilding of</w:t>
            </w:r>
            <w:r w:rsidRPr="00CF5736">
              <w:t xml:space="preserve"> community infrastructure such as roads, bridges, parks, </w:t>
            </w:r>
            <w:r>
              <w:t xml:space="preserve">the </w:t>
            </w:r>
            <w:r w:rsidRPr="00CF5736">
              <w:t>community centre and the rail crossing bridge.</w:t>
            </w:r>
          </w:p>
        </w:tc>
      </w:tr>
      <w:tr w:rsidR="00DE1537" w14:paraId="176C3F9B" w14:textId="77777777" w:rsidTr="00343F3E">
        <w:trPr>
          <w:cantSplit/>
        </w:trPr>
        <w:tc>
          <w:tcPr>
            <w:tcW w:w="8771" w:type="dxa"/>
            <w:tcBorders>
              <w:top w:val="nil"/>
              <w:left w:val="nil"/>
              <w:bottom w:val="nil"/>
              <w:right w:val="nil"/>
            </w:tcBorders>
            <w:shd w:val="clear" w:color="auto" w:fill="F2F2F2" w:themeFill="background1" w:themeFillShade="F2"/>
          </w:tcPr>
          <w:p w14:paraId="1AFDD8A0" w14:textId="7F5FEDE6" w:rsidR="00DE1537" w:rsidRDefault="00DE1537" w:rsidP="00343F3E">
            <w:pPr>
              <w:pStyle w:val="BoxSource"/>
            </w:pPr>
            <w:r>
              <w:rPr>
                <w:i/>
              </w:rPr>
              <w:t>Sources</w:t>
            </w:r>
            <w:r w:rsidRPr="00167F06">
              <w:t xml:space="preserve">: </w:t>
            </w:r>
            <w:r>
              <w:t>Attorney</w:t>
            </w:r>
            <w:r>
              <w:noBreakHyphen/>
              <w:t xml:space="preserve">General’s Department (sub. 90); Lahey </w:t>
            </w:r>
            <w:r w:rsidRPr="00362A7A">
              <w:rPr>
                <w:rFonts w:cs="Arial"/>
              </w:rPr>
              <w:t>(2011)</w:t>
            </w:r>
            <w:r>
              <w:t xml:space="preserve">; Lockyer Valley Regional Council (Qld) (sub. 108); PC </w:t>
            </w:r>
            <w:r w:rsidRPr="00362A7A">
              <w:rPr>
                <w:rFonts w:cs="Arial"/>
              </w:rPr>
              <w:t>(2012)</w:t>
            </w:r>
            <w:r>
              <w:t>.</w:t>
            </w:r>
          </w:p>
        </w:tc>
      </w:tr>
      <w:tr w:rsidR="00DE1537" w14:paraId="1AD84CDA"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2ED0C9BE" w14:textId="77777777" w:rsidR="00DE1537" w:rsidRDefault="00DE1537" w:rsidP="00343F3E">
            <w:pPr>
              <w:pStyle w:val="Box"/>
              <w:spacing w:before="0" w:line="120" w:lineRule="exact"/>
            </w:pPr>
          </w:p>
        </w:tc>
      </w:tr>
      <w:tr w:rsidR="00DE1537" w:rsidRPr="000863A5" w14:paraId="2F03E478" w14:textId="77777777" w:rsidTr="00343F3E">
        <w:tc>
          <w:tcPr>
            <w:tcW w:w="8771" w:type="dxa"/>
            <w:tcBorders>
              <w:top w:val="single" w:sz="6" w:space="0" w:color="78A22F"/>
              <w:left w:val="nil"/>
              <w:bottom w:val="nil"/>
              <w:right w:val="nil"/>
            </w:tcBorders>
          </w:tcPr>
          <w:p w14:paraId="7708FDF7" w14:textId="77777777" w:rsidR="00DE1537" w:rsidRPr="00626D32" w:rsidRDefault="00DE1537" w:rsidP="00343F3E">
            <w:pPr>
              <w:pStyle w:val="BoxSpaceBelow"/>
            </w:pPr>
          </w:p>
        </w:tc>
      </w:tr>
    </w:tbl>
    <w:p w14:paraId="5AA92D5B" w14:textId="33D9F59F" w:rsidR="00DE1537" w:rsidRPr="005A2F91" w:rsidRDefault="00DE1537" w:rsidP="005A2F91">
      <w:pPr>
        <w:pStyle w:val="Heading4"/>
      </w:pPr>
      <w:r w:rsidRPr="006A19B8">
        <w:t>Collective mitigation activities</w:t>
      </w:r>
    </w:p>
    <w:p w14:paraId="273DD620" w14:textId="77777777" w:rsidR="00DE1537" w:rsidRDefault="00DE1537" w:rsidP="00343F3E">
      <w:pPr>
        <w:pStyle w:val="BodyText"/>
      </w:pPr>
      <w:r>
        <w:t xml:space="preserve">While there are inherent incentives for </w:t>
      </w:r>
      <w:r w:rsidRPr="007C62F5">
        <w:t xml:space="preserve">households </w:t>
      </w:r>
      <w:r>
        <w:t xml:space="preserve">in existing areas of settlement to manage the risks to their own property, there can be a role for local communities in undertaking mitigation activities where these risks are shared and the net benefits of </w:t>
      </w:r>
      <w:r>
        <w:lastRenderedPageBreak/>
        <w:t xml:space="preserve">coordinated mitigation would exceed the alternative of </w:t>
      </w:r>
      <w:r w:rsidRPr="007C62F5">
        <w:t xml:space="preserve">households </w:t>
      </w:r>
      <w:r>
        <w:t>acting alone. There may also be a role for state and local governments to undertake or coordinate mitigation activity under some circumstances, for example where market failures (such as asymmetric information, externalities or public good characteristics) affect the risks facing built assets in existing settlements (supplementary paper 4). For example, as noted by Max Margetts and Associates (</w:t>
      </w:r>
      <w:r w:rsidRPr="00EE5CB8">
        <w:t>sub.</w:t>
      </w:r>
      <w:r>
        <w:t> </w:t>
      </w:r>
      <w:r w:rsidRPr="00EE5CB8">
        <w:t>DR129</w:t>
      </w:r>
      <w:r>
        <w:t xml:space="preserve">, </w:t>
      </w:r>
      <w:r w:rsidRPr="00EE5CB8">
        <w:t>p.</w:t>
      </w:r>
      <w:r>
        <w:t> 4), there may be a need for some collective mitigation efforts due to the nature of the hazard and the close proximity of existing settlements:</w:t>
      </w:r>
    </w:p>
    <w:p w14:paraId="0A4C49D8" w14:textId="77777777" w:rsidR="00DE1537" w:rsidRDefault="00DE1537" w:rsidP="00343F3E">
      <w:pPr>
        <w:pStyle w:val="Quote"/>
      </w:pPr>
      <w:r w:rsidRPr="00EE5CB8">
        <w:t>Quite rightly, the ongoing responsibility for risk reduction through active landscape management of property (whether public or private) should mostly be carried by property owners. But bushfire risk reduction in closely settled areas can only work if properties are managed for hazard on a collecti</w:t>
      </w:r>
      <w:r>
        <w:t xml:space="preserve">ve basis. </w:t>
      </w:r>
    </w:p>
    <w:p w14:paraId="2BB98A22" w14:textId="77777777" w:rsidR="00DE1537" w:rsidRPr="00673738" w:rsidRDefault="00DE1537" w:rsidP="00343F3E">
      <w:pPr>
        <w:pStyle w:val="BodyText"/>
      </w:pPr>
      <w:r>
        <w:t>Local governments and communities are often best placed to identify and implement mitigation activities that are appropriate to the specific hazards they face as well as the preferences and needs of local residents. State and territory governments will tend to be better suited to coordinate and prioritise mitigation activities throughout their jurisdictions and ensure decision making for mitigation is based on robust cost–benefit analysis (supplementary paper 4).</w:t>
      </w:r>
    </w:p>
    <w:p w14:paraId="07F509B4" w14:textId="77777777" w:rsidR="00DE1537" w:rsidRDefault="00DE1537" w:rsidP="00343F3E">
      <w:pPr>
        <w:pStyle w:val="BodyText"/>
      </w:pPr>
      <w:r>
        <w:t>There is also a role for insurers to work in partnership with local governments and communities in supporting collective mitigation in existing settlements (including through identifying private funding opportunities), particularly by sharing natural hazard data as well as expertise to inform mitigation decisions (supplementary papers 4 and 5).</w:t>
      </w:r>
    </w:p>
    <w:p w14:paraId="5E81FF94" w14:textId="581C40BF" w:rsidR="00DE1537" w:rsidRDefault="00DE1537" w:rsidP="00343F3E">
      <w:pPr>
        <w:pStyle w:val="Heading2"/>
      </w:pPr>
      <w:bookmarkStart w:id="77" w:name="_Toc406424346"/>
      <w:r>
        <w:t>6.</w:t>
      </w:r>
      <w:r>
        <w:rPr>
          <w:noProof/>
        </w:rPr>
        <w:t>6</w:t>
      </w:r>
      <w:r>
        <w:tab/>
        <w:t>Other built assets</w:t>
      </w:r>
      <w:bookmarkEnd w:id="77"/>
    </w:p>
    <w:p w14:paraId="3C36ABA7" w14:textId="77777777" w:rsidR="00DE1537" w:rsidRDefault="00DE1537" w:rsidP="00343F3E">
      <w:pPr>
        <w:pStyle w:val="Heading3"/>
        <w:spacing w:before="280"/>
      </w:pPr>
      <w:r>
        <w:t>Engineering standards</w:t>
      </w:r>
    </w:p>
    <w:p w14:paraId="18640C2C" w14:textId="2D36FA5C" w:rsidR="00DE1537" w:rsidRDefault="00DE1537" w:rsidP="00343F3E">
      <w:pPr>
        <w:pStyle w:val="BodyText"/>
      </w:pPr>
      <w:r>
        <w:t>As with building regulations, engineering standards can play an important role in natural disaster risk management by influencing the resilience of infrastructure assets. While the Building Code of Australia applies to new commercial, residential and public buildings, it excludes ‘non</w:t>
      </w:r>
      <w:r>
        <w:noBreakHyphen/>
        <w:t xml:space="preserve">building’ structures or engineering constructions, such as roads and bridges </w:t>
      </w:r>
      <w:r w:rsidRPr="00362A7A">
        <w:rPr>
          <w:szCs w:val="24"/>
        </w:rPr>
        <w:t>(PC 2012)</w:t>
      </w:r>
      <w:r>
        <w:t>. Engineers draw on many standards and guidelines in making decisions about the design and construction of these assets, as well as ensuring compliance with relevant legislation and tailoring design choices to local factors.</w:t>
      </w:r>
    </w:p>
    <w:p w14:paraId="5133BA0B" w14:textId="77777777" w:rsidR="00DE1537" w:rsidRDefault="00DE1537" w:rsidP="00343F3E">
      <w:pPr>
        <w:pStyle w:val="Quote"/>
      </w:pPr>
      <w:r>
        <w:t xml:space="preserve">The appropriate engineering standard for essential public assets is typically selected by a professional engineer after assessing various parameters such as the asset function, required service standard, asset life, </w:t>
      </w:r>
      <w:proofErr w:type="gramStart"/>
      <w:r>
        <w:t>risk</w:t>
      </w:r>
      <w:proofErr w:type="gramEnd"/>
      <w:r>
        <w:t xml:space="preserve"> of failure and consequence of failure, durability and resilience requirements. The application of current engineering standards is also critical to enable compliance with legislative requirements as well as professional and ethical obligations. (IPWEA, sub. 30, p. 6)</w:t>
      </w:r>
    </w:p>
    <w:p w14:paraId="48750B77" w14:textId="77777777" w:rsidR="00DE1537" w:rsidRDefault="00DE1537" w:rsidP="00343F3E">
      <w:pPr>
        <w:pStyle w:val="BodyText"/>
      </w:pPr>
      <w:r>
        <w:t xml:space="preserve">Engineering standards and guides include those released by state, local and regional authorities as well as by some national agencies, such as Austroads. They also include the </w:t>
      </w:r>
      <w:r>
        <w:lastRenderedPageBreak/>
        <w:t xml:space="preserve">‘standard drawings’ prepared by the Queensland division of the Institute of Public Works Engineering Australasia, which provide a consistent set of typical details for community infrastructure in Queensland and have been used by some other jurisdictions (IPWEA, sub. 30). It does not appear that these standards and guides include an explicit approach to natural disaster risk. Rather, natural hazards are included as part of a range of factors affecting engineering design decisions. </w:t>
      </w:r>
    </w:p>
    <w:p w14:paraId="4D45BB68" w14:textId="26C472AA" w:rsidR="00DE1537" w:rsidRDefault="00DE1537" w:rsidP="00343F3E">
      <w:pPr>
        <w:pStyle w:val="BodyText"/>
      </w:pPr>
      <w:r>
        <w:t xml:space="preserve">As an example, the Engineering Design and Construction Manual for growth areas in Victoria mentions bushfire management and flood levels </w:t>
      </w:r>
      <w:r w:rsidRPr="00362A7A">
        <w:rPr>
          <w:szCs w:val="24"/>
        </w:rPr>
        <w:t>(Growth Areas Authority 2011)</w:t>
      </w:r>
      <w:r>
        <w:t>, but there is not a specific and detailed treatment of natural disaster risk from an all</w:t>
      </w:r>
      <w:r>
        <w:noBreakHyphen/>
        <w:t xml:space="preserve">hazards approach. This does not necessarily imply that engineering standards have not performed well in natural disaster events. A Risk Frontiers report noted, for instance, that the impact of Cyclone Tracy in Darwin in 1974 left larger engineered structures generally more intact than residential housing, with about 20 per cent of such structures completely destroyed compared with 60 per cent of houses </w:t>
      </w:r>
      <w:r w:rsidRPr="00362A7A">
        <w:rPr>
          <w:szCs w:val="24"/>
        </w:rPr>
        <w:t>(Mason and Haynes 2010)</w:t>
      </w:r>
      <w:r>
        <w:t>.</w:t>
      </w:r>
    </w:p>
    <w:p w14:paraId="07336332" w14:textId="0070BACA" w:rsidR="00DE1537" w:rsidRPr="005008BE" w:rsidRDefault="00DE1537" w:rsidP="00343F3E">
      <w:pPr>
        <w:pStyle w:val="Quote"/>
      </w:pPr>
      <w:r w:rsidRPr="005008BE">
        <w:t>Although these structures</w:t>
      </w:r>
      <w:r w:rsidRPr="00836EB5">
        <w:t xml:space="preserve"> performed similarly in respect of maintaining cladding, their overall improved performance </w:t>
      </w:r>
      <w:r w:rsidRPr="00E6788D">
        <w:t>occurred because a suitable level of redundancy was built into them by the engineers who were</w:t>
      </w:r>
      <w:r w:rsidRPr="00163C1E">
        <w:t xml:space="preserve"> legally required to design these structures. For the engineered buildings that did fail, it was generally found that engineering standards performed adequately, t</w:t>
      </w:r>
      <w:r w:rsidRPr="00250F91">
        <w:t>hough it was evident that</w:t>
      </w:r>
      <w:r w:rsidRPr="00896008">
        <w:t xml:space="preserve"> ambiguity in the wording of the standards led to the inappropriate application of some design specifications.</w:t>
      </w:r>
      <w:r w:rsidRPr="005008BE">
        <w:t xml:space="preserve"> </w:t>
      </w:r>
      <w:r w:rsidRPr="00362A7A">
        <w:rPr>
          <w:szCs w:val="24"/>
        </w:rPr>
        <w:t>(Mason and Haynes 2010, pp. 2–3)</w:t>
      </w:r>
    </w:p>
    <w:p w14:paraId="5971238B" w14:textId="77777777" w:rsidR="00DE1537" w:rsidRDefault="00DE1537" w:rsidP="00343F3E">
      <w:pPr>
        <w:pStyle w:val="BodyText"/>
      </w:pPr>
      <w:r>
        <w:t xml:space="preserve">The Institute of Public Works Engineering Australasia (sub. 30) further noted that due to the unique features and requirements of each engineering construction project, professional judgment is exercised in making these assessments. There are also legislative and regulatory instruments that impose engineering requirements on different types of engineering construction, with some quite specific (for example, bridges in Queensland) and some more general (such as roads). This is different from the process for building standards, because in the latter case, the Australian, state and territory governments agreed to the formation of a body (the ABCB) to develop ‘model’ regulations in the form of minimum building standards for use by jurisdictions in preparing legislated building requirements. </w:t>
      </w:r>
    </w:p>
    <w:p w14:paraId="646D760B" w14:textId="77777777" w:rsidR="00DE1537" w:rsidRDefault="00DE1537" w:rsidP="00343F3E">
      <w:pPr>
        <w:pStyle w:val="BodyText"/>
      </w:pPr>
      <w:r>
        <w:t xml:space="preserve">The Australian Government, under the Natural Disaster Relief and Recovery Arrangements, provides funding for restoring or replacing </w:t>
      </w:r>
      <w:r w:rsidRPr="009E567D">
        <w:t>essential public assets to their pre</w:t>
      </w:r>
      <w:r>
        <w:noBreakHyphen/>
      </w:r>
      <w:r w:rsidRPr="009E567D">
        <w:t>disaster standard, in accordance with current buil</w:t>
      </w:r>
      <w:r>
        <w:t xml:space="preserve">ding and engineering standards (supplementary paper 2). </w:t>
      </w:r>
    </w:p>
    <w:p w14:paraId="4C09D904" w14:textId="0D6DE729" w:rsidR="00DE1537" w:rsidRPr="005A2F91" w:rsidRDefault="00DE1537" w:rsidP="005A2F91">
      <w:pPr>
        <w:pStyle w:val="BodyText"/>
      </w:pPr>
      <w:r>
        <w:t>As noted by the Attorney</w:t>
      </w:r>
      <w:r>
        <w:noBreakHyphen/>
        <w:t>General’s Department (sub. 90, p. 21):</w:t>
      </w:r>
    </w:p>
    <w:p w14:paraId="30D7437F" w14:textId="77777777" w:rsidR="00DE1537" w:rsidRDefault="00DE1537" w:rsidP="00343F3E">
      <w:pPr>
        <w:pStyle w:val="Quote"/>
      </w:pPr>
      <w:r>
        <w:t xml:space="preserve">… </w:t>
      </w:r>
      <w:proofErr w:type="gramStart"/>
      <w:r w:rsidRPr="006646CB">
        <w:t>what</w:t>
      </w:r>
      <w:proofErr w:type="gramEnd"/>
      <w:r w:rsidRPr="006646CB">
        <w:t xml:space="preserve"> constitutes an allowable current standard is open to interpretation. Current standards may include new safety features or consideration as to whether an asset is fit for present and future purpose.</w:t>
      </w:r>
      <w:r>
        <w:t xml:space="preserve"> </w:t>
      </w:r>
      <w:r w:rsidRPr="006646CB">
        <w:t>Assurance of claims requires technical assessments of engineering reports, site constraints and the cost of construction materials.</w:t>
      </w:r>
      <w:r>
        <w:t xml:space="preserve"> </w:t>
      </w:r>
    </w:p>
    <w:p w14:paraId="4D453F32" w14:textId="77777777" w:rsidR="00DE1537" w:rsidRDefault="00DE1537" w:rsidP="00343F3E">
      <w:pPr>
        <w:pStyle w:val="BodyText"/>
      </w:pPr>
      <w:r>
        <w:lastRenderedPageBreak/>
        <w:t>As indicated by the Department of Infrastructure and Regional Development (sub. 99, p. 10), this phrasing was intended to give asset owners some degree of flexibility:</w:t>
      </w:r>
    </w:p>
    <w:p w14:paraId="749635C1" w14:textId="77777777" w:rsidR="00DE1537" w:rsidRDefault="00DE1537" w:rsidP="00343F3E">
      <w:pPr>
        <w:pStyle w:val="Quote"/>
      </w:pPr>
      <w:r>
        <w:t xml:space="preserve">… </w:t>
      </w:r>
      <w:proofErr w:type="gramStart"/>
      <w:r>
        <w:t>to</w:t>
      </w:r>
      <w:proofErr w:type="gramEnd"/>
      <w:r>
        <w:t xml:space="preserve"> utilise contemporary (rather than obsolete or outdated) construction methodologies and building materials to restore or replace the pre</w:t>
      </w:r>
      <w:r>
        <w:noBreakHyphen/>
        <w:t xml:space="preserve">disaster functionality or utility of an essential public asset. However, this is a broad term that, without definition, has led to differing interpretations and the funding of potentially ineligible works. For example, the term may be interpreted to include any combination of current legislation, standards, codes and guidelines as they apply to established mechanisms, such as in place planning schemes or design and construction manuals. </w:t>
      </w:r>
    </w:p>
    <w:p w14:paraId="41993017" w14:textId="77777777" w:rsidR="00DE1537" w:rsidRDefault="00DE1537" w:rsidP="00343F3E">
      <w:pPr>
        <w:pStyle w:val="BodyText"/>
      </w:pPr>
      <w:r>
        <w:t>Several participants expressed concern that this definition is ambiguous in its reference to ‘pre</w:t>
      </w:r>
      <w:r>
        <w:noBreakHyphen/>
        <w:t xml:space="preserve">disaster standard’ in contrast with ‘current engineering standards’. There is support for greater clarity and guidance around the use and application of appropriate and consistent engineering standards (DIRD, sub. 99; </w:t>
      </w:r>
      <w:r w:rsidRPr="00807425">
        <w:t>FNQROC</w:t>
      </w:r>
      <w:r>
        <w:t>, sub. 36; Government of South Australia, sub. </w:t>
      </w:r>
      <w:proofErr w:type="gramStart"/>
      <w:r>
        <w:t>DR209; IPWEA, sub.</w:t>
      </w:r>
      <w:proofErr w:type="gramEnd"/>
      <w:r>
        <w:t> </w:t>
      </w:r>
      <w:proofErr w:type="gramStart"/>
      <w:r>
        <w:t>30,</w:t>
      </w:r>
      <w:proofErr w:type="gramEnd"/>
      <w:r>
        <w:t xml:space="preserve"> sub. </w:t>
      </w:r>
      <w:proofErr w:type="gramStart"/>
      <w:r>
        <w:t>DR181; Kyogle Council (NSW), sub.</w:t>
      </w:r>
      <w:proofErr w:type="gramEnd"/>
      <w:r>
        <w:t> </w:t>
      </w:r>
      <w:proofErr w:type="gramStart"/>
      <w:r>
        <w:t xml:space="preserve">3; </w:t>
      </w:r>
      <w:r w:rsidRPr="00807425">
        <w:t>ORRTG</w:t>
      </w:r>
      <w:r>
        <w:t>, sub.</w:t>
      </w:r>
      <w:proofErr w:type="gramEnd"/>
      <w:r>
        <w:t> </w:t>
      </w:r>
      <w:proofErr w:type="gramStart"/>
      <w:r>
        <w:t>27; Queensland Government, sub.</w:t>
      </w:r>
      <w:proofErr w:type="gramEnd"/>
      <w:r>
        <w:t> DR184).</w:t>
      </w:r>
    </w:p>
    <w:p w14:paraId="2CD6A950" w14:textId="77777777" w:rsidR="00DE1537" w:rsidRDefault="00DE1537" w:rsidP="00343F3E">
      <w:pPr>
        <w:pStyle w:val="Quote"/>
      </w:pPr>
      <w:r>
        <w:t>This lack of clarity over which standards are applicable creates confusion and inconsistency, particularly where different standards are applied across different projects in the one local government area, or where different local governments are subject to different engineering standard requirements. (</w:t>
      </w:r>
      <w:r w:rsidRPr="00807425">
        <w:t>ORRTG</w:t>
      </w:r>
      <w:r>
        <w:t>, sub. 27, p. 19)</w:t>
      </w:r>
    </w:p>
    <w:p w14:paraId="422A3C6D" w14:textId="77777777" w:rsidR="00DE1537" w:rsidRDefault="00DE1537" w:rsidP="00343F3E">
      <w:pPr>
        <w:pStyle w:val="Quote"/>
      </w:pPr>
      <w:r w:rsidRPr="00371698">
        <w:t>We have examples in the region of</w:t>
      </w:r>
      <w:r>
        <w:t xml:space="preserve"> </w:t>
      </w:r>
      <w:r w:rsidRPr="00371698">
        <w:t>where similar works were proposed and in one Council it was ‘current engineering</w:t>
      </w:r>
      <w:r>
        <w:t xml:space="preserve"> </w:t>
      </w:r>
      <w:r w:rsidRPr="00371698">
        <w:t>standards’ and then approved, while in the other it was deemed ‘betterment’ and then</w:t>
      </w:r>
      <w:r>
        <w:t xml:space="preserve"> </w:t>
      </w:r>
      <w:r w:rsidRPr="00371698">
        <w:t>not approved.</w:t>
      </w:r>
      <w:r>
        <w:t xml:space="preserve"> (</w:t>
      </w:r>
      <w:r w:rsidRPr="00807425">
        <w:t>FNQROC</w:t>
      </w:r>
      <w:r>
        <w:t>, sub. 36, p. 7)</w:t>
      </w:r>
    </w:p>
    <w:p w14:paraId="695CFDAF" w14:textId="77777777" w:rsidR="00DE1537" w:rsidRPr="003F3AE1" w:rsidRDefault="00DE1537" w:rsidP="00343F3E">
      <w:pPr>
        <w:pStyle w:val="Quote"/>
      </w:pPr>
      <w:r w:rsidRPr="003F3AE1">
        <w:t xml:space="preserve">… </w:t>
      </w:r>
      <w:proofErr w:type="gramStart"/>
      <w:r w:rsidRPr="003F3AE1">
        <w:t>improved</w:t>
      </w:r>
      <w:proofErr w:type="gramEnd"/>
      <w:r w:rsidRPr="003F3AE1">
        <w:t xml:space="preserve"> guidance at a national level on suitable </w:t>
      </w:r>
      <w:r>
        <w:t>‘</w:t>
      </w:r>
      <w:r w:rsidRPr="003F3AE1">
        <w:t>current engineering standards</w:t>
      </w:r>
      <w:r>
        <w:t>’</w:t>
      </w:r>
      <w:r w:rsidRPr="003F3AE1">
        <w:t xml:space="preserve"> applicable to REPA is required. The current arrangements continue to cause confusion and are a source of contention between the Local, State and Australian Governments. </w:t>
      </w:r>
      <w:proofErr w:type="gramStart"/>
      <w:r w:rsidRPr="003F3AE1">
        <w:t>(IPWEA, sub.</w:t>
      </w:r>
      <w:proofErr w:type="gramEnd"/>
      <w:r>
        <w:t> </w:t>
      </w:r>
      <w:r w:rsidRPr="003F3AE1">
        <w:t>DR181, p.</w:t>
      </w:r>
      <w:r>
        <w:t> </w:t>
      </w:r>
      <w:r w:rsidRPr="003F3AE1">
        <w:t>9)</w:t>
      </w:r>
    </w:p>
    <w:p w14:paraId="2F7D057B" w14:textId="77777777" w:rsidR="00DE1537" w:rsidRDefault="00DE1537" w:rsidP="00343F3E">
      <w:pPr>
        <w:pStyle w:val="BodyText"/>
      </w:pPr>
      <w:r>
        <w:t>The trade</w:t>
      </w:r>
      <w:r>
        <w:noBreakHyphen/>
        <w:t>off between consistency and flexibility was, however, acknowledged by the Government of South Australia (sub. DR209, p. 15):</w:t>
      </w:r>
    </w:p>
    <w:p w14:paraId="6A481087" w14:textId="77777777" w:rsidR="00DE1537" w:rsidRDefault="00DE1537" w:rsidP="00343F3E">
      <w:pPr>
        <w:pStyle w:val="Quote"/>
      </w:pPr>
      <w:r>
        <w:t>Building and engineering standards are complex, and their applicability differs from one hazard to the next. The South Australian Government recognises that there is a natural tension about being consistent, while understanding the difference in impacts and recovery needs for each disaster and the need to be flexible.</w:t>
      </w:r>
    </w:p>
    <w:p w14:paraId="69AF0ADE" w14:textId="77777777" w:rsidR="00DE1537" w:rsidRDefault="00DE1537" w:rsidP="00343F3E">
      <w:pPr>
        <w:pStyle w:val="BodyText"/>
      </w:pPr>
      <w:r>
        <w:t>In particular, there is uncertainty around funding eligibility where the application of current engineering standards in restoring or replacing an essential public asset would result in a higher than pre</w:t>
      </w:r>
      <w:r>
        <w:noBreakHyphen/>
        <w:t>disaster standard of asset (IPWEA, sub. 30). In some areas and for some assets, this may be a substantial difference. For example, the Far North Queensland Regional Organisation of Councils (sub. 36) noted that most of the infrastructure assets in its region, including roads, were built in the 1950s to standards considered appropriate at that time, and so to rebuild to pre</w:t>
      </w:r>
      <w:r>
        <w:noBreakHyphen/>
        <w:t xml:space="preserve">disaster condition would not support the asset’s disaster resilience in the present environment. </w:t>
      </w:r>
    </w:p>
    <w:p w14:paraId="7B40E234" w14:textId="77777777" w:rsidR="00DE1537" w:rsidRDefault="00DE1537" w:rsidP="00343F3E">
      <w:pPr>
        <w:pStyle w:val="BodyText"/>
      </w:pPr>
      <w:r>
        <w:t xml:space="preserve">Such uncertainty around eligibility for restoration or replacement increases the risk faced by both the Australian Government and asset owners (DIRD, sub. 99). As noted by several </w:t>
      </w:r>
      <w:r>
        <w:lastRenderedPageBreak/>
        <w:t xml:space="preserve">inquiry participants, the wording of the arrangements has the effect of discouraging reconstruction to a higher standard. </w:t>
      </w:r>
    </w:p>
    <w:p w14:paraId="0332D2E4" w14:textId="77777777" w:rsidR="00DE1537" w:rsidRDefault="00DE1537" w:rsidP="00343F3E">
      <w:pPr>
        <w:pStyle w:val="Quote"/>
        <w:rPr>
          <w:szCs w:val="22"/>
        </w:rPr>
      </w:pPr>
      <w:r>
        <w:t>The current Category B refers to ‘like</w:t>
      </w:r>
      <w:r>
        <w:noBreakHyphen/>
        <w:t>for</w:t>
      </w:r>
      <w:r>
        <w:noBreakHyphen/>
        <w:t>like’ replacement, and reconstruction of ‘essential public assets’. Victoria submits that this wording, and the operation of Category B, actively discourages betterment works. … Replacing assets ‘like</w:t>
      </w:r>
      <w:r>
        <w:noBreakHyphen/>
        <w:t>for</w:t>
      </w:r>
      <w:r>
        <w:noBreakHyphen/>
        <w:t xml:space="preserve">like’ ignores any lessons learnt from past disasters, and contravenes the national resilience agenda. </w:t>
      </w:r>
      <w:proofErr w:type="gramStart"/>
      <w:r>
        <w:t>(Victorian Government, sub.</w:t>
      </w:r>
      <w:proofErr w:type="gramEnd"/>
      <w:r>
        <w:t> DR215, p. 24)</w:t>
      </w:r>
      <w:r w:rsidRPr="002F0E08">
        <w:rPr>
          <w:szCs w:val="22"/>
        </w:rPr>
        <w:t xml:space="preserve"> </w:t>
      </w:r>
    </w:p>
    <w:p w14:paraId="4FD11AD1" w14:textId="77777777" w:rsidR="00DE1537" w:rsidRDefault="00DE1537" w:rsidP="00343F3E">
      <w:pPr>
        <w:pStyle w:val="Quote"/>
      </w:pPr>
      <w:r>
        <w:rPr>
          <w:szCs w:val="22"/>
        </w:rPr>
        <w:t xml:space="preserve">It is wasteful to rebuild vulnerable assets to their pre disaster standard, they should be rebuilt to more resilient standards or where there is the opportunity, </w:t>
      </w:r>
      <w:proofErr w:type="gramStart"/>
      <w:r>
        <w:rPr>
          <w:szCs w:val="22"/>
        </w:rPr>
        <w:t>alternative</w:t>
      </w:r>
      <w:proofErr w:type="gramEnd"/>
      <w:r>
        <w:rPr>
          <w:szCs w:val="22"/>
        </w:rPr>
        <w:t xml:space="preserve"> solutions should be considered. These could range from relocating to abandoning assets. Further, while State and Federal Governments voice support for the principle of ‘betterment’, it is effectively obstructed by current processes. </w:t>
      </w:r>
      <w:proofErr w:type="gramStart"/>
      <w:r>
        <w:rPr>
          <w:szCs w:val="22"/>
        </w:rPr>
        <w:t>(LGNSW, sub.</w:t>
      </w:r>
      <w:proofErr w:type="gramEnd"/>
      <w:r>
        <w:rPr>
          <w:szCs w:val="22"/>
        </w:rPr>
        <w:t> DR196, p. 5)</w:t>
      </w:r>
    </w:p>
    <w:p w14:paraId="23FEA14A" w14:textId="77777777" w:rsidR="00DE1537" w:rsidRDefault="00DE1537" w:rsidP="00343F3E">
      <w:pPr>
        <w:pStyle w:val="BodyText"/>
      </w:pPr>
      <w:proofErr w:type="gramStart"/>
      <w:r>
        <w:t>The Local Government Association of Queensland (sub.</w:t>
      </w:r>
      <w:proofErr w:type="gramEnd"/>
      <w:r>
        <w:t> DR188, p. 20) also noted that in some cases there are technical gaps in engineering standards in relation to some hazards:</w:t>
      </w:r>
    </w:p>
    <w:p w14:paraId="7A7E6ACC" w14:textId="77777777" w:rsidR="00DE1537" w:rsidRPr="002F0E08" w:rsidRDefault="00DE1537" w:rsidP="00343F3E">
      <w:pPr>
        <w:pStyle w:val="Quote"/>
      </w:pPr>
      <w:r w:rsidRPr="007C67ED">
        <w:t>In some cases, no adequate technical solution has yet been developed. For example, there are no nationally accepted guidelines for floodway design despite the fact that there are thousands of such structures around Australia.</w:t>
      </w:r>
    </w:p>
    <w:p w14:paraId="5ED408EC" w14:textId="77777777" w:rsidR="00DE1537" w:rsidRDefault="00DE1537" w:rsidP="00343F3E">
      <w:pPr>
        <w:pStyle w:val="BodyText"/>
      </w:pPr>
      <w:r>
        <w:t>The Commission’s recommended funding model is designed to reduce the level of prescriptiveness in natural disaster recovery funding, while giving state, territory and local governments greater autonomy in the way in which they allocate this funding. This also includes determining the relevant engineering standards to apply at the state or territory level, as part of the benchmark pricing model (chapter 3).</w:t>
      </w:r>
    </w:p>
    <w:p w14:paraId="07672678" w14:textId="77777777" w:rsidR="00DE1537" w:rsidRDefault="00DE1537" w:rsidP="00343F3E">
      <w:pPr>
        <w:pStyle w:val="Heading3"/>
      </w:pPr>
      <w:r>
        <w:t>Management of infrastructure</w:t>
      </w:r>
    </w:p>
    <w:p w14:paraId="1B3B902E" w14:textId="77777777" w:rsidR="00DE1537" w:rsidRDefault="00DE1537" w:rsidP="00343F3E">
      <w:pPr>
        <w:pStyle w:val="BodyText"/>
      </w:pPr>
      <w:r w:rsidRPr="004808EB">
        <w:t xml:space="preserve">The majority of </w:t>
      </w:r>
      <w:r>
        <w:t>NDRRA e</w:t>
      </w:r>
      <w:r w:rsidRPr="004808EB">
        <w:t xml:space="preserve">xpenditure is directed to repairing </w:t>
      </w:r>
      <w:r>
        <w:t>essential public assets</w:t>
      </w:r>
      <w:r w:rsidRPr="004808EB">
        <w:t xml:space="preserve">. Consequently, governance and institutional arrangements for road </w:t>
      </w:r>
      <w:r>
        <w:t xml:space="preserve">and other </w:t>
      </w:r>
      <w:r w:rsidRPr="004808EB">
        <w:t xml:space="preserve">infrastructure that determine where roads are built, to what standard and their maintenance are likely to have significant implications for </w:t>
      </w:r>
      <w:r>
        <w:t>NDRRA</w:t>
      </w:r>
      <w:r w:rsidRPr="004808EB">
        <w:t xml:space="preserve"> expenditure. </w:t>
      </w:r>
      <w:r>
        <w:t>If natural disaster risk is embedded into the construction and management of these assets, the damaging impacts of natural disasters on these assets should reduce over time.</w:t>
      </w:r>
    </w:p>
    <w:p w14:paraId="5716EC3B" w14:textId="77777777" w:rsidR="00DE1537" w:rsidRDefault="00DE1537" w:rsidP="00343F3E">
      <w:pPr>
        <w:pStyle w:val="BodyText"/>
      </w:pPr>
      <w:r>
        <w:t>Asset management planning and investment is a critical gap for some local governments. Some participants suggested that inadequate maintenance of infrastructure assets has made it difficult to assess the extent of damage attributable to a natural disaster event as distinct from pre</w:t>
      </w:r>
      <w:r>
        <w:noBreakHyphen/>
        <w:t>existing damage or deterioration of the asset, and expressed concern that current funding arrangements do not currently require ‘</w:t>
      </w:r>
      <w:r w:rsidRPr="003C24CC">
        <w:t>any demonstration of long</w:t>
      </w:r>
      <w:r>
        <w:noBreakHyphen/>
      </w:r>
      <w:r w:rsidRPr="003C24CC">
        <w:t>term asset management or planning by the asset owner</w:t>
      </w:r>
      <w:r>
        <w:t>’ (DIRD, sub. 99, p. 9).</w:t>
      </w:r>
    </w:p>
    <w:p w14:paraId="25718421" w14:textId="77777777" w:rsidR="00DE1537" w:rsidRDefault="00DE1537" w:rsidP="00343F3E">
      <w:pPr>
        <w:pStyle w:val="Quote"/>
      </w:pPr>
      <w:r w:rsidRPr="00F24E9A">
        <w:t>Not only is it difficult to determine the level of damage attributable to the natural disaster, it is often</w:t>
      </w:r>
      <w:r>
        <w:t xml:space="preserve"> </w:t>
      </w:r>
      <w:r w:rsidRPr="00F24E9A">
        <w:t>arguable that the level of damage is higher due to the existing damage or poor maintenance.</w:t>
      </w:r>
      <w:r>
        <w:t xml:space="preserve"> </w:t>
      </w:r>
      <w:proofErr w:type="gramStart"/>
      <w:r>
        <w:t>(DIRD, sub. 99, p. 9).</w:t>
      </w:r>
      <w:proofErr w:type="gramEnd"/>
    </w:p>
    <w:p w14:paraId="0EE6A0A9" w14:textId="77777777" w:rsidR="00DE1537" w:rsidRDefault="00DE1537" w:rsidP="00343F3E">
      <w:pPr>
        <w:pStyle w:val="BodyText"/>
      </w:pPr>
      <w:r>
        <w:lastRenderedPageBreak/>
        <w:t>Other participants pointed to capacity constraints in local government.</w:t>
      </w:r>
    </w:p>
    <w:p w14:paraId="40AE2F7D" w14:textId="77777777" w:rsidR="00DE1537" w:rsidRDefault="00DE1537" w:rsidP="00343F3E">
      <w:pPr>
        <w:pStyle w:val="Quote"/>
      </w:pPr>
      <w:r>
        <w:t>In some cases, despite there being a strong business case to improve the resilience of assets to reduce the risk of failure, reduce whole of life costs, improve service levels to the community, improve the transport network reliability … [local governments] do not fund the required ‘betterment’ due to competing financial priorities. (IPWEA, sub. 30, p. 4)</w:t>
      </w:r>
    </w:p>
    <w:p w14:paraId="75609BCF" w14:textId="77777777" w:rsidR="00DE1537" w:rsidRDefault="00DE1537" w:rsidP="00343F3E">
      <w:pPr>
        <w:pStyle w:val="BodyText"/>
      </w:pPr>
      <w:r>
        <w:t>Local governments need to have long</w:t>
      </w:r>
      <w:r>
        <w:noBreakHyphen/>
        <w:t>term asset management plans, to enable a more forward</w:t>
      </w:r>
      <w:r>
        <w:noBreakHyphen/>
        <w:t>looking and less reactive approach to post</w:t>
      </w:r>
      <w:r>
        <w:noBreakHyphen/>
        <w:t>disaster reconstruction. These plans would also inform mitigation and betterment prioritisation. These efforts can be coordinated by state governments, which are responsible for ensuring local governments have the capacity and capability to undertake this planning and analysis. For example, the NSW Government (sub. 114, p. 28) requires all local governments in New South Wales to:</w:t>
      </w:r>
    </w:p>
    <w:p w14:paraId="16464665" w14:textId="77777777" w:rsidR="00DE1537" w:rsidRDefault="00DE1537" w:rsidP="00343F3E">
      <w:pPr>
        <w:pStyle w:val="Quote"/>
      </w:pPr>
      <w:r>
        <w:t xml:space="preserve">… </w:t>
      </w:r>
      <w:proofErr w:type="gramStart"/>
      <w:r>
        <w:t>prepare</w:t>
      </w:r>
      <w:proofErr w:type="gramEnd"/>
      <w:r>
        <w:t xml:space="preserve"> 10 year (or more) asset management plans for all asset classes. These assess the condition of assets, cost to bring them to an acceptable standard, and include appropriate actions in their delivery programs and budgets. A recent asset infrastructure audit found that council asset management planning is improving. A number of NSW councils are also now undertaking infrastructure vulnerability planning through integrated consideration of asset, flood, stormwater and other plans to prepare for and </w:t>
      </w:r>
      <w:proofErr w:type="gramStart"/>
      <w:r>
        <w:t>mitigate</w:t>
      </w:r>
      <w:proofErr w:type="gramEnd"/>
      <w:r>
        <w:t xml:space="preserve"> against natural disaster.</w:t>
      </w:r>
    </w:p>
    <w:p w14:paraId="21073D47" w14:textId="77777777" w:rsidR="00DE1537" w:rsidRDefault="00DE1537" w:rsidP="00343F3E">
      <w:pPr>
        <w:pStyle w:val="BodyText"/>
      </w:pPr>
      <w:r>
        <w:t xml:space="preserve">While overall, the quality of asset management practices appears to be improving, there would be merit in more explicit integration of natural disaster risk into asset management plans, particularly in </w:t>
      </w:r>
      <w:r w:rsidRPr="006011C0">
        <w:t xml:space="preserve">those </w:t>
      </w:r>
      <w:r>
        <w:t xml:space="preserve">local government areas </w:t>
      </w:r>
      <w:r w:rsidRPr="006011C0">
        <w:t xml:space="preserve">that are </w:t>
      </w:r>
      <w:r>
        <w:t xml:space="preserve">most susceptible to regular damage from natural disaster events (chapter 2). </w:t>
      </w:r>
    </w:p>
    <w:p w14:paraId="2DC68331" w14:textId="77777777" w:rsidR="00DE1537" w:rsidRPr="00135E05" w:rsidRDefault="00DE1537" w:rsidP="00343F3E">
      <w:pPr>
        <w:pStyle w:val="BodyText"/>
      </w:pPr>
    </w:p>
    <w:p w14:paraId="33A3C3B2" w14:textId="77777777" w:rsidR="00DE1537" w:rsidRPr="00D97156" w:rsidRDefault="00DE1537" w:rsidP="00343F3E">
      <w:pPr>
        <w:pStyle w:val="Heading2"/>
      </w:pPr>
      <w:bookmarkStart w:id="78" w:name="_Toc406424347"/>
      <w:r>
        <w:lastRenderedPageBreak/>
        <w:t>Annex — Land use planning arrangements</w:t>
      </w:r>
      <w:bookmarkEnd w:id="78"/>
    </w:p>
    <w:p w14:paraId="2C9755C9"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029F996D" w14:textId="77777777" w:rsidTr="00343F3E">
        <w:tc>
          <w:tcPr>
            <w:tcW w:w="8771" w:type="dxa"/>
            <w:tcBorders>
              <w:top w:val="single" w:sz="6" w:space="0" w:color="78A22F" w:themeColor="accent1"/>
              <w:left w:val="nil"/>
              <w:bottom w:val="nil"/>
              <w:right w:val="nil"/>
            </w:tcBorders>
            <w:shd w:val="clear" w:color="auto" w:fill="auto"/>
          </w:tcPr>
          <w:p w14:paraId="44C2DCDB" w14:textId="62BF82D3" w:rsidR="00DE1537" w:rsidRPr="00784A05" w:rsidRDefault="00DE1537" w:rsidP="00343F3E">
            <w:pPr>
              <w:pStyle w:val="TableTitle"/>
            </w:pPr>
            <w:r>
              <w:rPr>
                <w:b w:val="0"/>
              </w:rPr>
              <w:t>Table 6.</w:t>
            </w:r>
            <w:r>
              <w:rPr>
                <w:b w:val="0"/>
                <w:noProof/>
              </w:rPr>
              <w:t>2</w:t>
            </w:r>
            <w:r>
              <w:tab/>
              <w:t xml:space="preserve">Overview of land use planning arrangements, by jurisdiction </w:t>
            </w:r>
          </w:p>
        </w:tc>
      </w:tr>
      <w:tr w:rsidR="00DE1537" w14:paraId="579FF726" w14:textId="77777777" w:rsidTr="00343F3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30"/>
              <w:gridCol w:w="1283"/>
              <w:gridCol w:w="1270"/>
              <w:gridCol w:w="1388"/>
              <w:gridCol w:w="1748"/>
              <w:gridCol w:w="2065"/>
            </w:tblGrid>
            <w:tr w:rsidR="00DE1537" w14:paraId="258FFFDF" w14:textId="77777777" w:rsidTr="00343F3E">
              <w:tc>
                <w:tcPr>
                  <w:tcW w:w="430" w:type="pct"/>
                  <w:tcBorders>
                    <w:top w:val="single" w:sz="4" w:space="0" w:color="BFBFBF"/>
                    <w:bottom w:val="single" w:sz="4" w:space="0" w:color="BFBFBF"/>
                  </w:tcBorders>
                  <w:shd w:val="clear" w:color="auto" w:fill="auto"/>
                  <w:tcMar>
                    <w:top w:w="28" w:type="dxa"/>
                  </w:tcMar>
                </w:tcPr>
                <w:p w14:paraId="3FCD923C" w14:textId="77777777" w:rsidR="00DE1537" w:rsidRDefault="00DE1537" w:rsidP="00343F3E">
                  <w:pPr>
                    <w:pStyle w:val="TableColumnHeading"/>
                    <w:jc w:val="left"/>
                  </w:pPr>
                  <w:r>
                    <w:t>State/ territory</w:t>
                  </w:r>
                </w:p>
              </w:tc>
              <w:tc>
                <w:tcPr>
                  <w:tcW w:w="756" w:type="pct"/>
                  <w:tcBorders>
                    <w:top w:val="single" w:sz="4" w:space="0" w:color="BFBFBF"/>
                    <w:bottom w:val="single" w:sz="4" w:space="0" w:color="BFBFBF"/>
                  </w:tcBorders>
                </w:tcPr>
                <w:p w14:paraId="4C6FE502" w14:textId="77777777" w:rsidR="00DE1537" w:rsidRDefault="00DE1537" w:rsidP="00343F3E">
                  <w:pPr>
                    <w:pStyle w:val="TableColumnHeading"/>
                    <w:jc w:val="left"/>
                  </w:pPr>
                  <w:r>
                    <w:t>Responsible authority</w:t>
                  </w:r>
                </w:p>
              </w:tc>
              <w:tc>
                <w:tcPr>
                  <w:tcW w:w="748" w:type="pct"/>
                  <w:tcBorders>
                    <w:top w:val="single" w:sz="4" w:space="0" w:color="BFBFBF"/>
                    <w:bottom w:val="single" w:sz="4" w:space="0" w:color="BFBFBF"/>
                  </w:tcBorders>
                </w:tcPr>
                <w:p w14:paraId="7BB16D11" w14:textId="77777777" w:rsidR="00DE1537" w:rsidRDefault="00DE1537" w:rsidP="00343F3E">
                  <w:pPr>
                    <w:pStyle w:val="TableColumnHeading"/>
                    <w:jc w:val="left"/>
                  </w:pPr>
                  <w:r>
                    <w:t>Legislation</w:t>
                  </w:r>
                </w:p>
              </w:tc>
              <w:tc>
                <w:tcPr>
                  <w:tcW w:w="818" w:type="pct"/>
                  <w:tcBorders>
                    <w:top w:val="single" w:sz="4" w:space="0" w:color="BFBFBF"/>
                    <w:bottom w:val="single" w:sz="4" w:space="0" w:color="BFBFBF"/>
                  </w:tcBorders>
                </w:tcPr>
                <w:p w14:paraId="60B2223B" w14:textId="77777777" w:rsidR="00DE1537" w:rsidRDefault="00DE1537" w:rsidP="00343F3E">
                  <w:pPr>
                    <w:pStyle w:val="TableColumnHeading"/>
                    <w:jc w:val="left"/>
                  </w:pPr>
                  <w:r>
                    <w:t>Policy framework</w:t>
                  </w:r>
                </w:p>
              </w:tc>
              <w:tc>
                <w:tcPr>
                  <w:tcW w:w="1030" w:type="pct"/>
                  <w:tcBorders>
                    <w:top w:val="single" w:sz="4" w:space="0" w:color="BFBFBF"/>
                    <w:bottom w:val="single" w:sz="4" w:space="0" w:color="BFBFBF"/>
                  </w:tcBorders>
                </w:tcPr>
                <w:p w14:paraId="2CD8116B" w14:textId="77777777" w:rsidR="00DE1537" w:rsidRDefault="00DE1537" w:rsidP="00343F3E">
                  <w:pPr>
                    <w:pStyle w:val="TableColumnHeading"/>
                    <w:jc w:val="left"/>
                  </w:pPr>
                  <w:r>
                    <w:t>Implementation</w:t>
                  </w:r>
                </w:p>
              </w:tc>
              <w:tc>
                <w:tcPr>
                  <w:tcW w:w="1217" w:type="pct"/>
                  <w:tcBorders>
                    <w:top w:val="single" w:sz="4" w:space="0" w:color="BFBFBF"/>
                    <w:bottom w:val="single" w:sz="4" w:space="0" w:color="BFBFBF"/>
                  </w:tcBorders>
                  <w:shd w:val="clear" w:color="auto" w:fill="auto"/>
                  <w:tcMar>
                    <w:top w:w="28" w:type="dxa"/>
                  </w:tcMar>
                </w:tcPr>
                <w:p w14:paraId="7821037E" w14:textId="77777777" w:rsidR="00DE1537" w:rsidRDefault="00DE1537" w:rsidP="00343F3E">
                  <w:pPr>
                    <w:pStyle w:val="TableColumnHeading"/>
                    <w:jc w:val="left"/>
                  </w:pPr>
                  <w:r>
                    <w:t>Development applications</w:t>
                  </w:r>
                </w:p>
              </w:tc>
            </w:tr>
            <w:tr w:rsidR="00DE1537" w14:paraId="584BA4FE" w14:textId="77777777" w:rsidTr="00343F3E">
              <w:tc>
                <w:tcPr>
                  <w:tcW w:w="430" w:type="pct"/>
                  <w:tcBorders>
                    <w:top w:val="single" w:sz="4" w:space="0" w:color="BFBFBF"/>
                  </w:tcBorders>
                  <w:shd w:val="clear" w:color="auto" w:fill="F2F2F2" w:themeFill="accent4"/>
                </w:tcPr>
                <w:p w14:paraId="2057D4AC" w14:textId="77777777" w:rsidR="00DE1537" w:rsidRDefault="00DE1537" w:rsidP="00343F3E">
                  <w:pPr>
                    <w:pStyle w:val="TableBodyText"/>
                    <w:jc w:val="left"/>
                  </w:pPr>
                  <w:r>
                    <w:t>NSW</w:t>
                  </w:r>
                </w:p>
              </w:tc>
              <w:tc>
                <w:tcPr>
                  <w:tcW w:w="756" w:type="pct"/>
                  <w:tcBorders>
                    <w:top w:val="single" w:sz="4" w:space="0" w:color="BFBFBF"/>
                  </w:tcBorders>
                  <w:shd w:val="clear" w:color="auto" w:fill="F2F2F2" w:themeFill="accent4"/>
                </w:tcPr>
                <w:p w14:paraId="648688F9" w14:textId="77777777" w:rsidR="00DE1537" w:rsidRDefault="00DE1537" w:rsidP="00343F3E">
                  <w:pPr>
                    <w:pStyle w:val="TableBodyText"/>
                    <w:jc w:val="left"/>
                  </w:pPr>
                  <w:r>
                    <w:t>Department of Planning and Infrastructure</w:t>
                  </w:r>
                </w:p>
              </w:tc>
              <w:tc>
                <w:tcPr>
                  <w:tcW w:w="748" w:type="pct"/>
                  <w:tcBorders>
                    <w:top w:val="single" w:sz="4" w:space="0" w:color="BFBFBF"/>
                  </w:tcBorders>
                  <w:shd w:val="clear" w:color="auto" w:fill="F2F2F2" w:themeFill="accent4"/>
                </w:tcPr>
                <w:p w14:paraId="1841A508" w14:textId="77777777" w:rsidR="00DE1537" w:rsidRPr="00DE748C" w:rsidRDefault="00DE1537" w:rsidP="00343F3E">
                  <w:pPr>
                    <w:pStyle w:val="TableBodyText"/>
                    <w:jc w:val="left"/>
                    <w:rPr>
                      <w:i/>
                    </w:rPr>
                  </w:pPr>
                  <w:r w:rsidRPr="00DE748C">
                    <w:rPr>
                      <w:i/>
                    </w:rPr>
                    <w:t>Environmental Planning and Assessment Act 1979</w:t>
                  </w:r>
                  <w:r>
                    <w:rPr>
                      <w:i/>
                    </w:rPr>
                    <w:t xml:space="preserve">, </w:t>
                  </w:r>
                  <w:r w:rsidRPr="009654F4">
                    <w:t>Environmental Planning and Assessment Regulation 2000</w:t>
                  </w:r>
                </w:p>
              </w:tc>
              <w:tc>
                <w:tcPr>
                  <w:tcW w:w="818" w:type="pct"/>
                  <w:tcBorders>
                    <w:top w:val="single" w:sz="4" w:space="0" w:color="BFBFBF"/>
                  </w:tcBorders>
                  <w:shd w:val="clear" w:color="auto" w:fill="F2F2F2" w:themeFill="accent4"/>
                </w:tcPr>
                <w:p w14:paraId="2964DEF4" w14:textId="77777777" w:rsidR="00DE1537" w:rsidRDefault="00DE1537" w:rsidP="00343F3E">
                  <w:pPr>
                    <w:pStyle w:val="TableBodyText"/>
                    <w:jc w:val="left"/>
                  </w:pPr>
                  <w:r>
                    <w:t>State Environmental Planning Policies</w:t>
                  </w:r>
                </w:p>
              </w:tc>
              <w:tc>
                <w:tcPr>
                  <w:tcW w:w="1030" w:type="pct"/>
                  <w:tcBorders>
                    <w:top w:val="single" w:sz="4" w:space="0" w:color="BFBFBF"/>
                  </w:tcBorders>
                  <w:shd w:val="clear" w:color="auto" w:fill="F2F2F2" w:themeFill="accent4"/>
                </w:tcPr>
                <w:p w14:paraId="1DC9EF37" w14:textId="77777777" w:rsidR="00DE1537" w:rsidRDefault="00DE1537" w:rsidP="00343F3E">
                  <w:pPr>
                    <w:pStyle w:val="TableBodyText"/>
                    <w:jc w:val="left"/>
                  </w:pPr>
                  <w:r>
                    <w:t>Local Environmental Plans prepared by local governments in accordance with statewide template and Ministerial directions, including directions relating to natural disaster risk.</w:t>
                  </w:r>
                </w:p>
              </w:tc>
              <w:tc>
                <w:tcPr>
                  <w:tcW w:w="1217" w:type="pct"/>
                  <w:tcBorders>
                    <w:top w:val="single" w:sz="4" w:space="0" w:color="BFBFBF"/>
                  </w:tcBorders>
                  <w:shd w:val="clear" w:color="auto" w:fill="F2F2F2" w:themeFill="accent4"/>
                </w:tcPr>
                <w:p w14:paraId="66EAC9C6" w14:textId="77777777" w:rsidR="00DE1537" w:rsidRDefault="00DE1537" w:rsidP="00343F3E">
                  <w:pPr>
                    <w:pStyle w:val="TableBodyText"/>
                    <w:jc w:val="left"/>
                  </w:pPr>
                  <w:r>
                    <w:t>Development applications assessed by local governments (or by the Department of Planning and Infrastructure if they are of ‘State significance’). Appeals may be made to the Land and Environment Court.</w:t>
                  </w:r>
                </w:p>
              </w:tc>
            </w:tr>
            <w:tr w:rsidR="00DE1537" w14:paraId="131E9D57" w14:textId="77777777" w:rsidTr="00343F3E">
              <w:tc>
                <w:tcPr>
                  <w:tcW w:w="430" w:type="pct"/>
                  <w:shd w:val="clear" w:color="auto" w:fill="FFFFFF" w:themeFill="background1"/>
                </w:tcPr>
                <w:p w14:paraId="69058BF9" w14:textId="77777777" w:rsidR="00DE1537" w:rsidRDefault="00DE1537" w:rsidP="00343F3E">
                  <w:pPr>
                    <w:pStyle w:val="TableBodyText"/>
                    <w:jc w:val="left"/>
                  </w:pPr>
                  <w:r>
                    <w:t>Vic</w:t>
                  </w:r>
                </w:p>
              </w:tc>
              <w:tc>
                <w:tcPr>
                  <w:tcW w:w="756" w:type="pct"/>
                  <w:shd w:val="clear" w:color="auto" w:fill="FFFFFF" w:themeFill="background1"/>
                </w:tcPr>
                <w:p w14:paraId="14D7B849" w14:textId="77777777" w:rsidR="00DE1537" w:rsidRDefault="00DE1537" w:rsidP="00343F3E">
                  <w:pPr>
                    <w:pStyle w:val="TableBodyText"/>
                    <w:jc w:val="left"/>
                  </w:pPr>
                  <w:r>
                    <w:t>Department of Planning and Community Development</w:t>
                  </w:r>
                </w:p>
              </w:tc>
              <w:tc>
                <w:tcPr>
                  <w:tcW w:w="748" w:type="pct"/>
                  <w:shd w:val="clear" w:color="auto" w:fill="FFFFFF" w:themeFill="background1"/>
                </w:tcPr>
                <w:p w14:paraId="32C5806B" w14:textId="77777777" w:rsidR="00DE1537" w:rsidRPr="00DE748C" w:rsidRDefault="00DE1537" w:rsidP="00343F3E">
                  <w:pPr>
                    <w:pStyle w:val="TableBodyText"/>
                    <w:jc w:val="left"/>
                    <w:rPr>
                      <w:i/>
                    </w:rPr>
                  </w:pPr>
                  <w:r>
                    <w:rPr>
                      <w:i/>
                    </w:rPr>
                    <w:t>Planning and</w:t>
                  </w:r>
                  <w:r w:rsidRPr="00FF2E27">
                    <w:rPr>
                      <w:i/>
                    </w:rPr>
                    <w:t xml:space="preserve"> Environment Act 1987</w:t>
                  </w:r>
                </w:p>
              </w:tc>
              <w:tc>
                <w:tcPr>
                  <w:tcW w:w="818" w:type="pct"/>
                  <w:shd w:val="clear" w:color="auto" w:fill="FFFFFF" w:themeFill="background1"/>
                </w:tcPr>
                <w:p w14:paraId="5DDC4FAD" w14:textId="77777777" w:rsidR="00DE1537" w:rsidRDefault="00DE1537" w:rsidP="00343F3E">
                  <w:pPr>
                    <w:pStyle w:val="TableBodyText"/>
                    <w:jc w:val="left"/>
                  </w:pPr>
                  <w:r>
                    <w:t>Victoria Planning Provisions (VPPs)</w:t>
                  </w:r>
                </w:p>
                <w:p w14:paraId="67E992A3" w14:textId="77777777" w:rsidR="00DE1537" w:rsidRDefault="00DE1537" w:rsidP="00343F3E">
                  <w:pPr>
                    <w:pStyle w:val="TableBodyText"/>
                    <w:jc w:val="left"/>
                  </w:pPr>
                  <w:r>
                    <w:t>Melbourne Planning Scheme</w:t>
                  </w:r>
                </w:p>
                <w:p w14:paraId="06AB5B8C" w14:textId="77777777" w:rsidR="00DE1537" w:rsidRDefault="00DE1537" w:rsidP="00343F3E">
                  <w:pPr>
                    <w:pStyle w:val="TableBodyText"/>
                    <w:jc w:val="left"/>
                  </w:pPr>
                  <w:r>
                    <w:t>Ministerial Directions</w:t>
                  </w:r>
                </w:p>
              </w:tc>
              <w:tc>
                <w:tcPr>
                  <w:tcW w:w="1030" w:type="pct"/>
                  <w:shd w:val="clear" w:color="auto" w:fill="FFFFFF" w:themeFill="background1"/>
                </w:tcPr>
                <w:p w14:paraId="76E3C5A6" w14:textId="77777777" w:rsidR="00DE1537" w:rsidRDefault="00DE1537" w:rsidP="00343F3E">
                  <w:pPr>
                    <w:pStyle w:val="TableBodyText"/>
                    <w:jc w:val="left"/>
                  </w:pPr>
                  <w:r>
                    <w:t>Local governments prepare planning schemes following the template required by the VPPs and in accordance with Ministerial directions. Planning scheme amendments subject to Ministerial approval.</w:t>
                  </w:r>
                </w:p>
              </w:tc>
              <w:tc>
                <w:tcPr>
                  <w:tcW w:w="1217" w:type="pct"/>
                  <w:shd w:val="clear" w:color="auto" w:fill="FFFFFF" w:themeFill="background1"/>
                </w:tcPr>
                <w:p w14:paraId="1B226F90" w14:textId="77777777" w:rsidR="00DE1537" w:rsidRDefault="00DE1537" w:rsidP="00343F3E">
                  <w:pPr>
                    <w:pStyle w:val="TableBodyText"/>
                    <w:jc w:val="left"/>
                  </w:pPr>
                  <w:r>
                    <w:t>Local governments assess planning applications in accordance with the local planning scheme. Appeals may be made to the Victorian Civil and Administrative Tribunal.</w:t>
                  </w:r>
                </w:p>
              </w:tc>
            </w:tr>
            <w:tr w:rsidR="00DE1537" w14:paraId="49751297" w14:textId="77777777" w:rsidTr="00343F3E">
              <w:tc>
                <w:tcPr>
                  <w:tcW w:w="430" w:type="pct"/>
                  <w:shd w:val="clear" w:color="auto" w:fill="F2F2F2" w:themeFill="accent4"/>
                </w:tcPr>
                <w:p w14:paraId="1886C4A9" w14:textId="77777777" w:rsidR="00DE1537" w:rsidRDefault="00DE1537" w:rsidP="00343F3E">
                  <w:pPr>
                    <w:pStyle w:val="TableBodyText"/>
                    <w:jc w:val="left"/>
                  </w:pPr>
                  <w:r>
                    <w:t>Qld</w:t>
                  </w:r>
                </w:p>
              </w:tc>
              <w:tc>
                <w:tcPr>
                  <w:tcW w:w="756" w:type="pct"/>
                  <w:shd w:val="clear" w:color="auto" w:fill="F2F2F2" w:themeFill="accent4"/>
                </w:tcPr>
                <w:p w14:paraId="053347C3" w14:textId="77777777" w:rsidR="00DE1537" w:rsidRDefault="00DE1537" w:rsidP="00343F3E">
                  <w:pPr>
                    <w:pStyle w:val="TableBodyText"/>
                    <w:jc w:val="left"/>
                  </w:pPr>
                  <w:r>
                    <w:t>Department of State Development, Infrastructure and Planning</w:t>
                  </w:r>
                </w:p>
              </w:tc>
              <w:tc>
                <w:tcPr>
                  <w:tcW w:w="748" w:type="pct"/>
                  <w:shd w:val="clear" w:color="auto" w:fill="F2F2F2" w:themeFill="accent4"/>
                </w:tcPr>
                <w:p w14:paraId="1B54B871" w14:textId="77777777" w:rsidR="00DE1537" w:rsidRPr="00DE748C" w:rsidRDefault="00DE1537" w:rsidP="00343F3E">
                  <w:pPr>
                    <w:pStyle w:val="TableBodyText"/>
                    <w:jc w:val="left"/>
                    <w:rPr>
                      <w:i/>
                    </w:rPr>
                  </w:pPr>
                  <w:r w:rsidRPr="00A60B4F">
                    <w:rPr>
                      <w:i/>
                    </w:rPr>
                    <w:t>Sustainable Planning Act 2009</w:t>
                  </w:r>
                </w:p>
              </w:tc>
              <w:tc>
                <w:tcPr>
                  <w:tcW w:w="818" w:type="pct"/>
                  <w:shd w:val="clear" w:color="auto" w:fill="F2F2F2" w:themeFill="accent4"/>
                </w:tcPr>
                <w:p w14:paraId="1C348E29" w14:textId="77777777" w:rsidR="00DE1537" w:rsidRDefault="00DE1537" w:rsidP="00343F3E">
                  <w:pPr>
                    <w:pStyle w:val="TableBodyText"/>
                    <w:jc w:val="left"/>
                  </w:pPr>
                  <w:r>
                    <w:t>State Planning Policy</w:t>
                  </w:r>
                </w:p>
                <w:p w14:paraId="273E7CD5" w14:textId="77777777" w:rsidR="00DE1537" w:rsidRDefault="00DE1537" w:rsidP="00343F3E">
                  <w:pPr>
                    <w:pStyle w:val="TableBodyText"/>
                    <w:jc w:val="left"/>
                  </w:pPr>
                  <w:r>
                    <w:t>Regional plans</w:t>
                  </w:r>
                </w:p>
              </w:tc>
              <w:tc>
                <w:tcPr>
                  <w:tcW w:w="1030" w:type="pct"/>
                  <w:shd w:val="clear" w:color="auto" w:fill="F2F2F2" w:themeFill="accent4"/>
                </w:tcPr>
                <w:p w14:paraId="2347CB3A" w14:textId="77777777" w:rsidR="00DE1537" w:rsidRDefault="00DE1537" w:rsidP="00343F3E">
                  <w:pPr>
                    <w:pStyle w:val="TableBodyText"/>
                    <w:jc w:val="left"/>
                  </w:pPr>
                  <w:r>
                    <w:t>Under the State Planning Policy, local governments must consider natural disaster risk and resilience (as one of 16 ‘state interests’) when preparing or amending local planning schemes.</w:t>
                  </w:r>
                </w:p>
              </w:tc>
              <w:tc>
                <w:tcPr>
                  <w:tcW w:w="1217" w:type="pct"/>
                  <w:shd w:val="clear" w:color="auto" w:fill="F2F2F2" w:themeFill="accent4"/>
                </w:tcPr>
                <w:p w14:paraId="144C2D5D" w14:textId="77777777" w:rsidR="00DE1537" w:rsidRDefault="00DE1537" w:rsidP="00343F3E">
                  <w:pPr>
                    <w:pStyle w:val="TableBodyText"/>
                    <w:jc w:val="left"/>
                  </w:pPr>
                  <w:r>
                    <w:t xml:space="preserve">Local governments assess development applications against local planning </w:t>
                  </w:r>
                  <w:proofErr w:type="gramStart"/>
                  <w:r>
                    <w:t>schemes,</w:t>
                  </w:r>
                  <w:proofErr w:type="gramEnd"/>
                  <w:r>
                    <w:t xml:space="preserve"> or against the State Planning Policy where it has not yet been integrated into the local plan. Appeals may be made to the Planning and Environment Court. </w:t>
                  </w:r>
                </w:p>
              </w:tc>
            </w:tr>
            <w:tr w:rsidR="00DE1537" w14:paraId="01E47251" w14:textId="77777777" w:rsidTr="00343F3E">
              <w:tc>
                <w:tcPr>
                  <w:tcW w:w="430" w:type="pct"/>
                  <w:tcBorders>
                    <w:bottom w:val="single" w:sz="6" w:space="0" w:color="BFBFBF"/>
                  </w:tcBorders>
                </w:tcPr>
                <w:p w14:paraId="2B570179" w14:textId="77777777" w:rsidR="00DE1537" w:rsidRDefault="00DE1537" w:rsidP="00343F3E">
                  <w:pPr>
                    <w:pStyle w:val="TableBodyText"/>
                    <w:jc w:val="left"/>
                  </w:pPr>
                  <w:r>
                    <w:t>SA</w:t>
                  </w:r>
                </w:p>
              </w:tc>
              <w:tc>
                <w:tcPr>
                  <w:tcW w:w="756" w:type="pct"/>
                  <w:tcBorders>
                    <w:bottom w:val="single" w:sz="6" w:space="0" w:color="BFBFBF"/>
                  </w:tcBorders>
                </w:tcPr>
                <w:p w14:paraId="43E057E6" w14:textId="77777777" w:rsidR="00DE1537" w:rsidRDefault="00DE1537" w:rsidP="00343F3E">
                  <w:pPr>
                    <w:pStyle w:val="TableBodyText"/>
                    <w:jc w:val="left"/>
                  </w:pPr>
                  <w:r>
                    <w:t>Development Assessment Commission (administers legislation)</w:t>
                  </w:r>
                </w:p>
                <w:p w14:paraId="1098DD56" w14:textId="77777777" w:rsidR="00DE1537" w:rsidRDefault="00DE1537" w:rsidP="00343F3E">
                  <w:pPr>
                    <w:pStyle w:val="TableBodyText"/>
                    <w:jc w:val="left"/>
                  </w:pPr>
                  <w:r>
                    <w:t>Department of Planning, Transport and Infrastructure (oversees policy framework)</w:t>
                  </w:r>
                </w:p>
              </w:tc>
              <w:tc>
                <w:tcPr>
                  <w:tcW w:w="748" w:type="pct"/>
                  <w:tcBorders>
                    <w:bottom w:val="single" w:sz="6" w:space="0" w:color="BFBFBF"/>
                  </w:tcBorders>
                </w:tcPr>
                <w:p w14:paraId="536FEA5B" w14:textId="77777777" w:rsidR="00DE1537" w:rsidRPr="00BE557A" w:rsidRDefault="00DE1537" w:rsidP="00343F3E">
                  <w:pPr>
                    <w:pStyle w:val="TableBodyText"/>
                    <w:jc w:val="left"/>
                    <w:rPr>
                      <w:i/>
                    </w:rPr>
                  </w:pPr>
                  <w:r w:rsidRPr="00BE557A">
                    <w:rPr>
                      <w:i/>
                    </w:rPr>
                    <w:t>Development Act 1993, Development Regulations 2008</w:t>
                  </w:r>
                </w:p>
              </w:tc>
              <w:tc>
                <w:tcPr>
                  <w:tcW w:w="818" w:type="pct"/>
                  <w:tcBorders>
                    <w:bottom w:val="single" w:sz="6" w:space="0" w:color="BFBFBF"/>
                  </w:tcBorders>
                </w:tcPr>
                <w:p w14:paraId="077E9528" w14:textId="77777777" w:rsidR="00DE1537" w:rsidRDefault="00DE1537" w:rsidP="00343F3E">
                  <w:pPr>
                    <w:pStyle w:val="TableBodyText"/>
                    <w:jc w:val="left"/>
                  </w:pPr>
                  <w:r>
                    <w:t>Planning Strategy for South Australia: includes 30</w:t>
                  </w:r>
                  <w:r>
                    <w:noBreakHyphen/>
                    <w:t>Year Plan for Greater Adelaide and plans for regional South Australia</w:t>
                  </w:r>
                </w:p>
              </w:tc>
              <w:tc>
                <w:tcPr>
                  <w:tcW w:w="1030" w:type="pct"/>
                  <w:tcBorders>
                    <w:bottom w:val="single" w:sz="6" w:space="0" w:color="BFBFBF"/>
                  </w:tcBorders>
                </w:tcPr>
                <w:p w14:paraId="1E2CC8D2" w14:textId="77777777" w:rsidR="00DE1537" w:rsidRDefault="00DE1537" w:rsidP="00343F3E">
                  <w:pPr>
                    <w:pStyle w:val="TableBodyText"/>
                    <w:jc w:val="left"/>
                  </w:pPr>
                  <w:r>
                    <w:t>Local governments prepare Development Plans for their local area and are required to review and amend these plans to ensure consistency with the applicable parts of the statewide Planning Strategy.</w:t>
                  </w:r>
                </w:p>
              </w:tc>
              <w:tc>
                <w:tcPr>
                  <w:tcW w:w="1217" w:type="pct"/>
                  <w:tcBorders>
                    <w:bottom w:val="single" w:sz="6" w:space="0" w:color="BFBFBF"/>
                  </w:tcBorders>
                </w:tcPr>
                <w:p w14:paraId="3720D6FD" w14:textId="77777777" w:rsidR="00DE1537" w:rsidRDefault="00DE1537" w:rsidP="00343F3E">
                  <w:pPr>
                    <w:pStyle w:val="TableBodyText"/>
                    <w:jc w:val="left"/>
                  </w:pPr>
                  <w:r>
                    <w:t>Local governments (or in some cases, independent panels) assess development applications against their Development Plans, except for large or complex projects (assessed by the Development Assessment Commission). Appeals may be made to the Environment, Resources and Development Court.</w:t>
                  </w:r>
                </w:p>
              </w:tc>
            </w:tr>
          </w:tbl>
          <w:p w14:paraId="34024F10" w14:textId="77777777" w:rsidR="00DE1537" w:rsidRDefault="00DE1537" w:rsidP="00343F3E">
            <w:pPr>
              <w:pStyle w:val="Box"/>
            </w:pPr>
          </w:p>
        </w:tc>
      </w:tr>
      <w:tr w:rsidR="00DE1537" w14:paraId="621BA6BB" w14:textId="77777777" w:rsidTr="00343F3E">
        <w:trPr>
          <w:cantSplit/>
        </w:trPr>
        <w:tc>
          <w:tcPr>
            <w:tcW w:w="8771" w:type="dxa"/>
            <w:tcBorders>
              <w:top w:val="nil"/>
              <w:left w:val="nil"/>
              <w:bottom w:val="nil"/>
              <w:right w:val="nil"/>
            </w:tcBorders>
            <w:shd w:val="clear" w:color="auto" w:fill="auto"/>
          </w:tcPr>
          <w:p w14:paraId="2ED95196" w14:textId="77777777" w:rsidR="00DE1537" w:rsidRDefault="00DE1537" w:rsidP="00343F3E">
            <w:pPr>
              <w:pStyle w:val="Continued"/>
            </w:pPr>
            <w:r>
              <w:t>(continued next page)</w:t>
            </w:r>
          </w:p>
        </w:tc>
      </w:tr>
      <w:tr w:rsidR="00DE1537" w14:paraId="5721426D" w14:textId="77777777" w:rsidTr="00343F3E">
        <w:trPr>
          <w:cantSplit/>
        </w:trPr>
        <w:tc>
          <w:tcPr>
            <w:tcW w:w="8771" w:type="dxa"/>
            <w:tcBorders>
              <w:top w:val="nil"/>
              <w:left w:val="nil"/>
              <w:bottom w:val="single" w:sz="6" w:space="0" w:color="78A22F" w:themeColor="accent1"/>
              <w:right w:val="nil"/>
            </w:tcBorders>
            <w:shd w:val="clear" w:color="auto" w:fill="auto"/>
          </w:tcPr>
          <w:p w14:paraId="59D83976" w14:textId="77777777" w:rsidR="00DE1537" w:rsidRDefault="00DE1537" w:rsidP="00343F3E">
            <w:pPr>
              <w:pStyle w:val="Box"/>
              <w:spacing w:before="0" w:line="120" w:lineRule="exact"/>
            </w:pPr>
          </w:p>
        </w:tc>
      </w:tr>
      <w:tr w:rsidR="00DE1537" w:rsidRPr="000863A5" w14:paraId="7FDBB018" w14:textId="77777777" w:rsidTr="00343F3E">
        <w:tc>
          <w:tcPr>
            <w:tcW w:w="8771" w:type="dxa"/>
            <w:tcBorders>
              <w:top w:val="single" w:sz="6" w:space="0" w:color="78A22F" w:themeColor="accent1"/>
              <w:left w:val="nil"/>
              <w:bottom w:val="nil"/>
              <w:right w:val="nil"/>
            </w:tcBorders>
          </w:tcPr>
          <w:p w14:paraId="31FE3248" w14:textId="77777777" w:rsidR="00DE1537" w:rsidRPr="00626D32" w:rsidRDefault="00DE1537" w:rsidP="00343F3E">
            <w:pPr>
              <w:pStyle w:val="BoxSpaceBelow"/>
            </w:pPr>
          </w:p>
        </w:tc>
      </w:tr>
    </w:tbl>
    <w:p w14:paraId="29FF94E9"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7A6588D" w14:textId="77777777" w:rsidTr="00343F3E">
        <w:tc>
          <w:tcPr>
            <w:tcW w:w="8771" w:type="dxa"/>
            <w:tcBorders>
              <w:top w:val="single" w:sz="6" w:space="0" w:color="78A22F" w:themeColor="accent1"/>
              <w:left w:val="nil"/>
              <w:bottom w:val="nil"/>
              <w:right w:val="nil"/>
            </w:tcBorders>
            <w:shd w:val="clear" w:color="auto" w:fill="auto"/>
          </w:tcPr>
          <w:p w14:paraId="4D0082CA" w14:textId="77777777" w:rsidR="00DE1537" w:rsidRPr="00784A05" w:rsidRDefault="00DE1537" w:rsidP="00343F3E">
            <w:pPr>
              <w:pStyle w:val="TableTitle"/>
            </w:pPr>
            <w:r>
              <w:rPr>
                <w:b w:val="0"/>
              </w:rPr>
              <w:t>Table 6.2</w:t>
            </w:r>
            <w:r>
              <w:tab/>
            </w:r>
            <w:r w:rsidRPr="007268C4">
              <w:rPr>
                <w:b w:val="0"/>
                <w:sz w:val="18"/>
                <w:szCs w:val="18"/>
              </w:rPr>
              <w:t>(continued)</w:t>
            </w:r>
            <w:r>
              <w:t xml:space="preserve"> </w:t>
            </w:r>
          </w:p>
        </w:tc>
      </w:tr>
      <w:tr w:rsidR="00DE1537" w14:paraId="1AC2BFDB" w14:textId="77777777" w:rsidTr="00343F3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30"/>
              <w:gridCol w:w="1347"/>
              <w:gridCol w:w="1230"/>
              <w:gridCol w:w="1347"/>
              <w:gridCol w:w="1704"/>
              <w:gridCol w:w="2126"/>
            </w:tblGrid>
            <w:tr w:rsidR="00DE1537" w14:paraId="0A1101C7" w14:textId="77777777" w:rsidTr="00343F3E">
              <w:tc>
                <w:tcPr>
                  <w:tcW w:w="430" w:type="pct"/>
                  <w:tcBorders>
                    <w:top w:val="single" w:sz="4" w:space="0" w:color="BFBFBF"/>
                    <w:bottom w:val="single" w:sz="4" w:space="0" w:color="BFBFBF"/>
                  </w:tcBorders>
                  <w:shd w:val="clear" w:color="auto" w:fill="auto"/>
                  <w:tcMar>
                    <w:top w:w="28" w:type="dxa"/>
                  </w:tcMar>
                </w:tcPr>
                <w:p w14:paraId="339FD28B" w14:textId="77777777" w:rsidR="00DE1537" w:rsidRDefault="00DE1537" w:rsidP="00343F3E">
                  <w:pPr>
                    <w:pStyle w:val="TableColumnHeading"/>
                    <w:jc w:val="left"/>
                  </w:pPr>
                  <w:r>
                    <w:t>State/ territory</w:t>
                  </w:r>
                </w:p>
              </w:tc>
              <w:tc>
                <w:tcPr>
                  <w:tcW w:w="794" w:type="pct"/>
                  <w:tcBorders>
                    <w:top w:val="single" w:sz="4" w:space="0" w:color="BFBFBF"/>
                    <w:bottom w:val="single" w:sz="4" w:space="0" w:color="BFBFBF"/>
                  </w:tcBorders>
                </w:tcPr>
                <w:p w14:paraId="155CF69D" w14:textId="77777777" w:rsidR="00DE1537" w:rsidRDefault="00DE1537" w:rsidP="00343F3E">
                  <w:pPr>
                    <w:pStyle w:val="TableColumnHeading"/>
                    <w:jc w:val="left"/>
                  </w:pPr>
                  <w:r>
                    <w:t>Responsible authority</w:t>
                  </w:r>
                </w:p>
              </w:tc>
              <w:tc>
                <w:tcPr>
                  <w:tcW w:w="725" w:type="pct"/>
                  <w:tcBorders>
                    <w:top w:val="single" w:sz="4" w:space="0" w:color="BFBFBF"/>
                    <w:bottom w:val="single" w:sz="4" w:space="0" w:color="BFBFBF"/>
                  </w:tcBorders>
                </w:tcPr>
                <w:p w14:paraId="2A6DAFE4" w14:textId="77777777" w:rsidR="00DE1537" w:rsidRDefault="00DE1537" w:rsidP="00343F3E">
                  <w:pPr>
                    <w:pStyle w:val="TableColumnHeading"/>
                    <w:jc w:val="left"/>
                  </w:pPr>
                  <w:r>
                    <w:t>Legislation</w:t>
                  </w:r>
                </w:p>
              </w:tc>
              <w:tc>
                <w:tcPr>
                  <w:tcW w:w="794" w:type="pct"/>
                  <w:tcBorders>
                    <w:top w:val="single" w:sz="4" w:space="0" w:color="BFBFBF"/>
                    <w:bottom w:val="single" w:sz="4" w:space="0" w:color="BFBFBF"/>
                  </w:tcBorders>
                </w:tcPr>
                <w:p w14:paraId="4D0182E9" w14:textId="77777777" w:rsidR="00DE1537" w:rsidRDefault="00DE1537" w:rsidP="00343F3E">
                  <w:pPr>
                    <w:pStyle w:val="TableColumnHeading"/>
                    <w:jc w:val="left"/>
                  </w:pPr>
                  <w:r>
                    <w:t>Policy framework</w:t>
                  </w:r>
                </w:p>
              </w:tc>
              <w:tc>
                <w:tcPr>
                  <w:tcW w:w="1004" w:type="pct"/>
                  <w:tcBorders>
                    <w:top w:val="single" w:sz="4" w:space="0" w:color="BFBFBF"/>
                    <w:bottom w:val="single" w:sz="4" w:space="0" w:color="BFBFBF"/>
                  </w:tcBorders>
                </w:tcPr>
                <w:p w14:paraId="4E08109E" w14:textId="77777777" w:rsidR="00DE1537" w:rsidRDefault="00DE1537" w:rsidP="00343F3E">
                  <w:pPr>
                    <w:pStyle w:val="TableColumnHeading"/>
                    <w:jc w:val="left"/>
                  </w:pPr>
                  <w:r>
                    <w:t>Implementation</w:t>
                  </w:r>
                </w:p>
              </w:tc>
              <w:tc>
                <w:tcPr>
                  <w:tcW w:w="1254" w:type="pct"/>
                  <w:tcBorders>
                    <w:top w:val="single" w:sz="4" w:space="0" w:color="BFBFBF"/>
                    <w:bottom w:val="single" w:sz="4" w:space="0" w:color="BFBFBF"/>
                  </w:tcBorders>
                  <w:shd w:val="clear" w:color="auto" w:fill="auto"/>
                  <w:tcMar>
                    <w:top w:w="28" w:type="dxa"/>
                  </w:tcMar>
                </w:tcPr>
                <w:p w14:paraId="26724D6C" w14:textId="77777777" w:rsidR="00DE1537" w:rsidRDefault="00DE1537" w:rsidP="00343F3E">
                  <w:pPr>
                    <w:pStyle w:val="TableColumnHeading"/>
                    <w:jc w:val="left"/>
                  </w:pPr>
                  <w:r>
                    <w:t>Development applications</w:t>
                  </w:r>
                </w:p>
              </w:tc>
            </w:tr>
            <w:tr w:rsidR="00DE1537" w14:paraId="560FC99B" w14:textId="77777777" w:rsidTr="00343F3E">
              <w:tc>
                <w:tcPr>
                  <w:tcW w:w="430" w:type="pct"/>
                  <w:shd w:val="clear" w:color="auto" w:fill="F2F2F2" w:themeFill="accent4"/>
                </w:tcPr>
                <w:p w14:paraId="497DE517" w14:textId="77777777" w:rsidR="00DE1537" w:rsidRDefault="00DE1537" w:rsidP="00343F3E">
                  <w:pPr>
                    <w:pStyle w:val="TableBodyText"/>
                    <w:jc w:val="left"/>
                  </w:pPr>
                  <w:r>
                    <w:t>WA</w:t>
                  </w:r>
                </w:p>
              </w:tc>
              <w:tc>
                <w:tcPr>
                  <w:tcW w:w="794" w:type="pct"/>
                  <w:shd w:val="clear" w:color="auto" w:fill="F2F2F2" w:themeFill="accent4"/>
                </w:tcPr>
                <w:p w14:paraId="7DCA8D3A" w14:textId="77777777" w:rsidR="00DE1537" w:rsidRDefault="00DE1537" w:rsidP="00343F3E">
                  <w:pPr>
                    <w:pStyle w:val="TableBodyText"/>
                    <w:jc w:val="left"/>
                  </w:pPr>
                  <w:r>
                    <w:t>Western Australian Planning Commission</w:t>
                  </w:r>
                </w:p>
                <w:p w14:paraId="5E98DD29" w14:textId="77777777" w:rsidR="00DE1537" w:rsidRDefault="00DE1537" w:rsidP="00343F3E">
                  <w:pPr>
                    <w:pStyle w:val="TableBodyText"/>
                    <w:jc w:val="left"/>
                  </w:pPr>
                  <w:r>
                    <w:t>Department of Planning</w:t>
                  </w:r>
                </w:p>
              </w:tc>
              <w:tc>
                <w:tcPr>
                  <w:tcW w:w="725" w:type="pct"/>
                  <w:shd w:val="clear" w:color="auto" w:fill="F2F2F2" w:themeFill="accent4"/>
                </w:tcPr>
                <w:p w14:paraId="296947BC" w14:textId="77777777" w:rsidR="00DE1537" w:rsidRPr="00DE748C" w:rsidRDefault="00DE1537" w:rsidP="00343F3E">
                  <w:pPr>
                    <w:pStyle w:val="TableBodyText"/>
                    <w:jc w:val="left"/>
                    <w:rPr>
                      <w:i/>
                    </w:rPr>
                  </w:pPr>
                  <w:r>
                    <w:rPr>
                      <w:i/>
                    </w:rPr>
                    <w:t>Planning and</w:t>
                  </w:r>
                  <w:r w:rsidRPr="00FF2E27">
                    <w:rPr>
                      <w:i/>
                    </w:rPr>
                    <w:t xml:space="preserve"> Development Act</w:t>
                  </w:r>
                  <w:r>
                    <w:rPr>
                      <w:i/>
                    </w:rPr>
                    <w:t xml:space="preserve"> 2005</w:t>
                  </w:r>
                </w:p>
              </w:tc>
              <w:tc>
                <w:tcPr>
                  <w:tcW w:w="794" w:type="pct"/>
                  <w:shd w:val="clear" w:color="auto" w:fill="F2F2F2" w:themeFill="accent4"/>
                </w:tcPr>
                <w:p w14:paraId="46F1C8F8" w14:textId="77777777" w:rsidR="00DE1537" w:rsidRDefault="00DE1537" w:rsidP="00343F3E">
                  <w:pPr>
                    <w:pStyle w:val="TableBodyText"/>
                    <w:jc w:val="left"/>
                  </w:pPr>
                  <w:r>
                    <w:t>State Planning Strategy</w:t>
                  </w:r>
                </w:p>
                <w:p w14:paraId="44B7AB7C" w14:textId="77777777" w:rsidR="00DE1537" w:rsidRDefault="00DE1537" w:rsidP="00343F3E">
                  <w:pPr>
                    <w:pStyle w:val="TableBodyText"/>
                    <w:jc w:val="left"/>
                  </w:pPr>
                  <w:r>
                    <w:t xml:space="preserve">State Planning Policies </w:t>
                  </w:r>
                </w:p>
                <w:p w14:paraId="553A8245" w14:textId="77777777" w:rsidR="00DE1537" w:rsidRDefault="00DE1537" w:rsidP="00343F3E">
                  <w:pPr>
                    <w:pStyle w:val="TableBodyText"/>
                    <w:jc w:val="left"/>
                  </w:pPr>
                  <w:r>
                    <w:t>Regional planning schemes</w:t>
                  </w:r>
                </w:p>
              </w:tc>
              <w:tc>
                <w:tcPr>
                  <w:tcW w:w="1004" w:type="pct"/>
                  <w:shd w:val="clear" w:color="auto" w:fill="F2F2F2" w:themeFill="accent4"/>
                </w:tcPr>
                <w:p w14:paraId="40A4832F" w14:textId="77777777" w:rsidR="00DE1537" w:rsidRDefault="00DE1537" w:rsidP="00343F3E">
                  <w:pPr>
                    <w:pStyle w:val="TableBodyText"/>
                    <w:jc w:val="left"/>
                  </w:pPr>
                  <w:r>
                    <w:t>Local governments prepare local planning schemes in accordance with State Planning Policies and the relevant region planning scheme.</w:t>
                  </w:r>
                </w:p>
              </w:tc>
              <w:tc>
                <w:tcPr>
                  <w:tcW w:w="1254" w:type="pct"/>
                  <w:shd w:val="clear" w:color="auto" w:fill="F2F2F2" w:themeFill="accent4"/>
                </w:tcPr>
                <w:p w14:paraId="02496E0E" w14:textId="77777777" w:rsidR="00DE1537" w:rsidRDefault="00DE1537" w:rsidP="00343F3E">
                  <w:pPr>
                    <w:pStyle w:val="TableBodyText"/>
                    <w:jc w:val="left"/>
                  </w:pPr>
                  <w:r>
                    <w:t>Local governments assess development applications, except for complex and significant projects (assessed by a Development Assessment Panel). Appeals may be made to the State Administrative Tribunal.</w:t>
                  </w:r>
                </w:p>
              </w:tc>
            </w:tr>
            <w:tr w:rsidR="00DE1537" w14:paraId="77B17502" w14:textId="77777777" w:rsidTr="00343F3E">
              <w:tc>
                <w:tcPr>
                  <w:tcW w:w="430" w:type="pct"/>
                  <w:shd w:val="clear" w:color="auto" w:fill="FFFFFF" w:themeFill="background1"/>
                </w:tcPr>
                <w:p w14:paraId="36B613D5" w14:textId="77777777" w:rsidR="00DE1537" w:rsidRDefault="00DE1537" w:rsidP="00343F3E">
                  <w:pPr>
                    <w:pStyle w:val="TableBodyText"/>
                    <w:jc w:val="left"/>
                  </w:pPr>
                  <w:r>
                    <w:t>Tas</w:t>
                  </w:r>
                </w:p>
              </w:tc>
              <w:tc>
                <w:tcPr>
                  <w:tcW w:w="794" w:type="pct"/>
                  <w:shd w:val="clear" w:color="auto" w:fill="FFFFFF" w:themeFill="background1"/>
                </w:tcPr>
                <w:p w14:paraId="022398AA" w14:textId="77777777" w:rsidR="00DE1537" w:rsidRDefault="00DE1537" w:rsidP="00343F3E">
                  <w:pPr>
                    <w:pStyle w:val="TableBodyText"/>
                    <w:jc w:val="left"/>
                  </w:pPr>
                  <w:r>
                    <w:t>Tasmanian Planning Commission</w:t>
                  </w:r>
                </w:p>
              </w:tc>
              <w:tc>
                <w:tcPr>
                  <w:tcW w:w="725" w:type="pct"/>
                  <w:shd w:val="clear" w:color="auto" w:fill="FFFFFF" w:themeFill="background1"/>
                </w:tcPr>
                <w:p w14:paraId="2AA473C5" w14:textId="77777777" w:rsidR="00DE1537" w:rsidRDefault="00DE1537" w:rsidP="00343F3E">
                  <w:pPr>
                    <w:pStyle w:val="TableBodyText"/>
                    <w:jc w:val="left"/>
                    <w:rPr>
                      <w:i/>
                    </w:rPr>
                  </w:pPr>
                  <w:r w:rsidRPr="001A471B">
                    <w:rPr>
                      <w:i/>
                    </w:rPr>
                    <w:t>Land Use Planning and Approvals Act 1993</w:t>
                  </w:r>
                </w:p>
                <w:p w14:paraId="01FA2763" w14:textId="77777777" w:rsidR="00DE1537" w:rsidRDefault="00DE1537" w:rsidP="00343F3E">
                  <w:pPr>
                    <w:pStyle w:val="TableBodyText"/>
                    <w:jc w:val="left"/>
                    <w:rPr>
                      <w:i/>
                    </w:rPr>
                  </w:pPr>
                  <w:r>
                    <w:rPr>
                      <w:i/>
                    </w:rPr>
                    <w:t>State Policies and Projects Act 1993</w:t>
                  </w:r>
                </w:p>
                <w:p w14:paraId="74C5AAC6" w14:textId="77777777" w:rsidR="00DE1537" w:rsidRPr="00DE748C" w:rsidRDefault="00DE1537" w:rsidP="00343F3E">
                  <w:pPr>
                    <w:pStyle w:val="TableBodyText"/>
                    <w:jc w:val="left"/>
                    <w:rPr>
                      <w:i/>
                    </w:rPr>
                  </w:pPr>
                  <w:r>
                    <w:rPr>
                      <w:i/>
                    </w:rPr>
                    <w:t>Tasmanian Planning Commission Act 1997</w:t>
                  </w:r>
                </w:p>
              </w:tc>
              <w:tc>
                <w:tcPr>
                  <w:tcW w:w="794" w:type="pct"/>
                  <w:shd w:val="clear" w:color="auto" w:fill="FFFFFF" w:themeFill="background1"/>
                </w:tcPr>
                <w:p w14:paraId="5E355568" w14:textId="77777777" w:rsidR="00DE1537" w:rsidRDefault="00DE1537" w:rsidP="00343F3E">
                  <w:pPr>
                    <w:pStyle w:val="TableBodyText"/>
                    <w:jc w:val="left"/>
                  </w:pPr>
                  <w:r>
                    <w:t>Resource Management and Planning System</w:t>
                  </w:r>
                </w:p>
                <w:p w14:paraId="3F1A61B4" w14:textId="77777777" w:rsidR="00DE1537" w:rsidRDefault="00DE1537" w:rsidP="00343F3E">
                  <w:pPr>
                    <w:pStyle w:val="TableBodyText"/>
                    <w:jc w:val="left"/>
                  </w:pPr>
                  <w:r>
                    <w:t>Planning Directives</w:t>
                  </w:r>
                </w:p>
              </w:tc>
              <w:tc>
                <w:tcPr>
                  <w:tcW w:w="1004" w:type="pct"/>
                  <w:shd w:val="clear" w:color="auto" w:fill="FFFFFF" w:themeFill="background1"/>
                </w:tcPr>
                <w:p w14:paraId="722317F2" w14:textId="77777777" w:rsidR="00DE1537" w:rsidRDefault="00DE1537" w:rsidP="00343F3E">
                  <w:pPr>
                    <w:pStyle w:val="TableBodyText"/>
                    <w:jc w:val="left"/>
                  </w:pPr>
                  <w:r>
                    <w:t>Local governments prepare planning schemes according to the format and structure required by planning legislation and Ministerial Planning Directives. Planning schemes are approved by the Planning Commission.</w:t>
                  </w:r>
                </w:p>
              </w:tc>
              <w:tc>
                <w:tcPr>
                  <w:tcW w:w="1254" w:type="pct"/>
                  <w:shd w:val="clear" w:color="auto" w:fill="FFFFFF" w:themeFill="background1"/>
                </w:tcPr>
                <w:p w14:paraId="475A8BC9" w14:textId="77777777" w:rsidR="00DE1537" w:rsidRDefault="00DE1537" w:rsidP="00343F3E">
                  <w:pPr>
                    <w:pStyle w:val="TableBodyText"/>
                    <w:jc w:val="left"/>
                  </w:pPr>
                  <w:r>
                    <w:t>Development applications assessed by local governments, in accordance with local planning schemes, by a Development Assessment Panel if of regional significance or by the Planning Commission</w:t>
                  </w:r>
                  <w:r w:rsidDel="00027B8A">
                    <w:t xml:space="preserve"> </w:t>
                  </w:r>
                  <w:r>
                    <w:t>if of State significance. Appeals may be made to the Resource Management and Planning Appeals Tribunal.</w:t>
                  </w:r>
                </w:p>
              </w:tc>
            </w:tr>
            <w:tr w:rsidR="00DE1537" w14:paraId="7BC912BE" w14:textId="77777777" w:rsidTr="00343F3E">
              <w:tc>
                <w:tcPr>
                  <w:tcW w:w="430" w:type="pct"/>
                  <w:shd w:val="clear" w:color="auto" w:fill="F2F2F2" w:themeFill="accent4"/>
                </w:tcPr>
                <w:p w14:paraId="6DE2C981" w14:textId="77777777" w:rsidR="00DE1537" w:rsidRDefault="00DE1537" w:rsidP="00343F3E">
                  <w:pPr>
                    <w:pStyle w:val="TableBodyText"/>
                    <w:jc w:val="left"/>
                  </w:pPr>
                  <w:r>
                    <w:t>NT</w:t>
                  </w:r>
                </w:p>
              </w:tc>
              <w:tc>
                <w:tcPr>
                  <w:tcW w:w="794" w:type="pct"/>
                  <w:shd w:val="clear" w:color="auto" w:fill="F2F2F2" w:themeFill="accent4"/>
                </w:tcPr>
                <w:p w14:paraId="30595CC4" w14:textId="77777777" w:rsidR="00DE1537" w:rsidRDefault="00DE1537" w:rsidP="00343F3E">
                  <w:pPr>
                    <w:pStyle w:val="TableBodyText"/>
                    <w:jc w:val="left"/>
                  </w:pPr>
                  <w:r>
                    <w:t>Department of Lands, Planning and the Environment</w:t>
                  </w:r>
                </w:p>
              </w:tc>
              <w:tc>
                <w:tcPr>
                  <w:tcW w:w="725" w:type="pct"/>
                  <w:shd w:val="clear" w:color="auto" w:fill="F2F2F2" w:themeFill="accent4"/>
                </w:tcPr>
                <w:p w14:paraId="6F488B44" w14:textId="77777777" w:rsidR="00DE1537" w:rsidRPr="00DE748C" w:rsidRDefault="00DE1537" w:rsidP="00343F3E">
                  <w:pPr>
                    <w:pStyle w:val="TableBodyText"/>
                    <w:jc w:val="left"/>
                    <w:rPr>
                      <w:i/>
                    </w:rPr>
                  </w:pPr>
                  <w:r w:rsidRPr="00DE748C">
                    <w:rPr>
                      <w:i/>
                    </w:rPr>
                    <w:t>Planning Act 1993</w:t>
                  </w:r>
                </w:p>
              </w:tc>
              <w:tc>
                <w:tcPr>
                  <w:tcW w:w="794" w:type="pct"/>
                  <w:shd w:val="clear" w:color="auto" w:fill="F2F2F2" w:themeFill="accent4"/>
                </w:tcPr>
                <w:p w14:paraId="4D139528" w14:textId="77777777" w:rsidR="00DE1537" w:rsidRDefault="00DE1537" w:rsidP="00343F3E">
                  <w:pPr>
                    <w:pStyle w:val="TableBodyText"/>
                    <w:jc w:val="left"/>
                  </w:pPr>
                  <w:r>
                    <w:t>NT Planning Scheme</w:t>
                  </w:r>
                </w:p>
              </w:tc>
              <w:tc>
                <w:tcPr>
                  <w:tcW w:w="1004" w:type="pct"/>
                  <w:shd w:val="clear" w:color="auto" w:fill="F2F2F2" w:themeFill="accent4"/>
                </w:tcPr>
                <w:p w14:paraId="034DF720" w14:textId="77777777" w:rsidR="00DE1537" w:rsidRDefault="00DE1537" w:rsidP="00343F3E">
                  <w:pPr>
                    <w:pStyle w:val="TableBodyText"/>
                    <w:jc w:val="left"/>
                  </w:pPr>
                  <w:r>
                    <w:t>The Northern Territory Government is responsible for administering all planning and development controls, including the NT Planning Scheme.</w:t>
                  </w:r>
                </w:p>
              </w:tc>
              <w:tc>
                <w:tcPr>
                  <w:tcW w:w="1254" w:type="pct"/>
                  <w:shd w:val="clear" w:color="auto" w:fill="F2F2F2" w:themeFill="accent4"/>
                </w:tcPr>
                <w:p w14:paraId="610E4710" w14:textId="77777777" w:rsidR="00DE1537" w:rsidRDefault="00DE1537" w:rsidP="00343F3E">
                  <w:pPr>
                    <w:pStyle w:val="TableBodyText"/>
                    <w:jc w:val="left"/>
                  </w:pPr>
                  <w:r>
                    <w:t>Development applications assessed by Development Assessment Services within the Department of Lands, Planning and the Environment. Appeals may be made to the Lands, Planning and Mining Tribunal.</w:t>
                  </w:r>
                </w:p>
              </w:tc>
            </w:tr>
            <w:tr w:rsidR="00DE1537" w14:paraId="63FEB412" w14:textId="77777777" w:rsidTr="00343F3E">
              <w:tc>
                <w:tcPr>
                  <w:tcW w:w="430" w:type="pct"/>
                  <w:tcBorders>
                    <w:bottom w:val="single" w:sz="6" w:space="0" w:color="BFBFBF" w:themeColor="background2"/>
                  </w:tcBorders>
                </w:tcPr>
                <w:p w14:paraId="6BE10360" w14:textId="77777777" w:rsidR="00DE1537" w:rsidRDefault="00DE1537" w:rsidP="00343F3E">
                  <w:pPr>
                    <w:pStyle w:val="TableBodyText"/>
                    <w:jc w:val="left"/>
                  </w:pPr>
                  <w:r>
                    <w:t>ACT</w:t>
                  </w:r>
                </w:p>
              </w:tc>
              <w:tc>
                <w:tcPr>
                  <w:tcW w:w="794" w:type="pct"/>
                  <w:tcBorders>
                    <w:bottom w:val="single" w:sz="6" w:space="0" w:color="BFBFBF" w:themeColor="background2"/>
                  </w:tcBorders>
                </w:tcPr>
                <w:p w14:paraId="324B598F" w14:textId="77777777" w:rsidR="00DE1537" w:rsidRDefault="00DE1537" w:rsidP="00343F3E">
                  <w:pPr>
                    <w:pStyle w:val="TableBodyText"/>
                    <w:jc w:val="left"/>
                  </w:pPr>
                  <w:r>
                    <w:t>ACT Planning and Land Authority, National Capital Authority</w:t>
                  </w:r>
                </w:p>
              </w:tc>
              <w:tc>
                <w:tcPr>
                  <w:tcW w:w="725" w:type="pct"/>
                  <w:tcBorders>
                    <w:bottom w:val="single" w:sz="6" w:space="0" w:color="BFBFBF" w:themeColor="background2"/>
                  </w:tcBorders>
                </w:tcPr>
                <w:p w14:paraId="0FB79B25" w14:textId="77777777" w:rsidR="00DE1537" w:rsidRPr="008D43D9" w:rsidRDefault="00DE1537" w:rsidP="00343F3E">
                  <w:pPr>
                    <w:pStyle w:val="TableBodyText"/>
                    <w:jc w:val="left"/>
                    <w:rPr>
                      <w:i/>
                    </w:rPr>
                  </w:pPr>
                  <w:r w:rsidRPr="008D43D9">
                    <w:rPr>
                      <w:i/>
                    </w:rPr>
                    <w:t>Planning and Development Act 2007</w:t>
                  </w:r>
                </w:p>
                <w:p w14:paraId="11C785E7" w14:textId="77777777" w:rsidR="00DE1537" w:rsidRPr="00D956DA" w:rsidRDefault="00DE1537" w:rsidP="00343F3E">
                  <w:pPr>
                    <w:pStyle w:val="TableBodyText"/>
                    <w:jc w:val="left"/>
                  </w:pPr>
                  <w:r w:rsidRPr="008D43D9">
                    <w:rPr>
                      <w:i/>
                    </w:rPr>
                    <w:t>Australian Capital Territory (Planning and Land Management) Act 1988</w:t>
                  </w:r>
                </w:p>
              </w:tc>
              <w:tc>
                <w:tcPr>
                  <w:tcW w:w="794" w:type="pct"/>
                  <w:tcBorders>
                    <w:bottom w:val="single" w:sz="6" w:space="0" w:color="BFBFBF" w:themeColor="background2"/>
                  </w:tcBorders>
                </w:tcPr>
                <w:p w14:paraId="2E68AFE2" w14:textId="77777777" w:rsidR="00DE1537" w:rsidRDefault="00DE1537" w:rsidP="00343F3E">
                  <w:pPr>
                    <w:pStyle w:val="TableBodyText"/>
                    <w:jc w:val="left"/>
                  </w:pPr>
                  <w:r>
                    <w:t>ACT Planning Strategy, Canberra Plan, Territory Plan, Master Plans, National Capital Plan</w:t>
                  </w:r>
                </w:p>
              </w:tc>
              <w:tc>
                <w:tcPr>
                  <w:tcW w:w="1004" w:type="pct"/>
                  <w:tcBorders>
                    <w:bottom w:val="single" w:sz="6" w:space="0" w:color="BFBFBF" w:themeColor="background2"/>
                  </w:tcBorders>
                </w:tcPr>
                <w:p w14:paraId="01303717" w14:textId="77777777" w:rsidR="00DE1537" w:rsidRDefault="00DE1537" w:rsidP="00343F3E">
                  <w:pPr>
                    <w:pStyle w:val="TableBodyText"/>
                    <w:jc w:val="left"/>
                  </w:pPr>
                  <w:r>
                    <w:t>The Planning and Land Authority is responsible for administering the ACT’s planning schemes, planning and regulating the development of land including determining zones and overlays.</w:t>
                  </w:r>
                </w:p>
              </w:tc>
              <w:tc>
                <w:tcPr>
                  <w:tcW w:w="1254" w:type="pct"/>
                  <w:tcBorders>
                    <w:bottom w:val="single" w:sz="6" w:space="0" w:color="BFBFBF" w:themeColor="background2"/>
                  </w:tcBorders>
                </w:tcPr>
                <w:p w14:paraId="31BE137F" w14:textId="77777777" w:rsidR="00DE1537" w:rsidRDefault="00DE1537" w:rsidP="00343F3E">
                  <w:pPr>
                    <w:pStyle w:val="TableBodyText"/>
                    <w:jc w:val="left"/>
                  </w:pPr>
                  <w:r>
                    <w:t>Development applications assessed by the Planning and Land Authority in accordance with planning controls. Applicants can request that a decision be reconsidered by the Authority, and if dissatisfied with the reconsideration, can appeal to the Civil and Administrative Tribunal.</w:t>
                  </w:r>
                </w:p>
              </w:tc>
            </w:tr>
          </w:tbl>
          <w:p w14:paraId="3D4F0013" w14:textId="77777777" w:rsidR="00DE1537" w:rsidRDefault="00DE1537" w:rsidP="00343F3E">
            <w:pPr>
              <w:pStyle w:val="Box"/>
            </w:pPr>
          </w:p>
        </w:tc>
      </w:tr>
      <w:tr w:rsidR="00DE1537" w14:paraId="0A8D8CEC" w14:textId="77777777" w:rsidTr="00343F3E">
        <w:trPr>
          <w:cantSplit/>
        </w:trPr>
        <w:tc>
          <w:tcPr>
            <w:tcW w:w="8771" w:type="dxa"/>
            <w:tcBorders>
              <w:top w:val="nil"/>
              <w:left w:val="nil"/>
              <w:bottom w:val="nil"/>
              <w:right w:val="nil"/>
            </w:tcBorders>
            <w:shd w:val="clear" w:color="auto" w:fill="auto"/>
          </w:tcPr>
          <w:p w14:paraId="3C46FE10" w14:textId="5DC88975" w:rsidR="00DE1537" w:rsidRDefault="00DE1537" w:rsidP="00343F3E">
            <w:pPr>
              <w:pStyle w:val="Source"/>
              <w:rPr>
                <w:i/>
              </w:rPr>
            </w:pPr>
            <w:r>
              <w:rPr>
                <w:i/>
              </w:rPr>
              <w:t>Sources</w:t>
            </w:r>
            <w:r w:rsidRPr="00167F06">
              <w:t>:</w:t>
            </w:r>
            <w:r>
              <w:t xml:space="preserve"> ACT Planning and Land Authority</w:t>
            </w:r>
            <w:r w:rsidRPr="00167F06">
              <w:t xml:space="preserve"> </w:t>
            </w:r>
            <w:r w:rsidRPr="00362A7A">
              <w:rPr>
                <w:rFonts w:cs="Arial"/>
              </w:rPr>
              <w:t>(2013, 2014)</w:t>
            </w:r>
            <w:r>
              <w:t xml:space="preserve">; NEMC </w:t>
            </w:r>
            <w:r w:rsidRPr="00362A7A">
              <w:rPr>
                <w:rFonts w:cs="Arial"/>
              </w:rPr>
              <w:t>(2012a)</w:t>
            </w:r>
            <w:r>
              <w:t>; Northern Territory Government </w:t>
            </w:r>
            <w:r w:rsidRPr="00CA2162">
              <w:rPr>
                <w:rFonts w:cs="Arial"/>
              </w:rPr>
              <w:t>(2012, sub. 117)</w:t>
            </w:r>
            <w:r>
              <w:t xml:space="preserve">; NSW Government </w:t>
            </w:r>
            <w:r w:rsidRPr="006E1ED0">
              <w:rPr>
                <w:rFonts w:cs="Arial"/>
              </w:rPr>
              <w:t>(2014b)</w:t>
            </w:r>
            <w:r>
              <w:t xml:space="preserve">; Queensland Government </w:t>
            </w:r>
            <w:r w:rsidRPr="00B94C85">
              <w:rPr>
                <w:rFonts w:cs="Arial"/>
              </w:rPr>
              <w:t>(2014b, 2014c)</w:t>
            </w:r>
            <w:r>
              <w:t xml:space="preserve">; South Australian Government </w:t>
            </w:r>
            <w:r w:rsidRPr="00362A7A">
              <w:rPr>
                <w:rFonts w:cs="Arial"/>
              </w:rPr>
              <w:t>(2014a, 2014b, 2014c)</w:t>
            </w:r>
            <w:r>
              <w:t xml:space="preserve">; Stone </w:t>
            </w:r>
            <w:r w:rsidRPr="0035102D">
              <w:rPr>
                <w:rFonts w:cs="Arial"/>
              </w:rPr>
              <w:t>(2014)</w:t>
            </w:r>
            <w:r>
              <w:t xml:space="preserve">; Tasmanian Planning Commission </w:t>
            </w:r>
            <w:r w:rsidRPr="00362A7A">
              <w:rPr>
                <w:rFonts w:cs="Arial"/>
              </w:rPr>
              <w:t>(nd)</w:t>
            </w:r>
            <w:r>
              <w:t xml:space="preserve">; Victorian Government </w:t>
            </w:r>
            <w:r w:rsidRPr="0035102D">
              <w:rPr>
                <w:rFonts w:cs="Arial"/>
              </w:rPr>
              <w:t>(2014a, 2014b)</w:t>
            </w:r>
            <w:r>
              <w:t xml:space="preserve">; Western Australian Government </w:t>
            </w:r>
            <w:r w:rsidRPr="00362A7A">
              <w:rPr>
                <w:rFonts w:cs="Arial"/>
              </w:rPr>
              <w:t>(2014)</w:t>
            </w:r>
            <w:r>
              <w:t>.</w:t>
            </w:r>
          </w:p>
        </w:tc>
      </w:tr>
      <w:tr w:rsidR="00DE1537" w14:paraId="5DE5E763" w14:textId="77777777" w:rsidTr="00343F3E">
        <w:trPr>
          <w:cantSplit/>
        </w:trPr>
        <w:tc>
          <w:tcPr>
            <w:tcW w:w="8771" w:type="dxa"/>
            <w:tcBorders>
              <w:top w:val="nil"/>
              <w:left w:val="nil"/>
              <w:bottom w:val="single" w:sz="6" w:space="0" w:color="78A22F" w:themeColor="accent1"/>
              <w:right w:val="nil"/>
            </w:tcBorders>
            <w:shd w:val="clear" w:color="auto" w:fill="auto"/>
          </w:tcPr>
          <w:p w14:paraId="7363FCCB" w14:textId="77777777" w:rsidR="00DE1537" w:rsidRDefault="00DE1537" w:rsidP="00343F3E">
            <w:pPr>
              <w:pStyle w:val="Box"/>
              <w:spacing w:before="0" w:line="120" w:lineRule="exact"/>
            </w:pPr>
          </w:p>
        </w:tc>
      </w:tr>
      <w:tr w:rsidR="00DE1537" w:rsidRPr="000863A5" w14:paraId="61F637D4" w14:textId="77777777" w:rsidTr="00343F3E">
        <w:tc>
          <w:tcPr>
            <w:tcW w:w="8771" w:type="dxa"/>
            <w:tcBorders>
              <w:top w:val="single" w:sz="6" w:space="0" w:color="78A22F" w:themeColor="accent1"/>
              <w:left w:val="nil"/>
              <w:bottom w:val="nil"/>
              <w:right w:val="nil"/>
            </w:tcBorders>
          </w:tcPr>
          <w:p w14:paraId="57EAB387" w14:textId="77777777" w:rsidR="00DE1537" w:rsidRPr="00626D32" w:rsidRDefault="00DE1537" w:rsidP="00343F3E">
            <w:pPr>
              <w:pStyle w:val="BoxSpaceBelow"/>
            </w:pPr>
          </w:p>
        </w:tc>
      </w:tr>
    </w:tbl>
    <w:p w14:paraId="3DC8AE89" w14:textId="77777777" w:rsidR="00DE1537" w:rsidRPr="001B6AF1" w:rsidRDefault="00DE1537" w:rsidP="00343F3E">
      <w:pPr>
        <w:pStyle w:val="BodyText"/>
      </w:pPr>
    </w:p>
    <w:p w14:paraId="56DC9489" w14:textId="77777777" w:rsidR="00DE1537" w:rsidRDefault="00DE1537" w:rsidP="00DE1537">
      <w:pPr>
        <w:sectPr w:rsidR="00DE1537" w:rsidSect="00DE1537">
          <w:headerReference w:type="even" r:id="rId83"/>
          <w:headerReference w:type="default" r:id="rId84"/>
          <w:footerReference w:type="even" r:id="rId85"/>
          <w:footerReference w:type="default" r:id="rId86"/>
          <w:type w:val="oddPage"/>
          <w:pgSz w:w="11907" w:h="16840" w:code="9"/>
          <w:pgMar w:top="1985" w:right="1304" w:bottom="1247" w:left="1814" w:header="1701" w:footer="397" w:gutter="0"/>
          <w:pgNumType w:chapSep="period"/>
          <w:cols w:space="720"/>
          <w:docGrid w:linePitch="326"/>
        </w:sectPr>
      </w:pPr>
    </w:p>
    <w:p w14:paraId="673B32A5" w14:textId="77777777" w:rsidR="00DE1537" w:rsidRDefault="00DE1537" w:rsidP="00343F3E">
      <w:pPr>
        <w:pStyle w:val="Heading1"/>
        <w:spacing w:before="0"/>
      </w:pPr>
      <w:bookmarkStart w:id="79" w:name="_Toc406424348"/>
      <w:r>
        <w:lastRenderedPageBreak/>
        <w:t>7</w:t>
      </w:r>
      <w:r>
        <w:tab/>
        <w:t>A quantitative assessment of funding arrangements for natural disasters</w:t>
      </w:r>
      <w:r w:rsidRPr="007A28F5">
        <w:rPr>
          <w:rStyle w:val="FootnoteReference"/>
          <w:position w:val="10"/>
          <w:sz w:val="36"/>
          <w:vertAlign w:val="superscript"/>
        </w:rPr>
        <w:footnoteReference w:id="16"/>
      </w:r>
      <w:bookmarkEnd w:id="79"/>
    </w:p>
    <w:p w14:paraId="6512CCD7" w14:textId="65162C6E" w:rsidR="00DE1537" w:rsidRPr="00347B1F" w:rsidRDefault="00DE1537" w:rsidP="00343F3E">
      <w:pPr>
        <w:pStyle w:val="Heading2"/>
      </w:pPr>
      <w:bookmarkStart w:id="80" w:name="_Toc406424349"/>
      <w:r>
        <w:t>7.</w:t>
      </w:r>
      <w:r>
        <w:rPr>
          <w:noProof/>
        </w:rPr>
        <w:t>1</w:t>
      </w:r>
      <w:r w:rsidRPr="00347B1F">
        <w:tab/>
        <w:t>Introduction and key points</w:t>
      </w:r>
      <w:bookmarkEnd w:id="80"/>
    </w:p>
    <w:p w14:paraId="1D493956" w14:textId="77777777" w:rsidR="00DE1537" w:rsidRDefault="00DE1537" w:rsidP="00343F3E">
      <w:pPr>
        <w:pStyle w:val="BodyText"/>
      </w:pPr>
      <w:r>
        <w:t>The objectives of this supplementary paper are twofold. First, it estimates the recent costs of natural disasters and provides illustrative cost projections in the medium and long term under current funding arrangements. Three different cost indicators are used — insurance losses, economic costs and fiscal costs. Second, it provides a partial quantitative assessment of the Commission’s recommended funding model (box 7.1). Due to the lack of comparable time series data on the disaster costs incurred by state, territory and local governments, this analysis focuses on the fiscal costs faced by the Australian Government.</w:t>
      </w:r>
    </w:p>
    <w:p w14:paraId="1D295AEE"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045D026" w14:textId="77777777" w:rsidTr="00343F3E">
        <w:tc>
          <w:tcPr>
            <w:tcW w:w="8771" w:type="dxa"/>
            <w:tcBorders>
              <w:top w:val="single" w:sz="6" w:space="0" w:color="78A22F"/>
              <w:left w:val="nil"/>
              <w:bottom w:val="nil"/>
              <w:right w:val="nil"/>
            </w:tcBorders>
            <w:shd w:val="clear" w:color="auto" w:fill="F2F2F2" w:themeFill="background1" w:themeFillShade="F2"/>
          </w:tcPr>
          <w:p w14:paraId="56922943" w14:textId="2F8AC003" w:rsidR="00DE1537" w:rsidRDefault="00DE1537" w:rsidP="00343F3E">
            <w:pPr>
              <w:pStyle w:val="BoxTitle"/>
            </w:pPr>
            <w:r>
              <w:rPr>
                <w:b w:val="0"/>
              </w:rPr>
              <w:t>Box 7.</w:t>
            </w:r>
            <w:r>
              <w:rPr>
                <w:b w:val="0"/>
                <w:noProof/>
              </w:rPr>
              <w:t>1</w:t>
            </w:r>
            <w:r>
              <w:tab/>
              <w:t>A summary of the Commission’s funding model</w:t>
            </w:r>
          </w:p>
        </w:tc>
      </w:tr>
      <w:tr w:rsidR="00DE1537" w14:paraId="4BF82859" w14:textId="77777777" w:rsidTr="00343F3E">
        <w:trPr>
          <w:cantSplit/>
        </w:trPr>
        <w:tc>
          <w:tcPr>
            <w:tcW w:w="8771" w:type="dxa"/>
            <w:tcBorders>
              <w:top w:val="nil"/>
              <w:left w:val="nil"/>
              <w:bottom w:val="nil"/>
              <w:right w:val="nil"/>
            </w:tcBorders>
            <w:shd w:val="clear" w:color="auto" w:fill="F2F2F2" w:themeFill="background1" w:themeFillShade="F2"/>
          </w:tcPr>
          <w:p w14:paraId="514F0F5B" w14:textId="77777777" w:rsidR="00DE1537" w:rsidRDefault="00DE1537" w:rsidP="00343F3E">
            <w:pPr>
              <w:pStyle w:val="Box"/>
            </w:pPr>
            <w:r>
              <w:t>The Commission presented its natural disaster funding reforms in chapter 3.</w:t>
            </w:r>
          </w:p>
          <w:p w14:paraId="610CEFD2" w14:textId="77777777" w:rsidR="00DE1537" w:rsidRDefault="00DE1537" w:rsidP="00343F3E">
            <w:pPr>
              <w:pStyle w:val="BoxListBullet"/>
              <w:rPr>
                <w:szCs w:val="24"/>
              </w:rPr>
            </w:pPr>
            <w:r>
              <w:t>The recommendations make substantive changes to how the current arrangements operate. These include:</w:t>
            </w:r>
          </w:p>
          <w:p w14:paraId="48593C5B" w14:textId="77777777" w:rsidR="00DE1537" w:rsidRPr="00741A0E" w:rsidRDefault="00DE1537" w:rsidP="00343F3E">
            <w:pPr>
              <w:pStyle w:val="BoxListBullet2"/>
              <w:rPr>
                <w:szCs w:val="24"/>
              </w:rPr>
            </w:pPr>
            <w:r>
              <w:t xml:space="preserve">raising the </w:t>
            </w:r>
            <w:r w:rsidRPr="00741A0E">
              <w:t xml:space="preserve">threshold for </w:t>
            </w:r>
            <w:r>
              <w:t>cost sharing</w:t>
            </w:r>
            <w:r w:rsidRPr="00741A0E">
              <w:t xml:space="preserve"> to 0.45 per cent of </w:t>
            </w:r>
            <w:r>
              <w:t xml:space="preserve">total </w:t>
            </w:r>
            <w:r w:rsidRPr="00741A0E">
              <w:t>state</w:t>
            </w:r>
            <w:r>
              <w:t xml:space="preserve"> and territory government revenue</w:t>
            </w:r>
          </w:p>
          <w:p w14:paraId="226D4C92" w14:textId="77777777" w:rsidR="00DE1537" w:rsidRPr="00741A0E" w:rsidRDefault="00DE1537" w:rsidP="00343F3E">
            <w:pPr>
              <w:pStyle w:val="BoxListBullet2"/>
              <w:rPr>
                <w:szCs w:val="24"/>
              </w:rPr>
            </w:pPr>
            <w:r>
              <w:t>s</w:t>
            </w:r>
            <w:r w:rsidRPr="00741A0E">
              <w:t>etting the re</w:t>
            </w:r>
            <w:r>
              <w:t>imbursement rate (or cost-sharing rate) to 50 per cent of above</w:t>
            </w:r>
            <w:r>
              <w:noBreakHyphen/>
              <w:t>threshold costs</w:t>
            </w:r>
          </w:p>
          <w:p w14:paraId="561F4AE3" w14:textId="77777777" w:rsidR="00DE1537" w:rsidRDefault="00DE1537" w:rsidP="00343F3E">
            <w:pPr>
              <w:pStyle w:val="BoxListBullet2"/>
              <w:rPr>
                <w:szCs w:val="24"/>
              </w:rPr>
            </w:pPr>
            <w:r>
              <w:t>i</w:t>
            </w:r>
            <w:r w:rsidRPr="00741A0E">
              <w:t xml:space="preserve">ncreasing the small disaster criterion to $2 million </w:t>
            </w:r>
          </w:p>
          <w:p w14:paraId="0988DC1B" w14:textId="77777777" w:rsidR="00DE1537" w:rsidRDefault="00DE1537" w:rsidP="00343F3E">
            <w:pPr>
              <w:pStyle w:val="BoxListBullet2"/>
              <w:rPr>
                <w:szCs w:val="24"/>
              </w:rPr>
            </w:pPr>
            <w:r>
              <w:t>streamlining</w:t>
            </w:r>
            <w:r w:rsidRPr="00274F48">
              <w:t xml:space="preserve"> what is considered eligible expenditure</w:t>
            </w:r>
          </w:p>
          <w:p w14:paraId="6270B207" w14:textId="77777777" w:rsidR="00DE1537" w:rsidRDefault="00DE1537" w:rsidP="00343F3E">
            <w:pPr>
              <w:pStyle w:val="BoxListBullet2"/>
              <w:rPr>
                <w:szCs w:val="24"/>
              </w:rPr>
            </w:pPr>
            <w:proofErr w:type="gramStart"/>
            <w:r>
              <w:t>funding</w:t>
            </w:r>
            <w:proofErr w:type="gramEnd"/>
            <w:r>
              <w:t xml:space="preserve"> the reconstruction and replacement of essential public assets based on assessed damages and benchmark prices. Community recovery would continue to be funded under a reimbursement model initially, ultimately transitioning to funding being provided through untied grants.</w:t>
            </w:r>
          </w:p>
          <w:p w14:paraId="186A958E" w14:textId="77777777" w:rsidR="00DE1537" w:rsidRDefault="00DE1537" w:rsidP="00343F3E">
            <w:pPr>
              <w:pStyle w:val="BoxListBullet"/>
              <w:rPr>
                <w:szCs w:val="24"/>
              </w:rPr>
            </w:pPr>
            <w:r>
              <w:t>The Commission also recommended that the Australian Government provides state and territory governments with the option to purchase ‘top-up’ fiscal support in addition to the base level of support provided. This would enable state and territory governments to purchase additional support for eligible expenditure from the Australian Government.</w:t>
            </w:r>
          </w:p>
        </w:tc>
      </w:tr>
      <w:tr w:rsidR="00DE1537" w14:paraId="0D663B8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A30CE47" w14:textId="77777777" w:rsidR="00DE1537" w:rsidRDefault="00DE1537" w:rsidP="00343F3E">
            <w:pPr>
              <w:pStyle w:val="Box"/>
              <w:spacing w:before="0" w:line="120" w:lineRule="exact"/>
            </w:pPr>
          </w:p>
        </w:tc>
      </w:tr>
      <w:tr w:rsidR="00DE1537" w:rsidRPr="000863A5" w14:paraId="4237A047" w14:textId="77777777" w:rsidTr="00343F3E">
        <w:tc>
          <w:tcPr>
            <w:tcW w:w="8771" w:type="dxa"/>
            <w:tcBorders>
              <w:top w:val="single" w:sz="6" w:space="0" w:color="78A22F"/>
              <w:left w:val="nil"/>
              <w:bottom w:val="nil"/>
              <w:right w:val="nil"/>
            </w:tcBorders>
          </w:tcPr>
          <w:p w14:paraId="2605A92B" w14:textId="77777777" w:rsidR="00DE1537" w:rsidRPr="00626D32" w:rsidRDefault="00DE1537" w:rsidP="00343F3E">
            <w:pPr>
              <w:pStyle w:val="BoxSpaceBelow"/>
            </w:pPr>
          </w:p>
        </w:tc>
      </w:tr>
    </w:tbl>
    <w:p w14:paraId="6B0C8C79" w14:textId="77777777" w:rsidR="00DE1537" w:rsidRPr="00CF0725" w:rsidRDefault="00DE1537" w:rsidP="00343F3E">
      <w:pPr>
        <w:pStyle w:val="BodyText"/>
      </w:pPr>
      <w:r>
        <w:t>T</w:t>
      </w:r>
      <w:r w:rsidRPr="00347B1F">
        <w:t xml:space="preserve">he Commission’s approach to estimating the </w:t>
      </w:r>
      <w:r>
        <w:t xml:space="preserve">economic and fiscal </w:t>
      </w:r>
      <w:r w:rsidRPr="00347B1F">
        <w:t xml:space="preserve">costs of natural disasters </w:t>
      </w:r>
      <w:r>
        <w:t>is</w:t>
      </w:r>
      <w:r w:rsidRPr="00347B1F">
        <w:t xml:space="preserve"> discussed in section</w:t>
      </w:r>
      <w:r>
        <w:t> 7.</w:t>
      </w:r>
      <w:r w:rsidRPr="00347B1F">
        <w:t>2</w:t>
      </w:r>
      <w:r>
        <w:t xml:space="preserve">. Key considerations in the analysis of different funding </w:t>
      </w:r>
      <w:r>
        <w:lastRenderedPageBreak/>
        <w:t>arrangements are discussed in section 7.3</w:t>
      </w:r>
      <w:r w:rsidRPr="00347B1F">
        <w:t xml:space="preserve">. Recent and projected insurance losses, economic costs and fiscal costs under current funding arrangements (the ‘counterfactual’ or baseline scenario to the </w:t>
      </w:r>
      <w:r>
        <w:t>Commission’s funding model</w:t>
      </w:r>
      <w:r w:rsidRPr="00347B1F">
        <w:t>) are estimated in section</w:t>
      </w:r>
      <w:r>
        <w:t> 7.4.</w:t>
      </w:r>
      <w:r w:rsidRPr="00347B1F">
        <w:t xml:space="preserve"> </w:t>
      </w:r>
      <w:r>
        <w:t>S</w:t>
      </w:r>
      <w:r w:rsidRPr="00347B1F">
        <w:t>ection</w:t>
      </w:r>
      <w:r>
        <w:t> 7.5</w:t>
      </w:r>
      <w:r w:rsidRPr="00347B1F">
        <w:t xml:space="preserve"> provides indicative estimates of fiscal costs under </w:t>
      </w:r>
      <w:r>
        <w:t>the Commission’s funding model and sensitivity analysis. Finally, section 7.6 presents additional sensitivity analysis.</w:t>
      </w:r>
    </w:p>
    <w:p w14:paraId="5B75DF23" w14:textId="77777777" w:rsidR="00DE1537" w:rsidRPr="000121D5" w:rsidRDefault="00DE1537" w:rsidP="00343F3E">
      <w:pPr>
        <w:pStyle w:val="BodyText"/>
      </w:pPr>
      <w:r>
        <w:t>T</w:t>
      </w:r>
      <w:r w:rsidRPr="000121D5">
        <w:t>his</w:t>
      </w:r>
      <w:r>
        <w:t xml:space="preserve"> supplementary</w:t>
      </w:r>
      <w:r w:rsidRPr="000121D5">
        <w:t xml:space="preserve"> paper </w:t>
      </w:r>
      <w:r>
        <w:t>makes several key points</w:t>
      </w:r>
      <w:r w:rsidRPr="000121D5">
        <w:t>:</w:t>
      </w:r>
      <w:r>
        <w:t xml:space="preserve"> </w:t>
      </w:r>
    </w:p>
    <w:p w14:paraId="53FE322E" w14:textId="77777777" w:rsidR="00DE1537" w:rsidRPr="00347B1F" w:rsidRDefault="00DE1537" w:rsidP="00343F3E">
      <w:pPr>
        <w:pStyle w:val="ListBullet"/>
      </w:pPr>
      <w:r w:rsidRPr="00347B1F">
        <w:t>Under current funding arrangements, insurance losses from, and the economic and fiscal costs of, natural disasters</w:t>
      </w:r>
      <w:r>
        <w:t xml:space="preserve"> (in nominal terms)</w:t>
      </w:r>
      <w:r w:rsidRPr="00347B1F">
        <w:t xml:space="preserve"> are likely to increase in the medium and long term</w:t>
      </w:r>
      <w:r>
        <w:t>.</w:t>
      </w:r>
    </w:p>
    <w:p w14:paraId="59D80133" w14:textId="77777777" w:rsidR="00DE1537" w:rsidRPr="00347B1F" w:rsidRDefault="00DE1537" w:rsidP="00343F3E">
      <w:pPr>
        <w:pStyle w:val="ListBullet2"/>
      </w:pPr>
      <w:r>
        <w:t>I</w:t>
      </w:r>
      <w:r w:rsidRPr="00347B1F">
        <w:t>nsurance losses are projected to grow, on average, by 5–6 per cent annually.</w:t>
      </w:r>
    </w:p>
    <w:p w14:paraId="4EB2F059" w14:textId="77777777" w:rsidR="00DE1537" w:rsidRPr="00A70A15" w:rsidRDefault="00DE1537">
      <w:pPr>
        <w:pStyle w:val="ListBullet2"/>
      </w:pPr>
      <w:r w:rsidRPr="00347B1F">
        <w:t>In the medium term (</w:t>
      </w:r>
      <w:r w:rsidRPr="00A70A15">
        <w:t xml:space="preserve">2018), annual insurance losses could be </w:t>
      </w:r>
      <w:r>
        <w:t>in the range of</w:t>
      </w:r>
      <w:r w:rsidRPr="00A70A15">
        <w:t xml:space="preserve"> $1.1 billion</w:t>
      </w:r>
      <w:r>
        <w:t xml:space="preserve"> to</w:t>
      </w:r>
      <w:r w:rsidRPr="00A70A15">
        <w:t xml:space="preserve"> $2.9 billion; annual economic costs </w:t>
      </w:r>
      <w:r>
        <w:t>in the range of</w:t>
      </w:r>
      <w:r w:rsidRPr="00A70A15">
        <w:t xml:space="preserve"> $</w:t>
      </w:r>
      <w:r w:rsidRPr="002C5CDA">
        <w:t>2</w:t>
      </w:r>
      <w:r w:rsidRPr="00A70A15">
        <w:t>.</w:t>
      </w:r>
      <w:r w:rsidRPr="002C5CDA">
        <w:t>4</w:t>
      </w:r>
      <w:r w:rsidRPr="00A70A15">
        <w:t xml:space="preserve"> billion </w:t>
      </w:r>
      <w:r>
        <w:t>to</w:t>
      </w:r>
      <w:r w:rsidRPr="00A70A15">
        <w:t xml:space="preserve"> $14.6 billion; and annual fiscal costs </w:t>
      </w:r>
      <w:r>
        <w:t>in the range of</w:t>
      </w:r>
      <w:r w:rsidRPr="00A70A15">
        <w:t xml:space="preserve"> $100 million </w:t>
      </w:r>
      <w:r>
        <w:t>to</w:t>
      </w:r>
      <w:r w:rsidRPr="00A70A15">
        <w:t xml:space="preserve"> $2.9 billion (with a central estimate of $1.5 billion).</w:t>
      </w:r>
    </w:p>
    <w:p w14:paraId="41BB529C" w14:textId="77777777" w:rsidR="00DE1537" w:rsidRPr="00A70A15" w:rsidRDefault="00DE1537">
      <w:pPr>
        <w:pStyle w:val="ListBullet2"/>
      </w:pPr>
      <w:r w:rsidRPr="00A70A15">
        <w:t xml:space="preserve">In the long term (2023), annual insurance losses could be </w:t>
      </w:r>
      <w:r>
        <w:t>in the range of</w:t>
      </w:r>
      <w:r w:rsidRPr="00A70A15">
        <w:t xml:space="preserve"> $1.2 billion </w:t>
      </w:r>
      <w:r>
        <w:t>to</w:t>
      </w:r>
      <w:r w:rsidRPr="00A70A15">
        <w:t xml:space="preserve"> $3.0 billion; annual economic costs </w:t>
      </w:r>
      <w:r>
        <w:t>in the range of</w:t>
      </w:r>
      <w:r w:rsidRPr="00A70A15">
        <w:t xml:space="preserve"> $</w:t>
      </w:r>
      <w:r w:rsidRPr="002C5CDA">
        <w:t>2</w:t>
      </w:r>
      <w:r w:rsidRPr="00A70A15">
        <w:t>.</w:t>
      </w:r>
      <w:r w:rsidRPr="002C5CDA">
        <w:t>6</w:t>
      </w:r>
      <w:r w:rsidRPr="00A70A15">
        <w:t xml:space="preserve"> billion </w:t>
      </w:r>
      <w:r>
        <w:t>to</w:t>
      </w:r>
      <w:r w:rsidRPr="00A70A15">
        <w:t xml:space="preserve"> $15.1 billion; and annual fiscal costs </w:t>
      </w:r>
      <w:r>
        <w:t>in the range of</w:t>
      </w:r>
      <w:r w:rsidRPr="00A70A15">
        <w:t xml:space="preserve"> $400 million </w:t>
      </w:r>
      <w:r>
        <w:t>to</w:t>
      </w:r>
      <w:r w:rsidRPr="00A70A15">
        <w:t xml:space="preserve"> $3.2 billion (with a central estimate of $1.8 billion).</w:t>
      </w:r>
    </w:p>
    <w:p w14:paraId="4A5D0110" w14:textId="77777777" w:rsidR="00DE1537" w:rsidRPr="00347B1F" w:rsidRDefault="00DE1537" w:rsidP="00343F3E">
      <w:pPr>
        <w:pStyle w:val="ListBullet2"/>
      </w:pPr>
      <w:r w:rsidRPr="00347B1F">
        <w:t xml:space="preserve">While these costs </w:t>
      </w:r>
      <w:r>
        <w:t>are</w:t>
      </w:r>
      <w:r w:rsidRPr="00347B1F">
        <w:t xml:space="preserve"> large in dollar terms, they represent a small proportion of GDP.</w:t>
      </w:r>
    </w:p>
    <w:p w14:paraId="6CFEAD35" w14:textId="77777777" w:rsidR="00DE1537" w:rsidRPr="00347B1F" w:rsidRDefault="00DE1537" w:rsidP="00343F3E">
      <w:pPr>
        <w:pStyle w:val="ListBullet"/>
      </w:pPr>
      <w:r>
        <w:t>R</w:t>
      </w:r>
      <w:r w:rsidRPr="00347B1F">
        <w:t>ising costs</w:t>
      </w:r>
      <w:r>
        <w:t xml:space="preserve"> of natural disasters</w:t>
      </w:r>
      <w:r w:rsidRPr="00347B1F">
        <w:t xml:space="preserve"> reflect the effects of inflation, population growth, increasing wealth and </w:t>
      </w:r>
      <w:r>
        <w:t>settlement</w:t>
      </w:r>
      <w:r w:rsidRPr="00347B1F">
        <w:t xml:space="preserve"> patterns.</w:t>
      </w:r>
    </w:p>
    <w:p w14:paraId="0147C7C3" w14:textId="77777777" w:rsidR="00DE1537" w:rsidRPr="00347B1F" w:rsidRDefault="00DE1537" w:rsidP="00343F3E">
      <w:pPr>
        <w:pStyle w:val="ListBullet2"/>
      </w:pPr>
      <w:r w:rsidRPr="00347B1F">
        <w:t xml:space="preserve">The combined </w:t>
      </w:r>
      <w:proofErr w:type="gramStart"/>
      <w:r w:rsidRPr="00347B1F">
        <w:t>effects of these factors is</w:t>
      </w:r>
      <w:proofErr w:type="gramEnd"/>
      <w:r w:rsidRPr="00347B1F">
        <w:t xml:space="preserve"> to increase the number of assets that can be damaged, their value and their exposure to natural disasters.</w:t>
      </w:r>
    </w:p>
    <w:p w14:paraId="39C740E8" w14:textId="77777777" w:rsidR="00DE1537" w:rsidRDefault="00DE1537" w:rsidP="00343F3E">
      <w:pPr>
        <w:pStyle w:val="ListBullet"/>
      </w:pPr>
      <w:r>
        <w:t>The Commission’s funding model is expected to reduce</w:t>
      </w:r>
      <w:r w:rsidRPr="00A97C79">
        <w:t xml:space="preserve"> </w:t>
      </w:r>
      <w:r>
        <w:t>the Australian Government’s share of recovery expenditure relative to current arrangements.</w:t>
      </w:r>
    </w:p>
    <w:p w14:paraId="2C11DF8C" w14:textId="77777777" w:rsidR="00DE1537" w:rsidRDefault="00DE1537" w:rsidP="00343F3E">
      <w:pPr>
        <w:pStyle w:val="ListBullet2"/>
      </w:pPr>
      <w:r w:rsidRPr="00347B1F">
        <w:t>Changes to the cost</w:t>
      </w:r>
      <w:r>
        <w:t>-</w:t>
      </w:r>
      <w:r w:rsidRPr="00347B1F">
        <w:t xml:space="preserve">sharing rate play a large part in the </w:t>
      </w:r>
      <w:r>
        <w:t>reduction in costs.</w:t>
      </w:r>
    </w:p>
    <w:p w14:paraId="44B9C5F1" w14:textId="77777777" w:rsidR="00DE1537" w:rsidRDefault="00DE1537" w:rsidP="00343F3E">
      <w:pPr>
        <w:pStyle w:val="ListBullet2"/>
      </w:pPr>
      <w:r>
        <w:t>T</w:t>
      </w:r>
      <w:r w:rsidRPr="005A2CF8">
        <w:t xml:space="preserve">he bulk of </w:t>
      </w:r>
      <w:r>
        <w:t>recovery</w:t>
      </w:r>
      <w:r w:rsidRPr="005A2CF8">
        <w:t xml:space="preserve"> costs result</w:t>
      </w:r>
      <w:r>
        <w:t>s</w:t>
      </w:r>
      <w:r w:rsidRPr="005A2CF8">
        <w:t xml:space="preserve"> </w:t>
      </w:r>
      <w:r>
        <w:t>from a small number of large</w:t>
      </w:r>
      <w:r w:rsidRPr="005A2CF8">
        <w:t xml:space="preserve"> natural disasters</w:t>
      </w:r>
      <w:r>
        <w:t>.</w:t>
      </w:r>
      <w:r w:rsidRPr="00347B1F">
        <w:t xml:space="preserve"> </w:t>
      </w:r>
    </w:p>
    <w:p w14:paraId="25EB7E5A" w14:textId="77777777" w:rsidR="00DE1537" w:rsidRPr="00347B1F" w:rsidRDefault="00DE1537" w:rsidP="00343F3E">
      <w:pPr>
        <w:pStyle w:val="ListBullet"/>
      </w:pPr>
      <w:r w:rsidRPr="00347B1F">
        <w:t xml:space="preserve">Relative to current arrangements, the Australian Government’s </w:t>
      </w:r>
      <w:r>
        <w:t>recovery cost</w:t>
      </w:r>
      <w:r w:rsidRPr="00347B1F">
        <w:t xml:space="preserve"> share under </w:t>
      </w:r>
      <w:r>
        <w:t>the Commission’s funding model</w:t>
      </w:r>
      <w:r w:rsidRPr="00347B1F">
        <w:t xml:space="preserve"> would have been nearly 30 percentage points lower over the period 2007</w:t>
      </w:r>
      <w:r>
        <w:noBreakHyphen/>
      </w:r>
      <w:r w:rsidRPr="00347B1F">
        <w:t>08 to 2013</w:t>
      </w:r>
      <w:r>
        <w:noBreakHyphen/>
      </w:r>
      <w:r w:rsidRPr="00347B1F">
        <w:t xml:space="preserve">14, translating to </w:t>
      </w:r>
      <w:r>
        <w:t xml:space="preserve">a </w:t>
      </w:r>
      <w:r w:rsidRPr="00347B1F">
        <w:t xml:space="preserve">cumulative </w:t>
      </w:r>
      <w:r>
        <w:t>reduction</w:t>
      </w:r>
      <w:r w:rsidRPr="00347B1F">
        <w:t xml:space="preserve"> of over $4</w:t>
      </w:r>
      <w:r>
        <w:t> </w:t>
      </w:r>
      <w:r w:rsidRPr="00347B1F">
        <w:t>billion or $600</w:t>
      </w:r>
      <w:r>
        <w:t> </w:t>
      </w:r>
      <w:r w:rsidRPr="00347B1F">
        <w:t>million annually.</w:t>
      </w:r>
    </w:p>
    <w:p w14:paraId="565B0754" w14:textId="77777777" w:rsidR="00DE1537" w:rsidRPr="00DD2A09" w:rsidRDefault="00DE1537" w:rsidP="00343F3E">
      <w:pPr>
        <w:pStyle w:val="ListBullet2"/>
      </w:pPr>
      <w:r>
        <w:t>Annual Australian Government expenditure could be, on average, around $650 million lower in the medium term and $850 million lower in the long term.</w:t>
      </w:r>
    </w:p>
    <w:p w14:paraId="7D350A0A" w14:textId="77777777" w:rsidR="00DE1537" w:rsidRPr="00394091" w:rsidRDefault="00DE1537" w:rsidP="00343F3E">
      <w:pPr>
        <w:pStyle w:val="ListBullet"/>
        <w:rPr>
          <w:rFonts w:ascii="Arial" w:hAnsi="Arial"/>
          <w:sz w:val="26"/>
        </w:rPr>
      </w:pPr>
      <w:r w:rsidRPr="00347B1F">
        <w:t>This analysis is limited by several data constraints.</w:t>
      </w:r>
      <w:r>
        <w:t xml:space="preserve"> For example, the </w:t>
      </w:r>
      <w:proofErr w:type="gramStart"/>
      <w:r>
        <w:t>lack of historical estimates of</w:t>
      </w:r>
      <w:r w:rsidRPr="00A97C79">
        <w:t xml:space="preserve"> indirect and intangible disaster</w:t>
      </w:r>
      <w:r>
        <w:t xml:space="preserve"> costs limit</w:t>
      </w:r>
      <w:proofErr w:type="gramEnd"/>
      <w:r>
        <w:t xml:space="preserve"> the quality of any assessment of the impacts of natural disasters.</w:t>
      </w:r>
    </w:p>
    <w:p w14:paraId="76CF0A61" w14:textId="1ECCA754" w:rsidR="00DE1537" w:rsidRDefault="00DE1537" w:rsidP="00343F3E">
      <w:pPr>
        <w:pStyle w:val="Heading2"/>
      </w:pPr>
      <w:bookmarkStart w:id="81" w:name="_Toc406424350"/>
      <w:r>
        <w:lastRenderedPageBreak/>
        <w:t>7.</w:t>
      </w:r>
      <w:r>
        <w:rPr>
          <w:noProof/>
        </w:rPr>
        <w:t>2</w:t>
      </w:r>
      <w:r>
        <w:tab/>
        <w:t>Estimating the economic and fiscal costs of natural disasters</w:t>
      </w:r>
      <w:bookmarkEnd w:id="81"/>
      <w:r>
        <w:t xml:space="preserve"> </w:t>
      </w:r>
    </w:p>
    <w:p w14:paraId="7FCE28E4" w14:textId="77777777" w:rsidR="00DE1537" w:rsidRDefault="00DE1537" w:rsidP="00343F3E">
      <w:pPr>
        <w:pStyle w:val="BodyText"/>
      </w:pPr>
      <w:r>
        <w:t>The terms of reference request the Commission to consider the ‘projected medium</w:t>
      </w:r>
      <w:r>
        <w:noBreakHyphen/>
        <w:t xml:space="preserve"> and long</w:t>
      </w:r>
      <w:r>
        <w:noBreakHyphen/>
        <w:t xml:space="preserve">term impacts of identified options on the Australian economy and costs for governments as compared to impacts of the current funding arrangements’. In developing an approach for this task, </w:t>
      </w:r>
      <w:r w:rsidRPr="002E3D72">
        <w:t xml:space="preserve">numerous issues </w:t>
      </w:r>
      <w:r>
        <w:t xml:space="preserve">need </w:t>
      </w:r>
      <w:r w:rsidRPr="002E3D72">
        <w:t xml:space="preserve">to be considered. These </w:t>
      </w:r>
      <w:r>
        <w:t>include</w:t>
      </w:r>
      <w:r w:rsidRPr="002E3D72">
        <w:t xml:space="preserve"> determining how to </w:t>
      </w:r>
      <w:r>
        <w:t>estimate</w:t>
      </w:r>
      <w:r w:rsidRPr="002E3D72">
        <w:t xml:space="preserve"> the economic and fiscal costs of natural disasters</w:t>
      </w:r>
      <w:r>
        <w:t>,</w:t>
      </w:r>
      <w:r w:rsidRPr="002E3D72">
        <w:t xml:space="preserve"> </w:t>
      </w:r>
      <w:r>
        <w:t>and</w:t>
      </w:r>
      <w:r w:rsidRPr="002E3D72">
        <w:t xml:space="preserve"> </w:t>
      </w:r>
      <w:r>
        <w:t xml:space="preserve">estimating a baseline </w:t>
      </w:r>
      <w:r w:rsidRPr="002E3D72">
        <w:t>against which to compare different funding arrangements.</w:t>
      </w:r>
    </w:p>
    <w:p w14:paraId="2303A432" w14:textId="77777777" w:rsidR="00DE1537" w:rsidRDefault="00DE1537" w:rsidP="00343F3E">
      <w:pPr>
        <w:pStyle w:val="BodyText"/>
      </w:pPr>
      <w:r>
        <w:t>The Commission’s approach can be summarised as follows.</w:t>
      </w:r>
    </w:p>
    <w:p w14:paraId="5DBEE542" w14:textId="77777777" w:rsidR="00DE1537" w:rsidRDefault="00DE1537" w:rsidP="00343F3E">
      <w:pPr>
        <w:pStyle w:val="ListBullet"/>
      </w:pPr>
      <w:r>
        <w:t>Medium</w:t>
      </w:r>
      <w:r>
        <w:noBreakHyphen/>
        <w:t xml:space="preserve"> and long</w:t>
      </w:r>
      <w:r>
        <w:noBreakHyphen/>
        <w:t>term projections of the insurance losses from natural disasters were obtained using the best available time series data and different econometric models.</w:t>
      </w:r>
    </w:p>
    <w:p w14:paraId="7F6DFFAC" w14:textId="77777777" w:rsidR="00DE1537" w:rsidRDefault="00DE1537" w:rsidP="00343F3E">
      <w:pPr>
        <w:pStyle w:val="ListBullet"/>
      </w:pPr>
      <w:r>
        <w:t>Plausible ranges for the recent and projected economic costs of natural disasters were estimated from insurance losses and insurance loss ratios (ILRs).</w:t>
      </w:r>
    </w:p>
    <w:p w14:paraId="39F65C80" w14:textId="77777777" w:rsidR="00DE1537" w:rsidRDefault="00DE1537" w:rsidP="00343F3E">
      <w:pPr>
        <w:pStyle w:val="ListBullet"/>
      </w:pPr>
      <w:r>
        <w:t>The relationship between fiscal costs and insurance losses was estimated using regression techniques, and projections were made of the Australian Government’s fiscal costs under current funding arrangements.</w:t>
      </w:r>
    </w:p>
    <w:p w14:paraId="3B476D72" w14:textId="77777777" w:rsidR="00DE1537" w:rsidRDefault="00DE1537" w:rsidP="00343F3E">
      <w:pPr>
        <w:pStyle w:val="ListBullet"/>
      </w:pPr>
      <w:r>
        <w:t>A historical simulation was undertaken comparing Australian Government expenditure under the Commission’s funding model with expenditure under current arrangements; fiscal costs in the medium and long term under the Commission’s funding model were then projected.</w:t>
      </w:r>
    </w:p>
    <w:p w14:paraId="3E3E8B2D" w14:textId="77777777" w:rsidR="00DE1537" w:rsidRDefault="00DE1537" w:rsidP="00343F3E">
      <w:pPr>
        <w:pStyle w:val="BodyText"/>
      </w:pPr>
      <w:r>
        <w:t>The estimates presented here are illustrative and not a definitive representation of the current and future costs of natural disasters. A comprehensive quantitative assessment of all the impacts of natural disasters and funding arrangements is not feasible. Furthermore, the data required to build a structural forecasting model and produce robust projections of future disaster costs do not exist.</w:t>
      </w:r>
    </w:p>
    <w:p w14:paraId="006E123F" w14:textId="77777777" w:rsidR="00DE1537" w:rsidRPr="00347B1F" w:rsidRDefault="00DE1537" w:rsidP="00343F3E">
      <w:pPr>
        <w:pStyle w:val="BodyText"/>
      </w:pPr>
      <w:r w:rsidRPr="00347B1F">
        <w:t xml:space="preserve">Integral to this analysis </w:t>
      </w:r>
      <w:proofErr w:type="gramStart"/>
      <w:r w:rsidRPr="00347B1F">
        <w:t>is understanding</w:t>
      </w:r>
      <w:proofErr w:type="gramEnd"/>
      <w:r w:rsidRPr="00347B1F">
        <w:t xml:space="preserve"> the economic and fiscal costs of natural disasters under </w:t>
      </w:r>
      <w:r>
        <w:t xml:space="preserve">the </w:t>
      </w:r>
      <w:r w:rsidRPr="00347B1F">
        <w:t xml:space="preserve">current arrangements (supplementary paper </w:t>
      </w:r>
      <w:r>
        <w:t>1</w:t>
      </w:r>
      <w:r w:rsidRPr="00347B1F">
        <w:t xml:space="preserve">) and </w:t>
      </w:r>
      <w:r>
        <w:t>under the Commission’s funding model</w:t>
      </w:r>
      <w:r w:rsidRPr="00347B1F">
        <w:t>. The relative merit of alternative funding arrangements can also be assessed in terms of these costs. This is because the overarching objective of reform is to increase community wellbeing, which would in part manifest through a reduction in the</w:t>
      </w:r>
      <w:r>
        <w:t xml:space="preserve"> economic</w:t>
      </w:r>
      <w:r w:rsidRPr="00347B1F">
        <w:t xml:space="preserve"> costs of natural disasters.</w:t>
      </w:r>
    </w:p>
    <w:p w14:paraId="19BEA6A6" w14:textId="205DF775" w:rsidR="00DE1537" w:rsidRPr="00347B1F" w:rsidRDefault="00DE1537" w:rsidP="00343F3E">
      <w:pPr>
        <w:pStyle w:val="BodyText"/>
      </w:pPr>
      <w:r w:rsidRPr="00347B1F">
        <w:t>Suitable approaches for estimating the economic costs of natural disasters are limited, domestically as well as internationally. For example, Handmer et al. (2005, p. 10) found that:</w:t>
      </w:r>
    </w:p>
    <w:p w14:paraId="420BE4C7" w14:textId="77777777" w:rsidR="00DE1537" w:rsidRPr="00DD2A09" w:rsidRDefault="00DE1537" w:rsidP="00343F3E">
      <w:pPr>
        <w:pStyle w:val="Quote"/>
      </w:pPr>
      <w:r>
        <w:t>[t]</w:t>
      </w:r>
      <w:r w:rsidRPr="00DB2617">
        <w:t>here are many guides and approaches to loss assessments in use worldwide but they generally have a number</w:t>
      </w:r>
      <w:r>
        <w:t xml:space="preserve"> of limitations. In particular, most ignore economic principles, and with some exceptions, are weak on comparability (some commercially available and in</w:t>
      </w:r>
      <w:r>
        <w:noBreakHyphen/>
        <w:t>house approaches to assessment may satisfy the comparability requirements).</w:t>
      </w:r>
    </w:p>
    <w:p w14:paraId="5D548DA8" w14:textId="5701F485" w:rsidR="00DE1537" w:rsidRPr="00347B1F" w:rsidRDefault="00DE1537" w:rsidP="00343F3E">
      <w:pPr>
        <w:pStyle w:val="BodyText"/>
      </w:pPr>
      <w:r w:rsidRPr="00347B1F">
        <w:lastRenderedPageBreak/>
        <w:t>Where international estimates of economic costs are available, the</w:t>
      </w:r>
      <w:r>
        <w:t>y</w:t>
      </w:r>
      <w:r w:rsidRPr="00347B1F">
        <w:t xml:space="preserve"> are not necessarily helpful for this analysis. Crucially, economic costs are likely to vary substantially by country</w:t>
      </w:r>
      <w:r>
        <w:t>. Consequently, estimated costs for one country cannot be used to produce estimates for another</w:t>
      </w:r>
      <w:r w:rsidRPr="00347B1F">
        <w:t xml:space="preserve"> </w:t>
      </w:r>
      <w:r w:rsidR="007C5656" w:rsidRPr="007C5656">
        <w:rPr>
          <w:szCs w:val="24"/>
        </w:rPr>
        <w:t>(Swiss Re 2011a)</w:t>
      </w:r>
      <w:r w:rsidRPr="00347B1F">
        <w:t xml:space="preserve">. </w:t>
      </w:r>
    </w:p>
    <w:p w14:paraId="0FCB42B9" w14:textId="77777777" w:rsidR="00DE1537" w:rsidRPr="00347B1F" w:rsidRDefault="00DE1537" w:rsidP="00343F3E">
      <w:pPr>
        <w:pStyle w:val="BodyText"/>
      </w:pPr>
      <w:r w:rsidRPr="00347B1F">
        <w:t>In developing its approach, the Commission has considered two commonly used approaches for estimating the economic costs of natural disasters. These approaches have merits as well as significant limitations.</w:t>
      </w:r>
    </w:p>
    <w:p w14:paraId="03CB5AC6" w14:textId="77777777" w:rsidR="00DE1537" w:rsidRPr="00347B1F" w:rsidRDefault="00DE1537" w:rsidP="00343F3E">
      <w:pPr>
        <w:pStyle w:val="Heading3"/>
      </w:pPr>
      <w:r w:rsidRPr="00347B1F">
        <w:t>Estimating economic costs — approach 1</w:t>
      </w:r>
    </w:p>
    <w:p w14:paraId="2B660DCF" w14:textId="77777777" w:rsidR="00DE1537" w:rsidRPr="00347B1F" w:rsidRDefault="00DE1537" w:rsidP="00343F3E">
      <w:pPr>
        <w:pStyle w:val="BodyText"/>
      </w:pPr>
      <w:r w:rsidRPr="00347B1F">
        <w:t xml:space="preserve">This approach entails estimating directly as many components of the economic costs of natural disasters as possible — direct, indirect and intangible costs — while excluding transfers. Direct costs include </w:t>
      </w:r>
      <w:r w:rsidRPr="00A2139D">
        <w:t xml:space="preserve">damage to public infrastructure, commercial buildings and residential property. Estimates of some </w:t>
      </w:r>
      <w:r>
        <w:t>direct</w:t>
      </w:r>
      <w:r w:rsidRPr="00A2139D">
        <w:t xml:space="preserve"> costs, often partial ones, can be obtained from the Insurance Council of Australia. However</w:t>
      </w:r>
      <w:r w:rsidRPr="00347B1F">
        <w:t>, time series data on intangible and indirect disaster costs are generally not available because they are only collected for some disasters.</w:t>
      </w:r>
    </w:p>
    <w:p w14:paraId="052C9AAA" w14:textId="2E35AC65" w:rsidR="00DE1537" w:rsidRDefault="00DE1537" w:rsidP="00343F3E">
      <w:pPr>
        <w:pStyle w:val="BodyText"/>
      </w:pPr>
      <w:r>
        <w:t xml:space="preserve">Even if indirect and intangible costs could be estimated, it would not be straightforward to do so. For example, injury, disease and disability can theoretically be estimated as a reduction in the value of statistical life or the value of a statistical life year </w:t>
      </w:r>
      <w:r w:rsidRPr="00144AB1">
        <w:rPr>
          <w:szCs w:val="24"/>
        </w:rPr>
        <w:t>(VDTF 2013)</w:t>
      </w:r>
      <w:r>
        <w:t>.</w:t>
      </w:r>
      <w:r w:rsidRPr="00181401">
        <w:rPr>
          <w:rStyle w:val="FootnoteReference"/>
        </w:rPr>
        <w:footnoteReference w:id="17"/>
      </w:r>
      <w:r>
        <w:t xml:space="preserve"> However, this would require understanding all the health impacts of disasters. Further, there are broader economic costs associated with injury, disease and disability. Recent reviews into natural disasters have found it difficult to quantify these costs. For instance, the Victorian Bushfires Royal Commission </w:t>
      </w:r>
      <w:r w:rsidR="007C5656" w:rsidRPr="007C5656">
        <w:rPr>
          <w:szCs w:val="24"/>
        </w:rPr>
        <w:t>(2010b, p. 343)</w:t>
      </w:r>
      <w:r>
        <w:t xml:space="preserve"> stated that:</w:t>
      </w:r>
    </w:p>
    <w:p w14:paraId="1B3624C8" w14:textId="77777777" w:rsidR="00DE1537" w:rsidRDefault="00DE1537">
      <w:pPr>
        <w:pStyle w:val="Quote"/>
      </w:pPr>
      <w:r w:rsidRPr="00570DC6">
        <w:t xml:space="preserve">The Commission is unable to make an accurate assessment of the costs of injuries sustained during the fires since this </w:t>
      </w:r>
      <w:r w:rsidRPr="00437812">
        <w:t>would</w:t>
      </w:r>
      <w:r w:rsidRPr="00570DC6">
        <w:t xml:space="preserve"> require data on hospitalisation costs</w:t>
      </w:r>
      <w:r w:rsidRPr="000C41BA">
        <w:t xml:space="preserve"> together with an estimate of the costs of long</w:t>
      </w:r>
      <w:r>
        <w:noBreakHyphen/>
      </w:r>
      <w:r w:rsidRPr="000C41BA">
        <w:t>term treatment and the value of time lost from the workplace by those affected.</w:t>
      </w:r>
    </w:p>
    <w:p w14:paraId="072DC8E7" w14:textId="77777777" w:rsidR="00DE1537" w:rsidRPr="00742609" w:rsidRDefault="00DE1537" w:rsidP="00343F3E">
      <w:pPr>
        <w:pStyle w:val="BodyText"/>
      </w:pPr>
      <w:r>
        <w:t>Because of the inherent difficulties in valuing indirect and intangible costs, the Commission did not include these costs in its quantitative analysis.</w:t>
      </w:r>
    </w:p>
    <w:p w14:paraId="0280FAE5" w14:textId="104076C3" w:rsidR="00DE1537" w:rsidRDefault="00DE1537" w:rsidP="00343F3E">
      <w:pPr>
        <w:pStyle w:val="Heading3"/>
      </w:pPr>
      <w:r>
        <w:t>Estimating economic costs — appro</w:t>
      </w:r>
      <w:r w:rsidR="00B741DF" w:rsidRPr="00B741DF">
        <w:t>a</w:t>
      </w:r>
      <w:r>
        <w:t>ch 2</w:t>
      </w:r>
    </w:p>
    <w:p w14:paraId="2925E6C7" w14:textId="3A16FAD5" w:rsidR="00DE1537" w:rsidRDefault="00DE1537" w:rsidP="00343F3E">
      <w:pPr>
        <w:pStyle w:val="BodyText"/>
      </w:pPr>
      <w:r>
        <w:t>This approach entails multiplying the insurance losses from natural disasters by selected ratios to obtain estimates of the economic costs of natural disasters —</w:t>
      </w:r>
      <w:r w:rsidRPr="00F65BD2">
        <w:t xml:space="preserve"> </w:t>
      </w:r>
      <w:r>
        <w:t xml:space="preserve">these ratios express insurance losses as a proportion of economic costs. This approach is commonly used in the </w:t>
      </w:r>
      <w:r>
        <w:lastRenderedPageBreak/>
        <w:t xml:space="preserve">literature (for example, by </w:t>
      </w:r>
      <w:r w:rsidRPr="00621904">
        <w:t>the Bureau of Transport Economics (2001) and Deloitte Access Economics (2013)</w:t>
      </w:r>
      <w:r>
        <w:t>) to overcome the difficulties of directly estimating the indirect and intangible costs of natural disasters. In Australia, aggregate insurance loss data are of good quality and publicly available.</w:t>
      </w:r>
    </w:p>
    <w:p w14:paraId="2E1333FE" w14:textId="566BD438" w:rsidR="00DE1537" w:rsidRDefault="00DE1537" w:rsidP="00343F3E">
      <w:pPr>
        <w:pStyle w:val="BodyText"/>
      </w:pPr>
      <w:r>
        <w:t>Most</w:t>
      </w:r>
      <w:r w:rsidRPr="00621904">
        <w:t xml:space="preserve"> studies that scale up </w:t>
      </w:r>
      <w:r>
        <w:t>insurance losses</w:t>
      </w:r>
      <w:r w:rsidRPr="00621904">
        <w:t xml:space="preserve"> to </w:t>
      </w:r>
      <w:r>
        <w:t xml:space="preserve">economic costs use ratios reported over 20 years ago by Joy </w:t>
      </w:r>
      <w:r w:rsidRPr="0093384A">
        <w:t>(1991)</w:t>
      </w:r>
      <w:r>
        <w:t xml:space="preserve"> (table 7.1). These ILRs are event</w:t>
      </w:r>
      <w:r>
        <w:noBreakHyphen/>
        <w:t xml:space="preserve">specific, ranging from 10 per cent for flood (that is, insurance losses from a flood event represent 10 per cent of total direct costs) to 35 per cent for bushfire and storm. For example, Deloitte Access Economics </w:t>
      </w:r>
      <w:r w:rsidRPr="007154AE">
        <w:t>(2013)</w:t>
      </w:r>
      <w:r>
        <w:t xml:space="preserve"> applied Joy’s ILRs to insured loss data to estimate total economic costs. However, these ILRs are not ratios of insurance losses to economic costs but ratios of insurance losses to direct costs. Since economic costs are the sum of direct and indirect costs, Joy’s ILRs may underestimate the true economic costs of natural disasters. </w:t>
      </w:r>
    </w:p>
    <w:p w14:paraId="31BE5DA2"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73FD3A11" w14:textId="77777777" w:rsidTr="00343F3E">
        <w:tc>
          <w:tcPr>
            <w:tcW w:w="8771" w:type="dxa"/>
            <w:tcBorders>
              <w:top w:val="single" w:sz="6" w:space="0" w:color="78A22F"/>
              <w:left w:val="nil"/>
              <w:bottom w:val="nil"/>
              <w:right w:val="nil"/>
            </w:tcBorders>
            <w:shd w:val="clear" w:color="auto" w:fill="auto"/>
          </w:tcPr>
          <w:p w14:paraId="6F1AD8D4" w14:textId="5A0905D0" w:rsidR="00DE1537" w:rsidRPr="00561279" w:rsidRDefault="00DE1537" w:rsidP="00343F3E">
            <w:pPr>
              <w:pStyle w:val="TableTitle"/>
            </w:pPr>
            <w:r>
              <w:rPr>
                <w:b w:val="0"/>
              </w:rPr>
              <w:t>Table 7.</w:t>
            </w:r>
            <w:r>
              <w:rPr>
                <w:b w:val="0"/>
                <w:noProof/>
              </w:rPr>
              <w:t>1</w:t>
            </w:r>
            <w:r>
              <w:tab/>
              <w:t>Insurance losses as a proportion of total direct costs</w:t>
            </w:r>
          </w:p>
        </w:tc>
      </w:tr>
      <w:tr w:rsidR="00DE1537" w14:paraId="26D81999" w14:textId="77777777" w:rsidTr="00343F3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4939"/>
              <w:gridCol w:w="3545"/>
            </w:tblGrid>
            <w:tr w:rsidR="00DE1537" w14:paraId="6ADF4EF0" w14:textId="77777777" w:rsidTr="00343F3E">
              <w:tc>
                <w:tcPr>
                  <w:tcW w:w="2911" w:type="pct"/>
                  <w:tcBorders>
                    <w:top w:val="single" w:sz="6" w:space="0" w:color="BFBFBF"/>
                    <w:bottom w:val="single" w:sz="6" w:space="0" w:color="BFBFBF"/>
                  </w:tcBorders>
                  <w:shd w:val="clear" w:color="auto" w:fill="auto"/>
                  <w:tcMar>
                    <w:top w:w="28" w:type="dxa"/>
                  </w:tcMar>
                </w:tcPr>
                <w:p w14:paraId="54A9A485" w14:textId="77777777" w:rsidR="00DE1537" w:rsidRDefault="00DE1537" w:rsidP="00343F3E">
                  <w:pPr>
                    <w:pStyle w:val="TableColumnHeading"/>
                    <w:jc w:val="left"/>
                  </w:pPr>
                  <w:r>
                    <w:t>Natural disaster</w:t>
                  </w:r>
                </w:p>
              </w:tc>
              <w:tc>
                <w:tcPr>
                  <w:tcW w:w="2089" w:type="pct"/>
                  <w:tcBorders>
                    <w:top w:val="single" w:sz="6" w:space="0" w:color="BFBFBF"/>
                    <w:bottom w:val="single" w:sz="6" w:space="0" w:color="BFBFBF"/>
                  </w:tcBorders>
                  <w:shd w:val="clear" w:color="auto" w:fill="auto"/>
                  <w:tcMar>
                    <w:top w:w="28" w:type="dxa"/>
                  </w:tcMar>
                </w:tcPr>
                <w:p w14:paraId="0B197662" w14:textId="77777777" w:rsidR="00DE1537" w:rsidRDefault="00DE1537" w:rsidP="00343F3E">
                  <w:pPr>
                    <w:pStyle w:val="TableColumnHeading"/>
                    <w:ind w:right="28"/>
                  </w:pPr>
                  <w:r>
                    <w:t>Per cent</w:t>
                  </w:r>
                </w:p>
              </w:tc>
            </w:tr>
            <w:tr w:rsidR="00DE1537" w14:paraId="4D05F65F" w14:textId="77777777" w:rsidTr="00343F3E">
              <w:tc>
                <w:tcPr>
                  <w:tcW w:w="2911" w:type="pct"/>
                  <w:tcBorders>
                    <w:top w:val="single" w:sz="6" w:space="0" w:color="BFBFBF"/>
                  </w:tcBorders>
                </w:tcPr>
                <w:p w14:paraId="13E43604" w14:textId="77777777" w:rsidR="00DE1537" w:rsidRDefault="00DE1537" w:rsidP="00343F3E">
                  <w:pPr>
                    <w:pStyle w:val="TableBodyText"/>
                    <w:jc w:val="left"/>
                  </w:pPr>
                  <w:r>
                    <w:t>Storm</w:t>
                  </w:r>
                </w:p>
              </w:tc>
              <w:tc>
                <w:tcPr>
                  <w:tcW w:w="2089" w:type="pct"/>
                  <w:tcBorders>
                    <w:top w:val="single" w:sz="6" w:space="0" w:color="BFBFBF"/>
                  </w:tcBorders>
                </w:tcPr>
                <w:p w14:paraId="34F8EF6D" w14:textId="77777777" w:rsidR="00DE1537" w:rsidRDefault="00DE1537" w:rsidP="00343F3E">
                  <w:pPr>
                    <w:pStyle w:val="TableBodyText"/>
                    <w:ind w:right="28"/>
                  </w:pPr>
                  <w:r>
                    <w:t>35</w:t>
                  </w:r>
                </w:p>
              </w:tc>
            </w:tr>
            <w:tr w:rsidR="00DE1537" w14:paraId="38845725" w14:textId="77777777" w:rsidTr="00343F3E">
              <w:tc>
                <w:tcPr>
                  <w:tcW w:w="2911" w:type="pct"/>
                </w:tcPr>
                <w:p w14:paraId="78C9892D" w14:textId="77777777" w:rsidR="00DE1537" w:rsidRDefault="00DE1537" w:rsidP="00343F3E">
                  <w:pPr>
                    <w:pStyle w:val="TableBodyText"/>
                    <w:jc w:val="left"/>
                  </w:pPr>
                  <w:r>
                    <w:t>Bushfire (wildfire)</w:t>
                  </w:r>
                </w:p>
              </w:tc>
              <w:tc>
                <w:tcPr>
                  <w:tcW w:w="2089" w:type="pct"/>
                </w:tcPr>
                <w:p w14:paraId="66A08E6A" w14:textId="77777777" w:rsidR="00DE1537" w:rsidRDefault="00DE1537" w:rsidP="00343F3E">
                  <w:pPr>
                    <w:pStyle w:val="TableBodyText"/>
                    <w:ind w:right="28"/>
                  </w:pPr>
                  <w:r>
                    <w:t>35</w:t>
                  </w:r>
                </w:p>
              </w:tc>
            </w:tr>
            <w:tr w:rsidR="00DE1537" w14:paraId="2F876C51" w14:textId="77777777" w:rsidTr="00343F3E">
              <w:tc>
                <w:tcPr>
                  <w:tcW w:w="2911" w:type="pct"/>
                </w:tcPr>
                <w:p w14:paraId="480FE9BA" w14:textId="77777777" w:rsidR="00DE1537" w:rsidRDefault="00DE1537" w:rsidP="00343F3E">
                  <w:pPr>
                    <w:pStyle w:val="TableBodyText"/>
                    <w:jc w:val="left"/>
                  </w:pPr>
                  <w:r>
                    <w:t>Earthquake</w:t>
                  </w:r>
                </w:p>
              </w:tc>
              <w:tc>
                <w:tcPr>
                  <w:tcW w:w="2089" w:type="pct"/>
                </w:tcPr>
                <w:p w14:paraId="258662C2" w14:textId="77777777" w:rsidR="00DE1537" w:rsidRDefault="00DE1537" w:rsidP="00343F3E">
                  <w:pPr>
                    <w:pStyle w:val="TableBodyText"/>
                    <w:ind w:right="28"/>
                  </w:pPr>
                  <w:r>
                    <w:t>25</w:t>
                  </w:r>
                </w:p>
              </w:tc>
            </w:tr>
            <w:tr w:rsidR="00DE1537" w14:paraId="2D146CD3" w14:textId="77777777" w:rsidTr="00343F3E">
              <w:tc>
                <w:tcPr>
                  <w:tcW w:w="2911" w:type="pct"/>
                </w:tcPr>
                <w:p w14:paraId="79532FF8" w14:textId="77777777" w:rsidR="00DE1537" w:rsidRDefault="00DE1537" w:rsidP="00343F3E">
                  <w:pPr>
                    <w:pStyle w:val="TableBodyText"/>
                    <w:jc w:val="left"/>
                  </w:pPr>
                  <w:r>
                    <w:t>Tropical cyclone</w:t>
                  </w:r>
                </w:p>
              </w:tc>
              <w:tc>
                <w:tcPr>
                  <w:tcW w:w="2089" w:type="pct"/>
                </w:tcPr>
                <w:p w14:paraId="0764476A" w14:textId="77777777" w:rsidR="00DE1537" w:rsidRDefault="00DE1537" w:rsidP="00343F3E">
                  <w:pPr>
                    <w:pStyle w:val="TableBodyText"/>
                    <w:ind w:right="28"/>
                  </w:pPr>
                  <w:r>
                    <w:t>20</w:t>
                  </w:r>
                </w:p>
              </w:tc>
            </w:tr>
            <w:tr w:rsidR="00DE1537" w14:paraId="6C25808F" w14:textId="77777777" w:rsidTr="00343F3E">
              <w:tc>
                <w:tcPr>
                  <w:tcW w:w="2911" w:type="pct"/>
                  <w:tcBorders>
                    <w:bottom w:val="single" w:sz="6" w:space="0" w:color="BFBFBF"/>
                  </w:tcBorders>
                </w:tcPr>
                <w:p w14:paraId="039FA0CA" w14:textId="77777777" w:rsidR="00DE1537" w:rsidRDefault="00DE1537" w:rsidP="00343F3E">
                  <w:pPr>
                    <w:pStyle w:val="TableBodyText"/>
                    <w:jc w:val="left"/>
                  </w:pPr>
                  <w:r>
                    <w:t>Flood</w:t>
                  </w:r>
                </w:p>
              </w:tc>
              <w:tc>
                <w:tcPr>
                  <w:tcW w:w="2089" w:type="pct"/>
                  <w:tcBorders>
                    <w:bottom w:val="single" w:sz="6" w:space="0" w:color="BFBFBF"/>
                  </w:tcBorders>
                </w:tcPr>
                <w:p w14:paraId="1DE81976" w14:textId="77777777" w:rsidR="00DE1537" w:rsidRDefault="00DE1537" w:rsidP="00343F3E">
                  <w:pPr>
                    <w:pStyle w:val="TableBodyText"/>
                    <w:ind w:right="28"/>
                  </w:pPr>
                  <w:r>
                    <w:t>10</w:t>
                  </w:r>
                </w:p>
              </w:tc>
            </w:tr>
          </w:tbl>
          <w:p w14:paraId="75C1CCBB" w14:textId="77777777" w:rsidR="00DE1537" w:rsidRDefault="00DE1537" w:rsidP="00343F3E">
            <w:pPr>
              <w:pStyle w:val="Box"/>
            </w:pPr>
          </w:p>
        </w:tc>
      </w:tr>
      <w:tr w:rsidR="00DE1537" w14:paraId="727FE9B0" w14:textId="77777777" w:rsidTr="00343F3E">
        <w:trPr>
          <w:cantSplit/>
        </w:trPr>
        <w:tc>
          <w:tcPr>
            <w:tcW w:w="8771" w:type="dxa"/>
            <w:tcBorders>
              <w:top w:val="nil"/>
              <w:left w:val="nil"/>
              <w:bottom w:val="nil"/>
              <w:right w:val="nil"/>
            </w:tcBorders>
            <w:shd w:val="clear" w:color="auto" w:fill="auto"/>
          </w:tcPr>
          <w:p w14:paraId="4B5AB934" w14:textId="0C21F42F" w:rsidR="00DE1537" w:rsidRDefault="00DE1537" w:rsidP="00343F3E">
            <w:pPr>
              <w:pStyle w:val="Source"/>
            </w:pPr>
            <w:r>
              <w:rPr>
                <w:i/>
              </w:rPr>
              <w:t>Sources</w:t>
            </w:r>
            <w:r w:rsidRPr="00167F06">
              <w:t xml:space="preserve">: </w:t>
            </w:r>
            <w:r>
              <w:t>B</w:t>
            </w:r>
            <w:r w:rsidRPr="00F27003">
              <w:t xml:space="preserve">TE </w:t>
            </w:r>
            <w:r w:rsidRPr="00F27003">
              <w:rPr>
                <w:rFonts w:cs="Arial"/>
              </w:rPr>
              <w:t>(2001)</w:t>
            </w:r>
            <w:r>
              <w:t xml:space="preserve">; Joy </w:t>
            </w:r>
            <w:r w:rsidRPr="009413D2">
              <w:rPr>
                <w:rFonts w:cs="Arial"/>
              </w:rPr>
              <w:t>(1991)</w:t>
            </w:r>
            <w:r>
              <w:t>.</w:t>
            </w:r>
          </w:p>
        </w:tc>
      </w:tr>
      <w:tr w:rsidR="00DE1537" w14:paraId="7A10AA7B" w14:textId="77777777" w:rsidTr="00343F3E">
        <w:trPr>
          <w:cantSplit/>
        </w:trPr>
        <w:tc>
          <w:tcPr>
            <w:tcW w:w="8771" w:type="dxa"/>
            <w:tcBorders>
              <w:top w:val="nil"/>
              <w:left w:val="nil"/>
              <w:bottom w:val="single" w:sz="6" w:space="0" w:color="78A22F"/>
              <w:right w:val="nil"/>
            </w:tcBorders>
            <w:shd w:val="clear" w:color="auto" w:fill="auto"/>
          </w:tcPr>
          <w:p w14:paraId="3034F10F" w14:textId="77777777" w:rsidR="00DE1537" w:rsidRDefault="00DE1537" w:rsidP="00343F3E">
            <w:pPr>
              <w:pStyle w:val="Box"/>
              <w:spacing w:before="0" w:line="120" w:lineRule="exact"/>
            </w:pPr>
          </w:p>
        </w:tc>
      </w:tr>
      <w:tr w:rsidR="00DE1537" w:rsidRPr="000863A5" w14:paraId="1A48E8DB" w14:textId="77777777" w:rsidTr="00343F3E">
        <w:tc>
          <w:tcPr>
            <w:tcW w:w="8771" w:type="dxa"/>
            <w:tcBorders>
              <w:top w:val="single" w:sz="6" w:space="0" w:color="78A22F"/>
              <w:left w:val="nil"/>
              <w:bottom w:val="nil"/>
              <w:right w:val="nil"/>
            </w:tcBorders>
          </w:tcPr>
          <w:p w14:paraId="6C692F4F" w14:textId="77777777" w:rsidR="00DE1537" w:rsidRPr="00626D32" w:rsidRDefault="00DE1537" w:rsidP="00343F3E">
            <w:pPr>
              <w:pStyle w:val="BoxSpaceBelow"/>
            </w:pPr>
          </w:p>
        </w:tc>
      </w:tr>
    </w:tbl>
    <w:p w14:paraId="7A19D679" w14:textId="77777777" w:rsidR="00DE1537" w:rsidRDefault="00DE1537" w:rsidP="00343F3E">
      <w:pPr>
        <w:pStyle w:val="BodyText"/>
      </w:pPr>
      <w:r>
        <w:t>While</w:t>
      </w:r>
      <w:r w:rsidRPr="00621904">
        <w:t xml:space="preserve"> </w:t>
      </w:r>
      <w:r>
        <w:t>approach 2</w:t>
      </w:r>
      <w:r w:rsidRPr="00621904">
        <w:t xml:space="preserve"> is simpler</w:t>
      </w:r>
      <w:r>
        <w:t xml:space="preserve"> than approach 1, it</w:t>
      </w:r>
      <w:r w:rsidRPr="00621904">
        <w:t xml:space="preserve"> has significant shortcomings</w:t>
      </w:r>
      <w:r>
        <w:t>. The main one is the use of potentially outdated and inaccurate ILRs.</w:t>
      </w:r>
    </w:p>
    <w:p w14:paraId="4C45D3A5" w14:textId="6E42818A" w:rsidR="00DE1537" w:rsidRDefault="00DE1537" w:rsidP="00343F3E">
      <w:pPr>
        <w:pStyle w:val="ListBullet"/>
      </w:pPr>
      <w:r>
        <w:t>Joy’s ILRs paint a partial picture of economic costs. Further, these ‘were provided by the [</w:t>
      </w:r>
      <w:r w:rsidRPr="00A2139D">
        <w:t>Insurance Council of Australia</w:t>
      </w:r>
      <w:r>
        <w:t xml:space="preserve">] and are subjective impressions based on experience rather than analytical estimates’ </w:t>
      </w:r>
      <w:r w:rsidRPr="001C0981">
        <w:rPr>
          <w:szCs w:val="24"/>
        </w:rPr>
        <w:t>(Joy 1991, p. 3)</w:t>
      </w:r>
      <w:r>
        <w:t xml:space="preserve">. The Bureau of Transport Economics </w:t>
      </w:r>
      <w:r w:rsidRPr="001C0981">
        <w:rPr>
          <w:szCs w:val="24"/>
        </w:rPr>
        <w:t>(2001, p. 13)</w:t>
      </w:r>
      <w:r>
        <w:t xml:space="preserve"> further stated that ‘the accuracy of these factors is difficult to gauge. The factors undoubtedly contain large error bands as a result of their simplicity’.</w:t>
      </w:r>
    </w:p>
    <w:p w14:paraId="2DD54C2A" w14:textId="77777777" w:rsidR="00DE1537" w:rsidRDefault="00DE1537" w:rsidP="00343F3E">
      <w:pPr>
        <w:pStyle w:val="ListBullet"/>
      </w:pPr>
      <w:r>
        <w:t>The current relevance of these ILRs is questionable. For example, given the steep increase in flood insurance coverage in recent years, a flood ILR constructed over 20 years ago</w:t>
      </w:r>
      <w:r w:rsidDel="00AF18F9">
        <w:t xml:space="preserve"> </w:t>
      </w:r>
      <w:r>
        <w:t>(when flood insurance cover was less common) is likely to be understated.</w:t>
      </w:r>
    </w:p>
    <w:p w14:paraId="6AD7BE52" w14:textId="77777777" w:rsidR="00DE1537" w:rsidRDefault="00DE1537" w:rsidP="00343F3E">
      <w:pPr>
        <w:pStyle w:val="ListBullet"/>
      </w:pPr>
      <w:r>
        <w:t>Evidence suggests that these ILRs (which can be considered as averages for different events within a disaster type) are often inconsistent with disaster</w:t>
      </w:r>
      <w:r>
        <w:noBreakHyphen/>
        <w:t>cost estimates reported in the literature (box 7.2).</w:t>
      </w:r>
    </w:p>
    <w:p w14:paraId="71AD5289" w14:textId="77777777" w:rsidR="00DE1537" w:rsidRDefault="00DE153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4D5D188" w14:textId="77777777" w:rsidTr="00343F3E">
        <w:tc>
          <w:tcPr>
            <w:tcW w:w="8771" w:type="dxa"/>
            <w:tcBorders>
              <w:top w:val="single" w:sz="6" w:space="0" w:color="78A22F"/>
              <w:left w:val="nil"/>
              <w:bottom w:val="nil"/>
              <w:right w:val="nil"/>
            </w:tcBorders>
            <w:shd w:val="clear" w:color="auto" w:fill="F2F2F2" w:themeFill="background1" w:themeFillShade="F2"/>
          </w:tcPr>
          <w:p w14:paraId="214450A0" w14:textId="6A82EBD3" w:rsidR="00DE1537" w:rsidRDefault="00DE1537" w:rsidP="00343F3E">
            <w:pPr>
              <w:pStyle w:val="BoxTitle"/>
            </w:pPr>
            <w:r>
              <w:rPr>
                <w:b w:val="0"/>
              </w:rPr>
              <w:t>Box 7.</w:t>
            </w:r>
            <w:r>
              <w:rPr>
                <w:b w:val="0"/>
                <w:noProof/>
              </w:rPr>
              <w:t>2</w:t>
            </w:r>
            <w:r>
              <w:tab/>
              <w:t xml:space="preserve">Insurance loss ratios and reported </w:t>
            </w:r>
            <w:r w:rsidRPr="00216FE4">
              <w:t>disaster cost</w:t>
            </w:r>
            <w:r>
              <w:t xml:space="preserve"> estimates</w:t>
            </w:r>
          </w:p>
        </w:tc>
      </w:tr>
      <w:tr w:rsidR="00DE1537" w14:paraId="2E9D3C42" w14:textId="77777777" w:rsidTr="00343F3E">
        <w:trPr>
          <w:cantSplit/>
        </w:trPr>
        <w:tc>
          <w:tcPr>
            <w:tcW w:w="8771" w:type="dxa"/>
            <w:tcBorders>
              <w:top w:val="nil"/>
              <w:left w:val="nil"/>
              <w:bottom w:val="nil"/>
              <w:right w:val="nil"/>
            </w:tcBorders>
            <w:shd w:val="clear" w:color="auto" w:fill="F2F2F2" w:themeFill="background1" w:themeFillShade="F2"/>
          </w:tcPr>
          <w:p w14:paraId="29D42C38" w14:textId="1A81F564" w:rsidR="00DE1537" w:rsidRDefault="00DE1537" w:rsidP="00343F3E">
            <w:pPr>
              <w:pStyle w:val="Box"/>
            </w:pPr>
            <w:r>
              <w:t xml:space="preserve">From a comparison of the insurance loss ratios (ILRs) first reported by Joy </w:t>
            </w:r>
            <w:r w:rsidRPr="00F00796">
              <w:rPr>
                <w:rFonts w:cs="Arial"/>
              </w:rPr>
              <w:t>(1991)</w:t>
            </w:r>
            <w:r>
              <w:t xml:space="preserve"> to published estimates of insurance losses, economic costs and total disaster costs, it is unclear whether Joy’s ILRs can be used to obtain a good approximation of economic costs.</w:t>
            </w:r>
          </w:p>
          <w:p w14:paraId="4BB123B4" w14:textId="77777777" w:rsidR="00DE1537" w:rsidRPr="00655999" w:rsidRDefault="00DE1537" w:rsidP="00343F3E">
            <w:pPr>
              <w:pStyle w:val="BoxHeading1"/>
            </w:pPr>
            <w:r w:rsidRPr="002B09CF">
              <w:t>Bushfires (</w:t>
            </w:r>
            <w:r>
              <w:t>Joy’s ILR</w:t>
            </w:r>
            <w:r w:rsidRPr="002B09CF">
              <w:t xml:space="preserve"> = 35 per cent)</w:t>
            </w:r>
          </w:p>
          <w:p w14:paraId="65B3958B" w14:textId="77777777" w:rsidR="00DE1537" w:rsidRDefault="00DE1537" w:rsidP="00343F3E">
            <w:pPr>
              <w:pStyle w:val="BoxHeading2"/>
              <w:spacing w:before="100"/>
              <w:rPr>
                <w:szCs w:val="24"/>
              </w:rPr>
            </w:pPr>
            <w:r>
              <w:t xml:space="preserve">2009 Black Saturday </w:t>
            </w:r>
            <w:r w:rsidRPr="00D26980">
              <w:t>bushfires</w:t>
            </w:r>
          </w:p>
          <w:p w14:paraId="357CD794" w14:textId="3546B9BB" w:rsidR="00DE1537" w:rsidRDefault="00DE1537" w:rsidP="00343F3E">
            <w:pPr>
              <w:pStyle w:val="Box"/>
              <w:rPr>
                <w:szCs w:val="24"/>
              </w:rPr>
            </w:pPr>
            <w:r>
              <w:t xml:space="preserve">Victorian Bushfires Royal Commission </w:t>
            </w:r>
            <w:r w:rsidR="007C5656" w:rsidRPr="007C5656">
              <w:rPr>
                <w:rFonts w:cs="Arial"/>
              </w:rPr>
              <w:t>(2010b)</w:t>
            </w:r>
            <w:r>
              <w:t xml:space="preserve"> — general insurance claims paid </w:t>
            </w:r>
            <w:proofErr w:type="gramStart"/>
            <w:r>
              <w:t>were</w:t>
            </w:r>
            <w:proofErr w:type="gramEnd"/>
            <w:r>
              <w:t xml:space="preserve"> $1.2 billion and economic costs were estimated at $4.4 billion. Insurance losses therefore represent 27 per cent of economic costs.</w:t>
            </w:r>
          </w:p>
          <w:p w14:paraId="116719B1" w14:textId="5A56326F" w:rsidR="00DE1537" w:rsidRDefault="00DE1537" w:rsidP="00343F3E">
            <w:pPr>
              <w:pStyle w:val="Box"/>
            </w:pPr>
            <w:r>
              <w:t xml:space="preserve">Stephenson, Handmer and Haywood </w:t>
            </w:r>
            <w:r w:rsidRPr="00896FAE">
              <w:rPr>
                <w:rFonts w:cs="Arial"/>
              </w:rPr>
              <w:t>(2012)</w:t>
            </w:r>
            <w:r>
              <w:t xml:space="preserve"> — insurance payouts amounted to $1.1 billion and total cost was estimated at $2.9 billion, representing 38 per cent of total cost.</w:t>
            </w:r>
          </w:p>
          <w:p w14:paraId="3B51555F" w14:textId="77777777" w:rsidR="00DE1537" w:rsidRDefault="00DE1537" w:rsidP="00343F3E">
            <w:pPr>
              <w:pStyle w:val="Box"/>
            </w:pPr>
            <w:r>
              <w:t>Actuaries Institute (sub. 97) — insurance losses were estimated at $1.07 billion and economic costs at $1.44 billion, representing 74 per cent of economic costs.</w:t>
            </w:r>
          </w:p>
          <w:p w14:paraId="3A44EE96" w14:textId="77777777" w:rsidR="00DE1537" w:rsidRDefault="00DE1537" w:rsidP="00343F3E">
            <w:pPr>
              <w:pStyle w:val="BoxHeading1"/>
              <w:rPr>
                <w:szCs w:val="24"/>
              </w:rPr>
            </w:pPr>
            <w:r>
              <w:t>Floods (Joy’s ILR</w:t>
            </w:r>
            <w:r w:rsidRPr="002B09CF">
              <w:t xml:space="preserve"> </w:t>
            </w:r>
            <w:r>
              <w:t>= 10 per cent)</w:t>
            </w:r>
          </w:p>
          <w:p w14:paraId="0181B881" w14:textId="77777777" w:rsidR="00DE1537" w:rsidRDefault="00DE1537" w:rsidP="00343F3E">
            <w:pPr>
              <w:pStyle w:val="BoxHeading2"/>
              <w:spacing w:before="100"/>
              <w:rPr>
                <w:szCs w:val="24"/>
              </w:rPr>
            </w:pPr>
            <w:r>
              <w:t>2011 Victorian floods</w:t>
            </w:r>
          </w:p>
          <w:p w14:paraId="688FCF54" w14:textId="6C4248AB" w:rsidR="00DE1537" w:rsidRPr="00937803" w:rsidRDefault="00DE1537" w:rsidP="00343F3E">
            <w:pPr>
              <w:pStyle w:val="Box"/>
            </w:pPr>
            <w:r>
              <w:t xml:space="preserve">Comrie </w:t>
            </w:r>
            <w:r w:rsidRPr="00210C16">
              <w:rPr>
                <w:rFonts w:cs="Arial"/>
              </w:rPr>
              <w:t>(2011)</w:t>
            </w:r>
            <w:r>
              <w:t xml:space="preserve"> </w:t>
            </w:r>
            <w:r w:rsidRPr="00937803">
              <w:t>— gross total cost of the floods as at 12</w:t>
            </w:r>
            <w:r>
              <w:t> </w:t>
            </w:r>
            <w:r w:rsidRPr="00937803">
              <w:t>October 2011 was estimated at $1.3</w:t>
            </w:r>
            <w:r>
              <w:t> </w:t>
            </w:r>
            <w:r w:rsidRPr="00937803">
              <w:t xml:space="preserve">billion. Insurance claims paid were $836.1 million, representing 64 per cent of total </w:t>
            </w:r>
            <w:r>
              <w:t>costs</w:t>
            </w:r>
            <w:r w:rsidRPr="00937803">
              <w:t>.</w:t>
            </w:r>
          </w:p>
          <w:p w14:paraId="7011B8A2" w14:textId="77777777" w:rsidR="00DE1537" w:rsidRDefault="00DE1537" w:rsidP="00343F3E">
            <w:pPr>
              <w:pStyle w:val="BoxHeading2"/>
            </w:pPr>
            <w:r>
              <w:t>International evidence</w:t>
            </w:r>
          </w:p>
          <w:p w14:paraId="72E51277" w14:textId="64520186" w:rsidR="00DE1537" w:rsidRDefault="00DE1537" w:rsidP="00343F3E">
            <w:pPr>
              <w:pStyle w:val="Box"/>
              <w:rPr>
                <w:szCs w:val="24"/>
              </w:rPr>
            </w:pPr>
            <w:r>
              <w:t xml:space="preserve">Impact Forecasting </w:t>
            </w:r>
            <w:r w:rsidRPr="001914B0">
              <w:rPr>
                <w:rFonts w:cs="Arial"/>
              </w:rPr>
              <w:t>(2013)</w:t>
            </w:r>
            <w:r>
              <w:t xml:space="preserve"> — in 2013, there were four flood events in the top 10 global economic loss events. The ratio of insurance losses to economic costs varied from 3 per cent to 33 per cent.</w:t>
            </w:r>
          </w:p>
          <w:p w14:paraId="5902438F" w14:textId="77777777" w:rsidR="00DE1537" w:rsidRPr="00655999" w:rsidRDefault="00DE1537" w:rsidP="00343F3E">
            <w:pPr>
              <w:pStyle w:val="BoxHeading1"/>
            </w:pPr>
            <w:r w:rsidRPr="002B09CF">
              <w:t>Earthquakes (</w:t>
            </w:r>
            <w:r>
              <w:t>Joy’s ILR</w:t>
            </w:r>
            <w:r w:rsidRPr="002B09CF">
              <w:t xml:space="preserve"> = 25 per cent)</w:t>
            </w:r>
          </w:p>
          <w:p w14:paraId="46E6A72E" w14:textId="77777777" w:rsidR="00DE1537" w:rsidRDefault="00DE1537" w:rsidP="00343F3E">
            <w:pPr>
              <w:pStyle w:val="BoxHeading2"/>
              <w:spacing w:before="100"/>
            </w:pPr>
            <w:r>
              <w:t>International evidence</w:t>
            </w:r>
          </w:p>
          <w:p w14:paraId="19A86E93" w14:textId="2B4BE708" w:rsidR="00DE1537" w:rsidRDefault="00DE1537" w:rsidP="00343F3E">
            <w:pPr>
              <w:pStyle w:val="Box"/>
            </w:pPr>
            <w:r>
              <w:t xml:space="preserve">Impact Forecasting </w:t>
            </w:r>
            <w:r w:rsidRPr="00A00263">
              <w:rPr>
                <w:rFonts w:cs="Arial"/>
              </w:rPr>
              <w:t>(2013)</w:t>
            </w:r>
            <w:r>
              <w:t xml:space="preserve"> — </w:t>
            </w:r>
            <w:r w:rsidRPr="003A1828">
              <w:t xml:space="preserve">the ratio of </w:t>
            </w:r>
            <w:r>
              <w:t>insurance losses</w:t>
            </w:r>
            <w:r w:rsidRPr="003A1828">
              <w:t xml:space="preserve"> to economic </w:t>
            </w:r>
            <w:r>
              <w:t>costs</w:t>
            </w:r>
            <w:r w:rsidRPr="003A1828">
              <w:t xml:space="preserve"> for an earthquake in China</w:t>
            </w:r>
            <w:r>
              <w:t xml:space="preserve"> in 2013</w:t>
            </w:r>
            <w:r w:rsidRPr="003A1828">
              <w:t xml:space="preserve"> was 1.8 per cent.</w:t>
            </w:r>
          </w:p>
          <w:p w14:paraId="6DA6AF3A" w14:textId="07EBDB5E" w:rsidR="00DE1537" w:rsidRPr="002C5CDA" w:rsidRDefault="00DE1537" w:rsidP="00343F3E">
            <w:pPr>
              <w:pStyle w:val="Box"/>
              <w:rPr>
                <w:rStyle w:val="DraftingNote"/>
                <w:b w:val="0"/>
                <w:color w:val="auto"/>
                <w:sz w:val="20"/>
                <w:u w:val="none"/>
              </w:rPr>
            </w:pPr>
            <w:r>
              <w:t xml:space="preserve">Impact Forecasting </w:t>
            </w:r>
            <w:r w:rsidRPr="00D63778">
              <w:rPr>
                <w:rFonts w:cs="Arial"/>
              </w:rPr>
              <w:t>(2010)</w:t>
            </w:r>
            <w:r>
              <w:t xml:space="preserve"> — </w:t>
            </w:r>
            <w:r w:rsidRPr="003A1828">
              <w:t xml:space="preserve">the ratio of </w:t>
            </w:r>
            <w:r>
              <w:t>insurance losses</w:t>
            </w:r>
            <w:r w:rsidRPr="003A1828">
              <w:t xml:space="preserve"> to economic </w:t>
            </w:r>
            <w:r>
              <w:t>costs</w:t>
            </w:r>
            <w:r w:rsidRPr="003A1828">
              <w:t xml:space="preserve"> for an earthquake in Chi</w:t>
            </w:r>
            <w:r>
              <w:t>le in 2010</w:t>
            </w:r>
            <w:r w:rsidRPr="003A1828">
              <w:t xml:space="preserve"> was </w:t>
            </w:r>
            <w:r>
              <w:t>28</w:t>
            </w:r>
            <w:r w:rsidRPr="003A1828">
              <w:t xml:space="preserve"> per cent.</w:t>
            </w:r>
          </w:p>
        </w:tc>
      </w:tr>
      <w:tr w:rsidR="00DE1537" w14:paraId="41829389"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611D70F0" w14:textId="77777777" w:rsidR="00DE1537" w:rsidRDefault="00DE1537">
            <w:pPr>
              <w:pStyle w:val="Box"/>
              <w:spacing w:before="0" w:line="120" w:lineRule="exact"/>
            </w:pPr>
          </w:p>
        </w:tc>
      </w:tr>
      <w:tr w:rsidR="00DE1537" w:rsidRPr="000863A5" w14:paraId="6BB7315D" w14:textId="77777777" w:rsidTr="00343F3E">
        <w:tc>
          <w:tcPr>
            <w:tcW w:w="8771" w:type="dxa"/>
            <w:tcBorders>
              <w:top w:val="single" w:sz="6" w:space="0" w:color="78A22F"/>
              <w:left w:val="nil"/>
              <w:bottom w:val="nil"/>
              <w:right w:val="nil"/>
            </w:tcBorders>
          </w:tcPr>
          <w:p w14:paraId="4962BB45" w14:textId="77777777" w:rsidR="00DE1537" w:rsidRPr="00626D32" w:rsidRDefault="00DE1537" w:rsidP="00343F3E">
            <w:pPr>
              <w:pStyle w:val="BoxSpaceBelow"/>
            </w:pPr>
          </w:p>
        </w:tc>
      </w:tr>
    </w:tbl>
    <w:p w14:paraId="6DED9AD1" w14:textId="2F9F2B20" w:rsidR="00DE1537" w:rsidRPr="00250D35" w:rsidRDefault="00DE1537" w:rsidP="00343F3E">
      <w:pPr>
        <w:pStyle w:val="BodyText"/>
      </w:pPr>
      <w:r>
        <w:t>While others have reported different ratios, there is no consistency in the estimates. For example, the Actuaries Institute (sub. 97) reported that the share of insurance losses to total economic costs is expected to be between 50 and 70 per cent for mature insurance markets internationally and that for most events in Australia, insurance losses represent 70 to 80 per cent of total economic costs</w:t>
      </w:r>
      <w:r w:rsidRPr="00250D35">
        <w:t xml:space="preserve">. </w:t>
      </w:r>
      <w:r>
        <w:t>However, this result is likely to be based on a narrower concept of economic costs (focusing on non</w:t>
      </w:r>
      <w:r>
        <w:noBreakHyphen/>
        <w:t xml:space="preserve">insurance and underinsurance) than the one considered by the Commission. </w:t>
      </w:r>
      <w:r w:rsidRPr="00250D35">
        <w:t>In another example, Risk Frontiers (2011, p. 2) state</w:t>
      </w:r>
      <w:r>
        <w:t>d</w:t>
      </w:r>
      <w:r w:rsidRPr="00250D35">
        <w:t xml:space="preserve"> that ‘natural disaster losses to residential property often comprise about 50</w:t>
      </w:r>
      <w:r>
        <w:t>%</w:t>
      </w:r>
      <w:r w:rsidRPr="00250D35">
        <w:t xml:space="preserve"> of the total insured losses and about 25</w:t>
      </w:r>
      <w:r>
        <w:t>%</w:t>
      </w:r>
      <w:r w:rsidRPr="00250D35">
        <w:t xml:space="preserve"> of total economic losses’. Information on how these ratios were derived is limited. </w:t>
      </w:r>
    </w:p>
    <w:p w14:paraId="4F5942A1" w14:textId="67D2BFE9" w:rsidR="00DE1537" w:rsidRPr="00A72AF9" w:rsidRDefault="00DE1537" w:rsidP="00343F3E">
      <w:pPr>
        <w:pStyle w:val="BodyText"/>
      </w:pPr>
      <w:r w:rsidRPr="00A72AF9">
        <w:lastRenderedPageBreak/>
        <w:t xml:space="preserve">Other studies have used </w:t>
      </w:r>
      <w:r>
        <w:t>‘</w:t>
      </w:r>
      <w:r w:rsidRPr="00A72AF9">
        <w:t>disruption multipliers</w:t>
      </w:r>
      <w:r>
        <w:t>’</w:t>
      </w:r>
      <w:r w:rsidRPr="00A72AF9">
        <w:t xml:space="preserve"> on an industry (or sector) basis to obtain estimates of economic costs — a more macroeconomic approach. This is usually only undertaken for </w:t>
      </w:r>
      <w:r>
        <w:t>severe</w:t>
      </w:r>
      <w:r w:rsidRPr="00A72AF9">
        <w:t xml:space="preserve"> natural disasters (such as Cyclone Yasi) that have significant impacts on the economy of a state or territory. For example, the Queensland Government </w:t>
      </w:r>
      <w:r w:rsidR="007C5656" w:rsidRPr="007C5656">
        <w:rPr>
          <w:szCs w:val="24"/>
        </w:rPr>
        <w:t>(2011b, p. 58)</w:t>
      </w:r>
      <w:r w:rsidRPr="00A72AF9">
        <w:t xml:space="preserve"> reported that ‘flooding in December and January, followed by Cyclone Yasi in February, are estimated to have together detracted 2¼ percentage points, or around $6 billion, from gross state product (GSP) in Queensland in 2010</w:t>
      </w:r>
      <w:r>
        <w:noBreakHyphen/>
      </w:r>
      <w:r w:rsidRPr="00A72AF9">
        <w:t xml:space="preserve">11’. Sectoral losses were approximately $1.4 billion for agriculture and $0.4 billion for tourism </w:t>
      </w:r>
      <w:r w:rsidR="007C5656" w:rsidRPr="007C5656">
        <w:rPr>
          <w:szCs w:val="24"/>
        </w:rPr>
        <w:t>(Queensland Government 2011b)</w:t>
      </w:r>
      <w:r w:rsidRPr="00A72AF9">
        <w:t xml:space="preserve">. This approach is not suitable for the analysis required here given the inquiry’s consideration of </w:t>
      </w:r>
      <w:r>
        <w:t>severe</w:t>
      </w:r>
      <w:r w:rsidRPr="00A72AF9">
        <w:t xml:space="preserve"> as well as non</w:t>
      </w:r>
      <w:r>
        <w:noBreakHyphen/>
        <w:t>severe</w:t>
      </w:r>
      <w:r w:rsidRPr="00A72AF9">
        <w:t xml:space="preserve"> disasters.</w:t>
      </w:r>
    </w:p>
    <w:p w14:paraId="2E5DFA53" w14:textId="77777777" w:rsidR="00DE1537" w:rsidRDefault="00DE1537" w:rsidP="00343F3E">
      <w:pPr>
        <w:pStyle w:val="Heading3"/>
      </w:pPr>
      <w:r>
        <w:t>Estimating economic costs — the Commission’s approach</w:t>
      </w:r>
    </w:p>
    <w:p w14:paraId="665901D7" w14:textId="77777777" w:rsidR="00DE1537" w:rsidRDefault="00DE1537" w:rsidP="00343F3E">
      <w:pPr>
        <w:pStyle w:val="BodyText"/>
      </w:pPr>
      <w:r>
        <w:t xml:space="preserve">Significant data limitations coupled with the inquiry’s short timeframe precluded the Commission from using approach 1 to directly estimate the economic costs of natural disasters. Further, the Commission considered approach 2 </w:t>
      </w:r>
      <w:proofErr w:type="gramStart"/>
      <w:r>
        <w:t>inadequate,</w:t>
      </w:r>
      <w:proofErr w:type="gramEnd"/>
      <w:r>
        <w:t xml:space="preserve"> given the available ILRs are based on partial information and probably outdated.</w:t>
      </w:r>
    </w:p>
    <w:p w14:paraId="7FA87E14" w14:textId="77777777" w:rsidR="00DE1537" w:rsidRDefault="00DE1537" w:rsidP="00343F3E">
      <w:pPr>
        <w:pStyle w:val="BodyText"/>
      </w:pPr>
      <w:r>
        <w:t>The limitations and inconsistencies of existing ILRs preclude the use of any one ratio to derive the economic costs of natural disasters. However, there remains some value in</w:t>
      </w:r>
      <w:r w:rsidRPr="009F5884">
        <w:t xml:space="preserve"> </w:t>
      </w:r>
      <w:r>
        <w:t>estimating an indicative range within which the economic costs might fall. Consequently, the Commission has not used one particular ILR to estimate economic costs, but rather provided possible high and low estimates for these costs. At the economy</w:t>
      </w:r>
      <w:r>
        <w:noBreakHyphen/>
        <w:t>wide level, this is a more accurate and credible approach than focusing on a single point estimate of economic costs.</w:t>
      </w:r>
    </w:p>
    <w:p w14:paraId="7DF9B175" w14:textId="77777777" w:rsidR="00DE1537" w:rsidRDefault="00DE1537" w:rsidP="00343F3E">
      <w:pPr>
        <w:pStyle w:val="BodyText"/>
      </w:pPr>
      <w:r w:rsidRPr="00347B1F">
        <w:t xml:space="preserve">The Centre for Risk and Community Safety at RMIT University is currently updating the Bureau of Transport Economics’ 2001 report </w:t>
      </w:r>
      <w:r w:rsidRPr="000C7E3A">
        <w:rPr>
          <w:i/>
        </w:rPr>
        <w:t xml:space="preserve">The Economic Costs of Natural </w:t>
      </w:r>
      <w:r>
        <w:rPr>
          <w:i/>
        </w:rPr>
        <w:t>D</w:t>
      </w:r>
      <w:r w:rsidRPr="000C7E3A">
        <w:rPr>
          <w:i/>
        </w:rPr>
        <w:t>isasters in Australia</w:t>
      </w:r>
      <w:r w:rsidRPr="00347B1F">
        <w:t>. This project is funded by the Attorney</w:t>
      </w:r>
      <w:r>
        <w:noBreakHyphen/>
      </w:r>
      <w:r w:rsidRPr="00347B1F">
        <w:t>General’s Department through the National Emergency Management Projects</w:t>
      </w:r>
      <w:r>
        <w:t xml:space="preserve"> p</w:t>
      </w:r>
      <w:r w:rsidRPr="00347B1F">
        <w:t xml:space="preserve">rogram, with the involvement and support of the South Australian Fire and Emergency Services Commission (SAFECOM), and is expected to finish in 2015. This work will be useful in informing future research </w:t>
      </w:r>
      <w:r>
        <w:t xml:space="preserve">and analysis </w:t>
      </w:r>
      <w:r w:rsidRPr="00347B1F">
        <w:t>on the costs of natural disasters</w:t>
      </w:r>
      <w:r>
        <w:t xml:space="preserve"> and therefore potentially the benefits of reducing natural disaster risk.</w:t>
      </w:r>
      <w:r w:rsidRPr="00347B1F">
        <w:t xml:space="preserve"> Importantly, it will include estimates of </w:t>
      </w:r>
      <w:r>
        <w:t>some</w:t>
      </w:r>
      <w:r w:rsidRPr="00347B1F">
        <w:t xml:space="preserve"> intangible</w:t>
      </w:r>
      <w:r>
        <w:t xml:space="preserve"> and indirect</w:t>
      </w:r>
      <w:r w:rsidRPr="00347B1F">
        <w:t xml:space="preserve"> costs (a limitation of approach 1) and updates to the widely used 1991</w:t>
      </w:r>
      <w:r>
        <w:t> </w:t>
      </w:r>
      <w:r w:rsidRPr="00347B1F">
        <w:t>ILRs (a limitation of approach 2)</w:t>
      </w:r>
      <w:r>
        <w:t xml:space="preserve"> (Centre for Risk and Community Safety, sub. DR225)</w:t>
      </w:r>
      <w:r w:rsidRPr="00347B1F">
        <w:t xml:space="preserve">. </w:t>
      </w:r>
    </w:p>
    <w:p w14:paraId="6F19E0CB" w14:textId="77777777" w:rsidR="00DE1537" w:rsidRPr="00B97CD9" w:rsidRDefault="00DE1537" w:rsidP="00343F3E">
      <w:pPr>
        <w:pStyle w:val="BodyText"/>
      </w:pPr>
      <w:r w:rsidRPr="00B97CD9">
        <w:t>The development and application of a consistent methodology to estimate the economic costs of natural disasters is an area where future research may add significant value. This would include the systematic collection of detailed cost data after a natural disaster and making these data publicly available. Such a process would help better understand the direct and indirect costs of natural disasters and allow for in</w:t>
      </w:r>
      <w:r w:rsidRPr="00B97CD9">
        <w:noBreakHyphen/>
        <w:t>depth analysis of how these disasters affect communities around Australia.</w:t>
      </w:r>
    </w:p>
    <w:p w14:paraId="4ED1BF5C" w14:textId="77777777" w:rsidR="00DE1537" w:rsidRDefault="00DE1537" w:rsidP="00343F3E">
      <w:pPr>
        <w:pStyle w:val="Heading3"/>
      </w:pPr>
      <w:r>
        <w:lastRenderedPageBreak/>
        <w:t>Estimating fiscal costs</w:t>
      </w:r>
    </w:p>
    <w:p w14:paraId="5FA710C0" w14:textId="77777777" w:rsidR="00DE1537" w:rsidRPr="007E619E" w:rsidRDefault="00DE1537" w:rsidP="00343F3E">
      <w:pPr>
        <w:pStyle w:val="BodyText"/>
        <w:rPr>
          <w:rStyle w:val="ListBulletChar"/>
          <w:szCs w:val="24"/>
        </w:rPr>
      </w:pPr>
      <w:r w:rsidRPr="000D2004">
        <w:t xml:space="preserve">The fiscal costs of natural disasters </w:t>
      </w:r>
      <w:r>
        <w:t>include</w:t>
      </w:r>
      <w:r w:rsidRPr="000D2004">
        <w:t xml:space="preserve"> expenditure by different levels of government on initiatives related to pre</w:t>
      </w:r>
      <w:r>
        <w:noBreakHyphen/>
      </w:r>
      <w:r w:rsidRPr="000D2004">
        <w:t xml:space="preserve"> </w:t>
      </w:r>
      <w:r>
        <w:t>and</w:t>
      </w:r>
      <w:r w:rsidRPr="000D2004">
        <w:t xml:space="preserve"> post</w:t>
      </w:r>
      <w:r>
        <w:noBreakHyphen/>
      </w:r>
      <w:r w:rsidRPr="000D2004">
        <w:t>disaster management</w:t>
      </w:r>
      <w:r>
        <w:t xml:space="preserve"> (supplementary papers 1 and 2). Comparable time series data on the fiscal costs incurred by state, territory and local governments are not available. Consequently, this analysis mostly considers the fiscal costs incurred by the Australian Government. </w:t>
      </w:r>
    </w:p>
    <w:p w14:paraId="273A77E8" w14:textId="77777777" w:rsidR="00DE1537" w:rsidRDefault="00DE1537">
      <w:pPr>
        <w:pStyle w:val="BodyText"/>
      </w:pPr>
      <w:r w:rsidRPr="00347B1F">
        <w:t>The counterfactual (section</w:t>
      </w:r>
      <w:r>
        <w:t> 7.4</w:t>
      </w:r>
      <w:r w:rsidRPr="00347B1F">
        <w:t xml:space="preserve">) incorporates </w:t>
      </w:r>
      <w:r>
        <w:t>t</w:t>
      </w:r>
      <w:r w:rsidRPr="00F14E6D">
        <w:t>he expenditure items under the responsibility of the Australian</w:t>
      </w:r>
      <w:r>
        <w:t xml:space="preserve"> Government, including:</w:t>
      </w:r>
    </w:p>
    <w:p w14:paraId="0916D72D" w14:textId="77777777" w:rsidR="00DE1537" w:rsidRPr="00EE106E" w:rsidRDefault="00DE1537" w:rsidP="00343F3E">
      <w:pPr>
        <w:pStyle w:val="ListBullet"/>
      </w:pPr>
      <w:r>
        <w:t>pre</w:t>
      </w:r>
      <w:r>
        <w:noBreakHyphen/>
        <w:t>disaster expenditure</w:t>
      </w:r>
    </w:p>
    <w:p w14:paraId="4C498F4C" w14:textId="77777777" w:rsidR="00DE1537" w:rsidRDefault="00DE1537" w:rsidP="00343F3E">
      <w:pPr>
        <w:pStyle w:val="ListBullet2"/>
      </w:pPr>
      <w:r w:rsidRPr="001F7CB1">
        <w:t>payments to state</w:t>
      </w:r>
      <w:r>
        <w:t xml:space="preserve"> and territory</w:t>
      </w:r>
      <w:r w:rsidRPr="001F7CB1">
        <w:t xml:space="preserve"> governments for mitigation through the National Partnership Agreement </w:t>
      </w:r>
      <w:r>
        <w:t>on</w:t>
      </w:r>
      <w:r w:rsidRPr="001F7CB1">
        <w:t xml:space="preserve"> Natural Disaster Resilience </w:t>
      </w:r>
      <w:r>
        <w:t>(and formerly through specific purpose payments)</w:t>
      </w:r>
    </w:p>
    <w:p w14:paraId="3D0B280F" w14:textId="77777777" w:rsidR="00DE1537" w:rsidRDefault="00DE1537" w:rsidP="00343F3E">
      <w:pPr>
        <w:pStyle w:val="ListBullet2"/>
      </w:pPr>
      <w:r>
        <w:t>funding for the National Emergency Management Projects, National Flood Risk Information Project, Bushfire and Natural Hazards Cooperative Research Centre (previously the Bushfire Cooperative Research Centre), National Emergency Volunteer Support Fund, National Bushfire Mitigation Programme and programs through the Australian Emergency Management Institute</w:t>
      </w:r>
    </w:p>
    <w:p w14:paraId="700C8BEE" w14:textId="77777777" w:rsidR="00DE1537" w:rsidRDefault="00DE1537" w:rsidP="00343F3E">
      <w:pPr>
        <w:pStyle w:val="ListBullet"/>
      </w:pPr>
      <w:r>
        <w:t>post</w:t>
      </w:r>
      <w:r>
        <w:noBreakHyphen/>
        <w:t>disaster expenditure</w:t>
      </w:r>
    </w:p>
    <w:p w14:paraId="2C612A6A" w14:textId="77777777" w:rsidR="00DE1537" w:rsidRDefault="00DE1537" w:rsidP="00343F3E">
      <w:pPr>
        <w:pStyle w:val="ListBullet2"/>
      </w:pPr>
      <w:r>
        <w:t>payments to state and territory governments through the Natural Disaster Relief and Recovery Arrangements (NDRRA)</w:t>
      </w:r>
    </w:p>
    <w:p w14:paraId="26A4EF37" w14:textId="77777777" w:rsidR="00DE1537" w:rsidRDefault="00DE1537" w:rsidP="00343F3E">
      <w:pPr>
        <w:pStyle w:val="ListBullet2"/>
      </w:pPr>
      <w:r>
        <w:t>contributions for the National Aerial Firefighting Arrangements and Emergency Alert</w:t>
      </w:r>
    </w:p>
    <w:p w14:paraId="2079C821" w14:textId="77777777" w:rsidR="00DE1537" w:rsidRDefault="00DE1537" w:rsidP="00343F3E">
      <w:pPr>
        <w:pStyle w:val="ListBullet2"/>
      </w:pPr>
      <w:r>
        <w:t xml:space="preserve">payments to eligible individuals affected by major disasters through the Australian Government Disaster Recovery Payment </w:t>
      </w:r>
    </w:p>
    <w:p w14:paraId="7AFF67D6" w14:textId="77777777" w:rsidR="00DE1537" w:rsidRDefault="00DE1537" w:rsidP="00343F3E">
      <w:pPr>
        <w:pStyle w:val="ListBullet2"/>
      </w:pPr>
      <w:proofErr w:type="gramStart"/>
      <w:r>
        <w:t>other</w:t>
      </w:r>
      <w:proofErr w:type="gramEnd"/>
      <w:r>
        <w:t xml:space="preserve"> post</w:t>
      </w:r>
      <w:r>
        <w:noBreakHyphen/>
        <w:t>disaster support such as the Disaster Recovery Allowance, ex</w:t>
      </w:r>
      <w:r>
        <w:noBreakHyphen/>
        <w:t>gratia payments and appeals.</w:t>
      </w:r>
    </w:p>
    <w:p w14:paraId="333F7261" w14:textId="01BCA3F9" w:rsidR="00DE1537" w:rsidRDefault="00DE1537" w:rsidP="00343F3E">
      <w:pPr>
        <w:pStyle w:val="Heading2"/>
      </w:pPr>
      <w:bookmarkStart w:id="82" w:name="_Toc406424351"/>
      <w:r>
        <w:t>7.</w:t>
      </w:r>
      <w:r>
        <w:rPr>
          <w:noProof/>
        </w:rPr>
        <w:t>3</w:t>
      </w:r>
      <w:r>
        <w:tab/>
        <w:t>Analysis of different funding arrangements</w:t>
      </w:r>
      <w:bookmarkEnd w:id="82"/>
    </w:p>
    <w:p w14:paraId="2413D3D3" w14:textId="77777777" w:rsidR="00DE1537" w:rsidRDefault="00DE1537" w:rsidP="00343F3E">
      <w:pPr>
        <w:pStyle w:val="BodyText"/>
      </w:pPr>
      <w:r>
        <w:t>A comprehensive analysis of the costs and benefits of different funding arrangements is limited since many natural disaster costs cannot be accurately quantified. A partial assessment of the costs and benefits is the most pragmatic alternative, and is essentially the approach taken in this supplementary paper. This assessment is augmented with a qualitative discussion where required.</w:t>
      </w:r>
      <w:r w:rsidRPr="00F43328">
        <w:t xml:space="preserve"> </w:t>
      </w:r>
    </w:p>
    <w:p w14:paraId="27B1FE4D" w14:textId="57714174" w:rsidR="00DE1537" w:rsidRPr="005F4E94" w:rsidRDefault="00DE1537" w:rsidP="00343F3E">
      <w:pPr>
        <w:pStyle w:val="BodyText"/>
      </w:pPr>
      <w:r>
        <w:t xml:space="preserve">No research has comprehensively examined the costs and benefits of different natural disaster funding arrangements. While some studies have looked into the benefits of increased mitigation at </w:t>
      </w:r>
      <w:r w:rsidRPr="005F4E94">
        <w:t>an economy</w:t>
      </w:r>
      <w:r>
        <w:noBreakHyphen/>
      </w:r>
      <w:r w:rsidRPr="005F4E94">
        <w:t xml:space="preserve">wide level (for example, Deloitte Access </w:t>
      </w:r>
      <w:r w:rsidRPr="005F4E94">
        <w:lastRenderedPageBreak/>
        <w:t xml:space="preserve">Economics 2013; KPMG 2014), most research only examines the costs and benefits of individual mitigation projects (supplementary paper </w:t>
      </w:r>
      <w:r>
        <w:t>4</w:t>
      </w:r>
      <w:r w:rsidRPr="005F4E94">
        <w:t>).</w:t>
      </w:r>
    </w:p>
    <w:p w14:paraId="72758FBC" w14:textId="77777777" w:rsidR="00DE1537" w:rsidRDefault="00DE1537" w:rsidP="00343F3E">
      <w:pPr>
        <w:pStyle w:val="Heading3"/>
      </w:pPr>
      <w:r>
        <w:t>Setting up a counterfactual</w:t>
      </w:r>
    </w:p>
    <w:p w14:paraId="23180F3E" w14:textId="77777777" w:rsidR="00DE1537" w:rsidRPr="00347B1F" w:rsidRDefault="00DE1537" w:rsidP="00343F3E">
      <w:pPr>
        <w:pStyle w:val="BodyText"/>
      </w:pPr>
      <w:r>
        <w:t>T</w:t>
      </w:r>
      <w:r w:rsidRPr="00EF426F">
        <w:t>he estimated costs and benefits</w:t>
      </w:r>
      <w:r>
        <w:t xml:space="preserve"> of the Commission’s funding model</w:t>
      </w:r>
      <w:r w:rsidRPr="00EF426F">
        <w:t xml:space="preserve"> should be presented in terms of the change relative to a counterfactual. In this analysis, a reasonable counterfactual </w:t>
      </w:r>
      <w:r>
        <w:t>is represented by</w:t>
      </w:r>
      <w:r w:rsidRPr="00EF426F">
        <w:t xml:space="preserve"> the </w:t>
      </w:r>
      <w:r>
        <w:t xml:space="preserve">insurance losses from, and economic and fiscal </w:t>
      </w:r>
      <w:r w:rsidRPr="0077251D">
        <w:t>costs of</w:t>
      </w:r>
      <w:r>
        <w:t>,</w:t>
      </w:r>
      <w:r w:rsidRPr="0077251D">
        <w:t xml:space="preserve"> natural disasters under current funding arrangements (supplementary paper</w:t>
      </w:r>
      <w:r>
        <w:t>s 1 and</w:t>
      </w:r>
      <w:r w:rsidRPr="0077251D">
        <w:t xml:space="preserve"> </w:t>
      </w:r>
      <w:r>
        <w:t>2</w:t>
      </w:r>
      <w:r w:rsidRPr="0077251D">
        <w:t xml:space="preserve">) and </w:t>
      </w:r>
      <w:r>
        <w:t xml:space="preserve">the </w:t>
      </w:r>
      <w:r w:rsidRPr="0077251D">
        <w:t>estimated costs in the medium and long term if these arrangements are unchanged.</w:t>
      </w:r>
    </w:p>
    <w:p w14:paraId="6D0D7F3C" w14:textId="062D7CE2" w:rsidR="00DE1537" w:rsidRDefault="00DE1537" w:rsidP="00343F3E">
      <w:pPr>
        <w:pStyle w:val="BodyText"/>
      </w:pPr>
      <w:r w:rsidRPr="00347B1F">
        <w:t>Setting up the counterfactual requires projections of the costs of natural disasters in the medium and long term.</w:t>
      </w:r>
      <w:r w:rsidRPr="0077251D">
        <w:t xml:space="preserve"> The Australian Government has medium</w:t>
      </w:r>
      <w:r>
        <w:noBreakHyphen/>
      </w:r>
      <w:r w:rsidRPr="0077251D">
        <w:t xml:space="preserve"> and longer</w:t>
      </w:r>
      <w:r>
        <w:noBreakHyphen/>
      </w:r>
      <w:r w:rsidRPr="0077251D">
        <w:t xml:space="preserve">term fiscal objectives as </w:t>
      </w:r>
      <w:r w:rsidRPr="0077251D">
        <w:rPr>
          <w:rStyle w:val="BodyTextChar"/>
        </w:rPr>
        <w:t xml:space="preserve">required by the </w:t>
      </w:r>
      <w:r w:rsidRPr="003E1F17">
        <w:rPr>
          <w:rStyle w:val="BodyTextChar"/>
          <w:i/>
        </w:rPr>
        <w:t>Charter of Budget Honesty Act 1998</w:t>
      </w:r>
      <w:r>
        <w:rPr>
          <w:rStyle w:val="BodyTextChar"/>
        </w:rPr>
        <w:t xml:space="preserve"> (Cwlth) </w:t>
      </w:r>
      <w:r w:rsidRPr="00EA4B6B">
        <w:t>(discussed in Mercer 2011)</w:t>
      </w:r>
      <w:r w:rsidRPr="0077251D">
        <w:rPr>
          <w:rStyle w:val="BodyTextChar"/>
        </w:rPr>
        <w:t xml:space="preserve">. However, these objectives </w:t>
      </w:r>
      <w:r>
        <w:rPr>
          <w:rStyle w:val="BodyTextChar"/>
        </w:rPr>
        <w:t>are not aligned with well</w:t>
      </w:r>
      <w:r>
        <w:rPr>
          <w:rStyle w:val="BodyTextChar"/>
        </w:rPr>
        <w:noBreakHyphen/>
        <w:t>defined</w:t>
      </w:r>
      <w:r w:rsidRPr="0077251D">
        <w:rPr>
          <w:rStyle w:val="BodyTextChar"/>
        </w:rPr>
        <w:t xml:space="preserve"> time periods (</w:t>
      </w:r>
      <w:r>
        <w:rPr>
          <w:rStyle w:val="BodyTextChar"/>
        </w:rPr>
        <w:t>f</w:t>
      </w:r>
      <w:r w:rsidRPr="0077251D">
        <w:rPr>
          <w:rStyle w:val="BodyTextChar"/>
        </w:rPr>
        <w:t>or example</w:t>
      </w:r>
      <w:r>
        <w:rPr>
          <w:rStyle w:val="BodyTextChar"/>
        </w:rPr>
        <w:t>,</w:t>
      </w:r>
      <w:r w:rsidRPr="0077251D">
        <w:rPr>
          <w:rStyle w:val="BodyTextChar"/>
        </w:rPr>
        <w:t xml:space="preserve"> medium</w:t>
      </w:r>
      <w:r>
        <w:rPr>
          <w:rStyle w:val="BodyTextChar"/>
        </w:rPr>
        <w:noBreakHyphen/>
      </w:r>
      <w:r w:rsidRPr="0077251D">
        <w:rPr>
          <w:rStyle w:val="BodyTextChar"/>
        </w:rPr>
        <w:t>term objectives are over an economic cycle)</w:t>
      </w:r>
      <w:r>
        <w:rPr>
          <w:rStyle w:val="BodyTextChar"/>
        </w:rPr>
        <w:t>.</w:t>
      </w:r>
      <w:r w:rsidRPr="0077251D">
        <w:rPr>
          <w:rStyle w:val="BodyTextChar"/>
        </w:rPr>
        <w:t xml:space="preserve"> </w:t>
      </w:r>
      <w:r>
        <w:rPr>
          <w:rStyle w:val="BodyTextChar"/>
        </w:rPr>
        <w:t>For the purposes of this analysis, t</w:t>
      </w:r>
      <w:r w:rsidRPr="0077251D">
        <w:rPr>
          <w:rStyle w:val="BodyTextChar"/>
        </w:rPr>
        <w:t xml:space="preserve">he Commission considers that </w:t>
      </w:r>
      <w:r>
        <w:rPr>
          <w:rStyle w:val="BodyTextChar"/>
        </w:rPr>
        <w:t xml:space="preserve">the </w:t>
      </w:r>
      <w:r w:rsidRPr="00347B1F">
        <w:t>medium term is five years and the long term is a minimum of ten years.</w:t>
      </w:r>
    </w:p>
    <w:p w14:paraId="39D7061A" w14:textId="77777777" w:rsidR="00DE1537" w:rsidRPr="002C5CDA" w:rsidRDefault="00DE1537" w:rsidP="00343F3E">
      <w:pPr>
        <w:pStyle w:val="Heading3"/>
      </w:pPr>
      <w:r>
        <w:t>Projecting insurance losses and economic costs</w:t>
      </w:r>
    </w:p>
    <w:p w14:paraId="0911DD1A" w14:textId="77777777" w:rsidR="00DE1537" w:rsidRDefault="00DE1537" w:rsidP="00343F3E">
      <w:pPr>
        <w:pStyle w:val="BodyText"/>
      </w:pPr>
      <w:r w:rsidRPr="00347B1F">
        <w:t>Time series analysis was used to obtain projections</w:t>
      </w:r>
      <w:r>
        <w:t xml:space="preserve"> of insurance losses</w:t>
      </w:r>
      <w:r w:rsidRPr="00347B1F">
        <w:t xml:space="preserve"> based on available historical data (section</w:t>
      </w:r>
      <w:r>
        <w:t> 7.4</w:t>
      </w:r>
      <w:r w:rsidRPr="00347B1F">
        <w:t xml:space="preserve"> and annex 1). Since data on insurance losses go back to 1970, a model that represents this time series was estimated and used to </w:t>
      </w:r>
      <w:r>
        <w:t>project</w:t>
      </w:r>
      <w:r w:rsidRPr="00347B1F">
        <w:t xml:space="preserve"> future values of insurance losses</w:t>
      </w:r>
      <w:r w:rsidRPr="00166BD2">
        <w:t>.</w:t>
      </w:r>
      <w:r>
        <w:t xml:space="preserve"> The conceptual basis for this analysis is discussed in box 7.3. The general specification of the model is:</w:t>
      </w:r>
    </w:p>
    <w:p w14:paraId="0D5BF721" w14:textId="77777777" w:rsidR="00DE1537" w:rsidRDefault="00DE1537" w:rsidP="00343F3E">
      <w:pPr>
        <w:pStyle w:val="BodyText"/>
        <w:ind w:left="567"/>
        <w:rPr>
          <w:i/>
        </w:rPr>
      </w:pPr>
      <w:r w:rsidRPr="00B3245B">
        <w:rPr>
          <w:i/>
        </w:rPr>
        <w:t>Insurance losses</w:t>
      </w:r>
      <w:r w:rsidRPr="00B3245B">
        <w:rPr>
          <w:i/>
          <w:vertAlign w:val="subscript"/>
        </w:rPr>
        <w:t>t</w:t>
      </w:r>
      <w:r w:rsidRPr="00B3245B">
        <w:rPr>
          <w:i/>
        </w:rPr>
        <w:t>=</w:t>
      </w:r>
      <w:r>
        <w:rPr>
          <w:i/>
        </w:rPr>
        <w:t>α</w:t>
      </w:r>
      <w:r w:rsidRPr="00883991">
        <w:rPr>
          <w:i/>
          <w:vertAlign w:val="subscript"/>
        </w:rPr>
        <w:t>1</w:t>
      </w:r>
      <w:r w:rsidRPr="00883991">
        <w:rPr>
          <w:i/>
        </w:rPr>
        <w:t>*</w:t>
      </w:r>
      <w:r>
        <w:rPr>
          <w:i/>
        </w:rPr>
        <w:t>i</w:t>
      </w:r>
      <w:r w:rsidRPr="00B3245B">
        <w:rPr>
          <w:i/>
        </w:rPr>
        <w:t>nsurance losses</w:t>
      </w:r>
      <w:r w:rsidRPr="00B3245B">
        <w:rPr>
          <w:i/>
          <w:vertAlign w:val="subscript"/>
        </w:rPr>
        <w:t>t</w:t>
      </w:r>
      <w:r>
        <w:rPr>
          <w:i/>
          <w:vertAlign w:val="subscript"/>
        </w:rPr>
        <w:t>-1</w:t>
      </w:r>
      <w:r w:rsidRPr="00883991">
        <w:rPr>
          <w:i/>
        </w:rPr>
        <w:t>+</w:t>
      </w:r>
      <w:r>
        <w:rPr>
          <w:i/>
        </w:rPr>
        <w:t>α</w:t>
      </w:r>
      <w:r>
        <w:rPr>
          <w:i/>
          <w:vertAlign w:val="subscript"/>
        </w:rPr>
        <w:t>2</w:t>
      </w:r>
      <w:r w:rsidRPr="0060191C">
        <w:rPr>
          <w:i/>
        </w:rPr>
        <w:t>*</w:t>
      </w:r>
      <w:r>
        <w:rPr>
          <w:i/>
        </w:rPr>
        <w:t>in</w:t>
      </w:r>
      <w:r w:rsidRPr="00B3245B">
        <w:rPr>
          <w:i/>
        </w:rPr>
        <w:t>surance losses</w:t>
      </w:r>
      <w:r w:rsidRPr="00B3245B">
        <w:rPr>
          <w:i/>
          <w:vertAlign w:val="subscript"/>
        </w:rPr>
        <w:t>t</w:t>
      </w:r>
      <w:r>
        <w:rPr>
          <w:i/>
          <w:vertAlign w:val="subscript"/>
        </w:rPr>
        <w:t>-2</w:t>
      </w:r>
      <w:r>
        <w:rPr>
          <w:i/>
        </w:rPr>
        <w:t>+</w:t>
      </w:r>
      <w:r w:rsidRPr="00B3245B">
        <w:rPr>
          <w:i/>
        </w:rPr>
        <w:t>…</w:t>
      </w:r>
      <w:r>
        <w:rPr>
          <w:i/>
        </w:rPr>
        <w:t>+α</w:t>
      </w:r>
      <w:r>
        <w:rPr>
          <w:i/>
          <w:vertAlign w:val="subscript"/>
        </w:rPr>
        <w:t>n</w:t>
      </w:r>
      <w:r w:rsidRPr="0060191C">
        <w:rPr>
          <w:i/>
        </w:rPr>
        <w:t>*</w:t>
      </w:r>
      <w:r>
        <w:rPr>
          <w:i/>
        </w:rPr>
        <w:t>in</w:t>
      </w:r>
      <w:r w:rsidRPr="00B3245B">
        <w:rPr>
          <w:i/>
        </w:rPr>
        <w:t>surance losses</w:t>
      </w:r>
      <w:r w:rsidRPr="00B3245B">
        <w:rPr>
          <w:i/>
          <w:vertAlign w:val="subscript"/>
        </w:rPr>
        <w:t>t</w:t>
      </w:r>
      <w:r>
        <w:rPr>
          <w:i/>
          <w:vertAlign w:val="subscript"/>
        </w:rPr>
        <w:t>-n</w:t>
      </w:r>
    </w:p>
    <w:p w14:paraId="1C2467CF" w14:textId="77777777" w:rsidR="00DE1537" w:rsidRDefault="00DE1537" w:rsidP="00343F3E">
      <w:pPr>
        <w:pStyle w:val="BodyText"/>
      </w:pPr>
      <w:r w:rsidRPr="00883991">
        <w:t>To obtain</w:t>
      </w:r>
      <w:r>
        <w:t xml:space="preserve"> projections of economic costs, the ILRs discussed in approach 2 were applied to the projected insurance losses produced by the model above. </w:t>
      </w:r>
      <w:r w:rsidRPr="007F6F61">
        <w:t xml:space="preserve">Existing </w:t>
      </w:r>
      <w:r w:rsidRPr="006953A0">
        <w:t>projections of the economic costs of natural disasters in Australia</w:t>
      </w:r>
      <w:r>
        <w:t xml:space="preserve"> are discussed in box 7.4.</w:t>
      </w:r>
    </w:p>
    <w:p w14:paraId="3BAF3A3B" w14:textId="77777777" w:rsidR="00DE1537" w:rsidRDefault="00DE1537" w:rsidP="00343F3E">
      <w:pPr>
        <w:pStyle w:val="Heading3"/>
      </w:pPr>
      <w:r>
        <w:t>Projecting fiscal costs</w:t>
      </w:r>
    </w:p>
    <w:p w14:paraId="4C59AE98" w14:textId="77777777" w:rsidR="00DE1537" w:rsidRDefault="00DE1537" w:rsidP="00343F3E">
      <w:pPr>
        <w:pStyle w:val="BodyText"/>
      </w:pPr>
      <w:r>
        <w:t xml:space="preserve">The Australian Government’s exposure to the risks </w:t>
      </w:r>
      <w:proofErr w:type="gramStart"/>
      <w:r>
        <w:t>of,</w:t>
      </w:r>
      <w:proofErr w:type="gramEnd"/>
      <w:r>
        <w:t xml:space="preserve"> and damage from, natural disasters has increased significantly. This increasing exposure results from a range of changes such as population growth, increasing development in disaster</w:t>
      </w:r>
      <w:r>
        <w:noBreakHyphen/>
        <w:t>prone areas, and rising public expectations about government assistance (supplementary paper 1). Because most relief and recovery activities are funded on an ex</w:t>
      </w:r>
      <w:r>
        <w:noBreakHyphen/>
        <w:t xml:space="preserve">post basis, this is an unfunded liability for the Australian Government (chapter 2). </w:t>
      </w:r>
    </w:p>
    <w:p w14:paraId="278BC9C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0E84402" w14:textId="77777777" w:rsidTr="00343F3E">
        <w:tc>
          <w:tcPr>
            <w:tcW w:w="8771" w:type="dxa"/>
            <w:tcBorders>
              <w:top w:val="single" w:sz="6" w:space="0" w:color="78A22F"/>
              <w:left w:val="nil"/>
              <w:bottom w:val="nil"/>
              <w:right w:val="nil"/>
            </w:tcBorders>
            <w:shd w:val="clear" w:color="auto" w:fill="F2F2F2"/>
          </w:tcPr>
          <w:p w14:paraId="38C96303" w14:textId="67AADA00" w:rsidR="00DE1537" w:rsidRDefault="00DE1537" w:rsidP="00343F3E">
            <w:pPr>
              <w:pStyle w:val="BoxTitle"/>
            </w:pPr>
            <w:r>
              <w:rPr>
                <w:b w:val="0"/>
              </w:rPr>
              <w:t>Box 7.</w:t>
            </w:r>
            <w:r>
              <w:rPr>
                <w:b w:val="0"/>
                <w:noProof/>
              </w:rPr>
              <w:t>3</w:t>
            </w:r>
            <w:r>
              <w:tab/>
              <w:t>Conceptual approach to projecting insurance losses</w:t>
            </w:r>
          </w:p>
        </w:tc>
      </w:tr>
      <w:tr w:rsidR="00DE1537" w14:paraId="72E56A75" w14:textId="77777777" w:rsidTr="00343F3E">
        <w:trPr>
          <w:cantSplit/>
        </w:trPr>
        <w:tc>
          <w:tcPr>
            <w:tcW w:w="8771" w:type="dxa"/>
            <w:tcBorders>
              <w:top w:val="nil"/>
              <w:left w:val="nil"/>
              <w:bottom w:val="nil"/>
              <w:right w:val="nil"/>
            </w:tcBorders>
            <w:shd w:val="clear" w:color="auto" w:fill="F2F2F2"/>
          </w:tcPr>
          <w:p w14:paraId="0985B302" w14:textId="77777777" w:rsidR="00DE1537" w:rsidRDefault="00DE1537" w:rsidP="00343F3E">
            <w:pPr>
              <w:pStyle w:val="Box"/>
            </w:pPr>
            <w:r>
              <w:t>Put simply, insurance losses from natural disasters are a function of natural disaster risk, which is itself a function of hazard, exposure and vulnerability (supplementary paper 3).</w:t>
            </w:r>
          </w:p>
          <w:p w14:paraId="693102A1" w14:textId="77777777" w:rsidR="00DE1537" w:rsidRPr="0060191C" w:rsidRDefault="00DE1537" w:rsidP="00343F3E">
            <w:pPr>
              <w:pStyle w:val="Box"/>
              <w:ind w:left="567"/>
              <w:rPr>
                <w:i/>
              </w:rPr>
            </w:pPr>
            <w:r w:rsidRPr="0060191C">
              <w:rPr>
                <w:i/>
              </w:rPr>
              <w:t>Insurance losses</w:t>
            </w:r>
            <w:r w:rsidRPr="0060191C">
              <w:rPr>
                <w:i/>
                <w:vertAlign w:val="subscript"/>
              </w:rPr>
              <w:t>t</w:t>
            </w:r>
            <w:r w:rsidRPr="0060191C">
              <w:rPr>
                <w:i/>
              </w:rPr>
              <w:t xml:space="preserve"> = F(natural disaster risk)</w:t>
            </w:r>
            <w:r w:rsidRPr="0060191C">
              <w:rPr>
                <w:i/>
                <w:vertAlign w:val="subscript"/>
              </w:rPr>
              <w:t>t</w:t>
            </w:r>
            <w:r w:rsidRPr="0060191C">
              <w:rPr>
                <w:i/>
              </w:rPr>
              <w:t xml:space="preserve"> = F(hazard, exposure, vulnerability)</w:t>
            </w:r>
            <w:r w:rsidRPr="0060191C">
              <w:rPr>
                <w:i/>
                <w:vertAlign w:val="subscript"/>
              </w:rPr>
              <w:t>t</w:t>
            </w:r>
          </w:p>
          <w:p w14:paraId="183ECF74" w14:textId="77777777" w:rsidR="00DE1537" w:rsidRDefault="00DE1537" w:rsidP="00343F3E">
            <w:pPr>
              <w:pStyle w:val="Box"/>
            </w:pPr>
            <w:r>
              <w:t>Projecting insurance losses requires a model of how determinants of hazard, exposure and vulnerability are likely to change in the future and the effects of these changes on expected insurance losses. Building such a model was not feasible under this inquiry’s timeframe.</w:t>
            </w:r>
          </w:p>
          <w:p w14:paraId="3CA95D5F" w14:textId="77777777" w:rsidR="00DE1537" w:rsidRDefault="00DE1537" w:rsidP="00343F3E">
            <w:pPr>
              <w:pStyle w:val="Box"/>
            </w:pPr>
            <w:r>
              <w:t>A simpler approach was used instead where natural disaster risk was disaggregated into two components: a ‘predictable’ component; and a ‘less predictable’ component.</w:t>
            </w:r>
          </w:p>
          <w:p w14:paraId="486FE33F" w14:textId="77777777" w:rsidR="00DE1537" w:rsidRDefault="00DE1537" w:rsidP="00343F3E">
            <w:pPr>
              <w:pStyle w:val="Box"/>
            </w:pPr>
            <w:r>
              <w:t xml:space="preserve">The </w:t>
            </w:r>
            <w:r w:rsidRPr="00512CFD">
              <w:rPr>
                <w:i/>
              </w:rPr>
              <w:t>predictable</w:t>
            </w:r>
            <w:r>
              <w:t xml:space="preserve"> component includes changes in exposure and vulnerability such as changes in population, settlement in disaster prone areas, wealth, inflation and coverage of building standards — changes that can be modelled to some extent.</w:t>
            </w:r>
          </w:p>
          <w:p w14:paraId="076DCAA5" w14:textId="77777777" w:rsidR="00DE1537" w:rsidRDefault="00DE1537" w:rsidP="00343F3E">
            <w:pPr>
              <w:pStyle w:val="Box"/>
            </w:pPr>
            <w:r>
              <w:t xml:space="preserve">The </w:t>
            </w:r>
            <w:r w:rsidRPr="00512CFD">
              <w:rPr>
                <w:i/>
              </w:rPr>
              <w:t>less predictable</w:t>
            </w:r>
            <w:r>
              <w:t xml:space="preserve"> component includes changes in hazard, such as changes in the intensity, frequency, and duration of extreme weather events, as well as climate change and climate variability — changes that cannot be easily modelled.</w:t>
            </w:r>
          </w:p>
          <w:p w14:paraId="1A03DEDB" w14:textId="77777777" w:rsidR="00DE1537" w:rsidRDefault="00DE1537" w:rsidP="00343F3E">
            <w:pPr>
              <w:pStyle w:val="Box"/>
            </w:pPr>
            <w:r>
              <w:t>Rising insurance losses from natural disasters can be mostly explained by changes in the variables making up the predictable component (supplementary paper 1). This predictability implies some level of correlation over time.</w:t>
            </w:r>
          </w:p>
          <w:p w14:paraId="218932E7" w14:textId="77777777" w:rsidR="00DE1537" w:rsidRDefault="00DE1537" w:rsidP="00343F3E">
            <w:pPr>
              <w:pStyle w:val="Box"/>
            </w:pPr>
            <w:r>
              <w:t>Therefore, insurance losses are also likely to show some correlation over time and this provides a rationale for using the specification below to project insurance losses.</w:t>
            </w:r>
          </w:p>
          <w:p w14:paraId="27729C5D" w14:textId="77777777" w:rsidR="00DE1537" w:rsidRDefault="00DE1537" w:rsidP="00343F3E">
            <w:pPr>
              <w:pStyle w:val="Box"/>
              <w:ind w:left="567"/>
            </w:pPr>
            <w:r w:rsidRPr="00B3245B">
              <w:rPr>
                <w:i/>
              </w:rPr>
              <w:t>Insurance losses</w:t>
            </w:r>
            <w:r w:rsidRPr="00B3245B">
              <w:rPr>
                <w:i/>
                <w:vertAlign w:val="subscript"/>
              </w:rPr>
              <w:t>t</w:t>
            </w:r>
            <w:r w:rsidRPr="00B3245B">
              <w:rPr>
                <w:i/>
              </w:rPr>
              <w:t xml:space="preserve"> = F(</w:t>
            </w:r>
            <w:r>
              <w:rPr>
                <w:i/>
              </w:rPr>
              <w:t>i</w:t>
            </w:r>
            <w:r w:rsidRPr="00B3245B">
              <w:rPr>
                <w:i/>
              </w:rPr>
              <w:t>nsurance losses</w:t>
            </w:r>
            <w:r w:rsidRPr="00B3245B">
              <w:rPr>
                <w:i/>
                <w:vertAlign w:val="subscript"/>
              </w:rPr>
              <w:t>t</w:t>
            </w:r>
            <w:r w:rsidRPr="00EE5452">
              <w:rPr>
                <w:i/>
              </w:rPr>
              <w:t xml:space="preserve">, </w:t>
            </w:r>
            <w:r>
              <w:rPr>
                <w:i/>
              </w:rPr>
              <w:t>in</w:t>
            </w:r>
            <w:r w:rsidRPr="00B3245B">
              <w:rPr>
                <w:i/>
              </w:rPr>
              <w:t>surance losses</w:t>
            </w:r>
            <w:r w:rsidRPr="00B3245B">
              <w:rPr>
                <w:i/>
                <w:vertAlign w:val="subscript"/>
              </w:rPr>
              <w:t>t</w:t>
            </w:r>
            <w:r>
              <w:rPr>
                <w:i/>
                <w:vertAlign w:val="subscript"/>
              </w:rPr>
              <w:t>-1</w:t>
            </w:r>
            <w:r w:rsidRPr="002200E0">
              <w:rPr>
                <w:i/>
              </w:rPr>
              <w:t>,…,</w:t>
            </w:r>
            <w:r>
              <w:rPr>
                <w:i/>
              </w:rPr>
              <w:t xml:space="preserve"> in</w:t>
            </w:r>
            <w:r w:rsidRPr="00B3245B">
              <w:rPr>
                <w:i/>
              </w:rPr>
              <w:t>surance losses</w:t>
            </w:r>
            <w:r w:rsidRPr="00B3245B">
              <w:rPr>
                <w:i/>
                <w:vertAlign w:val="subscript"/>
              </w:rPr>
              <w:t>t</w:t>
            </w:r>
            <w:r>
              <w:rPr>
                <w:i/>
                <w:vertAlign w:val="subscript"/>
              </w:rPr>
              <w:t>-n</w:t>
            </w:r>
            <w:r w:rsidRPr="00B3245B">
              <w:rPr>
                <w:i/>
              </w:rPr>
              <w:t xml:space="preserve">) </w:t>
            </w:r>
          </w:p>
        </w:tc>
      </w:tr>
      <w:tr w:rsidR="00DE1537" w14:paraId="273965DE" w14:textId="77777777" w:rsidTr="00343F3E">
        <w:trPr>
          <w:cantSplit/>
        </w:trPr>
        <w:tc>
          <w:tcPr>
            <w:tcW w:w="8771" w:type="dxa"/>
            <w:tcBorders>
              <w:top w:val="nil"/>
              <w:left w:val="nil"/>
              <w:bottom w:val="single" w:sz="6" w:space="0" w:color="78A22F"/>
              <w:right w:val="nil"/>
            </w:tcBorders>
            <w:shd w:val="clear" w:color="auto" w:fill="F2F2F2"/>
          </w:tcPr>
          <w:p w14:paraId="66320010" w14:textId="77777777" w:rsidR="00DE1537" w:rsidRDefault="00DE1537" w:rsidP="00343F3E">
            <w:pPr>
              <w:pStyle w:val="Box"/>
              <w:spacing w:before="0" w:line="120" w:lineRule="exact"/>
            </w:pPr>
          </w:p>
        </w:tc>
      </w:tr>
      <w:tr w:rsidR="00DE1537" w:rsidRPr="000863A5" w14:paraId="56A5C63B" w14:textId="77777777" w:rsidTr="00343F3E">
        <w:tc>
          <w:tcPr>
            <w:tcW w:w="8771" w:type="dxa"/>
            <w:tcBorders>
              <w:top w:val="single" w:sz="6" w:space="0" w:color="78A22F"/>
              <w:left w:val="nil"/>
              <w:bottom w:val="nil"/>
              <w:right w:val="nil"/>
            </w:tcBorders>
          </w:tcPr>
          <w:p w14:paraId="6005B962" w14:textId="77777777" w:rsidR="00DE1537" w:rsidRPr="00626D32" w:rsidRDefault="00DE1537" w:rsidP="00343F3E">
            <w:pPr>
              <w:pStyle w:val="BoxSpaceBelow"/>
            </w:pPr>
          </w:p>
        </w:tc>
      </w:tr>
    </w:tbl>
    <w:p w14:paraId="30B2B946" w14:textId="77777777" w:rsidR="00DE1537" w:rsidRDefault="00DE1537" w:rsidP="00343F3E">
      <w:pPr>
        <w:pStyle w:val="BodyText"/>
      </w:pPr>
      <w:r>
        <w:t>Fiscal cost projections can be used to budget for, in advance, the ‘average loss’ (or expected risk) from natural disasters. There are different ways in which the Australian Government can budget and provision for natural disaster risk (chapter 3).</w:t>
      </w:r>
      <w:r w:rsidRPr="007D4FC3">
        <w:t xml:space="preserve"> One approach </w:t>
      </w:r>
      <w:r>
        <w:t>is</w:t>
      </w:r>
      <w:r w:rsidRPr="007D4FC3">
        <w:t xml:space="preserve"> to draw on historical experience, such as adopting a</w:t>
      </w:r>
      <w:r>
        <w:t xml:space="preserve"> historical</w:t>
      </w:r>
      <w:r w:rsidRPr="007D4FC3">
        <w:t xml:space="preserve"> rolling average of </w:t>
      </w:r>
      <w:r>
        <w:t>fiscal</w:t>
      </w:r>
      <w:r w:rsidRPr="007D4FC3">
        <w:t xml:space="preserve"> costs</w:t>
      </w:r>
      <w:r>
        <w:t xml:space="preserve"> (depending on data availability) to inform provisioning (albeit a conservative weighting may be required to allow for uncertainty)</w:t>
      </w:r>
      <w:r w:rsidRPr="007D4FC3">
        <w:t xml:space="preserve">. Another is to draw on more sophisticated </w:t>
      </w:r>
      <w:r>
        <w:t>catastrophe loss modelling,</w:t>
      </w:r>
      <w:r w:rsidRPr="007D4FC3">
        <w:t xml:space="preserve"> similar to the way insurers model their potential future liabilities</w:t>
      </w:r>
      <w:r>
        <w:t>, to provide central estimates and likely ranges.</w:t>
      </w:r>
      <w:r>
        <w:rPr>
          <w:rStyle w:val="FootnoteReference"/>
        </w:rPr>
        <w:footnoteReference w:id="18"/>
      </w:r>
      <w:r>
        <w:t xml:space="preserve"> At the very least, this analysis should be disclosed in the Australian Government budget’s Statement of Risks for greater budget transparency.</w:t>
      </w:r>
    </w:p>
    <w:p w14:paraId="537A8539"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D3BBE53" w14:textId="77777777" w:rsidTr="00343F3E">
        <w:tc>
          <w:tcPr>
            <w:tcW w:w="8771" w:type="dxa"/>
            <w:tcBorders>
              <w:top w:val="single" w:sz="6" w:space="0" w:color="78A22F"/>
              <w:left w:val="nil"/>
              <w:bottom w:val="nil"/>
              <w:right w:val="nil"/>
            </w:tcBorders>
            <w:shd w:val="clear" w:color="auto" w:fill="F2F2F2" w:themeFill="background1" w:themeFillShade="F2"/>
          </w:tcPr>
          <w:p w14:paraId="1E55D0E6" w14:textId="5F975229" w:rsidR="00DE1537" w:rsidRDefault="00DE1537" w:rsidP="00343F3E">
            <w:pPr>
              <w:pStyle w:val="BoxTitle"/>
            </w:pPr>
            <w:r>
              <w:rPr>
                <w:b w:val="0"/>
              </w:rPr>
              <w:t>Box 7.</w:t>
            </w:r>
            <w:r>
              <w:rPr>
                <w:b w:val="0"/>
                <w:noProof/>
              </w:rPr>
              <w:t>4</w:t>
            </w:r>
            <w:r>
              <w:tab/>
              <w:t>Existing projections of the economic costs of natural disasters in Australia</w:t>
            </w:r>
          </w:p>
        </w:tc>
      </w:tr>
      <w:tr w:rsidR="00DE1537" w14:paraId="24057B5F" w14:textId="77777777" w:rsidTr="00343F3E">
        <w:trPr>
          <w:cantSplit/>
        </w:trPr>
        <w:tc>
          <w:tcPr>
            <w:tcW w:w="8771" w:type="dxa"/>
            <w:tcBorders>
              <w:top w:val="nil"/>
              <w:left w:val="nil"/>
              <w:bottom w:val="nil"/>
              <w:right w:val="nil"/>
            </w:tcBorders>
            <w:shd w:val="clear" w:color="auto" w:fill="F2F2F2" w:themeFill="background1" w:themeFillShade="F2"/>
          </w:tcPr>
          <w:p w14:paraId="58016DE3" w14:textId="25FA5720" w:rsidR="00DE1537" w:rsidRDefault="00DE1537" w:rsidP="00343F3E">
            <w:pPr>
              <w:pStyle w:val="Box"/>
            </w:pPr>
            <w:r>
              <w:t xml:space="preserve">Deloitte Access Economics (DAE) (2013) produced projections of the economic costs of natural disasters in Australia based on the historical frequency and severity of natural disasters. Historical data were used to identify the distribution of events each year and projections for the number of events were simulated from that historical distribution. Insured losses were then estimated based on this simulation. The simulated costs accounted for growth in the number of households and increases in the value of housing stock. </w:t>
            </w:r>
          </w:p>
          <w:p w14:paraId="49E18158" w14:textId="67C25F9A" w:rsidR="00DE1537" w:rsidRDefault="00DE1537" w:rsidP="00343F3E">
            <w:pPr>
              <w:pStyle w:val="Box"/>
            </w:pPr>
            <w:r>
              <w:t xml:space="preserve">To obtain projections of economic costs, multipliers reported by the Bureau of Transport Economics (2001) were applied to the insured loss data. To project fiscal costs, the impacts of historical disaster costs on NDRRA expenditure were examined. According to DAE’s analysis </w:t>
            </w:r>
            <w:r w:rsidRPr="005A232C">
              <w:rPr>
                <w:rFonts w:cs="Arial"/>
                <w:szCs w:val="24"/>
              </w:rPr>
              <w:t>(2013, p. 70)</w:t>
            </w:r>
            <w:r>
              <w:t>, ‘each dollar of insured natural disaster costs generally led to around 32c of Australian Government expenditure in the year following the natural disaster, 22c in the next year and 13c in the third year’.</w:t>
            </w:r>
          </w:p>
          <w:p w14:paraId="6B2BEBAD" w14:textId="5F2280C9" w:rsidR="00DE1537" w:rsidRDefault="00DE1537" w:rsidP="00343F3E">
            <w:pPr>
              <w:pStyle w:val="Box"/>
            </w:pPr>
            <w:r>
              <w:t xml:space="preserve">DAE </w:t>
            </w:r>
            <w:r w:rsidRPr="003E1F17">
              <w:rPr>
                <w:rFonts w:cs="Arial"/>
                <w:szCs w:val="24"/>
              </w:rPr>
              <w:t>(2013, p. 9)</w:t>
            </w:r>
            <w:r>
              <w:t xml:space="preserve"> recommended increasing Australian Government investment in pre</w:t>
            </w:r>
            <w:r>
              <w:noBreakHyphen/>
              <w:t>disaster resilience (mitigation) to reduce the long</w:t>
            </w:r>
            <w:r>
              <w:noBreakHyphen/>
              <w:t>term fiscal costs of natural disasters.</w:t>
            </w:r>
          </w:p>
          <w:p w14:paraId="0EFD3C78" w14:textId="77777777" w:rsidR="00DE1537" w:rsidRPr="005A0CBA" w:rsidRDefault="00DE1537" w:rsidP="00343F3E">
            <w:pPr>
              <w:pStyle w:val="BoxQuote"/>
            </w:pPr>
            <w:r>
              <w:rPr>
                <w:rFonts w:eastAsia="FrutigerNextPro-Light"/>
              </w:rPr>
              <w:t xml:space="preserve">… </w:t>
            </w:r>
            <w:proofErr w:type="gramStart"/>
            <w:r>
              <w:rPr>
                <w:rFonts w:eastAsia="FrutigerNextPro-Light"/>
              </w:rPr>
              <w:t>a</w:t>
            </w:r>
            <w:r w:rsidRPr="0039670D">
              <w:rPr>
                <w:rFonts w:eastAsia="FrutigerNextPro-Light"/>
              </w:rPr>
              <w:t>n</w:t>
            </w:r>
            <w:proofErr w:type="gramEnd"/>
            <w:r w:rsidRPr="0039670D">
              <w:rPr>
                <w:rFonts w:eastAsia="FrutigerNextPro-Light"/>
              </w:rPr>
              <w:t xml:space="preserve"> annual program of Australian</w:t>
            </w:r>
            <w:r>
              <w:rPr>
                <w:rFonts w:eastAsia="FrutigerNextPro-Light"/>
              </w:rPr>
              <w:t xml:space="preserve"> </w:t>
            </w:r>
            <w:r w:rsidRPr="0039670D">
              <w:rPr>
                <w:rFonts w:eastAsia="FrutigerNextPro-Light"/>
              </w:rPr>
              <w:t>Government expenditure on pre</w:t>
            </w:r>
            <w:r>
              <w:rPr>
                <w:rFonts w:eastAsia="FrutigerNextPro-Light"/>
              </w:rPr>
              <w:noBreakHyphen/>
            </w:r>
            <w:r w:rsidRPr="0039670D">
              <w:rPr>
                <w:rFonts w:eastAsia="FrutigerNextPro-Light"/>
              </w:rPr>
              <w:t>disaster resilience of</w:t>
            </w:r>
            <w:r>
              <w:rPr>
                <w:rFonts w:eastAsia="FrutigerNextPro-Light"/>
              </w:rPr>
              <w:t xml:space="preserve"> </w:t>
            </w:r>
            <w:r w:rsidRPr="0039670D">
              <w:rPr>
                <w:rFonts w:eastAsia="FrutigerNextPro-Light"/>
              </w:rPr>
              <w:t xml:space="preserve">$250 million at </w:t>
            </w:r>
            <w:r>
              <w:rPr>
                <w:rFonts w:eastAsia="FrutigerNextPro-Light"/>
              </w:rPr>
              <w:t>t</w:t>
            </w:r>
            <w:r w:rsidRPr="0039670D">
              <w:rPr>
                <w:rFonts w:eastAsia="FrutigerNextPro-Light"/>
              </w:rPr>
              <w:t xml:space="preserve">he national level has the </w:t>
            </w:r>
            <w:r w:rsidRPr="00F55D05">
              <w:rPr>
                <w:rFonts w:eastAsia="FrutigerNextPro-Light"/>
              </w:rPr>
              <w:t>potential to generate budget savings of $12.2 billion for all levels of government (including $9.8 billion for the Australian Government) and would reduce natural disaster costs by more than 50% by 2050.</w:t>
            </w:r>
            <w:r w:rsidRPr="0039670D">
              <w:t xml:space="preserve"> </w:t>
            </w:r>
          </w:p>
        </w:tc>
      </w:tr>
      <w:tr w:rsidR="00DE1537" w14:paraId="0F861F93"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15AB2B3" w14:textId="77777777" w:rsidR="00DE1537" w:rsidRDefault="00DE1537">
            <w:pPr>
              <w:pStyle w:val="Box"/>
              <w:spacing w:before="0" w:line="120" w:lineRule="exact"/>
            </w:pPr>
          </w:p>
        </w:tc>
      </w:tr>
      <w:tr w:rsidR="00DE1537" w:rsidRPr="000863A5" w14:paraId="73156F5E" w14:textId="77777777" w:rsidTr="00343F3E">
        <w:tc>
          <w:tcPr>
            <w:tcW w:w="8771" w:type="dxa"/>
            <w:tcBorders>
              <w:top w:val="single" w:sz="6" w:space="0" w:color="78A22F"/>
              <w:left w:val="nil"/>
              <w:bottom w:val="nil"/>
              <w:right w:val="nil"/>
            </w:tcBorders>
          </w:tcPr>
          <w:p w14:paraId="2775F3C4" w14:textId="77777777" w:rsidR="00DE1537" w:rsidRPr="00626D32" w:rsidRDefault="00DE1537" w:rsidP="00343F3E">
            <w:pPr>
              <w:pStyle w:val="BoxSpaceBelow"/>
            </w:pPr>
          </w:p>
        </w:tc>
      </w:tr>
    </w:tbl>
    <w:p w14:paraId="185E6472" w14:textId="77777777" w:rsidR="00DE1537" w:rsidRDefault="00DE1537" w:rsidP="00343F3E">
      <w:pPr>
        <w:pStyle w:val="BodyText"/>
      </w:pPr>
      <w:r>
        <w:t>The Commission’s conceptual approach to projecting the fiscal costs of natural disasters to the Australian Government is based on a relationship between expected insurance losses and expected fiscal costs (box 7.5).</w:t>
      </w:r>
      <w:r>
        <w:rPr>
          <w:rStyle w:val="FootnoteReference"/>
        </w:rPr>
        <w:footnoteReference w:id="19"/>
      </w:r>
      <w:r>
        <w:t xml:space="preserve"> The following specification is used to obtain fiscal cost projections:</w:t>
      </w:r>
    </w:p>
    <w:p w14:paraId="78402BDF" w14:textId="77777777" w:rsidR="00DE1537" w:rsidRPr="00B3245B" w:rsidRDefault="00DE1537" w:rsidP="00343F3E">
      <w:pPr>
        <w:pStyle w:val="BodyText"/>
        <w:ind w:left="567"/>
        <w:rPr>
          <w:i/>
          <w:sz w:val="18"/>
          <w:vertAlign w:val="subscript"/>
        </w:rPr>
      </w:pPr>
      <w:proofErr w:type="gramStart"/>
      <w:r w:rsidRPr="00B3245B">
        <w:rPr>
          <w:i/>
        </w:rPr>
        <w:t>E(</w:t>
      </w:r>
      <w:proofErr w:type="gramEnd"/>
      <w:r>
        <w:rPr>
          <w:i/>
        </w:rPr>
        <w:t>Australian Government</w:t>
      </w:r>
      <w:r w:rsidRPr="00B3245B">
        <w:rPr>
          <w:i/>
        </w:rPr>
        <w:t xml:space="preserve"> </w:t>
      </w:r>
      <w:r>
        <w:rPr>
          <w:i/>
        </w:rPr>
        <w:t>f</w:t>
      </w:r>
      <w:r w:rsidRPr="00B3245B">
        <w:rPr>
          <w:i/>
        </w:rPr>
        <w:t>iscal costs of natural disasters)</w:t>
      </w:r>
      <w:r w:rsidRPr="00B3245B">
        <w:rPr>
          <w:i/>
          <w:vertAlign w:val="subscript"/>
        </w:rPr>
        <w:t>t</w:t>
      </w:r>
      <w:r w:rsidRPr="00B3245B">
        <w:rPr>
          <w:i/>
        </w:rPr>
        <w:t xml:space="preserve"> = </w:t>
      </w:r>
      <w:r w:rsidRPr="00B3245B">
        <w:rPr>
          <w:rFonts w:cs="Arial"/>
          <w:i/>
        </w:rPr>
        <w:t>θ</w:t>
      </w:r>
      <w:r w:rsidRPr="00B3245B">
        <w:rPr>
          <w:rFonts w:cs="Arial"/>
          <w:i/>
          <w:vertAlign w:val="subscript"/>
        </w:rPr>
        <w:t>0</w:t>
      </w:r>
      <w:r w:rsidRPr="00B3245B">
        <w:rPr>
          <w:i/>
        </w:rPr>
        <w:t>*</w:t>
      </w:r>
      <w:r w:rsidRPr="008F1B41">
        <w:rPr>
          <w:i/>
          <w:szCs w:val="24"/>
        </w:rPr>
        <w:t>E(in</w:t>
      </w:r>
      <w:r w:rsidRPr="007F6F61">
        <w:rPr>
          <w:i/>
          <w:szCs w:val="24"/>
        </w:rPr>
        <w:t>surance</w:t>
      </w:r>
      <w:r w:rsidRPr="00B3245B">
        <w:rPr>
          <w:i/>
        </w:rPr>
        <w:t xml:space="preserve"> losses from natural disasters)</w:t>
      </w:r>
      <w:r w:rsidRPr="00B3245B">
        <w:rPr>
          <w:i/>
          <w:sz w:val="18"/>
          <w:vertAlign w:val="subscript"/>
        </w:rPr>
        <w:t>t</w:t>
      </w:r>
      <w:r w:rsidRPr="00B3245B">
        <w:rPr>
          <w:i/>
          <w:sz w:val="18"/>
        </w:rPr>
        <w:t xml:space="preserve"> + </w:t>
      </w:r>
      <w:r w:rsidRPr="00B3245B">
        <w:rPr>
          <w:rFonts w:cs="Arial"/>
          <w:i/>
        </w:rPr>
        <w:t>θ</w:t>
      </w:r>
      <w:r w:rsidRPr="00B3245B">
        <w:rPr>
          <w:rFonts w:cs="Arial"/>
          <w:i/>
          <w:vertAlign w:val="subscript"/>
        </w:rPr>
        <w:t>1</w:t>
      </w:r>
      <w:r w:rsidRPr="00B3245B">
        <w:rPr>
          <w:i/>
        </w:rPr>
        <w:t>*</w:t>
      </w:r>
      <w:r w:rsidRPr="008F1B41">
        <w:rPr>
          <w:i/>
          <w:szCs w:val="24"/>
        </w:rPr>
        <w:t>E(in</w:t>
      </w:r>
      <w:r w:rsidRPr="007F6F61">
        <w:rPr>
          <w:i/>
          <w:szCs w:val="24"/>
        </w:rPr>
        <w:t>surance losses</w:t>
      </w:r>
      <w:r w:rsidRPr="00B3245B">
        <w:rPr>
          <w:i/>
        </w:rPr>
        <w:t xml:space="preserve"> from natural disasters)</w:t>
      </w:r>
      <w:r w:rsidRPr="00B3245B">
        <w:rPr>
          <w:i/>
          <w:sz w:val="18"/>
          <w:vertAlign w:val="subscript"/>
        </w:rPr>
        <w:t xml:space="preserve">t-1 </w:t>
      </w:r>
      <w:r w:rsidRPr="00B3245B">
        <w:rPr>
          <w:i/>
          <w:sz w:val="18"/>
        </w:rPr>
        <w:t xml:space="preserve">+…+ </w:t>
      </w:r>
      <w:r w:rsidRPr="00B3245B">
        <w:rPr>
          <w:rFonts w:cs="Arial"/>
          <w:i/>
        </w:rPr>
        <w:t>θ</w:t>
      </w:r>
      <w:r w:rsidRPr="00B3245B">
        <w:rPr>
          <w:rFonts w:cs="Arial"/>
          <w:i/>
          <w:vertAlign w:val="subscript"/>
        </w:rPr>
        <w:t>n</w:t>
      </w:r>
      <w:r w:rsidRPr="00B3245B">
        <w:rPr>
          <w:i/>
        </w:rPr>
        <w:t>*</w:t>
      </w:r>
      <w:r w:rsidRPr="008F1B41">
        <w:rPr>
          <w:i/>
          <w:szCs w:val="24"/>
        </w:rPr>
        <w:t>E(in</w:t>
      </w:r>
      <w:r w:rsidRPr="007F6F61">
        <w:rPr>
          <w:i/>
          <w:szCs w:val="24"/>
        </w:rPr>
        <w:t>surance</w:t>
      </w:r>
      <w:r w:rsidRPr="00B3245B">
        <w:rPr>
          <w:i/>
        </w:rPr>
        <w:t xml:space="preserve"> losses from natural disasters)</w:t>
      </w:r>
      <w:r w:rsidRPr="00B3245B">
        <w:rPr>
          <w:i/>
          <w:sz w:val="18"/>
          <w:vertAlign w:val="subscript"/>
        </w:rPr>
        <w:t>t-n</w:t>
      </w:r>
    </w:p>
    <w:p w14:paraId="50E00EA2" w14:textId="0A6ABB45" w:rsidR="00DE1537" w:rsidRDefault="00DE1537" w:rsidP="00343F3E">
      <w:pPr>
        <w:pStyle w:val="BodyText"/>
      </w:pPr>
      <w:r>
        <w:t xml:space="preserve">This approach shares similarities with existing empirical approaches. For example, Cummins, Suher and Zanjani </w:t>
      </w:r>
      <w:r w:rsidRPr="00A04968">
        <w:t>(2010)</w:t>
      </w:r>
      <w:r>
        <w:t xml:space="preserve"> used the following approach to forecast the fiscal costs of natural disasters in the United States: </w:t>
      </w:r>
    </w:p>
    <w:p w14:paraId="3E9E4A06" w14:textId="77777777" w:rsidR="00DE1537" w:rsidRDefault="00DE1537" w:rsidP="00343F3E">
      <w:pPr>
        <w:pStyle w:val="ListNumber"/>
      </w:pPr>
      <w:r>
        <w:t>Examine the relationship between catastrophe damages and relief expenditure by the Federal Government over the period 1989 to 2008 to estimate the federal relief expenditure likely to result from catastrophe losses.</w:t>
      </w:r>
    </w:p>
    <w:p w14:paraId="598A949B" w14:textId="77777777" w:rsidR="00DE1537" w:rsidRDefault="00DE1537" w:rsidP="00343F3E">
      <w:pPr>
        <w:pStyle w:val="ListNumber"/>
      </w:pPr>
      <w:r>
        <w:t>Produce a probable annual catastrophe loss distribution.</w:t>
      </w:r>
    </w:p>
    <w:p w14:paraId="3473E2A3" w14:textId="77777777" w:rsidR="00DE1537" w:rsidRDefault="00DE1537" w:rsidP="00343F3E">
      <w:pPr>
        <w:pStyle w:val="ListNumber"/>
      </w:pPr>
      <w:r>
        <w:t>Apply the estimated ratio of federal relief expenditure to catastrophe damages (obtained in step one) to the estimated catastrophe loss distribution (obtained in step two) to produce a distribution for estimated annual federal disaster expenditure. The liability of the Federal Government resulting from catastrophe losses was also estimated.</w:t>
      </w:r>
    </w:p>
    <w:p w14:paraId="5CCA695F"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A5C00BB" w14:textId="77777777" w:rsidTr="00343F3E">
        <w:tc>
          <w:tcPr>
            <w:tcW w:w="8771" w:type="dxa"/>
            <w:tcBorders>
              <w:top w:val="single" w:sz="6" w:space="0" w:color="78A22F"/>
              <w:left w:val="nil"/>
              <w:bottom w:val="nil"/>
              <w:right w:val="nil"/>
            </w:tcBorders>
            <w:shd w:val="clear" w:color="auto" w:fill="F2F2F2"/>
          </w:tcPr>
          <w:p w14:paraId="5C393967" w14:textId="48378F7C" w:rsidR="00DE1537" w:rsidRDefault="00DE1537" w:rsidP="00343F3E">
            <w:pPr>
              <w:pStyle w:val="BoxTitle"/>
            </w:pPr>
            <w:r>
              <w:rPr>
                <w:b w:val="0"/>
              </w:rPr>
              <w:t>Box 7.</w:t>
            </w:r>
            <w:r>
              <w:rPr>
                <w:b w:val="0"/>
                <w:noProof/>
              </w:rPr>
              <w:t>5</w:t>
            </w:r>
            <w:r>
              <w:tab/>
              <w:t>Conceptual approach to projecting fiscal costs</w:t>
            </w:r>
          </w:p>
        </w:tc>
      </w:tr>
      <w:tr w:rsidR="00DE1537" w14:paraId="66BA2342" w14:textId="77777777" w:rsidTr="00343F3E">
        <w:trPr>
          <w:cantSplit/>
        </w:trPr>
        <w:tc>
          <w:tcPr>
            <w:tcW w:w="8771" w:type="dxa"/>
            <w:tcBorders>
              <w:top w:val="nil"/>
              <w:left w:val="nil"/>
              <w:bottom w:val="nil"/>
              <w:right w:val="nil"/>
            </w:tcBorders>
            <w:shd w:val="clear" w:color="auto" w:fill="F2F2F2"/>
          </w:tcPr>
          <w:p w14:paraId="5694D761" w14:textId="77777777" w:rsidR="00DE1537" w:rsidRDefault="00DE1537" w:rsidP="00343F3E">
            <w:pPr>
              <w:pStyle w:val="Box"/>
            </w:pPr>
            <w:r>
              <w:t>In aggregate, the expected fiscal costs of natural disasters to the Australian Government (AG) are the sum of two components:</w:t>
            </w:r>
          </w:p>
          <w:p w14:paraId="27178F16" w14:textId="77777777" w:rsidR="00DE1537" w:rsidRPr="008F1B41" w:rsidRDefault="00DE1537" w:rsidP="00343F3E">
            <w:pPr>
              <w:pStyle w:val="Box"/>
              <w:ind w:left="567"/>
              <w:rPr>
                <w:i/>
                <w:vertAlign w:val="subscript"/>
              </w:rPr>
            </w:pPr>
            <w:r w:rsidRPr="008F1B41">
              <w:rPr>
                <w:i/>
              </w:rPr>
              <w:t>E(</w:t>
            </w:r>
            <w:r>
              <w:rPr>
                <w:i/>
              </w:rPr>
              <w:t>AG</w:t>
            </w:r>
            <w:r w:rsidRPr="008F1B41">
              <w:rPr>
                <w:i/>
              </w:rPr>
              <w:t xml:space="preserve"> </w:t>
            </w:r>
            <w:r>
              <w:rPr>
                <w:i/>
              </w:rPr>
              <w:t>f</w:t>
            </w:r>
            <w:r w:rsidRPr="008F1B41">
              <w:rPr>
                <w:i/>
              </w:rPr>
              <w:t>iscal costs of natural disasters)</w:t>
            </w:r>
            <w:r w:rsidRPr="008F1B41">
              <w:rPr>
                <w:i/>
                <w:vertAlign w:val="subscript"/>
              </w:rPr>
              <w:t>t</w:t>
            </w:r>
            <w:r w:rsidRPr="008F1B41">
              <w:rPr>
                <w:i/>
              </w:rPr>
              <w:t xml:space="preserve"> = pre-disaster expenditure</w:t>
            </w:r>
            <w:r w:rsidRPr="008F1B41">
              <w:rPr>
                <w:i/>
                <w:vertAlign w:val="subscript"/>
              </w:rPr>
              <w:t>t</w:t>
            </w:r>
            <w:r w:rsidRPr="008F1B41">
              <w:rPr>
                <w:i/>
              </w:rPr>
              <w:t xml:space="preserve"> + E(post-disaster expenditure)</w:t>
            </w:r>
            <w:r w:rsidRPr="008F1B41">
              <w:rPr>
                <w:i/>
                <w:vertAlign w:val="subscript"/>
              </w:rPr>
              <w:t>t</w:t>
            </w:r>
          </w:p>
          <w:p w14:paraId="4DD91994" w14:textId="77777777" w:rsidR="00DE1537" w:rsidRDefault="00DE1537" w:rsidP="00343F3E">
            <w:pPr>
              <w:pStyle w:val="Box"/>
            </w:pPr>
            <w:r>
              <w:t>Since pre</w:t>
            </w:r>
            <w:r>
              <w:noBreakHyphen/>
              <w:t>disaster expenditure accounted for under 5 per cent of total fiscal costs in the past decade (supplementary paper 1), total fiscal costs are mostly dependent on post</w:t>
            </w:r>
            <w:r>
              <w:noBreakHyphen/>
              <w:t>disaster expenditure:</w:t>
            </w:r>
          </w:p>
          <w:p w14:paraId="1CB733C3" w14:textId="77777777" w:rsidR="00DE1537" w:rsidRPr="008F1B41" w:rsidRDefault="00DE1537" w:rsidP="00343F3E">
            <w:pPr>
              <w:pStyle w:val="Box"/>
              <w:ind w:left="567"/>
              <w:rPr>
                <w:i/>
                <w:vertAlign w:val="subscript"/>
              </w:rPr>
            </w:pPr>
            <w:r w:rsidRPr="008F1B41">
              <w:rPr>
                <w:i/>
              </w:rPr>
              <w:t>E(</w:t>
            </w:r>
            <w:r>
              <w:rPr>
                <w:i/>
              </w:rPr>
              <w:t>AG f</w:t>
            </w:r>
            <w:r w:rsidRPr="008F1B41">
              <w:rPr>
                <w:i/>
              </w:rPr>
              <w:t>iscal costs of natural disasters)</w:t>
            </w:r>
            <w:r w:rsidRPr="008F1B41">
              <w:rPr>
                <w:i/>
                <w:vertAlign w:val="subscript"/>
              </w:rPr>
              <w:t>t</w:t>
            </w:r>
            <w:r w:rsidRPr="008F1B41">
              <w:rPr>
                <w:i/>
              </w:rPr>
              <w:t xml:space="preserve"> = </w:t>
            </w:r>
            <w:r w:rsidRPr="008F1B41">
              <w:rPr>
                <w:rFonts w:cs="Arial"/>
                <w:i/>
              </w:rPr>
              <w:t>α</w:t>
            </w:r>
            <w:r w:rsidRPr="008F1B41">
              <w:rPr>
                <w:i/>
              </w:rPr>
              <w:t xml:space="preserve"> * E(post-disaster expenditure)</w:t>
            </w:r>
            <w:r w:rsidRPr="008F1B41">
              <w:rPr>
                <w:i/>
                <w:vertAlign w:val="subscript"/>
              </w:rPr>
              <w:t>t</w:t>
            </w:r>
          </w:p>
          <w:p w14:paraId="3B497005" w14:textId="77777777" w:rsidR="00DE1537" w:rsidRPr="008F1B41" w:rsidRDefault="00DE1537" w:rsidP="00343F3E">
            <w:pPr>
              <w:pStyle w:val="Box"/>
              <w:rPr>
                <w:vertAlign w:val="subscript"/>
              </w:rPr>
            </w:pPr>
            <w:r>
              <w:t>Almost all post</w:t>
            </w:r>
            <w:r>
              <w:noBreakHyphen/>
              <w:t>disaster expenditure is through NDRRA payments:</w:t>
            </w:r>
          </w:p>
          <w:p w14:paraId="0B5B41CB" w14:textId="77777777" w:rsidR="00DE1537" w:rsidRPr="008F1B41" w:rsidRDefault="00DE1537" w:rsidP="00343F3E">
            <w:pPr>
              <w:pStyle w:val="Box"/>
              <w:ind w:left="567"/>
              <w:rPr>
                <w:i/>
                <w:vertAlign w:val="subscript"/>
              </w:rPr>
            </w:pPr>
            <w:r w:rsidRPr="008F1B41">
              <w:rPr>
                <w:i/>
              </w:rPr>
              <w:t>E(post-disaster expenditure)</w:t>
            </w:r>
            <w:r w:rsidRPr="008F1B41">
              <w:rPr>
                <w:i/>
                <w:vertAlign w:val="subscript"/>
              </w:rPr>
              <w:t>t</w:t>
            </w:r>
            <w:r w:rsidRPr="008F1B41">
              <w:rPr>
                <w:i/>
              </w:rPr>
              <w:t xml:space="preserve"> = E(assistance to </w:t>
            </w:r>
            <w:r>
              <w:rPr>
                <w:i/>
              </w:rPr>
              <w:t>households</w:t>
            </w:r>
            <w:r w:rsidRPr="008F1B41">
              <w:rPr>
                <w:i/>
              </w:rPr>
              <w:t>, businesses</w:t>
            </w:r>
            <w:r>
              <w:rPr>
                <w:i/>
              </w:rPr>
              <w:t>,</w:t>
            </w:r>
            <w:r w:rsidRPr="008F1B41">
              <w:rPr>
                <w:i/>
              </w:rPr>
              <w:t xml:space="preserve"> communities</w:t>
            </w:r>
            <w:r>
              <w:rPr>
                <w:i/>
              </w:rPr>
              <w:t xml:space="preserve"> and lower levels of government</w:t>
            </w:r>
            <w:r w:rsidRPr="008F1B41">
              <w:rPr>
                <w:i/>
              </w:rPr>
              <w:t xml:space="preserve"> via NDRRA payments to state and territor</w:t>
            </w:r>
            <w:r>
              <w:rPr>
                <w:i/>
              </w:rPr>
              <w:t>y governments</w:t>
            </w:r>
            <w:r w:rsidRPr="008F1B41">
              <w:rPr>
                <w:i/>
              </w:rPr>
              <w:t>)</w:t>
            </w:r>
            <w:r w:rsidRPr="008F1B41">
              <w:rPr>
                <w:i/>
                <w:vertAlign w:val="subscript"/>
              </w:rPr>
              <w:t>t</w:t>
            </w:r>
          </w:p>
          <w:p w14:paraId="46F7B148" w14:textId="77777777" w:rsidR="00DE1537" w:rsidRPr="00790601" w:rsidRDefault="00DE1537" w:rsidP="00343F3E">
            <w:pPr>
              <w:pStyle w:val="Box"/>
            </w:pPr>
            <w:r>
              <w:t>Expenditure in a given year</w:t>
            </w:r>
            <w:r w:rsidRPr="00EA0D8C">
              <w:t xml:space="preserve"> depends on the damage cause</w:t>
            </w:r>
            <w:r>
              <w:t>d</w:t>
            </w:r>
            <w:r w:rsidRPr="00EA0D8C">
              <w:t xml:space="preserve"> by natural disasters</w:t>
            </w:r>
            <w:r>
              <w:t xml:space="preserve"> in that year and a few years prior. This is because, under the NDRRA, government assistance can be provided over several years after a natural disaster. Therefore:</w:t>
            </w:r>
          </w:p>
          <w:p w14:paraId="2758FB43" w14:textId="77777777" w:rsidR="00DE1537" w:rsidRPr="008F1B41" w:rsidRDefault="00DE1537" w:rsidP="00343F3E">
            <w:pPr>
              <w:pStyle w:val="Box"/>
              <w:ind w:left="567"/>
              <w:rPr>
                <w:i/>
              </w:rPr>
            </w:pPr>
            <w:r>
              <w:rPr>
                <w:i/>
              </w:rPr>
              <w:t>E(assistance to household</w:t>
            </w:r>
            <w:r w:rsidRPr="008F1B41">
              <w:rPr>
                <w:i/>
              </w:rPr>
              <w:t>s, businesses and communities via NDRRA payments to states and territories)</w:t>
            </w:r>
            <w:r w:rsidRPr="008F1B41">
              <w:rPr>
                <w:i/>
                <w:vertAlign w:val="subscript"/>
              </w:rPr>
              <w:t>t</w:t>
            </w:r>
            <w:r w:rsidRPr="008F1B41">
              <w:rPr>
                <w:i/>
              </w:rPr>
              <w:t xml:space="preserve"> = </w:t>
            </w:r>
            <w:r w:rsidRPr="008F1B41">
              <w:rPr>
                <w:rFonts w:cs="Arial"/>
                <w:i/>
              </w:rPr>
              <w:t>ρ</w:t>
            </w:r>
            <w:r w:rsidRPr="008F1B41">
              <w:rPr>
                <w:i/>
                <w:vertAlign w:val="subscript"/>
              </w:rPr>
              <w:t>0</w:t>
            </w:r>
            <w:r w:rsidRPr="008F1B41">
              <w:rPr>
                <w:i/>
              </w:rPr>
              <w:t>*natural disaster damage</w:t>
            </w:r>
            <w:r w:rsidRPr="008F1B41">
              <w:rPr>
                <w:i/>
                <w:vertAlign w:val="subscript"/>
              </w:rPr>
              <w:t xml:space="preserve">t </w:t>
            </w:r>
            <w:r w:rsidRPr="008F1B41">
              <w:rPr>
                <w:i/>
              </w:rPr>
              <w:t xml:space="preserve">+ </w:t>
            </w:r>
            <w:r w:rsidRPr="008F1B41">
              <w:rPr>
                <w:rFonts w:cs="Arial"/>
                <w:i/>
              </w:rPr>
              <w:t>ρ</w:t>
            </w:r>
            <w:r w:rsidRPr="008F1B41">
              <w:rPr>
                <w:i/>
                <w:vertAlign w:val="subscript"/>
              </w:rPr>
              <w:t>1</w:t>
            </w:r>
            <w:r w:rsidRPr="008F1B41">
              <w:rPr>
                <w:i/>
              </w:rPr>
              <w:t>*natural disaster damage</w:t>
            </w:r>
            <w:r w:rsidRPr="008F1B41">
              <w:rPr>
                <w:i/>
                <w:vertAlign w:val="subscript"/>
              </w:rPr>
              <w:t>t-1</w:t>
            </w:r>
            <w:r w:rsidRPr="008F1B41">
              <w:rPr>
                <w:i/>
              </w:rPr>
              <w:t xml:space="preserve"> +…+ </w:t>
            </w:r>
            <w:r w:rsidRPr="008F1B41">
              <w:rPr>
                <w:rFonts w:cs="Arial"/>
                <w:i/>
              </w:rPr>
              <w:t>ρ</w:t>
            </w:r>
            <w:r w:rsidRPr="008F1B41">
              <w:rPr>
                <w:i/>
                <w:vertAlign w:val="subscript"/>
              </w:rPr>
              <w:t>n</w:t>
            </w:r>
            <w:r w:rsidRPr="008F1B41">
              <w:rPr>
                <w:i/>
              </w:rPr>
              <w:t>*natural disaster damage</w:t>
            </w:r>
            <w:r w:rsidRPr="008F1B41">
              <w:rPr>
                <w:i/>
                <w:vertAlign w:val="subscript"/>
              </w:rPr>
              <w:t>t-n</w:t>
            </w:r>
          </w:p>
          <w:p w14:paraId="1BAC0698" w14:textId="77777777" w:rsidR="00DE1537" w:rsidRDefault="00DE1537" w:rsidP="00343F3E">
            <w:pPr>
              <w:pStyle w:val="Box"/>
            </w:pPr>
            <w:r>
              <w:t>Natural disaster damage is usually proxied by the insurance losses from natural disasters (supplementary paper 1). Therefore:</w:t>
            </w:r>
          </w:p>
          <w:p w14:paraId="3185B31C" w14:textId="77777777" w:rsidR="00DE1537" w:rsidRPr="008F1B41" w:rsidRDefault="00DE1537" w:rsidP="00343F3E">
            <w:pPr>
              <w:pStyle w:val="Box"/>
              <w:ind w:left="567"/>
              <w:rPr>
                <w:i/>
                <w:sz w:val="18"/>
              </w:rPr>
            </w:pPr>
            <w:r w:rsidRPr="008F1B41">
              <w:rPr>
                <w:i/>
              </w:rPr>
              <w:t>Natural disaster damage</w:t>
            </w:r>
            <w:r w:rsidRPr="008F1B41">
              <w:rPr>
                <w:i/>
                <w:sz w:val="18"/>
                <w:vertAlign w:val="subscript"/>
              </w:rPr>
              <w:t>t</w:t>
            </w:r>
            <w:r w:rsidRPr="008F1B41">
              <w:rPr>
                <w:i/>
              </w:rPr>
              <w:t xml:space="preserve"> = </w:t>
            </w:r>
            <w:r w:rsidRPr="008F1B41">
              <w:rPr>
                <w:rFonts w:cs="Arial"/>
                <w:i/>
              </w:rPr>
              <w:t>β</w:t>
            </w:r>
            <w:r w:rsidRPr="008F1B41">
              <w:rPr>
                <w:i/>
              </w:rPr>
              <w:t>*(insurance losses from natural disasters)</w:t>
            </w:r>
            <w:r w:rsidRPr="005279C6">
              <w:rPr>
                <w:i/>
                <w:sz w:val="18"/>
                <w:vertAlign w:val="subscript"/>
              </w:rPr>
              <w:t>t</w:t>
            </w:r>
          </w:p>
          <w:p w14:paraId="7135145B" w14:textId="77777777" w:rsidR="00DE1537" w:rsidRDefault="00DE1537" w:rsidP="00343F3E">
            <w:pPr>
              <w:pStyle w:val="Box"/>
            </w:pPr>
            <w:r>
              <w:t>Therefore:</w:t>
            </w:r>
          </w:p>
          <w:p w14:paraId="1C5AE970" w14:textId="77777777" w:rsidR="00DE1537" w:rsidRPr="003C41C7" w:rsidRDefault="00DE1537" w:rsidP="00343F3E">
            <w:pPr>
              <w:pStyle w:val="Box"/>
              <w:ind w:left="567"/>
            </w:pPr>
            <w:r w:rsidRPr="00264D74">
              <w:rPr>
                <w:i/>
              </w:rPr>
              <w:t>E(</w:t>
            </w:r>
            <w:r>
              <w:rPr>
                <w:i/>
              </w:rPr>
              <w:t>AG f</w:t>
            </w:r>
            <w:r w:rsidRPr="00264D74">
              <w:rPr>
                <w:i/>
              </w:rPr>
              <w:t>iscal costs of natural disasters)</w:t>
            </w:r>
            <w:r w:rsidRPr="00264D74">
              <w:rPr>
                <w:i/>
                <w:vertAlign w:val="subscript"/>
              </w:rPr>
              <w:t>t</w:t>
            </w:r>
            <w:r w:rsidRPr="00264D74">
              <w:rPr>
                <w:i/>
              </w:rPr>
              <w:t xml:space="preserve"> = </w:t>
            </w:r>
            <w:r w:rsidRPr="00264D74">
              <w:rPr>
                <w:rFonts w:cs="Arial"/>
                <w:i/>
              </w:rPr>
              <w:t>θ</w:t>
            </w:r>
            <w:r w:rsidRPr="00264D74">
              <w:rPr>
                <w:rFonts w:cs="Arial"/>
                <w:i/>
                <w:vertAlign w:val="subscript"/>
              </w:rPr>
              <w:t>0</w:t>
            </w:r>
            <w:r w:rsidRPr="00264D74">
              <w:rPr>
                <w:i/>
              </w:rPr>
              <w:t>*E(insurance losses from natural disasters)</w:t>
            </w:r>
            <w:r w:rsidRPr="00264D74">
              <w:rPr>
                <w:i/>
                <w:sz w:val="18"/>
                <w:vertAlign w:val="subscript"/>
              </w:rPr>
              <w:t>t</w:t>
            </w:r>
            <w:r w:rsidRPr="00264D74">
              <w:rPr>
                <w:i/>
                <w:sz w:val="18"/>
              </w:rPr>
              <w:t xml:space="preserve"> + </w:t>
            </w:r>
            <w:r w:rsidRPr="00264D74">
              <w:rPr>
                <w:rFonts w:cs="Arial"/>
                <w:i/>
              </w:rPr>
              <w:t>θ</w:t>
            </w:r>
            <w:r w:rsidRPr="00264D74">
              <w:rPr>
                <w:rFonts w:cs="Arial"/>
                <w:i/>
                <w:vertAlign w:val="subscript"/>
              </w:rPr>
              <w:t>1</w:t>
            </w:r>
            <w:r w:rsidRPr="00264D74">
              <w:rPr>
                <w:i/>
              </w:rPr>
              <w:t>*E(insurance losses from natural disasters)</w:t>
            </w:r>
            <w:r w:rsidRPr="00264D74">
              <w:rPr>
                <w:i/>
                <w:sz w:val="18"/>
                <w:vertAlign w:val="subscript"/>
              </w:rPr>
              <w:t xml:space="preserve">t-1 </w:t>
            </w:r>
            <w:r w:rsidRPr="00264D74">
              <w:rPr>
                <w:i/>
                <w:sz w:val="18"/>
              </w:rPr>
              <w:t xml:space="preserve">+…+ </w:t>
            </w:r>
            <w:r w:rsidRPr="00264D74">
              <w:rPr>
                <w:rFonts w:cs="Arial"/>
                <w:i/>
              </w:rPr>
              <w:t>θ</w:t>
            </w:r>
            <w:r w:rsidRPr="00264D74">
              <w:rPr>
                <w:rFonts w:cs="Arial"/>
                <w:i/>
                <w:vertAlign w:val="subscript"/>
              </w:rPr>
              <w:t>n</w:t>
            </w:r>
            <w:r w:rsidRPr="00264D74">
              <w:rPr>
                <w:i/>
              </w:rPr>
              <w:t>*E(insurance losses from natural disasters)</w:t>
            </w:r>
            <w:r w:rsidRPr="00264D74">
              <w:rPr>
                <w:i/>
                <w:sz w:val="18"/>
                <w:vertAlign w:val="subscript"/>
              </w:rPr>
              <w:t>t-n</w:t>
            </w:r>
          </w:p>
        </w:tc>
      </w:tr>
      <w:tr w:rsidR="00DE1537" w14:paraId="087E2DCB" w14:textId="77777777" w:rsidTr="00343F3E">
        <w:trPr>
          <w:cantSplit/>
        </w:trPr>
        <w:tc>
          <w:tcPr>
            <w:tcW w:w="8771" w:type="dxa"/>
            <w:tcBorders>
              <w:top w:val="nil"/>
              <w:left w:val="nil"/>
              <w:bottom w:val="single" w:sz="6" w:space="0" w:color="78A22F"/>
              <w:right w:val="nil"/>
            </w:tcBorders>
            <w:shd w:val="clear" w:color="auto" w:fill="F2F2F2"/>
          </w:tcPr>
          <w:p w14:paraId="0DE79650" w14:textId="77777777" w:rsidR="00DE1537" w:rsidRDefault="00DE1537" w:rsidP="00343F3E">
            <w:pPr>
              <w:pStyle w:val="Box"/>
              <w:spacing w:before="0" w:line="120" w:lineRule="exact"/>
            </w:pPr>
          </w:p>
        </w:tc>
      </w:tr>
      <w:tr w:rsidR="00DE1537" w:rsidRPr="000863A5" w14:paraId="4578D652" w14:textId="77777777" w:rsidTr="00343F3E">
        <w:tc>
          <w:tcPr>
            <w:tcW w:w="8771" w:type="dxa"/>
            <w:tcBorders>
              <w:top w:val="single" w:sz="6" w:space="0" w:color="78A22F"/>
              <w:left w:val="nil"/>
              <w:bottom w:val="nil"/>
              <w:right w:val="nil"/>
            </w:tcBorders>
          </w:tcPr>
          <w:p w14:paraId="6BAF7718" w14:textId="77777777" w:rsidR="00DE1537" w:rsidRPr="00626D32" w:rsidRDefault="00DE1537" w:rsidP="00343F3E">
            <w:pPr>
              <w:pStyle w:val="BoxSpaceBelow"/>
            </w:pPr>
          </w:p>
        </w:tc>
      </w:tr>
    </w:tbl>
    <w:p w14:paraId="47C2D258" w14:textId="77777777" w:rsidR="00DE1537" w:rsidRDefault="00DE1537" w:rsidP="00343F3E">
      <w:pPr>
        <w:pStyle w:val="BodyText"/>
      </w:pPr>
      <w:r>
        <w:t>The Commission did not have access to catastrophe modelling to produce a distribution of expected catastrophe losses. Projected insurance losses from time series analysis were used instead. In estimating expected natural disaster expenditure, insurers generally have access to sophisticated, and often commercial</w:t>
      </w:r>
      <w:r>
        <w:noBreakHyphen/>
        <w:t>in</w:t>
      </w:r>
      <w:r>
        <w:noBreakHyphen/>
        <w:t xml:space="preserve">confidence, tools. </w:t>
      </w:r>
      <w:proofErr w:type="gramStart"/>
      <w:r>
        <w:t>For example, Suncorp (sub.</w:t>
      </w:r>
      <w:proofErr w:type="gramEnd"/>
      <w:r>
        <w:t> DR176, p. 9) submitted that:</w:t>
      </w:r>
    </w:p>
    <w:p w14:paraId="180C498C" w14:textId="77777777" w:rsidR="00DE1537" w:rsidRPr="00EF0B1D" w:rsidRDefault="00DE1537" w:rsidP="00343F3E">
      <w:pPr>
        <w:pStyle w:val="Quote"/>
      </w:pPr>
      <w:r w:rsidRPr="00EF0B1D">
        <w:t>Insurers account for future natural disaster expenditure through natural hazard allowances. Each annual budget includes an allowance based on the long</w:t>
      </w:r>
      <w:r>
        <w:noBreakHyphen/>
      </w:r>
      <w:r w:rsidRPr="00EF0B1D">
        <w:t xml:space="preserve">run estimate of disaster expenses that can be expected in a typical year, known as an Annual Average Loss (AAL). This calculation takes into account exposure data and the statistical probability of extreme events. </w:t>
      </w:r>
    </w:p>
    <w:p w14:paraId="2A6E2F97" w14:textId="77777777" w:rsidR="00DE1537" w:rsidRDefault="00DE1537" w:rsidP="00343F3E">
      <w:pPr>
        <w:pStyle w:val="Quote"/>
      </w:pPr>
      <w:r w:rsidRPr="00EF0B1D">
        <w:t>Allowances are set by considering catastrophe models that forecast exposure to risk by simulating thousands of events over hundreds of years.</w:t>
      </w:r>
    </w:p>
    <w:p w14:paraId="60248261" w14:textId="77777777" w:rsidR="00DE1537" w:rsidRDefault="00DE1537" w:rsidP="00343F3E">
      <w:pPr>
        <w:pStyle w:val="Heading3"/>
      </w:pPr>
      <w:r>
        <w:lastRenderedPageBreak/>
        <w:t>Addressing uncertainty through sensitivity analysis</w:t>
      </w:r>
    </w:p>
    <w:p w14:paraId="73AAAADC" w14:textId="77777777" w:rsidR="00DE1537" w:rsidRDefault="00DE1537" w:rsidP="00343F3E">
      <w:pPr>
        <w:pStyle w:val="BodyText"/>
      </w:pPr>
      <w:r>
        <w:t>There is significant uncertainty associated with projecting natural disaster costs under different funding arrangements. A number of factors cannot be explicitly taken into account, including the:</w:t>
      </w:r>
    </w:p>
    <w:p w14:paraId="7569C223" w14:textId="77777777" w:rsidR="00DE1537" w:rsidRDefault="00DE1537" w:rsidP="00343F3E">
      <w:pPr>
        <w:pStyle w:val="ListBullet"/>
      </w:pPr>
      <w:r>
        <w:t>changes in variables that could affect exposure and vulnerability to natural disasters, such as building standards for new public and private infrastructure, growth in prices and wealth, and population migration patterns to disaster prone areas</w:t>
      </w:r>
    </w:p>
    <w:p w14:paraId="7549C175" w14:textId="77777777" w:rsidR="00DE1537" w:rsidRDefault="00DE1537" w:rsidP="00343F3E">
      <w:pPr>
        <w:pStyle w:val="ListBullet"/>
      </w:pPr>
      <w:r>
        <w:t>changes in the occurrence and intensity of extreme weather events</w:t>
      </w:r>
    </w:p>
    <w:p w14:paraId="298F9260" w14:textId="77777777" w:rsidR="00DE1537" w:rsidRDefault="00DE1537" w:rsidP="00343F3E">
      <w:pPr>
        <w:pStyle w:val="ListBullet"/>
      </w:pPr>
      <w:r>
        <w:t>random nature of natural disasters</w:t>
      </w:r>
    </w:p>
    <w:p w14:paraId="03EF43DF" w14:textId="39F2D156" w:rsidR="00DE1537" w:rsidRDefault="00DE1537" w:rsidP="00343F3E">
      <w:pPr>
        <w:pStyle w:val="ListBullet"/>
      </w:pPr>
      <w:proofErr w:type="gramStart"/>
      <w:r>
        <w:t>changes</w:t>
      </w:r>
      <w:proofErr w:type="gramEnd"/>
      <w:r>
        <w:t xml:space="preserve"> in government policy that affect the fiscal cost of natural disasters (some of these factors are outlined in Walker et al. </w:t>
      </w:r>
      <w:r w:rsidRPr="00DC62DF">
        <w:t>(2014)</w:t>
      </w:r>
      <w:r>
        <w:t>).</w:t>
      </w:r>
    </w:p>
    <w:p w14:paraId="0D0B7112" w14:textId="292EB9E0" w:rsidR="00DE1537" w:rsidRDefault="00DE1537" w:rsidP="00343F3E">
      <w:pPr>
        <w:pStyle w:val="BodyText"/>
      </w:pPr>
      <w:r>
        <w:t xml:space="preserve">The Commission’s evaluation of funding arrangements included sensitivity analysis where possible to address these different sources of uncertainty — for example, by using different revenue thresholds and cost-sharing rates in section 7.5. (Sensitivity analysis involves changing selected assumptions and examining how the results vary.) Sensitivity analysis also considered some of the changes to current funding arrangements recommended by the National Commission of Audit </w:t>
      </w:r>
      <w:r w:rsidRPr="00391CF1">
        <w:t>(2014)</w:t>
      </w:r>
      <w:r>
        <w:t xml:space="preserve"> (box 7.6).</w:t>
      </w:r>
    </w:p>
    <w:p w14:paraId="0AFD75B7" w14:textId="77777777" w:rsidR="00DE1537" w:rsidRDefault="00DE1537" w:rsidP="00343F3E">
      <w:pPr>
        <w:pStyle w:val="Heading3"/>
      </w:pPr>
      <w:r>
        <w:t>Modelling limitations</w:t>
      </w:r>
    </w:p>
    <w:p w14:paraId="3899AD78" w14:textId="77777777" w:rsidR="00DE1537" w:rsidRPr="00123DD3" w:rsidRDefault="00DE1537" w:rsidP="00343F3E">
      <w:pPr>
        <w:pStyle w:val="BodyText"/>
      </w:pPr>
      <w:r>
        <w:t xml:space="preserve">A number of reform impacts cannot be assessed quantitatively. These include possible behavioural responses to policy changes, in particular the </w:t>
      </w:r>
      <w:r w:rsidRPr="00123DD3">
        <w:t>impact of new funding arrangements on incentives</w:t>
      </w:r>
      <w:r>
        <w:t xml:space="preserve"> and</w:t>
      </w:r>
      <w:r w:rsidRPr="00123DD3">
        <w:t xml:space="preserve"> risk management behaviour of governments, households and businesses. For example:</w:t>
      </w:r>
    </w:p>
    <w:p w14:paraId="7AA0B313" w14:textId="77777777" w:rsidR="00DE1537" w:rsidRPr="00347B1F" w:rsidRDefault="00DE1537" w:rsidP="00343F3E">
      <w:pPr>
        <w:pStyle w:val="ListBullet"/>
      </w:pPr>
      <w:r w:rsidRPr="0093384A">
        <w:t xml:space="preserve">if lower levels of government are now </w:t>
      </w:r>
      <w:r w:rsidRPr="00347B1F">
        <w:t xml:space="preserve">bearing a higher cost of rebuilding following a natural disaster, </w:t>
      </w:r>
      <w:r>
        <w:t>this could</w:t>
      </w:r>
      <w:r w:rsidRPr="00347B1F">
        <w:t xml:space="preserve"> increase their incentive to invest in disaster mitigation and to take out insurance for essential public assets in addition to existing mitigation initiatives</w:t>
      </w:r>
    </w:p>
    <w:p w14:paraId="0202E1FB" w14:textId="77777777" w:rsidR="00DE1537" w:rsidRPr="00347B1F" w:rsidRDefault="00DE1537" w:rsidP="00343F3E">
      <w:pPr>
        <w:pStyle w:val="ListBullet"/>
      </w:pPr>
      <w:r w:rsidRPr="00AC74A3">
        <w:t>where Australian Government contributions are reduced</w:t>
      </w:r>
      <w:r>
        <w:t xml:space="preserve"> because some items of expenditure are no longer eligible for cost sharing</w:t>
      </w:r>
      <w:r w:rsidRPr="00AC74A3">
        <w:t xml:space="preserve">, </w:t>
      </w:r>
      <w:r>
        <w:t xml:space="preserve">this </w:t>
      </w:r>
      <w:r w:rsidRPr="00AC74A3">
        <w:t>expenditure</w:t>
      </w:r>
      <w:r>
        <w:t xml:space="preserve"> could still</w:t>
      </w:r>
      <w:r w:rsidRPr="00AC74A3">
        <w:t xml:space="preserve"> occur but instead </w:t>
      </w:r>
      <w:r>
        <w:t>be</w:t>
      </w:r>
      <w:r w:rsidRPr="00AC74A3">
        <w:t xml:space="preserve"> funded solely by state and local governments</w:t>
      </w:r>
    </w:p>
    <w:p w14:paraId="43A41A3F" w14:textId="77777777" w:rsidR="00DE1537" w:rsidRDefault="00DE1537" w:rsidP="00343F3E">
      <w:pPr>
        <w:pStyle w:val="ListBullet"/>
      </w:pPr>
      <w:proofErr w:type="gramStart"/>
      <w:r w:rsidRPr="00123DD3">
        <w:t>mitigation</w:t>
      </w:r>
      <w:proofErr w:type="gramEnd"/>
      <w:r w:rsidRPr="00123DD3">
        <w:t xml:space="preserve"> activities</w:t>
      </w:r>
      <w:r>
        <w:t xml:space="preserve"> by businesses and households and returns to mitigation could be affected.</w:t>
      </w:r>
    </w:p>
    <w:p w14:paraId="098FC85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EDFA244" w14:textId="77777777" w:rsidTr="00343F3E">
        <w:tc>
          <w:tcPr>
            <w:tcW w:w="8771" w:type="dxa"/>
            <w:tcBorders>
              <w:top w:val="single" w:sz="6" w:space="0" w:color="78A22F"/>
              <w:left w:val="nil"/>
              <w:bottom w:val="nil"/>
              <w:right w:val="nil"/>
            </w:tcBorders>
            <w:shd w:val="clear" w:color="auto" w:fill="F2F2F2" w:themeFill="background1" w:themeFillShade="F2"/>
          </w:tcPr>
          <w:p w14:paraId="6C05A032" w14:textId="7D29CBA5" w:rsidR="00DE1537" w:rsidRDefault="00DE1537" w:rsidP="00343F3E">
            <w:pPr>
              <w:pStyle w:val="BoxTitle"/>
            </w:pPr>
            <w:r>
              <w:rPr>
                <w:b w:val="0"/>
              </w:rPr>
              <w:t>Box 7.</w:t>
            </w:r>
            <w:r>
              <w:rPr>
                <w:b w:val="0"/>
                <w:noProof/>
              </w:rPr>
              <w:t>6</w:t>
            </w:r>
            <w:r>
              <w:tab/>
              <w:t>Reforms proposed by the National Commission of Audit</w:t>
            </w:r>
          </w:p>
        </w:tc>
      </w:tr>
      <w:tr w:rsidR="00DE1537" w14:paraId="2DC85A30" w14:textId="77777777" w:rsidTr="00343F3E">
        <w:trPr>
          <w:cantSplit/>
        </w:trPr>
        <w:tc>
          <w:tcPr>
            <w:tcW w:w="8771" w:type="dxa"/>
            <w:tcBorders>
              <w:top w:val="nil"/>
              <w:left w:val="nil"/>
              <w:bottom w:val="nil"/>
              <w:right w:val="nil"/>
            </w:tcBorders>
            <w:shd w:val="clear" w:color="auto" w:fill="F2F2F2" w:themeFill="background1" w:themeFillShade="F2"/>
          </w:tcPr>
          <w:p w14:paraId="5460C72B" w14:textId="77777777" w:rsidR="00DE1537" w:rsidRDefault="00DE1537" w:rsidP="00343F3E">
            <w:pPr>
              <w:pStyle w:val="Box"/>
            </w:pPr>
            <w:r>
              <w:t>The National Commission of Audit recommended substantially reducing Australian Government involvement in disaster recovery funding by replacing the NDRRA with a grant provided after each major natural disaster. It also presented an alternative option of retaining the NDRRA but changing some aspects of the arrangements.</w:t>
            </w:r>
          </w:p>
          <w:p w14:paraId="1FC5ACDE" w14:textId="77777777" w:rsidR="00DE1537" w:rsidRDefault="00DE1537" w:rsidP="00343F3E">
            <w:pPr>
              <w:pStyle w:val="BoxHeading1"/>
            </w:pPr>
            <w:r>
              <w:t>Option A — substantially reduce Australian Government involvement in disaster recovery funding</w:t>
            </w:r>
          </w:p>
          <w:p w14:paraId="7D8577DE" w14:textId="77777777" w:rsidR="00DE1537" w:rsidRDefault="00DE1537" w:rsidP="00343F3E">
            <w:pPr>
              <w:pStyle w:val="BoxListBullet"/>
              <w:spacing w:before="120"/>
            </w:pPr>
            <w:r>
              <w:t xml:space="preserve">Retain the </w:t>
            </w:r>
            <w:r w:rsidRPr="00105B30">
              <w:t>Australian Government Disaster Recovery Payments</w:t>
            </w:r>
            <w:r>
              <w:t>, but with payments only to ‘individuals severely affected by natural disasters’.</w:t>
            </w:r>
          </w:p>
          <w:p w14:paraId="04547AD6" w14:textId="77777777" w:rsidR="00DE1537" w:rsidRPr="00D52EA6" w:rsidRDefault="00DE1537" w:rsidP="00343F3E">
            <w:pPr>
              <w:pStyle w:val="BoxListBullet"/>
              <w:spacing w:before="120"/>
            </w:pPr>
            <w:r>
              <w:t xml:space="preserve">Replace the NDRRA with a grant — paid upfront or in instalments — to states and territories in the event of </w:t>
            </w:r>
            <w:r w:rsidRPr="000121D5">
              <w:t xml:space="preserve">a significant natural disaster. </w:t>
            </w:r>
            <w:r w:rsidRPr="00D52EA6">
              <w:t>Grant levels would vary depending on the size of the disaster and the capacity of the Australian Government but could be between 25 and 33 per cent of the estimated cost of reconstruction.</w:t>
            </w:r>
          </w:p>
          <w:p w14:paraId="37F90888" w14:textId="77777777" w:rsidR="00DE1537" w:rsidRDefault="00DE1537" w:rsidP="00343F3E">
            <w:pPr>
              <w:pStyle w:val="BoxHeading1"/>
            </w:pPr>
            <w:r>
              <w:t>Option B — retain the basic structure of the NDRRA but amend thresholds and contribution rates</w:t>
            </w:r>
          </w:p>
          <w:p w14:paraId="67C92A5D" w14:textId="77777777" w:rsidR="00DE1537" w:rsidRDefault="00DE1537" w:rsidP="00343F3E">
            <w:pPr>
              <w:pStyle w:val="BoxListBullet"/>
              <w:spacing w:before="120"/>
            </w:pPr>
            <w:r>
              <w:t xml:space="preserve">Reduce Australian Government support for infrastructure funding (category B) to either </w:t>
            </w:r>
            <w:r>
              <w:br/>
              <w:t>25 or 33 per cent of government contributions. State and local governments would share the remaining reconstruction costs.</w:t>
            </w:r>
          </w:p>
          <w:p w14:paraId="2B6B0D46" w14:textId="77777777" w:rsidR="00DE1537" w:rsidRDefault="00DE1537" w:rsidP="00343F3E">
            <w:pPr>
              <w:pStyle w:val="BoxListBullet"/>
              <w:spacing w:before="120"/>
            </w:pPr>
            <w:r>
              <w:t xml:space="preserve">Significantly increase the threshold for eligibility for each </w:t>
            </w:r>
            <w:r w:rsidRPr="00987082">
              <w:t>disaster ($50 million</w:t>
            </w:r>
            <w:r>
              <w:t xml:space="preserve"> for the three larger states, $20 million for South Australia and Western Australia and $5 million for Tasmania and the two Territories).</w:t>
            </w:r>
          </w:p>
          <w:p w14:paraId="44E907F4" w14:textId="77777777" w:rsidR="00DE1537" w:rsidRDefault="00DE1537" w:rsidP="00343F3E">
            <w:pPr>
              <w:pStyle w:val="BoxListBullet"/>
              <w:spacing w:before="120"/>
            </w:pPr>
            <w:r>
              <w:t>Increase the threshold of state government expenditure from 0.225 per cent of revenue to 0.5 per cent.</w:t>
            </w:r>
          </w:p>
          <w:p w14:paraId="3AE2E718" w14:textId="77777777" w:rsidR="00DE1537" w:rsidRDefault="00DE1537" w:rsidP="00343F3E">
            <w:pPr>
              <w:pStyle w:val="BoxListBullet"/>
              <w:rPr>
                <w:szCs w:val="24"/>
              </w:rPr>
            </w:pPr>
            <w:r>
              <w:t>Exclude public assets that can be commercially insured.</w:t>
            </w:r>
          </w:p>
        </w:tc>
      </w:tr>
      <w:tr w:rsidR="00DE1537" w14:paraId="6B88F812" w14:textId="77777777" w:rsidTr="00343F3E">
        <w:trPr>
          <w:cantSplit/>
        </w:trPr>
        <w:tc>
          <w:tcPr>
            <w:tcW w:w="8771" w:type="dxa"/>
            <w:tcBorders>
              <w:top w:val="nil"/>
              <w:left w:val="nil"/>
              <w:bottom w:val="nil"/>
              <w:right w:val="nil"/>
            </w:tcBorders>
            <w:shd w:val="clear" w:color="auto" w:fill="F2F2F2" w:themeFill="background1" w:themeFillShade="F2"/>
          </w:tcPr>
          <w:p w14:paraId="7A38AE70" w14:textId="527BB829" w:rsidR="00DE1537" w:rsidRDefault="00DE1537" w:rsidP="00343F3E">
            <w:pPr>
              <w:pStyle w:val="BoxSource"/>
            </w:pPr>
            <w:r>
              <w:rPr>
                <w:i/>
              </w:rPr>
              <w:t>Source</w:t>
            </w:r>
            <w:r w:rsidRPr="00167F06">
              <w:t xml:space="preserve">: </w:t>
            </w:r>
            <w:r>
              <w:t xml:space="preserve">National Commission of Audit </w:t>
            </w:r>
            <w:r w:rsidRPr="00391CF1">
              <w:rPr>
                <w:rFonts w:cs="Arial"/>
              </w:rPr>
              <w:t>(2014)</w:t>
            </w:r>
            <w:r>
              <w:t>.</w:t>
            </w:r>
          </w:p>
        </w:tc>
      </w:tr>
      <w:tr w:rsidR="00DE1537" w14:paraId="55A75DEA"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0A1AE46" w14:textId="77777777" w:rsidR="00DE1537" w:rsidRDefault="00DE1537" w:rsidP="00343F3E">
            <w:pPr>
              <w:pStyle w:val="Box"/>
              <w:spacing w:before="0" w:line="120" w:lineRule="exact"/>
            </w:pPr>
          </w:p>
        </w:tc>
      </w:tr>
      <w:tr w:rsidR="00DE1537" w:rsidRPr="000863A5" w14:paraId="4B54099D" w14:textId="77777777" w:rsidTr="00343F3E">
        <w:tc>
          <w:tcPr>
            <w:tcW w:w="8771" w:type="dxa"/>
            <w:tcBorders>
              <w:top w:val="single" w:sz="6" w:space="0" w:color="78A22F"/>
              <w:left w:val="nil"/>
              <w:bottom w:val="nil"/>
              <w:right w:val="nil"/>
            </w:tcBorders>
          </w:tcPr>
          <w:p w14:paraId="10CAB37A" w14:textId="77777777" w:rsidR="00DE1537" w:rsidRPr="00626D32" w:rsidRDefault="00DE1537" w:rsidP="00343F3E">
            <w:pPr>
              <w:pStyle w:val="BoxSpaceBelow"/>
            </w:pPr>
          </w:p>
        </w:tc>
      </w:tr>
    </w:tbl>
    <w:p w14:paraId="7201B203" w14:textId="70F17E00" w:rsidR="00DE1537" w:rsidRDefault="00DE1537" w:rsidP="00343F3E">
      <w:pPr>
        <w:pStyle w:val="Heading2"/>
      </w:pPr>
      <w:bookmarkStart w:id="83" w:name="_Toc406424352"/>
      <w:r>
        <w:t>7.</w:t>
      </w:r>
      <w:r>
        <w:rPr>
          <w:noProof/>
        </w:rPr>
        <w:t>4</w:t>
      </w:r>
      <w:r>
        <w:tab/>
        <w:t>Natural disaster costs under the counterfactual</w:t>
      </w:r>
      <w:bookmarkEnd w:id="83"/>
    </w:p>
    <w:p w14:paraId="4616FF19" w14:textId="77777777" w:rsidR="00DE1537" w:rsidRDefault="00DE1537" w:rsidP="00343F3E">
      <w:pPr>
        <w:pStyle w:val="BodyText"/>
      </w:pPr>
      <w:r>
        <w:t>This section presents the counterfactual (or baseline) — insurance losses from, and economic and fiscal costs of, natural disasters under the current arrangements. These are estimated for the recent past and projected for the medium and long term. The Commission’s approach to developing a counterfactual involves:</w:t>
      </w:r>
    </w:p>
    <w:p w14:paraId="7B452C08" w14:textId="77777777" w:rsidR="00DE1537" w:rsidRDefault="00DE1537" w:rsidP="00343F3E">
      <w:pPr>
        <w:pStyle w:val="ListBullet"/>
      </w:pPr>
      <w:r>
        <w:t>producing medium</w:t>
      </w:r>
      <w:r>
        <w:noBreakHyphen/>
        <w:t xml:space="preserve"> and long</w:t>
      </w:r>
      <w:r>
        <w:noBreakHyphen/>
        <w:t>term projections of insurance losses from natural disasters based on the best time series data available</w:t>
      </w:r>
    </w:p>
    <w:p w14:paraId="27B739D3" w14:textId="77777777" w:rsidR="00DE1537" w:rsidRDefault="00DE1537" w:rsidP="00343F3E">
      <w:pPr>
        <w:pStyle w:val="ListBullet"/>
      </w:pPr>
      <w:r>
        <w:t>using these insurance loss projections as a basis to estimate fiscal costs under current funding arrangements</w:t>
      </w:r>
    </w:p>
    <w:p w14:paraId="3B32245A" w14:textId="77777777" w:rsidR="00DE1537" w:rsidRDefault="00DE1537" w:rsidP="00343F3E">
      <w:pPr>
        <w:pStyle w:val="ListBullet"/>
      </w:pPr>
      <w:proofErr w:type="gramStart"/>
      <w:r>
        <w:t>estimating</w:t>
      </w:r>
      <w:proofErr w:type="gramEnd"/>
      <w:r>
        <w:t xml:space="preserve"> a plausible range for recent and projected economic costs of natural disasters.</w:t>
      </w:r>
    </w:p>
    <w:p w14:paraId="0DA95C3A" w14:textId="77777777" w:rsidR="00DE1537" w:rsidRDefault="00DE1537" w:rsidP="00343F3E">
      <w:pPr>
        <w:pStyle w:val="BodyText"/>
      </w:pPr>
      <w:r>
        <w:lastRenderedPageBreak/>
        <w:t>A word of caution is needed. The main objective of this analysis is to provide illustrative estimates of the costs of natural disasters today and in the medium and long term. These estimates are not a definitive representation of the current and future costs of natural disasters. The data required to produce robust estimates of future disaster costs do not exist.</w:t>
      </w:r>
    </w:p>
    <w:p w14:paraId="3543D425" w14:textId="77777777" w:rsidR="00DE1537" w:rsidRDefault="00DE1537" w:rsidP="00343F3E">
      <w:pPr>
        <w:pStyle w:val="Heading3"/>
      </w:pPr>
      <w:r>
        <w:t>Projecting insurance losses</w:t>
      </w:r>
    </w:p>
    <w:p w14:paraId="062E5654" w14:textId="77777777" w:rsidR="00DE1537" w:rsidRDefault="00DE1537" w:rsidP="00343F3E">
      <w:pPr>
        <w:pStyle w:val="BodyText"/>
      </w:pPr>
      <w:r>
        <w:t>An examination of the time series of nominal insurance losses over the period 1970 to 2013 reveals the following key features (figure 7.1):</w:t>
      </w:r>
    </w:p>
    <w:p w14:paraId="3AB2818C" w14:textId="77777777" w:rsidR="00DE1537" w:rsidRDefault="00DE1537" w:rsidP="00343F3E">
      <w:pPr>
        <w:pStyle w:val="ListBullet"/>
      </w:pPr>
      <w:r>
        <w:t>an overall upward trend that is more pronounced after 2000</w:t>
      </w:r>
    </w:p>
    <w:p w14:paraId="6D20B811" w14:textId="77777777" w:rsidR="00DE1537" w:rsidRDefault="00DE1537" w:rsidP="00343F3E">
      <w:pPr>
        <w:pStyle w:val="ListBullet"/>
      </w:pPr>
      <w:r>
        <w:t xml:space="preserve">several peaks </w:t>
      </w:r>
    </w:p>
    <w:p w14:paraId="1B4246B6" w14:textId="77777777" w:rsidR="00DE1537" w:rsidRDefault="00DE1537" w:rsidP="00343F3E">
      <w:pPr>
        <w:pStyle w:val="ListBullet"/>
      </w:pPr>
      <w:r>
        <w:t>possible increasing variation over time (heteroskedasticity)</w:t>
      </w:r>
    </w:p>
    <w:p w14:paraId="589F6232" w14:textId="77777777" w:rsidR="00DE1537" w:rsidRDefault="00DE1537" w:rsidP="00343F3E">
      <w:pPr>
        <w:pStyle w:val="ListBullet"/>
      </w:pPr>
      <w:proofErr w:type="gramStart"/>
      <w:r>
        <w:t>erratic</w:t>
      </w:r>
      <w:proofErr w:type="gramEnd"/>
      <w:r>
        <w:t xml:space="preserve"> fluctuations reflecting the randomness of natural disasters.</w:t>
      </w:r>
    </w:p>
    <w:p w14:paraId="75870D33" w14:textId="77777777" w:rsidR="00DE1537" w:rsidRDefault="00DE1537" w:rsidP="00343F3E">
      <w:pPr>
        <w:pStyle w:val="BodyText"/>
      </w:pPr>
      <w:r>
        <w:t>Given these features, econometric techniques were used to model the insurance loss series and obtain projections over the medium and long term. Details of the analysis are presented in annex 1 and the key results are discussed below.</w:t>
      </w:r>
    </w:p>
    <w:p w14:paraId="59125317" w14:textId="77777777" w:rsidR="00DE1537" w:rsidRDefault="00DE1537" w:rsidP="00343F3E">
      <w:pPr>
        <w:pStyle w:val="BodyText"/>
      </w:pPr>
      <w:r>
        <w:t>A crucial consideration is how to select a model to project insurance losses. Given the inherent randomness in the time series data, model selection cannot be based on statistics and testing procedures alone. Expectations based on experience and prior knowledge about how insurance losses are likely to change in the medium and long term are also important. It is reasonable to assume that nominal insurance losses will continue to increase in the future, based on inflation and other factors such as the increasing number and value of assets. However, the precise way in which insurance losses will increase is ambiguous because of their significant volatility.</w:t>
      </w:r>
    </w:p>
    <w:p w14:paraId="2F0A730C" w14:textId="77777777" w:rsidR="00DE1537" w:rsidRDefault="00DE1537" w:rsidP="00343F3E">
      <w:pPr>
        <w:pStyle w:val="BodyText"/>
      </w:pPr>
      <w:r>
        <w:t>Producing insurance loss projections for a particular year that take into account this high volatility is not feasible. For example, it is not possible to predict with any sort of confidence when a severe bushfire similar to the Victorian Black Saturday Bushfires will occur again. At the same time, it is not possible to predict periods with few natural disasters where insurance losses will be low.</w:t>
      </w:r>
    </w:p>
    <w:p w14:paraId="3EEC5718" w14:textId="77777777" w:rsidR="00DE1537" w:rsidRDefault="00DE1537" w:rsidP="00343F3E">
      <w:pPr>
        <w:pStyle w:val="BodyText"/>
      </w:pPr>
      <w:r>
        <w:t xml:space="preserve">In light of these constraints, the most feasible and useful approach is to focus on the possible trend in insurance losses over time — the average occurrence of insurance losses. The Commission’s approach is to model this trend by calculating an average insurance projection based on estimates from five different econometric models. </w:t>
      </w:r>
      <w:r w:rsidRPr="005F1C07">
        <w:t xml:space="preserve">These include simple </w:t>
      </w:r>
      <w:r>
        <w:t>regressions</w:t>
      </w:r>
      <w:r w:rsidRPr="005F1C07">
        <w:t xml:space="preserve"> </w:t>
      </w:r>
      <w:r>
        <w:t>and</w:t>
      </w:r>
      <w:r w:rsidRPr="005F1C07">
        <w:t xml:space="preserve"> </w:t>
      </w:r>
      <w:r>
        <w:t>autoregressive integrated moving average (</w:t>
      </w:r>
      <w:r w:rsidRPr="005F1C07">
        <w:t>ARIMA</w:t>
      </w:r>
      <w:r>
        <w:t>)</w:t>
      </w:r>
      <w:r w:rsidRPr="005F1C07">
        <w:t xml:space="preserve"> models (annex</w:t>
      </w:r>
      <w:r>
        <w:t> </w:t>
      </w:r>
      <w:r w:rsidRPr="005F1C07">
        <w:t>1).</w:t>
      </w:r>
      <w:r>
        <w:t xml:space="preserve"> In doing so, the drivers of insurance losses are embedded in the models in different ways.</w:t>
      </w:r>
    </w:p>
    <w:p w14:paraId="0BD6155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E33C9C7" w14:textId="77777777" w:rsidTr="00343F3E">
        <w:tc>
          <w:tcPr>
            <w:tcW w:w="8771" w:type="dxa"/>
            <w:tcBorders>
              <w:top w:val="single" w:sz="6" w:space="0" w:color="78A22F"/>
              <w:left w:val="nil"/>
              <w:bottom w:val="nil"/>
              <w:right w:val="nil"/>
            </w:tcBorders>
            <w:shd w:val="clear" w:color="auto" w:fill="auto"/>
          </w:tcPr>
          <w:p w14:paraId="2EFDEB2C" w14:textId="12D7385D" w:rsidR="00DE1537" w:rsidRPr="00176D3F" w:rsidRDefault="00DE1537" w:rsidP="00343F3E">
            <w:pPr>
              <w:pStyle w:val="FigureTitle"/>
            </w:pPr>
            <w:r w:rsidRPr="00784A05">
              <w:rPr>
                <w:b w:val="0"/>
              </w:rPr>
              <w:t xml:space="preserve">Figure </w:t>
            </w:r>
            <w:r>
              <w:rPr>
                <w:b w:val="0"/>
              </w:rPr>
              <w:t>7.</w:t>
            </w:r>
            <w:r>
              <w:rPr>
                <w:b w:val="0"/>
                <w:noProof/>
              </w:rPr>
              <w:t>1</w:t>
            </w:r>
            <w:r>
              <w:tab/>
              <w:t>Actual and projected nominal insurance losses</w:t>
            </w:r>
            <w:r w:rsidRPr="00270A84">
              <w:rPr>
                <w:rStyle w:val="NoteLabel"/>
                <w:b/>
              </w:rPr>
              <w:t>a</w:t>
            </w:r>
          </w:p>
        </w:tc>
      </w:tr>
      <w:tr w:rsidR="00DE1537" w14:paraId="3E779B46" w14:textId="77777777" w:rsidTr="00343F3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E1537" w14:paraId="7C4167D1" w14:textId="77777777" w:rsidTr="00343F3E">
              <w:trPr>
                <w:jc w:val="center"/>
              </w:trPr>
              <w:tc>
                <w:tcPr>
                  <w:tcW w:w="5000" w:type="pct"/>
                  <w:tcBorders>
                    <w:top w:val="nil"/>
                    <w:bottom w:val="nil"/>
                  </w:tcBorders>
                </w:tcPr>
                <w:p w14:paraId="03D0CC7C" w14:textId="77777777" w:rsidR="00DE1537" w:rsidRDefault="00DE1537" w:rsidP="00343F3E">
                  <w:pPr>
                    <w:pStyle w:val="Figure"/>
                    <w:spacing w:before="60" w:after="60"/>
                  </w:pPr>
                  <w:r>
                    <w:rPr>
                      <w:noProof/>
                    </w:rPr>
                    <w:drawing>
                      <wp:inline distT="0" distB="0" distL="0" distR="0" wp14:anchorId="19A11346" wp14:editId="536D241E">
                        <wp:extent cx="5391150" cy="2695575"/>
                        <wp:effectExtent l="0" t="0" r="0" b="9525"/>
                        <wp:docPr id="31" name="Picture 31" descr="This figure shows actual and projected nominal insurance losses Actual losses are from 1970 to 2013 and projected losses are from 2014 to 2023. Projected insurance losses are shown for the medium term (2018) and the long term (2023), along with one standard deviation intervals. Insurance losses are projected to increase in the medium and long term." title="Actual and projected nominal insurance lo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14:paraId="7438B4A9" w14:textId="77777777" w:rsidR="00DE1537" w:rsidRDefault="00DE1537" w:rsidP="00343F3E">
            <w:pPr>
              <w:pStyle w:val="Figure"/>
            </w:pPr>
          </w:p>
        </w:tc>
      </w:tr>
      <w:tr w:rsidR="00DE1537" w:rsidRPr="00176D3F" w14:paraId="68912E33" w14:textId="77777777" w:rsidTr="00343F3E">
        <w:tc>
          <w:tcPr>
            <w:tcW w:w="8771" w:type="dxa"/>
            <w:tcBorders>
              <w:top w:val="nil"/>
              <w:left w:val="nil"/>
              <w:bottom w:val="nil"/>
              <w:right w:val="nil"/>
            </w:tcBorders>
            <w:shd w:val="clear" w:color="auto" w:fill="auto"/>
          </w:tcPr>
          <w:p w14:paraId="0D8CAB38" w14:textId="77777777" w:rsidR="00DE1537" w:rsidRPr="00176D3F" w:rsidRDefault="00DE1537" w:rsidP="00343F3E">
            <w:pPr>
              <w:pStyle w:val="Note"/>
            </w:pPr>
            <w:proofErr w:type="gramStart"/>
            <w:r>
              <w:rPr>
                <w:rStyle w:val="NoteLabel"/>
              </w:rPr>
              <w:t>a</w:t>
            </w:r>
            <w:proofErr w:type="gramEnd"/>
            <w:r>
              <w:t xml:space="preserve"> Projection period is 2014 to 2023. The medium term is 2018 and the long term is 2023. Central projections (the blue dots) and one standard deviation ranges (the blue diamonds) are provided (estimated with the standard deviation in nominal insurance losses over the period 1970 to 2013).</w:t>
            </w:r>
          </w:p>
        </w:tc>
      </w:tr>
      <w:tr w:rsidR="00DE1537" w:rsidRPr="00176D3F" w14:paraId="1C5E1055" w14:textId="77777777" w:rsidTr="00343F3E">
        <w:tc>
          <w:tcPr>
            <w:tcW w:w="8771" w:type="dxa"/>
            <w:tcBorders>
              <w:top w:val="nil"/>
              <w:left w:val="nil"/>
              <w:bottom w:val="nil"/>
              <w:right w:val="nil"/>
            </w:tcBorders>
            <w:shd w:val="clear" w:color="auto" w:fill="auto"/>
          </w:tcPr>
          <w:p w14:paraId="24A656D6" w14:textId="083C109A" w:rsidR="00DE1537" w:rsidRPr="00176D3F" w:rsidRDefault="00DE1537" w:rsidP="00343F3E">
            <w:pPr>
              <w:pStyle w:val="Source"/>
            </w:pPr>
            <w:r w:rsidRPr="00784A05">
              <w:rPr>
                <w:i/>
              </w:rPr>
              <w:t>Data source</w:t>
            </w:r>
            <w:r>
              <w:rPr>
                <w:i/>
              </w:rPr>
              <w:t>s</w:t>
            </w:r>
            <w:r w:rsidRPr="00176D3F">
              <w:t xml:space="preserve">: </w:t>
            </w:r>
            <w:r>
              <w:t xml:space="preserve">ICA </w:t>
            </w:r>
            <w:r w:rsidR="007C5656" w:rsidRPr="007C5656">
              <w:rPr>
                <w:rFonts w:cs="Arial"/>
              </w:rPr>
              <w:t>(2014e)</w:t>
            </w:r>
            <w:r>
              <w:t>; Productivity Commission estimates.</w:t>
            </w:r>
          </w:p>
        </w:tc>
      </w:tr>
      <w:tr w:rsidR="00DE1537" w14:paraId="64EFCEB5" w14:textId="77777777" w:rsidTr="00343F3E">
        <w:tc>
          <w:tcPr>
            <w:tcW w:w="8771" w:type="dxa"/>
            <w:tcBorders>
              <w:top w:val="nil"/>
              <w:left w:val="nil"/>
              <w:bottom w:val="single" w:sz="6" w:space="0" w:color="78A22F"/>
              <w:right w:val="nil"/>
            </w:tcBorders>
            <w:shd w:val="clear" w:color="auto" w:fill="auto"/>
          </w:tcPr>
          <w:p w14:paraId="5FA55662" w14:textId="77777777" w:rsidR="00DE1537" w:rsidRDefault="00DE1537" w:rsidP="00343F3E">
            <w:pPr>
              <w:pStyle w:val="Figurespace"/>
            </w:pPr>
          </w:p>
        </w:tc>
      </w:tr>
      <w:tr w:rsidR="00DE1537" w:rsidRPr="000863A5" w14:paraId="6753B0FD" w14:textId="77777777" w:rsidTr="00343F3E">
        <w:tc>
          <w:tcPr>
            <w:tcW w:w="8771" w:type="dxa"/>
            <w:tcBorders>
              <w:top w:val="single" w:sz="6" w:space="0" w:color="78A22F"/>
              <w:left w:val="nil"/>
              <w:bottom w:val="nil"/>
              <w:right w:val="nil"/>
            </w:tcBorders>
          </w:tcPr>
          <w:p w14:paraId="5ED9DF2D" w14:textId="77777777" w:rsidR="00DE1537" w:rsidRPr="00626D32" w:rsidRDefault="00DE1537" w:rsidP="00343F3E">
            <w:pPr>
              <w:pStyle w:val="BoxSpaceBelow"/>
            </w:pPr>
          </w:p>
        </w:tc>
      </w:tr>
    </w:tbl>
    <w:p w14:paraId="10B9CC7B" w14:textId="77777777" w:rsidR="00DE1537" w:rsidRDefault="00DE1537" w:rsidP="00343F3E">
      <w:pPr>
        <w:pStyle w:val="BodyText"/>
      </w:pPr>
      <w:r>
        <w:t>The insurance loss projections in the medium term (2018) and the long term (2023) are reported in figure 7.1 and table 7.2. Central projections as well as a range within which projected insurance losses could be are provided. This range is constructed using the standard deviation in insurance losses over the period 1970 to 2013 — one standard deviation above and below the central projection of insurance losses.</w:t>
      </w:r>
      <w:r w:rsidRPr="005F1C07">
        <w:t xml:space="preserve"> </w:t>
      </w:r>
    </w:p>
    <w:p w14:paraId="42E633BF" w14:textId="77777777" w:rsidR="00DE1537" w:rsidRDefault="00DE1537" w:rsidP="00343F3E">
      <w:pPr>
        <w:pStyle w:val="ListBullet"/>
        <w:numPr>
          <w:ilvl w:val="0"/>
          <w:numId w:val="0"/>
        </w:numPr>
        <w:ind w:left="3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5DB2144" w14:textId="77777777" w:rsidTr="00343F3E">
        <w:tc>
          <w:tcPr>
            <w:tcW w:w="8771" w:type="dxa"/>
            <w:tcBorders>
              <w:top w:val="single" w:sz="6" w:space="0" w:color="78A22F"/>
              <w:left w:val="nil"/>
              <w:bottom w:val="nil"/>
              <w:right w:val="nil"/>
            </w:tcBorders>
            <w:shd w:val="clear" w:color="auto" w:fill="auto"/>
          </w:tcPr>
          <w:p w14:paraId="145BEE8C" w14:textId="3F097E1E" w:rsidR="00DE1537" w:rsidRPr="00784A05" w:rsidRDefault="00DE1537" w:rsidP="00343F3E">
            <w:pPr>
              <w:pStyle w:val="TableTitle"/>
            </w:pPr>
            <w:r>
              <w:rPr>
                <w:b w:val="0"/>
              </w:rPr>
              <w:t>Table 7.</w:t>
            </w:r>
            <w:r>
              <w:rPr>
                <w:b w:val="0"/>
                <w:noProof/>
              </w:rPr>
              <w:t>2</w:t>
            </w:r>
            <w:r>
              <w:tab/>
              <w:t>Projections of nominal insurance losses</w:t>
            </w:r>
            <w:r w:rsidRPr="00AD3E84">
              <w:rPr>
                <w:rStyle w:val="NoteLabel"/>
                <w:b/>
              </w:rPr>
              <w:t>a</w:t>
            </w:r>
          </w:p>
        </w:tc>
      </w:tr>
      <w:tr w:rsidR="00DE1537" w14:paraId="203FD39D" w14:textId="77777777" w:rsidTr="00343F3E">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376"/>
              <w:gridCol w:w="1705"/>
              <w:gridCol w:w="1700"/>
              <w:gridCol w:w="1702"/>
            </w:tblGrid>
            <w:tr w:rsidR="00DE1537" w14:paraId="4801E954" w14:textId="77777777" w:rsidTr="00343F3E">
              <w:tc>
                <w:tcPr>
                  <w:tcW w:w="1990" w:type="pct"/>
                  <w:tcBorders>
                    <w:top w:val="single" w:sz="6" w:space="0" w:color="BFBFBF"/>
                    <w:bottom w:val="single" w:sz="6" w:space="0" w:color="BFBFBF"/>
                  </w:tcBorders>
                  <w:shd w:val="clear" w:color="auto" w:fill="auto"/>
                  <w:tcMar>
                    <w:top w:w="28" w:type="dxa"/>
                  </w:tcMar>
                </w:tcPr>
                <w:p w14:paraId="6297EE37" w14:textId="77777777" w:rsidR="00DE1537" w:rsidRPr="007511D0" w:rsidRDefault="00DE1537" w:rsidP="00343F3E">
                  <w:pPr>
                    <w:pStyle w:val="TableColumnHeading"/>
                  </w:pPr>
                </w:p>
              </w:tc>
              <w:tc>
                <w:tcPr>
                  <w:tcW w:w="1005" w:type="pct"/>
                  <w:tcBorders>
                    <w:top w:val="single" w:sz="6" w:space="0" w:color="BFBFBF"/>
                    <w:bottom w:val="single" w:sz="6" w:space="0" w:color="BFBFBF"/>
                  </w:tcBorders>
                </w:tcPr>
                <w:p w14:paraId="799A9CE0" w14:textId="77777777" w:rsidR="00DE1537" w:rsidRPr="007511D0" w:rsidRDefault="00DE1537" w:rsidP="00343F3E">
                  <w:pPr>
                    <w:pStyle w:val="TableColumnHeading"/>
                  </w:pPr>
                  <w:r w:rsidRPr="007511D0">
                    <w:t>Low estimate</w:t>
                  </w:r>
                </w:p>
              </w:tc>
              <w:tc>
                <w:tcPr>
                  <w:tcW w:w="1002" w:type="pct"/>
                  <w:tcBorders>
                    <w:top w:val="single" w:sz="6" w:space="0" w:color="BFBFBF"/>
                    <w:bottom w:val="single" w:sz="6" w:space="0" w:color="BFBFBF"/>
                  </w:tcBorders>
                </w:tcPr>
                <w:p w14:paraId="3B8148F8" w14:textId="77777777" w:rsidR="00DE1537" w:rsidRPr="007511D0" w:rsidRDefault="00DE1537" w:rsidP="00343F3E">
                  <w:pPr>
                    <w:pStyle w:val="TableColumnHeading"/>
                  </w:pPr>
                  <w:r w:rsidRPr="007511D0">
                    <w:t>Central estimate</w:t>
                  </w:r>
                </w:p>
              </w:tc>
              <w:tc>
                <w:tcPr>
                  <w:tcW w:w="1003" w:type="pct"/>
                  <w:tcBorders>
                    <w:top w:val="single" w:sz="6" w:space="0" w:color="BFBFBF"/>
                    <w:bottom w:val="single" w:sz="6" w:space="0" w:color="BFBFBF"/>
                  </w:tcBorders>
                </w:tcPr>
                <w:p w14:paraId="69D914DA" w14:textId="77777777" w:rsidR="00DE1537" w:rsidRPr="007511D0" w:rsidRDefault="00DE1537" w:rsidP="00343F3E">
                  <w:pPr>
                    <w:pStyle w:val="TableColumnHeading"/>
                    <w:ind w:right="0"/>
                  </w:pPr>
                  <w:r w:rsidRPr="007511D0">
                    <w:t>High estimate</w:t>
                  </w:r>
                </w:p>
              </w:tc>
            </w:tr>
            <w:tr w:rsidR="00DE1537" w14:paraId="27EE5304" w14:textId="77777777" w:rsidTr="00343F3E">
              <w:tc>
                <w:tcPr>
                  <w:tcW w:w="1990" w:type="pct"/>
                  <w:tcBorders>
                    <w:top w:val="single" w:sz="6" w:space="0" w:color="BFBFBF"/>
                  </w:tcBorders>
                </w:tcPr>
                <w:p w14:paraId="0C611835" w14:textId="77777777" w:rsidR="00DE1537" w:rsidRDefault="00DE1537" w:rsidP="00343F3E">
                  <w:pPr>
                    <w:pStyle w:val="TableUnitsRow"/>
                    <w:jc w:val="left"/>
                  </w:pPr>
                </w:p>
              </w:tc>
              <w:tc>
                <w:tcPr>
                  <w:tcW w:w="1005" w:type="pct"/>
                  <w:tcBorders>
                    <w:top w:val="single" w:sz="6" w:space="0" w:color="BFBFBF"/>
                  </w:tcBorders>
                </w:tcPr>
                <w:p w14:paraId="03EA50D2" w14:textId="77777777" w:rsidR="00DE1537" w:rsidRPr="002249DE" w:rsidRDefault="00DE1537" w:rsidP="00343F3E">
                  <w:pPr>
                    <w:pStyle w:val="TableUnitsRow"/>
                  </w:pPr>
                  <w:r w:rsidRPr="002249DE">
                    <w:t>$b</w:t>
                  </w:r>
                </w:p>
              </w:tc>
              <w:tc>
                <w:tcPr>
                  <w:tcW w:w="1002" w:type="pct"/>
                  <w:tcBorders>
                    <w:top w:val="single" w:sz="6" w:space="0" w:color="BFBFBF"/>
                  </w:tcBorders>
                </w:tcPr>
                <w:p w14:paraId="4F2B382B" w14:textId="77777777" w:rsidR="00DE1537" w:rsidRPr="002249DE" w:rsidRDefault="00DE1537" w:rsidP="00343F3E">
                  <w:pPr>
                    <w:pStyle w:val="TableUnitsRow"/>
                  </w:pPr>
                  <w:r w:rsidRPr="002249DE">
                    <w:t>$b</w:t>
                  </w:r>
                </w:p>
              </w:tc>
              <w:tc>
                <w:tcPr>
                  <w:tcW w:w="1003" w:type="pct"/>
                  <w:tcBorders>
                    <w:top w:val="single" w:sz="6" w:space="0" w:color="BFBFBF"/>
                  </w:tcBorders>
                </w:tcPr>
                <w:p w14:paraId="4816A615" w14:textId="77777777" w:rsidR="00DE1537" w:rsidRPr="002249DE" w:rsidRDefault="00DE1537" w:rsidP="00343F3E">
                  <w:pPr>
                    <w:pStyle w:val="TableUnitsRow"/>
                    <w:ind w:right="0"/>
                  </w:pPr>
                  <w:r w:rsidRPr="002249DE">
                    <w:t>$b</w:t>
                  </w:r>
                </w:p>
              </w:tc>
            </w:tr>
            <w:tr w:rsidR="00DE1537" w14:paraId="51438E11" w14:textId="77777777" w:rsidTr="00343F3E">
              <w:tc>
                <w:tcPr>
                  <w:tcW w:w="1990" w:type="pct"/>
                </w:tcPr>
                <w:p w14:paraId="7CF37CB1" w14:textId="77777777" w:rsidR="00DE1537" w:rsidRDefault="00DE1537" w:rsidP="00343F3E">
                  <w:pPr>
                    <w:pStyle w:val="TableBodyText"/>
                    <w:jc w:val="left"/>
                  </w:pPr>
                  <w:r>
                    <w:t>Standard deviation of insurance losses</w:t>
                  </w:r>
                </w:p>
              </w:tc>
              <w:tc>
                <w:tcPr>
                  <w:tcW w:w="1005" w:type="pct"/>
                </w:tcPr>
                <w:p w14:paraId="24039401" w14:textId="77777777" w:rsidR="00DE1537" w:rsidRPr="0085597D" w:rsidRDefault="00DE1537" w:rsidP="00343F3E">
                  <w:pPr>
                    <w:pStyle w:val="TableBodyText"/>
                  </w:pPr>
                  <w:r w:rsidRPr="0085597D">
                    <w:t>0.9</w:t>
                  </w:r>
                </w:p>
              </w:tc>
              <w:tc>
                <w:tcPr>
                  <w:tcW w:w="1002" w:type="pct"/>
                </w:tcPr>
                <w:p w14:paraId="3851AE06" w14:textId="77777777" w:rsidR="00DE1537" w:rsidRPr="0085597D" w:rsidRDefault="00DE1537" w:rsidP="00343F3E">
                  <w:pPr>
                    <w:pStyle w:val="TableBodyText"/>
                  </w:pPr>
                  <w:r w:rsidRPr="0085597D">
                    <w:t>0.9</w:t>
                  </w:r>
                </w:p>
              </w:tc>
              <w:tc>
                <w:tcPr>
                  <w:tcW w:w="1003" w:type="pct"/>
                </w:tcPr>
                <w:p w14:paraId="308DF6D8" w14:textId="77777777" w:rsidR="00DE1537" w:rsidRPr="0085597D" w:rsidRDefault="00DE1537" w:rsidP="00343F3E">
                  <w:pPr>
                    <w:pStyle w:val="TableBodyText"/>
                    <w:ind w:right="0"/>
                  </w:pPr>
                  <w:r w:rsidRPr="0085597D">
                    <w:t>0.9</w:t>
                  </w:r>
                </w:p>
              </w:tc>
            </w:tr>
            <w:tr w:rsidR="00DE1537" w14:paraId="5811606F" w14:textId="77777777" w:rsidTr="00343F3E">
              <w:tc>
                <w:tcPr>
                  <w:tcW w:w="1990" w:type="pct"/>
                </w:tcPr>
                <w:p w14:paraId="27ADF499" w14:textId="77777777" w:rsidR="00DE1537" w:rsidRDefault="00DE1537" w:rsidP="00343F3E">
                  <w:pPr>
                    <w:pStyle w:val="TableBodyText"/>
                    <w:jc w:val="left"/>
                  </w:pPr>
                  <w:r>
                    <w:t>Medium term (2018)</w:t>
                  </w:r>
                </w:p>
              </w:tc>
              <w:tc>
                <w:tcPr>
                  <w:tcW w:w="1005" w:type="pct"/>
                </w:tcPr>
                <w:p w14:paraId="578D63ED" w14:textId="77777777" w:rsidR="00DE1537" w:rsidRPr="00347B1F" w:rsidRDefault="00DE1537" w:rsidP="00343F3E">
                  <w:pPr>
                    <w:pStyle w:val="TableBodyText"/>
                  </w:pPr>
                  <w:r w:rsidRPr="00347B1F">
                    <w:t>1.1</w:t>
                  </w:r>
                </w:p>
              </w:tc>
              <w:tc>
                <w:tcPr>
                  <w:tcW w:w="1002" w:type="pct"/>
                </w:tcPr>
                <w:p w14:paraId="663F6CD6" w14:textId="77777777" w:rsidR="00DE1537" w:rsidRPr="00347B1F" w:rsidRDefault="00DE1537" w:rsidP="00343F3E">
                  <w:pPr>
                    <w:pStyle w:val="TableBodyText"/>
                  </w:pPr>
                  <w:r w:rsidRPr="00347B1F">
                    <w:t>2.0</w:t>
                  </w:r>
                </w:p>
              </w:tc>
              <w:tc>
                <w:tcPr>
                  <w:tcW w:w="1003" w:type="pct"/>
                </w:tcPr>
                <w:p w14:paraId="2A3F439B" w14:textId="77777777" w:rsidR="00DE1537" w:rsidRPr="00347B1F" w:rsidRDefault="00DE1537" w:rsidP="00343F3E">
                  <w:pPr>
                    <w:pStyle w:val="TableBodyText"/>
                    <w:ind w:right="0"/>
                  </w:pPr>
                  <w:r w:rsidRPr="00347B1F">
                    <w:t>2.9</w:t>
                  </w:r>
                </w:p>
              </w:tc>
            </w:tr>
            <w:tr w:rsidR="00DE1537" w14:paraId="38E38F82" w14:textId="77777777" w:rsidTr="00343F3E">
              <w:tc>
                <w:tcPr>
                  <w:tcW w:w="1990" w:type="pct"/>
                  <w:tcBorders>
                    <w:bottom w:val="single" w:sz="6" w:space="0" w:color="BFBFBF"/>
                  </w:tcBorders>
                </w:tcPr>
                <w:p w14:paraId="2DAD54F9" w14:textId="77777777" w:rsidR="00DE1537" w:rsidRDefault="00DE1537" w:rsidP="00343F3E">
                  <w:pPr>
                    <w:pStyle w:val="TableBodyText"/>
                    <w:jc w:val="left"/>
                  </w:pPr>
                  <w:r>
                    <w:t>Long term (2023)</w:t>
                  </w:r>
                </w:p>
              </w:tc>
              <w:tc>
                <w:tcPr>
                  <w:tcW w:w="1005" w:type="pct"/>
                  <w:tcBorders>
                    <w:bottom w:val="single" w:sz="6" w:space="0" w:color="BFBFBF"/>
                  </w:tcBorders>
                </w:tcPr>
                <w:p w14:paraId="6DA19558" w14:textId="77777777" w:rsidR="00DE1537" w:rsidRPr="00CB0795" w:rsidRDefault="00DE1537" w:rsidP="00343F3E">
                  <w:pPr>
                    <w:pStyle w:val="TableBodyText"/>
                    <w:rPr>
                      <w:i/>
                    </w:rPr>
                  </w:pPr>
                  <w:r w:rsidRPr="00CB0795">
                    <w:t>1.</w:t>
                  </w:r>
                  <w:r>
                    <w:t>2</w:t>
                  </w:r>
                </w:p>
              </w:tc>
              <w:tc>
                <w:tcPr>
                  <w:tcW w:w="1002" w:type="pct"/>
                  <w:tcBorders>
                    <w:bottom w:val="single" w:sz="6" w:space="0" w:color="BFBFBF"/>
                  </w:tcBorders>
                </w:tcPr>
                <w:p w14:paraId="6AEB3658" w14:textId="77777777" w:rsidR="00DE1537" w:rsidRPr="002E00E2" w:rsidRDefault="00DE1537" w:rsidP="00343F3E">
                  <w:pPr>
                    <w:pStyle w:val="TableBodyText"/>
                    <w:rPr>
                      <w:i/>
                    </w:rPr>
                  </w:pPr>
                  <w:r>
                    <w:t>2.1</w:t>
                  </w:r>
                </w:p>
              </w:tc>
              <w:tc>
                <w:tcPr>
                  <w:tcW w:w="1003" w:type="pct"/>
                  <w:tcBorders>
                    <w:bottom w:val="single" w:sz="6" w:space="0" w:color="BFBFBF"/>
                  </w:tcBorders>
                </w:tcPr>
                <w:p w14:paraId="5C90C507" w14:textId="77777777" w:rsidR="00DE1537" w:rsidRPr="002E00E2" w:rsidRDefault="00DE1537" w:rsidP="00343F3E">
                  <w:pPr>
                    <w:pStyle w:val="TableBodyText"/>
                    <w:ind w:right="0"/>
                    <w:rPr>
                      <w:i/>
                    </w:rPr>
                  </w:pPr>
                  <w:r>
                    <w:t>3.0</w:t>
                  </w:r>
                </w:p>
              </w:tc>
            </w:tr>
          </w:tbl>
          <w:p w14:paraId="0D0552A2" w14:textId="77777777" w:rsidR="00DE1537" w:rsidRDefault="00DE1537" w:rsidP="00343F3E">
            <w:pPr>
              <w:pStyle w:val="Box"/>
            </w:pPr>
          </w:p>
        </w:tc>
      </w:tr>
      <w:tr w:rsidR="00DE1537" w14:paraId="3AA01886" w14:textId="77777777" w:rsidTr="00343F3E">
        <w:trPr>
          <w:cantSplit/>
        </w:trPr>
        <w:tc>
          <w:tcPr>
            <w:tcW w:w="8771" w:type="dxa"/>
            <w:tcBorders>
              <w:top w:val="nil"/>
              <w:left w:val="nil"/>
              <w:bottom w:val="nil"/>
              <w:right w:val="nil"/>
            </w:tcBorders>
            <w:shd w:val="clear" w:color="auto" w:fill="auto"/>
          </w:tcPr>
          <w:p w14:paraId="4BA601CE" w14:textId="77777777" w:rsidR="00DE1537" w:rsidRDefault="00DE1537" w:rsidP="00343F3E">
            <w:pPr>
              <w:pStyle w:val="Note"/>
              <w:rPr>
                <w:i/>
              </w:rPr>
            </w:pPr>
            <w:proofErr w:type="gramStart"/>
            <w:r w:rsidRPr="008E77FE">
              <w:rPr>
                <w:rStyle w:val="NoteLabel"/>
              </w:rPr>
              <w:t>a</w:t>
            </w:r>
            <w:proofErr w:type="gramEnd"/>
            <w:r>
              <w:t xml:space="preserve"> The low estimate is one standard deviation below the central estimate and the high estimate is one standard deviation above the central estimate. This standard deviation is constructed as the standard deviation in nominal insurance losses over the period 1970–2013.</w:t>
            </w:r>
          </w:p>
        </w:tc>
      </w:tr>
      <w:tr w:rsidR="00DE1537" w14:paraId="790D028C" w14:textId="77777777" w:rsidTr="00343F3E">
        <w:trPr>
          <w:cantSplit/>
        </w:trPr>
        <w:tc>
          <w:tcPr>
            <w:tcW w:w="8771" w:type="dxa"/>
            <w:tcBorders>
              <w:top w:val="nil"/>
              <w:left w:val="nil"/>
              <w:bottom w:val="nil"/>
              <w:right w:val="nil"/>
            </w:tcBorders>
            <w:shd w:val="clear" w:color="auto" w:fill="auto"/>
          </w:tcPr>
          <w:p w14:paraId="2AD99A9B" w14:textId="77777777" w:rsidR="00DE1537" w:rsidRDefault="00DE1537" w:rsidP="00343F3E">
            <w:pPr>
              <w:pStyle w:val="Source"/>
              <w:rPr>
                <w:i/>
              </w:rPr>
            </w:pPr>
            <w:r>
              <w:rPr>
                <w:i/>
              </w:rPr>
              <w:t>Source</w:t>
            </w:r>
            <w:r w:rsidRPr="00167F06">
              <w:t xml:space="preserve">: </w:t>
            </w:r>
            <w:r>
              <w:t>Productivity Commission estimates.</w:t>
            </w:r>
          </w:p>
        </w:tc>
      </w:tr>
      <w:tr w:rsidR="00DE1537" w14:paraId="25BE93F6" w14:textId="77777777" w:rsidTr="00343F3E">
        <w:trPr>
          <w:cantSplit/>
        </w:trPr>
        <w:tc>
          <w:tcPr>
            <w:tcW w:w="8771" w:type="dxa"/>
            <w:tcBorders>
              <w:top w:val="nil"/>
              <w:left w:val="nil"/>
              <w:bottom w:val="single" w:sz="6" w:space="0" w:color="78A22F"/>
              <w:right w:val="nil"/>
            </w:tcBorders>
            <w:shd w:val="clear" w:color="auto" w:fill="auto"/>
          </w:tcPr>
          <w:p w14:paraId="0327B7B0" w14:textId="77777777" w:rsidR="00DE1537" w:rsidRDefault="00DE1537" w:rsidP="00343F3E">
            <w:pPr>
              <w:pStyle w:val="Box"/>
              <w:spacing w:before="0" w:line="120" w:lineRule="exact"/>
            </w:pPr>
          </w:p>
        </w:tc>
      </w:tr>
      <w:tr w:rsidR="00DE1537" w:rsidRPr="000863A5" w14:paraId="5B075303" w14:textId="77777777" w:rsidTr="00343F3E">
        <w:tc>
          <w:tcPr>
            <w:tcW w:w="8771" w:type="dxa"/>
            <w:tcBorders>
              <w:top w:val="single" w:sz="6" w:space="0" w:color="78A22F"/>
              <w:left w:val="nil"/>
              <w:bottom w:val="nil"/>
              <w:right w:val="nil"/>
            </w:tcBorders>
          </w:tcPr>
          <w:p w14:paraId="1B3F009D" w14:textId="77777777" w:rsidR="00DE1537" w:rsidRPr="00626D32" w:rsidRDefault="00DE1537" w:rsidP="00343F3E">
            <w:pPr>
              <w:pStyle w:val="BoxSpaceBelow"/>
            </w:pPr>
          </w:p>
        </w:tc>
      </w:tr>
    </w:tbl>
    <w:p w14:paraId="63EA9E2C" w14:textId="77777777" w:rsidR="00C40826" w:rsidRDefault="00C40826" w:rsidP="00343F3E">
      <w:pPr>
        <w:pStyle w:val="BodyText"/>
      </w:pPr>
    </w:p>
    <w:p w14:paraId="62769BD6" w14:textId="77777777" w:rsidR="00C40826" w:rsidRDefault="00C40826" w:rsidP="00343F3E">
      <w:pPr>
        <w:pStyle w:val="BodyText"/>
      </w:pPr>
    </w:p>
    <w:p w14:paraId="577B2A76" w14:textId="3AC2E922" w:rsidR="00DE1537" w:rsidRDefault="00DE1537" w:rsidP="00343F3E">
      <w:pPr>
        <w:pStyle w:val="BodyText"/>
      </w:pPr>
      <w:r>
        <w:lastRenderedPageBreak/>
        <w:t>Ba</w:t>
      </w:r>
      <w:r w:rsidRPr="005F1C07">
        <w:t xml:space="preserve">sed on </w:t>
      </w:r>
      <w:r>
        <w:t>the Commission’s</w:t>
      </w:r>
      <w:r w:rsidRPr="005F1C07">
        <w:t xml:space="preserve"> projections</w:t>
      </w:r>
      <w:r>
        <w:t>:</w:t>
      </w:r>
    </w:p>
    <w:p w14:paraId="2B18E24F" w14:textId="77777777" w:rsidR="00DE1537" w:rsidRDefault="00DE1537" w:rsidP="00343F3E">
      <w:pPr>
        <w:pStyle w:val="ListBullet"/>
      </w:pPr>
      <w:r>
        <w:t xml:space="preserve">average nominal insurance losses are expected to grow by </w:t>
      </w:r>
      <w:r w:rsidRPr="00E46E04">
        <w:t>approximately</w:t>
      </w:r>
      <w:r>
        <w:t xml:space="preserve"> 5–</w:t>
      </w:r>
      <w:r w:rsidRPr="00E46E04">
        <w:t xml:space="preserve">6 per cent per </w:t>
      </w:r>
      <w:r>
        <w:t>year</w:t>
      </w:r>
      <w:r w:rsidRPr="00181401">
        <w:rPr>
          <w:rStyle w:val="FootnoteReference"/>
        </w:rPr>
        <w:footnoteReference w:id="20"/>
      </w:r>
    </w:p>
    <w:p w14:paraId="74AECAAF" w14:textId="77777777" w:rsidR="00DE1537" w:rsidRDefault="00DE1537" w:rsidP="00343F3E">
      <w:pPr>
        <w:pStyle w:val="ListBullet"/>
      </w:pPr>
      <w:r>
        <w:t>in the medium term (2018), annual insurance losses could be in the range of $1.1 billion to $2.9 billion</w:t>
      </w:r>
    </w:p>
    <w:p w14:paraId="70A2A18B" w14:textId="77777777" w:rsidR="00DE1537" w:rsidRDefault="00DE1537" w:rsidP="00343F3E">
      <w:pPr>
        <w:pStyle w:val="ListBullet"/>
      </w:pPr>
      <w:proofErr w:type="gramStart"/>
      <w:r>
        <w:t>in</w:t>
      </w:r>
      <w:proofErr w:type="gramEnd"/>
      <w:r>
        <w:t xml:space="preserve"> the long term (2023), annual insurance losses could be in the range of $1.2 billion to $3.0 billion.</w:t>
      </w:r>
    </w:p>
    <w:p w14:paraId="2A1C4902" w14:textId="6EB26B5F" w:rsidR="00DE1537" w:rsidRPr="00B97CD9" w:rsidRDefault="00DE1537" w:rsidP="00343F3E">
      <w:pPr>
        <w:pStyle w:val="BodyText"/>
      </w:pPr>
      <w:r w:rsidRPr="00B97CD9">
        <w:t>While these insurance losses appear large, they do not represent a significant impact when viewed in the context of economy</w:t>
      </w:r>
      <w:r w:rsidRPr="00B97CD9">
        <w:noBreakHyphen/>
        <w:t>wide metrics such as GDP. For example, the 2010</w:t>
      </w:r>
      <w:r>
        <w:t>–</w:t>
      </w:r>
      <w:r w:rsidRPr="00B97CD9">
        <w:t xml:space="preserve">11 Queensland </w:t>
      </w:r>
      <w:proofErr w:type="gramStart"/>
      <w:r w:rsidRPr="00B97CD9">
        <w:t>floods, that were described as a severe natural disaster,</w:t>
      </w:r>
      <w:proofErr w:type="gramEnd"/>
      <w:r w:rsidRPr="00B97CD9">
        <w:t xml:space="preserve"> resulted in approximately $2.4 billion of insurance losses </w:t>
      </w:r>
      <w:r w:rsidR="007C5656" w:rsidRPr="007C5656">
        <w:rPr>
          <w:szCs w:val="24"/>
        </w:rPr>
        <w:t>(ICA 2014e)</w:t>
      </w:r>
      <w:r w:rsidRPr="00B97CD9">
        <w:t>. This represents about 0.2 per cent of Australia’s nominal GDP and about 1 per cent of Queensland’s gross state product for the year ended June 2011 (ABS 2014a, 2014b). In contrast, the 2010 Canterbury earthquake resulted in approximately NZ$30 billion of insurance losses (Parker and Steenkamp 2012). This represents 15 per cent of New Zealand’s nominal GDP for the year ended March 2011 (approximately $200 billion) (Statistics New Zealand 2014).</w:t>
      </w:r>
    </w:p>
    <w:p w14:paraId="1A29A0C7" w14:textId="77777777" w:rsidR="00DE1537" w:rsidRDefault="00DE1537" w:rsidP="00343F3E">
      <w:pPr>
        <w:pStyle w:val="BodyText"/>
      </w:pPr>
      <w:r w:rsidRPr="00D9368A">
        <w:t>These insurance loss projections come with a number of caveats. For</w:t>
      </w:r>
      <w:r>
        <w:t xml:space="preserve"> example:</w:t>
      </w:r>
    </w:p>
    <w:p w14:paraId="4A09BDF8" w14:textId="77777777" w:rsidR="00DE1537" w:rsidRDefault="00DE1537" w:rsidP="00343F3E">
      <w:pPr>
        <w:pStyle w:val="ListBullet"/>
      </w:pPr>
      <w:r>
        <w:t>future spikes in natural disaster costs, such as those observed recently, are not projected</w:t>
      </w:r>
    </w:p>
    <w:p w14:paraId="72C9BE77" w14:textId="77777777" w:rsidR="00DE1537" w:rsidRPr="00347B1F" w:rsidRDefault="00DE1537" w:rsidP="00343F3E">
      <w:pPr>
        <w:pStyle w:val="ListBullet"/>
      </w:pPr>
      <w:proofErr w:type="gramStart"/>
      <w:r w:rsidRPr="00347B1F">
        <w:t>changes</w:t>
      </w:r>
      <w:proofErr w:type="gramEnd"/>
      <w:r w:rsidRPr="00347B1F">
        <w:t xml:space="preserve"> in the drivers of disaster costs such as population growth and increasing wealth are not explicitly modelled. Their effects are assumed to be reflected in the value of nominal insurance losses at a given point in time.</w:t>
      </w:r>
    </w:p>
    <w:p w14:paraId="409CC03C" w14:textId="77777777" w:rsidR="00DE1537" w:rsidRDefault="00DE1537" w:rsidP="00343F3E">
      <w:pPr>
        <w:pStyle w:val="Heading3"/>
      </w:pPr>
      <w:r>
        <w:t>Estimating and projecting economic costs</w:t>
      </w:r>
    </w:p>
    <w:p w14:paraId="588791F1" w14:textId="77777777" w:rsidR="00DE1537" w:rsidRDefault="00DE1537" w:rsidP="00343F3E">
      <w:pPr>
        <w:pStyle w:val="BodyText"/>
      </w:pPr>
      <w:r>
        <w:t xml:space="preserve">The Commission’s approach is to provide likely low and high estimates of the economic costs of natural disasters, obtained through the use of selected high and low ILRs respectively to scale up insurance losses to economic costs. Existing evidence guided the selection of the ILRs. </w:t>
      </w:r>
    </w:p>
    <w:p w14:paraId="63F6A3B7" w14:textId="7D409742" w:rsidR="00DE1537" w:rsidRDefault="00DE1537" w:rsidP="00343F3E">
      <w:pPr>
        <w:pStyle w:val="BodyText"/>
      </w:pPr>
      <w:r>
        <w:t xml:space="preserve">The low ratio was chosen after reviewing the ILRs reported by Joy </w:t>
      </w:r>
      <w:r w:rsidRPr="00B04296">
        <w:t>(1991)</w:t>
      </w:r>
      <w:r>
        <w:t xml:space="preserve"> — the most widely used values in the Australian literature. While the relevance of these ILRs 20 years later is questionable, they can nevertheless be useful as an input in determining a plausible range for the economic costs of natural disasters. Joy’s </w:t>
      </w:r>
      <w:r w:rsidRPr="00B04296">
        <w:t>(1991)</w:t>
      </w:r>
      <w:r>
        <w:t xml:space="preserve"> ILRs suggest that the proportion of insurance losses in total direct losses range from 10 per cent to 35 per cent across hazard types and average 25 per cent. Based on that, a low</w:t>
      </w:r>
      <w:r>
        <w:noBreakHyphen/>
        <w:t xml:space="preserve">ratio estimate of economic costs was calculated using an ILR of 20 per cent. </w:t>
      </w:r>
    </w:p>
    <w:p w14:paraId="07F3832B" w14:textId="18B9F8D4" w:rsidR="00DE1537" w:rsidRDefault="00DE1537" w:rsidP="00343F3E">
      <w:pPr>
        <w:pStyle w:val="BodyText"/>
      </w:pPr>
      <w:r>
        <w:lastRenderedPageBreak/>
        <w:t xml:space="preserve">The high ratio was chosen after reviewing some of the highest values reported in the literature. For example, Cummins, Suher and Zanjani </w:t>
      </w:r>
      <w:r w:rsidRPr="00C82CF6">
        <w:t>(2010)</w:t>
      </w:r>
      <w:r>
        <w:t xml:space="preserve"> reported a ratio of insured to total losses of </w:t>
      </w:r>
      <w:proofErr w:type="gramStart"/>
      <w:r>
        <w:t>under</w:t>
      </w:r>
      <w:proofErr w:type="gramEnd"/>
      <w:r>
        <w:t xml:space="preserve"> 50 per cent based on a sample of 65 events. In another example, the Actuaries Institute (sub. 97) suggested that insurance losses make up around 50 to 80 per cent of economic costs. However, these proportions most likely reflect assumptions about the extent of insurance coverage for natural disasters, underinsurance and non</w:t>
      </w:r>
      <w:r>
        <w:noBreakHyphen/>
        <w:t xml:space="preserve">insurance, rather than unquantified indirect and intangible costs. Since these unquantified costs can be significant, a ratio of 80 per cent is considered too high to extrapolate economic costs that include indirect and intangible costs. This view, coupled with Joy’s </w:t>
      </w:r>
      <w:r w:rsidRPr="00B04296">
        <w:t>(1991)</w:t>
      </w:r>
      <w:r>
        <w:t xml:space="preserve"> highest reported ILR being 35 per cent, suggests that an ILR of 50 per cent is relatively suitable to calculate a high</w:t>
      </w:r>
      <w:r>
        <w:noBreakHyphen/>
        <w:t>ratio estimate of economic costs.</w:t>
      </w:r>
    </w:p>
    <w:p w14:paraId="23FBBA60" w14:textId="77777777" w:rsidR="00DE1537" w:rsidRDefault="00DE1537" w:rsidP="00343F3E">
      <w:pPr>
        <w:pStyle w:val="BodyText"/>
      </w:pPr>
      <w:r>
        <w:t xml:space="preserve">The range within which the economic costs of natural disasters are likely to fall is wide (table 7.3 and figure 7.2). This range does not cover all possible values of economic costs; rather, it is a range of </w:t>
      </w:r>
      <w:r>
        <w:rPr>
          <w:i/>
        </w:rPr>
        <w:t>average</w:t>
      </w:r>
      <w:r>
        <w:t xml:space="preserve"> economic costs in the year of projection. In 2013, the economic costs of natural disasters in Australia were likely to have been between $2.8 billion and $7.0 billion, relative to $1.4 billion of insurance losses recorded by the Insurance Council of Australia. During the severe disasters of 2010, economic costs were potentially as high as $23 billion. Based on the Commission’s projections:</w:t>
      </w:r>
    </w:p>
    <w:p w14:paraId="0B29BFBB" w14:textId="77777777" w:rsidR="00DE1537" w:rsidRDefault="00DE1537" w:rsidP="00343F3E">
      <w:pPr>
        <w:pStyle w:val="ListBullet"/>
      </w:pPr>
      <w:r>
        <w:t xml:space="preserve">in the medium term (2018), annual economic costs could be between $2.4 billion and $14.6 billion </w:t>
      </w:r>
    </w:p>
    <w:p w14:paraId="5BAD2E04" w14:textId="77777777" w:rsidR="00DE1537" w:rsidRDefault="00DE1537" w:rsidP="00343F3E">
      <w:pPr>
        <w:pStyle w:val="ListBullet"/>
      </w:pPr>
      <w:proofErr w:type="gramStart"/>
      <w:r>
        <w:t>in</w:t>
      </w:r>
      <w:proofErr w:type="gramEnd"/>
      <w:r>
        <w:t xml:space="preserve"> the long term (2023), annual economic costs could be between $2.6 billion and $15.1 billion. </w:t>
      </w:r>
    </w:p>
    <w:p w14:paraId="1DCB3B6D" w14:textId="77777777" w:rsidR="00DE1537" w:rsidRDefault="00DE1537" w:rsidP="00343F3E"/>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3C59714D" w14:textId="77777777" w:rsidTr="00343F3E">
        <w:tc>
          <w:tcPr>
            <w:tcW w:w="8771" w:type="dxa"/>
            <w:tcBorders>
              <w:top w:val="single" w:sz="6" w:space="0" w:color="78A22F"/>
              <w:left w:val="nil"/>
              <w:bottom w:val="nil"/>
              <w:right w:val="nil"/>
            </w:tcBorders>
            <w:shd w:val="clear" w:color="auto" w:fill="auto"/>
          </w:tcPr>
          <w:p w14:paraId="18B394A0" w14:textId="40D018D3" w:rsidR="00DE1537" w:rsidRPr="00784A05" w:rsidRDefault="00DE1537" w:rsidP="00343F3E">
            <w:pPr>
              <w:pStyle w:val="TableTitle"/>
            </w:pPr>
            <w:r>
              <w:rPr>
                <w:b w:val="0"/>
              </w:rPr>
              <w:t>Table 7.</w:t>
            </w:r>
            <w:r>
              <w:rPr>
                <w:b w:val="0"/>
                <w:noProof/>
              </w:rPr>
              <w:t>3</w:t>
            </w:r>
            <w:r>
              <w:tab/>
              <w:t>Medium-term and long-term projections of economic costs</w:t>
            </w:r>
            <w:r w:rsidRPr="00AD3E84">
              <w:rPr>
                <w:rStyle w:val="NoteLabel"/>
                <w:b/>
              </w:rPr>
              <w:t>a</w:t>
            </w:r>
          </w:p>
        </w:tc>
      </w:tr>
      <w:tr w:rsidR="00DE1537" w14:paraId="5D98E262"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68"/>
              <w:gridCol w:w="1418"/>
              <w:gridCol w:w="800"/>
              <w:gridCol w:w="800"/>
              <w:gridCol w:w="895"/>
              <w:gridCol w:w="372"/>
              <w:gridCol w:w="801"/>
              <w:gridCol w:w="871"/>
              <w:gridCol w:w="862"/>
            </w:tblGrid>
            <w:tr w:rsidR="00DE1537" w14:paraId="0D8B3FAC" w14:textId="77777777" w:rsidTr="00343F3E">
              <w:tc>
                <w:tcPr>
                  <w:tcW w:w="983" w:type="pct"/>
                  <w:tcBorders>
                    <w:top w:val="single" w:sz="6" w:space="0" w:color="BFBFBF"/>
                    <w:bottom w:val="single" w:sz="6" w:space="0" w:color="BFBFBF"/>
                  </w:tcBorders>
                  <w:shd w:val="clear" w:color="auto" w:fill="auto"/>
                  <w:tcMar>
                    <w:top w:w="28" w:type="dxa"/>
                  </w:tcMar>
                </w:tcPr>
                <w:p w14:paraId="4E5C7322" w14:textId="77777777" w:rsidR="00DE1537" w:rsidRDefault="00DE1537" w:rsidP="00343F3E">
                  <w:pPr>
                    <w:pStyle w:val="TableColumnHeading"/>
                    <w:jc w:val="left"/>
                  </w:pPr>
                </w:p>
              </w:tc>
              <w:tc>
                <w:tcPr>
                  <w:tcW w:w="836" w:type="pct"/>
                  <w:tcBorders>
                    <w:top w:val="single" w:sz="6" w:space="0" w:color="BFBFBF"/>
                    <w:bottom w:val="single" w:sz="6" w:space="0" w:color="BFBFBF"/>
                  </w:tcBorders>
                </w:tcPr>
                <w:p w14:paraId="4BB9C93A" w14:textId="77777777" w:rsidR="00DE1537" w:rsidRPr="003F311D" w:rsidRDefault="00DE1537" w:rsidP="00343F3E">
                  <w:pPr>
                    <w:pStyle w:val="TableColumnHeading"/>
                    <w:ind w:right="28"/>
                    <w:jc w:val="center"/>
                    <w:rPr>
                      <w:b/>
                    </w:rPr>
                  </w:pPr>
                </w:p>
              </w:tc>
              <w:tc>
                <w:tcPr>
                  <w:tcW w:w="1469" w:type="pct"/>
                  <w:gridSpan w:val="3"/>
                  <w:tcBorders>
                    <w:top w:val="single" w:sz="6" w:space="0" w:color="BFBFBF"/>
                    <w:bottom w:val="single" w:sz="6" w:space="0" w:color="000000" w:themeColor="text1"/>
                  </w:tcBorders>
                </w:tcPr>
                <w:p w14:paraId="316982CC" w14:textId="77777777" w:rsidR="00DE1537" w:rsidRPr="00AD3E84" w:rsidRDefault="00DE1537" w:rsidP="00343F3E">
                  <w:pPr>
                    <w:pStyle w:val="TableColumnHeading"/>
                    <w:ind w:right="28"/>
                    <w:jc w:val="center"/>
                    <w:rPr>
                      <w:b/>
                    </w:rPr>
                  </w:pPr>
                  <w:r w:rsidRPr="00AD3E84">
                    <w:rPr>
                      <w:b/>
                    </w:rPr>
                    <w:t>Medium term</w:t>
                  </w:r>
                  <w:r>
                    <w:rPr>
                      <w:b/>
                    </w:rPr>
                    <w:t xml:space="preserve"> (2018)</w:t>
                  </w:r>
                </w:p>
              </w:tc>
              <w:tc>
                <w:tcPr>
                  <w:tcW w:w="219" w:type="pct"/>
                  <w:tcBorders>
                    <w:top w:val="single" w:sz="6" w:space="0" w:color="BFBFBF"/>
                    <w:bottom w:val="single" w:sz="6" w:space="0" w:color="BFBFBF"/>
                  </w:tcBorders>
                </w:tcPr>
                <w:p w14:paraId="37CBA5F3" w14:textId="77777777" w:rsidR="00DE1537" w:rsidRDefault="00DE1537" w:rsidP="00343F3E">
                  <w:pPr>
                    <w:pStyle w:val="TableColumnHeading"/>
                    <w:ind w:right="28"/>
                  </w:pPr>
                </w:p>
              </w:tc>
              <w:tc>
                <w:tcPr>
                  <w:tcW w:w="1493" w:type="pct"/>
                  <w:gridSpan w:val="3"/>
                  <w:tcBorders>
                    <w:top w:val="single" w:sz="6" w:space="0" w:color="BFBFBF"/>
                    <w:bottom w:val="single" w:sz="6" w:space="0" w:color="000000" w:themeColor="text1"/>
                  </w:tcBorders>
                </w:tcPr>
                <w:p w14:paraId="1AAA2CF4" w14:textId="77777777" w:rsidR="00DE1537" w:rsidRPr="00AD3E84" w:rsidRDefault="00DE1537" w:rsidP="00343F3E">
                  <w:pPr>
                    <w:pStyle w:val="TableColumnHeading"/>
                    <w:ind w:right="28"/>
                    <w:jc w:val="center"/>
                    <w:rPr>
                      <w:b/>
                    </w:rPr>
                  </w:pPr>
                  <w:r w:rsidRPr="00AD3E84">
                    <w:rPr>
                      <w:b/>
                    </w:rPr>
                    <w:t>Long term</w:t>
                  </w:r>
                  <w:r>
                    <w:rPr>
                      <w:b/>
                    </w:rPr>
                    <w:t xml:space="preserve"> (2023)</w:t>
                  </w:r>
                </w:p>
              </w:tc>
            </w:tr>
            <w:tr w:rsidR="00DE1537" w14:paraId="3138FB1B" w14:textId="77777777" w:rsidTr="00343F3E">
              <w:tc>
                <w:tcPr>
                  <w:tcW w:w="983" w:type="pct"/>
                  <w:tcBorders>
                    <w:top w:val="single" w:sz="6" w:space="0" w:color="BFBFBF"/>
                    <w:bottom w:val="single" w:sz="6" w:space="0" w:color="BFBFBF"/>
                  </w:tcBorders>
                  <w:shd w:val="clear" w:color="auto" w:fill="auto"/>
                  <w:tcMar>
                    <w:top w:w="28" w:type="dxa"/>
                  </w:tcMar>
                </w:tcPr>
                <w:p w14:paraId="32165159" w14:textId="77777777" w:rsidR="00DE1537" w:rsidRDefault="00DE1537" w:rsidP="00343F3E">
                  <w:pPr>
                    <w:pStyle w:val="TableColumnHeading"/>
                    <w:jc w:val="left"/>
                  </w:pPr>
                  <w:r>
                    <w:t>Ratio of insurance losses to economic costs</w:t>
                  </w:r>
                </w:p>
              </w:tc>
              <w:tc>
                <w:tcPr>
                  <w:tcW w:w="836" w:type="pct"/>
                  <w:tcBorders>
                    <w:top w:val="single" w:sz="6" w:space="0" w:color="BFBFBF"/>
                    <w:bottom w:val="single" w:sz="6" w:space="0" w:color="BFBFBF"/>
                  </w:tcBorders>
                </w:tcPr>
                <w:p w14:paraId="1D3B8F16" w14:textId="77777777" w:rsidR="00DE1537" w:rsidRPr="00FB13D0" w:rsidRDefault="00DE1537" w:rsidP="00343F3E">
                  <w:pPr>
                    <w:pStyle w:val="TableColumnHeading"/>
                  </w:pPr>
                  <w:r w:rsidRPr="00FB13D0">
                    <w:t>Standard deviation of economic costs</w:t>
                  </w:r>
                </w:p>
              </w:tc>
              <w:tc>
                <w:tcPr>
                  <w:tcW w:w="471" w:type="pct"/>
                  <w:tcBorders>
                    <w:top w:val="single" w:sz="6" w:space="0" w:color="000000" w:themeColor="text1"/>
                    <w:bottom w:val="single" w:sz="6" w:space="0" w:color="BFBFBF"/>
                  </w:tcBorders>
                </w:tcPr>
                <w:p w14:paraId="10ED0AF9" w14:textId="77777777" w:rsidR="00DE1537" w:rsidRPr="00FB13D0" w:rsidRDefault="00DE1537" w:rsidP="00343F3E">
                  <w:pPr>
                    <w:pStyle w:val="TableColumnHeading"/>
                  </w:pPr>
                  <w:r w:rsidRPr="00FB13D0">
                    <w:t>Low estimate</w:t>
                  </w:r>
                </w:p>
              </w:tc>
              <w:tc>
                <w:tcPr>
                  <w:tcW w:w="471" w:type="pct"/>
                  <w:tcBorders>
                    <w:top w:val="single" w:sz="6" w:space="0" w:color="000000" w:themeColor="text1"/>
                    <w:bottom w:val="single" w:sz="6" w:space="0" w:color="BFBFBF"/>
                  </w:tcBorders>
                </w:tcPr>
                <w:p w14:paraId="70CAACF9" w14:textId="77777777" w:rsidR="00DE1537" w:rsidRPr="00FB13D0" w:rsidRDefault="00DE1537" w:rsidP="00343F3E">
                  <w:pPr>
                    <w:pStyle w:val="TableColumnHeading"/>
                  </w:pPr>
                  <w:r w:rsidRPr="00FB13D0">
                    <w:t>Central estimate</w:t>
                  </w:r>
                </w:p>
              </w:tc>
              <w:tc>
                <w:tcPr>
                  <w:tcW w:w="526" w:type="pct"/>
                  <w:tcBorders>
                    <w:top w:val="single" w:sz="6" w:space="0" w:color="000000" w:themeColor="text1"/>
                    <w:bottom w:val="single" w:sz="6" w:space="0" w:color="BFBFBF"/>
                  </w:tcBorders>
                </w:tcPr>
                <w:p w14:paraId="2A5AC757" w14:textId="77777777" w:rsidR="00DE1537" w:rsidRPr="00FB13D0" w:rsidRDefault="00DE1537" w:rsidP="00343F3E">
                  <w:pPr>
                    <w:pStyle w:val="TableColumnHeading"/>
                  </w:pPr>
                  <w:r w:rsidRPr="00FB13D0">
                    <w:t>High estimate</w:t>
                  </w:r>
                </w:p>
              </w:tc>
              <w:tc>
                <w:tcPr>
                  <w:tcW w:w="219" w:type="pct"/>
                  <w:tcBorders>
                    <w:top w:val="single" w:sz="6" w:space="0" w:color="BFBFBF"/>
                    <w:bottom w:val="single" w:sz="6" w:space="0" w:color="BFBFBF"/>
                  </w:tcBorders>
                </w:tcPr>
                <w:p w14:paraId="779E2A3F" w14:textId="77777777" w:rsidR="00DE1537" w:rsidRPr="00FB13D0" w:rsidRDefault="00DE1537" w:rsidP="00343F3E">
                  <w:pPr>
                    <w:pStyle w:val="TableColumnHeading"/>
                  </w:pPr>
                </w:p>
              </w:tc>
              <w:tc>
                <w:tcPr>
                  <w:tcW w:w="472" w:type="pct"/>
                  <w:tcBorders>
                    <w:top w:val="single" w:sz="6" w:space="0" w:color="000000" w:themeColor="text1"/>
                    <w:bottom w:val="single" w:sz="6" w:space="0" w:color="BFBFBF"/>
                  </w:tcBorders>
                </w:tcPr>
                <w:p w14:paraId="09C7A455" w14:textId="77777777" w:rsidR="00DE1537" w:rsidRPr="00FB13D0" w:rsidRDefault="00DE1537" w:rsidP="00343F3E">
                  <w:pPr>
                    <w:pStyle w:val="TableColumnHeading"/>
                  </w:pPr>
                  <w:r w:rsidRPr="00FB13D0">
                    <w:t>Low estimate</w:t>
                  </w:r>
                </w:p>
              </w:tc>
              <w:tc>
                <w:tcPr>
                  <w:tcW w:w="513" w:type="pct"/>
                  <w:tcBorders>
                    <w:top w:val="single" w:sz="6" w:space="0" w:color="000000" w:themeColor="text1"/>
                    <w:bottom w:val="single" w:sz="6" w:space="0" w:color="BFBFBF"/>
                  </w:tcBorders>
                </w:tcPr>
                <w:p w14:paraId="4AF80481" w14:textId="77777777" w:rsidR="00DE1537" w:rsidRPr="00FB13D0" w:rsidRDefault="00DE1537" w:rsidP="00343F3E">
                  <w:pPr>
                    <w:pStyle w:val="TableColumnHeading"/>
                  </w:pPr>
                  <w:r w:rsidRPr="00FB13D0">
                    <w:t>Central estimate</w:t>
                  </w:r>
                </w:p>
              </w:tc>
              <w:tc>
                <w:tcPr>
                  <w:tcW w:w="508" w:type="pct"/>
                  <w:tcBorders>
                    <w:top w:val="single" w:sz="6" w:space="0" w:color="000000" w:themeColor="text1"/>
                    <w:bottom w:val="single" w:sz="6" w:space="0" w:color="BFBFBF"/>
                  </w:tcBorders>
                </w:tcPr>
                <w:p w14:paraId="27D1A879" w14:textId="77777777" w:rsidR="00DE1537" w:rsidRPr="00FB13D0" w:rsidRDefault="00DE1537" w:rsidP="00343F3E">
                  <w:pPr>
                    <w:pStyle w:val="TableColumnHeading"/>
                    <w:ind w:right="28"/>
                  </w:pPr>
                  <w:r w:rsidRPr="00FB13D0">
                    <w:t>High estimate</w:t>
                  </w:r>
                </w:p>
              </w:tc>
            </w:tr>
            <w:tr w:rsidR="00DE1537" w14:paraId="47130E2C" w14:textId="77777777" w:rsidTr="00343F3E">
              <w:tc>
                <w:tcPr>
                  <w:tcW w:w="983" w:type="pct"/>
                  <w:tcBorders>
                    <w:top w:val="single" w:sz="6" w:space="0" w:color="BFBFBF"/>
                  </w:tcBorders>
                </w:tcPr>
                <w:p w14:paraId="720609C8" w14:textId="77777777" w:rsidR="00DE1537" w:rsidRDefault="00DE1537" w:rsidP="00343F3E">
                  <w:pPr>
                    <w:pStyle w:val="TableUnitsRow"/>
                    <w:jc w:val="left"/>
                  </w:pPr>
                </w:p>
              </w:tc>
              <w:tc>
                <w:tcPr>
                  <w:tcW w:w="836" w:type="pct"/>
                  <w:tcBorders>
                    <w:top w:val="single" w:sz="6" w:space="0" w:color="BFBFBF"/>
                  </w:tcBorders>
                </w:tcPr>
                <w:p w14:paraId="6CB228BA" w14:textId="77777777" w:rsidR="00DE1537" w:rsidRPr="00FB13D0" w:rsidRDefault="00DE1537" w:rsidP="00343F3E">
                  <w:pPr>
                    <w:pStyle w:val="TableUnitsRow"/>
                  </w:pPr>
                  <w:r w:rsidRPr="00FB13D0">
                    <w:t>$b</w:t>
                  </w:r>
                </w:p>
              </w:tc>
              <w:tc>
                <w:tcPr>
                  <w:tcW w:w="471" w:type="pct"/>
                  <w:tcBorders>
                    <w:top w:val="single" w:sz="6" w:space="0" w:color="BFBFBF"/>
                  </w:tcBorders>
                </w:tcPr>
                <w:p w14:paraId="09D15724" w14:textId="77777777" w:rsidR="00DE1537" w:rsidRPr="00FB13D0" w:rsidRDefault="00DE1537" w:rsidP="00343F3E">
                  <w:pPr>
                    <w:pStyle w:val="TableUnitsRow"/>
                  </w:pPr>
                  <w:r w:rsidRPr="00FB13D0">
                    <w:t>$b</w:t>
                  </w:r>
                </w:p>
              </w:tc>
              <w:tc>
                <w:tcPr>
                  <w:tcW w:w="471" w:type="pct"/>
                  <w:tcBorders>
                    <w:top w:val="single" w:sz="6" w:space="0" w:color="BFBFBF"/>
                  </w:tcBorders>
                </w:tcPr>
                <w:p w14:paraId="3F08C563" w14:textId="77777777" w:rsidR="00DE1537" w:rsidRPr="00FB13D0" w:rsidRDefault="00DE1537" w:rsidP="00343F3E">
                  <w:pPr>
                    <w:pStyle w:val="TableUnitsRow"/>
                  </w:pPr>
                  <w:r w:rsidRPr="00FB13D0">
                    <w:t>$b</w:t>
                  </w:r>
                </w:p>
              </w:tc>
              <w:tc>
                <w:tcPr>
                  <w:tcW w:w="526" w:type="pct"/>
                  <w:tcBorders>
                    <w:top w:val="single" w:sz="6" w:space="0" w:color="BFBFBF"/>
                  </w:tcBorders>
                </w:tcPr>
                <w:p w14:paraId="4E89417A" w14:textId="77777777" w:rsidR="00DE1537" w:rsidRPr="00FB13D0" w:rsidRDefault="00DE1537" w:rsidP="00343F3E">
                  <w:pPr>
                    <w:pStyle w:val="TableUnitsRow"/>
                  </w:pPr>
                  <w:r w:rsidRPr="00FB13D0">
                    <w:t>$b</w:t>
                  </w:r>
                </w:p>
              </w:tc>
              <w:tc>
                <w:tcPr>
                  <w:tcW w:w="219" w:type="pct"/>
                  <w:tcBorders>
                    <w:top w:val="single" w:sz="6" w:space="0" w:color="BFBFBF"/>
                  </w:tcBorders>
                </w:tcPr>
                <w:p w14:paraId="02A1CF59" w14:textId="77777777" w:rsidR="00DE1537" w:rsidRPr="00FB13D0" w:rsidRDefault="00DE1537" w:rsidP="00343F3E">
                  <w:pPr>
                    <w:pStyle w:val="TableUnitsRow"/>
                  </w:pPr>
                </w:p>
              </w:tc>
              <w:tc>
                <w:tcPr>
                  <w:tcW w:w="472" w:type="pct"/>
                  <w:tcBorders>
                    <w:top w:val="single" w:sz="6" w:space="0" w:color="BFBFBF"/>
                  </w:tcBorders>
                </w:tcPr>
                <w:p w14:paraId="149C3DA3" w14:textId="77777777" w:rsidR="00DE1537" w:rsidRPr="00FB13D0" w:rsidRDefault="00DE1537" w:rsidP="00343F3E">
                  <w:pPr>
                    <w:pStyle w:val="TableUnitsRow"/>
                  </w:pPr>
                  <w:r w:rsidRPr="00FB13D0">
                    <w:t>$b</w:t>
                  </w:r>
                </w:p>
              </w:tc>
              <w:tc>
                <w:tcPr>
                  <w:tcW w:w="513" w:type="pct"/>
                  <w:tcBorders>
                    <w:top w:val="single" w:sz="6" w:space="0" w:color="BFBFBF"/>
                  </w:tcBorders>
                </w:tcPr>
                <w:p w14:paraId="48F54173" w14:textId="77777777" w:rsidR="00DE1537" w:rsidRPr="00FB13D0" w:rsidRDefault="00DE1537" w:rsidP="00343F3E">
                  <w:pPr>
                    <w:pStyle w:val="TableUnitsRow"/>
                  </w:pPr>
                  <w:r w:rsidRPr="00FB13D0">
                    <w:t>$b</w:t>
                  </w:r>
                </w:p>
              </w:tc>
              <w:tc>
                <w:tcPr>
                  <w:tcW w:w="508" w:type="pct"/>
                  <w:tcBorders>
                    <w:top w:val="single" w:sz="6" w:space="0" w:color="BFBFBF"/>
                  </w:tcBorders>
                </w:tcPr>
                <w:p w14:paraId="03DCC235" w14:textId="77777777" w:rsidR="00DE1537" w:rsidRPr="00FB13D0" w:rsidRDefault="00DE1537" w:rsidP="00343F3E">
                  <w:pPr>
                    <w:pStyle w:val="TableUnitsRow"/>
                    <w:ind w:right="28"/>
                  </w:pPr>
                  <w:r w:rsidRPr="00FB13D0">
                    <w:t>$b</w:t>
                  </w:r>
                </w:p>
              </w:tc>
            </w:tr>
            <w:tr w:rsidR="00DE1537" w14:paraId="3E5A902E" w14:textId="77777777" w:rsidTr="00343F3E">
              <w:tc>
                <w:tcPr>
                  <w:tcW w:w="983" w:type="pct"/>
                </w:tcPr>
                <w:p w14:paraId="41137A30" w14:textId="77777777" w:rsidR="00DE1537" w:rsidRDefault="00DE1537" w:rsidP="00343F3E">
                  <w:pPr>
                    <w:pStyle w:val="TableBodyText"/>
                    <w:jc w:val="left"/>
                  </w:pPr>
                  <w:r>
                    <w:t>High (0.50)</w:t>
                  </w:r>
                </w:p>
              </w:tc>
              <w:tc>
                <w:tcPr>
                  <w:tcW w:w="836" w:type="pct"/>
                  <w:vAlign w:val="center"/>
                </w:tcPr>
                <w:p w14:paraId="234352DD" w14:textId="77777777" w:rsidR="00DE1537" w:rsidRDefault="00DE1537" w:rsidP="00343F3E">
                  <w:pPr>
                    <w:pStyle w:val="TableBodyText"/>
                    <w:rPr>
                      <w:rFonts w:cs="Arial"/>
                      <w:color w:val="000000"/>
                      <w:szCs w:val="18"/>
                    </w:rPr>
                  </w:pPr>
                  <w:r>
                    <w:rPr>
                      <w:rFonts w:cs="Arial"/>
                      <w:color w:val="000000"/>
                      <w:szCs w:val="18"/>
                    </w:rPr>
                    <w:t>1.7</w:t>
                  </w:r>
                </w:p>
              </w:tc>
              <w:tc>
                <w:tcPr>
                  <w:tcW w:w="471" w:type="pct"/>
                  <w:vAlign w:val="center"/>
                </w:tcPr>
                <w:p w14:paraId="68CEB070" w14:textId="77777777" w:rsidR="00DE1537" w:rsidRPr="00000CFD" w:rsidRDefault="00DE1537" w:rsidP="00343F3E">
                  <w:pPr>
                    <w:pStyle w:val="TableBodyText"/>
                    <w:rPr>
                      <w:i/>
                    </w:rPr>
                  </w:pPr>
                  <w:r>
                    <w:rPr>
                      <w:rFonts w:cs="Arial"/>
                      <w:color w:val="000000"/>
                      <w:szCs w:val="18"/>
                    </w:rPr>
                    <w:t>2.4</w:t>
                  </w:r>
                </w:p>
              </w:tc>
              <w:tc>
                <w:tcPr>
                  <w:tcW w:w="471" w:type="pct"/>
                  <w:vAlign w:val="center"/>
                </w:tcPr>
                <w:p w14:paraId="5C53B5D1" w14:textId="77777777" w:rsidR="00DE1537" w:rsidRPr="00000CFD" w:rsidRDefault="00DE1537" w:rsidP="00343F3E">
                  <w:pPr>
                    <w:pStyle w:val="TableBodyText"/>
                    <w:rPr>
                      <w:i/>
                    </w:rPr>
                  </w:pPr>
                  <w:r>
                    <w:rPr>
                      <w:rFonts w:cs="Arial"/>
                      <w:color w:val="000000"/>
                      <w:szCs w:val="18"/>
                    </w:rPr>
                    <w:t>4.1</w:t>
                  </w:r>
                </w:p>
              </w:tc>
              <w:tc>
                <w:tcPr>
                  <w:tcW w:w="526" w:type="pct"/>
                  <w:vAlign w:val="center"/>
                </w:tcPr>
                <w:p w14:paraId="1272F9CE" w14:textId="77777777" w:rsidR="00DE1537" w:rsidRPr="00000CFD" w:rsidRDefault="00DE1537" w:rsidP="00343F3E">
                  <w:pPr>
                    <w:pStyle w:val="TableBodyText"/>
                    <w:rPr>
                      <w:i/>
                    </w:rPr>
                  </w:pPr>
                  <w:r>
                    <w:rPr>
                      <w:rFonts w:cs="Arial"/>
                      <w:color w:val="000000"/>
                      <w:szCs w:val="18"/>
                    </w:rPr>
                    <w:t>5.8</w:t>
                  </w:r>
                </w:p>
              </w:tc>
              <w:tc>
                <w:tcPr>
                  <w:tcW w:w="219" w:type="pct"/>
                  <w:vAlign w:val="center"/>
                </w:tcPr>
                <w:p w14:paraId="5FE6165F" w14:textId="77777777" w:rsidR="00DE1537" w:rsidRPr="002E00E2" w:rsidRDefault="00DE1537" w:rsidP="00343F3E">
                  <w:pPr>
                    <w:pStyle w:val="TableBodyText"/>
                  </w:pPr>
                </w:p>
              </w:tc>
              <w:tc>
                <w:tcPr>
                  <w:tcW w:w="472" w:type="pct"/>
                  <w:vAlign w:val="center"/>
                </w:tcPr>
                <w:p w14:paraId="18F51FBE" w14:textId="77777777" w:rsidR="00DE1537" w:rsidRPr="00000CFD" w:rsidRDefault="00DE1537" w:rsidP="00343F3E">
                  <w:pPr>
                    <w:pStyle w:val="TableBodyText"/>
                    <w:rPr>
                      <w:i/>
                    </w:rPr>
                  </w:pPr>
                  <w:r>
                    <w:rPr>
                      <w:rFonts w:cs="Arial"/>
                      <w:color w:val="000000"/>
                      <w:szCs w:val="18"/>
                    </w:rPr>
                    <w:t>2.6</w:t>
                  </w:r>
                </w:p>
              </w:tc>
              <w:tc>
                <w:tcPr>
                  <w:tcW w:w="513" w:type="pct"/>
                  <w:vAlign w:val="center"/>
                </w:tcPr>
                <w:p w14:paraId="0ECF7EB7" w14:textId="77777777" w:rsidR="00DE1537" w:rsidRPr="00000CFD" w:rsidRDefault="00DE1537" w:rsidP="00343F3E">
                  <w:pPr>
                    <w:pStyle w:val="TableBodyText"/>
                    <w:rPr>
                      <w:i/>
                    </w:rPr>
                  </w:pPr>
                  <w:r>
                    <w:rPr>
                      <w:rFonts w:cs="Arial"/>
                      <w:color w:val="000000"/>
                      <w:szCs w:val="18"/>
                    </w:rPr>
                    <w:t>4.3</w:t>
                  </w:r>
                </w:p>
              </w:tc>
              <w:tc>
                <w:tcPr>
                  <w:tcW w:w="508" w:type="pct"/>
                  <w:vAlign w:val="center"/>
                </w:tcPr>
                <w:p w14:paraId="493CD8EB" w14:textId="77777777" w:rsidR="00DE1537" w:rsidRPr="00000CFD" w:rsidRDefault="00DE1537" w:rsidP="00343F3E">
                  <w:pPr>
                    <w:pStyle w:val="TableBodyText"/>
                    <w:ind w:right="28"/>
                    <w:rPr>
                      <w:i/>
                    </w:rPr>
                  </w:pPr>
                  <w:r>
                    <w:rPr>
                      <w:rFonts w:cs="Arial"/>
                      <w:color w:val="000000"/>
                      <w:szCs w:val="18"/>
                    </w:rPr>
                    <w:t>6.0</w:t>
                  </w:r>
                </w:p>
              </w:tc>
            </w:tr>
            <w:tr w:rsidR="00DE1537" w14:paraId="2FBB298F" w14:textId="77777777" w:rsidTr="00343F3E">
              <w:tc>
                <w:tcPr>
                  <w:tcW w:w="983" w:type="pct"/>
                  <w:shd w:val="clear" w:color="auto" w:fill="auto"/>
                </w:tcPr>
                <w:p w14:paraId="335A0243" w14:textId="77777777" w:rsidR="00DE1537" w:rsidRDefault="00DE1537" w:rsidP="00343F3E">
                  <w:pPr>
                    <w:pStyle w:val="TableBodyText"/>
                    <w:jc w:val="left"/>
                  </w:pPr>
                  <w:r>
                    <w:t>Central (0.35)</w:t>
                  </w:r>
                </w:p>
              </w:tc>
              <w:tc>
                <w:tcPr>
                  <w:tcW w:w="836" w:type="pct"/>
                  <w:vAlign w:val="center"/>
                </w:tcPr>
                <w:p w14:paraId="1F159E1B" w14:textId="77777777" w:rsidR="00DE1537" w:rsidRDefault="00DE1537" w:rsidP="00343F3E">
                  <w:pPr>
                    <w:pStyle w:val="TableBodyText"/>
                    <w:rPr>
                      <w:rFonts w:cs="Arial"/>
                      <w:color w:val="000000"/>
                      <w:szCs w:val="18"/>
                    </w:rPr>
                  </w:pPr>
                  <w:r>
                    <w:rPr>
                      <w:rFonts w:cs="Arial"/>
                      <w:color w:val="000000"/>
                      <w:szCs w:val="18"/>
                    </w:rPr>
                    <w:t>2.5</w:t>
                  </w:r>
                </w:p>
              </w:tc>
              <w:tc>
                <w:tcPr>
                  <w:tcW w:w="471" w:type="pct"/>
                  <w:vAlign w:val="center"/>
                </w:tcPr>
                <w:p w14:paraId="1B5F3C84" w14:textId="77777777" w:rsidR="00DE1537" w:rsidRPr="00000CFD" w:rsidRDefault="00DE1537" w:rsidP="00343F3E">
                  <w:pPr>
                    <w:pStyle w:val="TableBodyText"/>
                    <w:rPr>
                      <w:i/>
                    </w:rPr>
                  </w:pPr>
                  <w:r>
                    <w:rPr>
                      <w:rFonts w:cs="Arial"/>
                      <w:color w:val="000000"/>
                      <w:szCs w:val="18"/>
                    </w:rPr>
                    <w:t>3.3</w:t>
                  </w:r>
                </w:p>
              </w:tc>
              <w:tc>
                <w:tcPr>
                  <w:tcW w:w="471" w:type="pct"/>
                  <w:vAlign w:val="center"/>
                </w:tcPr>
                <w:p w14:paraId="2FA14B1A" w14:textId="77777777" w:rsidR="00DE1537" w:rsidRPr="00000CFD" w:rsidRDefault="00DE1537" w:rsidP="00343F3E">
                  <w:pPr>
                    <w:pStyle w:val="TableBodyText"/>
                    <w:rPr>
                      <w:i/>
                    </w:rPr>
                  </w:pPr>
                  <w:r>
                    <w:rPr>
                      <w:rFonts w:cs="Arial"/>
                      <w:color w:val="000000"/>
                      <w:szCs w:val="18"/>
                    </w:rPr>
                    <w:t>5.8</w:t>
                  </w:r>
                </w:p>
              </w:tc>
              <w:tc>
                <w:tcPr>
                  <w:tcW w:w="526" w:type="pct"/>
                  <w:vAlign w:val="center"/>
                </w:tcPr>
                <w:p w14:paraId="59CAF24B" w14:textId="77777777" w:rsidR="00DE1537" w:rsidRPr="00000CFD" w:rsidRDefault="00DE1537" w:rsidP="00343F3E">
                  <w:pPr>
                    <w:pStyle w:val="TableBodyText"/>
                    <w:rPr>
                      <w:i/>
                    </w:rPr>
                  </w:pPr>
                  <w:r>
                    <w:rPr>
                      <w:rFonts w:cs="Arial"/>
                      <w:color w:val="000000"/>
                      <w:szCs w:val="18"/>
                    </w:rPr>
                    <w:t>8.3</w:t>
                  </w:r>
                </w:p>
              </w:tc>
              <w:tc>
                <w:tcPr>
                  <w:tcW w:w="219" w:type="pct"/>
                  <w:vAlign w:val="center"/>
                </w:tcPr>
                <w:p w14:paraId="59BE1CE2" w14:textId="77777777" w:rsidR="00DE1537" w:rsidRPr="002E00E2" w:rsidRDefault="00DE1537" w:rsidP="00343F3E">
                  <w:pPr>
                    <w:pStyle w:val="TableBodyText"/>
                  </w:pPr>
                </w:p>
              </w:tc>
              <w:tc>
                <w:tcPr>
                  <w:tcW w:w="472" w:type="pct"/>
                  <w:vAlign w:val="center"/>
                </w:tcPr>
                <w:p w14:paraId="6D66EAAF" w14:textId="77777777" w:rsidR="00DE1537" w:rsidRPr="00000CFD" w:rsidRDefault="00DE1537" w:rsidP="00343F3E">
                  <w:pPr>
                    <w:pStyle w:val="TableBodyText"/>
                    <w:rPr>
                      <w:i/>
                    </w:rPr>
                  </w:pPr>
                  <w:r>
                    <w:rPr>
                      <w:rFonts w:cs="Arial"/>
                      <w:color w:val="000000"/>
                      <w:szCs w:val="18"/>
                    </w:rPr>
                    <w:t>3.6</w:t>
                  </w:r>
                </w:p>
              </w:tc>
              <w:tc>
                <w:tcPr>
                  <w:tcW w:w="513" w:type="pct"/>
                  <w:vAlign w:val="center"/>
                </w:tcPr>
                <w:p w14:paraId="20461A96" w14:textId="77777777" w:rsidR="00DE1537" w:rsidRPr="00000CFD" w:rsidRDefault="00DE1537" w:rsidP="00343F3E">
                  <w:pPr>
                    <w:pStyle w:val="TableBodyText"/>
                    <w:rPr>
                      <w:i/>
                    </w:rPr>
                  </w:pPr>
                  <w:r>
                    <w:rPr>
                      <w:rFonts w:cs="Arial"/>
                      <w:color w:val="000000"/>
                      <w:szCs w:val="18"/>
                    </w:rPr>
                    <w:t>6.1</w:t>
                  </w:r>
                </w:p>
              </w:tc>
              <w:tc>
                <w:tcPr>
                  <w:tcW w:w="508" w:type="pct"/>
                  <w:vAlign w:val="center"/>
                </w:tcPr>
                <w:p w14:paraId="3C76AC42" w14:textId="77777777" w:rsidR="00DE1537" w:rsidRPr="00000CFD" w:rsidRDefault="00DE1537" w:rsidP="00343F3E">
                  <w:pPr>
                    <w:pStyle w:val="TableBodyText"/>
                    <w:ind w:right="28"/>
                    <w:rPr>
                      <w:i/>
                    </w:rPr>
                  </w:pPr>
                  <w:r>
                    <w:rPr>
                      <w:rFonts w:cs="Arial"/>
                      <w:color w:val="000000"/>
                      <w:szCs w:val="18"/>
                    </w:rPr>
                    <w:t>8.6</w:t>
                  </w:r>
                </w:p>
              </w:tc>
            </w:tr>
            <w:tr w:rsidR="00DE1537" w14:paraId="28E0F23A" w14:textId="77777777" w:rsidTr="00343F3E">
              <w:tc>
                <w:tcPr>
                  <w:tcW w:w="983" w:type="pct"/>
                  <w:tcBorders>
                    <w:bottom w:val="single" w:sz="6" w:space="0" w:color="BFBFBF"/>
                  </w:tcBorders>
                  <w:shd w:val="clear" w:color="auto" w:fill="auto"/>
                </w:tcPr>
                <w:p w14:paraId="3A3614A9" w14:textId="77777777" w:rsidR="00DE1537" w:rsidRDefault="00DE1537" w:rsidP="00343F3E">
                  <w:pPr>
                    <w:pStyle w:val="TableBodyText"/>
                    <w:jc w:val="left"/>
                  </w:pPr>
                  <w:r>
                    <w:t>Low (0.20)</w:t>
                  </w:r>
                </w:p>
              </w:tc>
              <w:tc>
                <w:tcPr>
                  <w:tcW w:w="836" w:type="pct"/>
                  <w:tcBorders>
                    <w:bottom w:val="single" w:sz="6" w:space="0" w:color="BFBFBF"/>
                  </w:tcBorders>
                </w:tcPr>
                <w:p w14:paraId="47C37CB3" w14:textId="77777777" w:rsidR="00DE1537" w:rsidRDefault="00DE1537" w:rsidP="00343F3E">
                  <w:pPr>
                    <w:pStyle w:val="TableBodyText"/>
                    <w:rPr>
                      <w:rFonts w:cs="Arial"/>
                      <w:color w:val="000000"/>
                      <w:szCs w:val="18"/>
                    </w:rPr>
                  </w:pPr>
                  <w:r>
                    <w:rPr>
                      <w:rFonts w:cs="Arial"/>
                      <w:color w:val="000000"/>
                      <w:szCs w:val="18"/>
                    </w:rPr>
                    <w:t>4.4</w:t>
                  </w:r>
                </w:p>
              </w:tc>
              <w:tc>
                <w:tcPr>
                  <w:tcW w:w="471" w:type="pct"/>
                  <w:tcBorders>
                    <w:bottom w:val="single" w:sz="6" w:space="0" w:color="BFBFBF"/>
                  </w:tcBorders>
                  <w:vAlign w:val="center"/>
                </w:tcPr>
                <w:p w14:paraId="3193A8AF" w14:textId="77777777" w:rsidR="00DE1537" w:rsidRPr="00000CFD" w:rsidRDefault="00DE1537" w:rsidP="00343F3E">
                  <w:pPr>
                    <w:pStyle w:val="TableBodyText"/>
                    <w:rPr>
                      <w:i/>
                    </w:rPr>
                  </w:pPr>
                  <w:r>
                    <w:rPr>
                      <w:rFonts w:cs="Arial"/>
                      <w:color w:val="000000"/>
                      <w:szCs w:val="18"/>
                    </w:rPr>
                    <w:t>5.8</w:t>
                  </w:r>
                </w:p>
              </w:tc>
              <w:tc>
                <w:tcPr>
                  <w:tcW w:w="471" w:type="pct"/>
                  <w:tcBorders>
                    <w:bottom w:val="single" w:sz="6" w:space="0" w:color="BFBFBF"/>
                  </w:tcBorders>
                  <w:vAlign w:val="center"/>
                </w:tcPr>
                <w:p w14:paraId="08BB0A42" w14:textId="77777777" w:rsidR="00DE1537" w:rsidRPr="00000CFD" w:rsidRDefault="00DE1537" w:rsidP="00343F3E">
                  <w:pPr>
                    <w:pStyle w:val="TableBodyText"/>
                    <w:rPr>
                      <w:i/>
                    </w:rPr>
                  </w:pPr>
                  <w:r>
                    <w:rPr>
                      <w:rFonts w:cs="Arial"/>
                      <w:color w:val="000000"/>
                      <w:szCs w:val="18"/>
                    </w:rPr>
                    <w:t>10.2</w:t>
                  </w:r>
                </w:p>
              </w:tc>
              <w:tc>
                <w:tcPr>
                  <w:tcW w:w="526" w:type="pct"/>
                  <w:tcBorders>
                    <w:bottom w:val="single" w:sz="6" w:space="0" w:color="BFBFBF"/>
                  </w:tcBorders>
                  <w:vAlign w:val="center"/>
                </w:tcPr>
                <w:p w14:paraId="0A8540CD" w14:textId="77777777" w:rsidR="00DE1537" w:rsidRPr="00000CFD" w:rsidRDefault="00DE1537" w:rsidP="00343F3E">
                  <w:pPr>
                    <w:pStyle w:val="TableBodyText"/>
                    <w:rPr>
                      <w:i/>
                    </w:rPr>
                  </w:pPr>
                  <w:r>
                    <w:rPr>
                      <w:rFonts w:cs="Arial"/>
                      <w:color w:val="000000"/>
                      <w:szCs w:val="18"/>
                    </w:rPr>
                    <w:t>14.6</w:t>
                  </w:r>
                </w:p>
              </w:tc>
              <w:tc>
                <w:tcPr>
                  <w:tcW w:w="219" w:type="pct"/>
                  <w:tcBorders>
                    <w:bottom w:val="single" w:sz="6" w:space="0" w:color="BFBFBF"/>
                  </w:tcBorders>
                  <w:vAlign w:val="center"/>
                </w:tcPr>
                <w:p w14:paraId="35139C24" w14:textId="77777777" w:rsidR="00DE1537" w:rsidRPr="00000CFD" w:rsidRDefault="00DE1537" w:rsidP="00343F3E">
                  <w:pPr>
                    <w:pStyle w:val="TableBodyText"/>
                    <w:rPr>
                      <w:i/>
                    </w:rPr>
                  </w:pPr>
                  <w:r>
                    <w:rPr>
                      <w:rFonts w:cs="Arial"/>
                      <w:color w:val="000000"/>
                      <w:szCs w:val="18"/>
                    </w:rPr>
                    <w:t> </w:t>
                  </w:r>
                </w:p>
              </w:tc>
              <w:tc>
                <w:tcPr>
                  <w:tcW w:w="472" w:type="pct"/>
                  <w:tcBorders>
                    <w:bottom w:val="single" w:sz="6" w:space="0" w:color="BFBFBF"/>
                  </w:tcBorders>
                  <w:vAlign w:val="center"/>
                </w:tcPr>
                <w:p w14:paraId="4C59D63D" w14:textId="77777777" w:rsidR="00DE1537" w:rsidRPr="00000CFD" w:rsidRDefault="00DE1537" w:rsidP="00343F3E">
                  <w:pPr>
                    <w:pStyle w:val="TableBodyText"/>
                    <w:rPr>
                      <w:i/>
                    </w:rPr>
                  </w:pPr>
                  <w:r>
                    <w:rPr>
                      <w:rFonts w:cs="Arial"/>
                      <w:color w:val="000000"/>
                      <w:szCs w:val="18"/>
                    </w:rPr>
                    <w:t>6.3</w:t>
                  </w:r>
                </w:p>
              </w:tc>
              <w:tc>
                <w:tcPr>
                  <w:tcW w:w="513" w:type="pct"/>
                  <w:tcBorders>
                    <w:bottom w:val="single" w:sz="6" w:space="0" w:color="BFBFBF"/>
                  </w:tcBorders>
                  <w:vAlign w:val="center"/>
                </w:tcPr>
                <w:p w14:paraId="2D7CAEBD" w14:textId="77777777" w:rsidR="00DE1537" w:rsidRPr="00000CFD" w:rsidRDefault="00DE1537" w:rsidP="00343F3E">
                  <w:pPr>
                    <w:pStyle w:val="TableBodyText"/>
                    <w:rPr>
                      <w:i/>
                    </w:rPr>
                  </w:pPr>
                  <w:r>
                    <w:rPr>
                      <w:rFonts w:cs="Arial"/>
                      <w:color w:val="000000"/>
                      <w:szCs w:val="18"/>
                    </w:rPr>
                    <w:t>10.7</w:t>
                  </w:r>
                </w:p>
              </w:tc>
              <w:tc>
                <w:tcPr>
                  <w:tcW w:w="508" w:type="pct"/>
                  <w:tcBorders>
                    <w:bottom w:val="single" w:sz="6" w:space="0" w:color="BFBFBF"/>
                  </w:tcBorders>
                  <w:vAlign w:val="center"/>
                </w:tcPr>
                <w:p w14:paraId="23485491" w14:textId="77777777" w:rsidR="00DE1537" w:rsidRPr="00000CFD" w:rsidRDefault="00DE1537" w:rsidP="00343F3E">
                  <w:pPr>
                    <w:pStyle w:val="TableBodyText"/>
                    <w:ind w:right="28"/>
                    <w:rPr>
                      <w:i/>
                    </w:rPr>
                  </w:pPr>
                  <w:r>
                    <w:rPr>
                      <w:rFonts w:cs="Arial"/>
                      <w:color w:val="000000"/>
                      <w:szCs w:val="18"/>
                    </w:rPr>
                    <w:t>15.1</w:t>
                  </w:r>
                </w:p>
              </w:tc>
            </w:tr>
          </w:tbl>
          <w:p w14:paraId="58B973B6" w14:textId="77777777" w:rsidR="00DE1537" w:rsidRDefault="00DE1537" w:rsidP="00343F3E">
            <w:pPr>
              <w:pStyle w:val="Box"/>
            </w:pPr>
          </w:p>
        </w:tc>
      </w:tr>
      <w:tr w:rsidR="00DE1537" w14:paraId="086888E9" w14:textId="77777777" w:rsidTr="00343F3E">
        <w:trPr>
          <w:cantSplit/>
        </w:trPr>
        <w:tc>
          <w:tcPr>
            <w:tcW w:w="8771" w:type="dxa"/>
            <w:tcBorders>
              <w:top w:val="nil"/>
              <w:left w:val="nil"/>
              <w:bottom w:val="nil"/>
              <w:right w:val="nil"/>
            </w:tcBorders>
            <w:shd w:val="clear" w:color="auto" w:fill="auto"/>
          </w:tcPr>
          <w:p w14:paraId="4D31BE90" w14:textId="77777777" w:rsidR="00DE1537" w:rsidRDefault="00DE1537" w:rsidP="00343F3E">
            <w:pPr>
              <w:pStyle w:val="Note"/>
              <w:rPr>
                <w:i/>
              </w:rPr>
            </w:pPr>
            <w:proofErr w:type="gramStart"/>
            <w:r w:rsidRPr="008E77FE">
              <w:rPr>
                <w:rStyle w:val="NoteLabel"/>
              </w:rPr>
              <w:t>a</w:t>
            </w:r>
            <w:proofErr w:type="gramEnd"/>
            <w:r>
              <w:t xml:space="preserve"> The low estimate is one standard deviation below the central estimate and the high estimate is one standard deviation above the central estimate. This standard deviation is constructed as the standard deviation in economic costs over the period 1970–2013.</w:t>
            </w:r>
          </w:p>
        </w:tc>
      </w:tr>
      <w:tr w:rsidR="00DE1537" w14:paraId="4BE21E35" w14:textId="77777777" w:rsidTr="00343F3E">
        <w:trPr>
          <w:cantSplit/>
        </w:trPr>
        <w:tc>
          <w:tcPr>
            <w:tcW w:w="8771" w:type="dxa"/>
            <w:tcBorders>
              <w:top w:val="nil"/>
              <w:left w:val="nil"/>
              <w:bottom w:val="nil"/>
              <w:right w:val="nil"/>
            </w:tcBorders>
            <w:shd w:val="clear" w:color="auto" w:fill="auto"/>
          </w:tcPr>
          <w:p w14:paraId="2D590A05" w14:textId="77777777" w:rsidR="00DE1537" w:rsidRDefault="00DE1537" w:rsidP="00343F3E">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DE1537" w14:paraId="70BFDCBF" w14:textId="77777777" w:rsidTr="00343F3E">
        <w:trPr>
          <w:cantSplit/>
        </w:trPr>
        <w:tc>
          <w:tcPr>
            <w:tcW w:w="8771" w:type="dxa"/>
            <w:tcBorders>
              <w:top w:val="nil"/>
              <w:left w:val="nil"/>
              <w:bottom w:val="single" w:sz="6" w:space="0" w:color="78A22F"/>
              <w:right w:val="nil"/>
            </w:tcBorders>
            <w:shd w:val="clear" w:color="auto" w:fill="auto"/>
          </w:tcPr>
          <w:p w14:paraId="3CADC087" w14:textId="77777777" w:rsidR="00DE1537" w:rsidRDefault="00DE1537" w:rsidP="00343F3E">
            <w:pPr>
              <w:pStyle w:val="Box"/>
              <w:spacing w:before="0" w:line="120" w:lineRule="exact"/>
            </w:pPr>
          </w:p>
        </w:tc>
      </w:tr>
      <w:tr w:rsidR="00DE1537" w:rsidRPr="000863A5" w14:paraId="761CFAE9" w14:textId="77777777" w:rsidTr="00343F3E">
        <w:tc>
          <w:tcPr>
            <w:tcW w:w="8771" w:type="dxa"/>
            <w:tcBorders>
              <w:top w:val="single" w:sz="6" w:space="0" w:color="78A22F"/>
              <w:left w:val="nil"/>
              <w:bottom w:val="nil"/>
              <w:right w:val="nil"/>
            </w:tcBorders>
          </w:tcPr>
          <w:p w14:paraId="0B848633" w14:textId="77777777" w:rsidR="00DE1537" w:rsidRPr="00626D32" w:rsidRDefault="00DE1537" w:rsidP="00343F3E">
            <w:pPr>
              <w:pStyle w:val="BoxSpaceBelow"/>
            </w:pPr>
          </w:p>
        </w:tc>
      </w:tr>
    </w:tbl>
    <w:p w14:paraId="50D2B92D" w14:textId="4D8651C8" w:rsidR="00DE1537" w:rsidRDefault="00DE1537" w:rsidP="00343F3E">
      <w:pPr>
        <w:pStyle w:val="BodyText"/>
      </w:pPr>
      <w:r>
        <w:t>While these costs appear large, they do not represent a material economy</w:t>
      </w:r>
      <w:r>
        <w:noBreakHyphen/>
        <w:t xml:space="preserve">wide impact relative to Australia’s nominal GDP (approximately $1.5 trillion in 2013 </w:t>
      </w:r>
      <w:r w:rsidRPr="00FC690B">
        <w:rPr>
          <w:szCs w:val="24"/>
        </w:rPr>
        <w:t>(ABS</w:t>
      </w:r>
      <w:r w:rsidRPr="00DF7C8F">
        <w:rPr>
          <w:szCs w:val="24"/>
        </w:rPr>
        <w:t> </w:t>
      </w:r>
      <w:r w:rsidRPr="00420D91">
        <w:rPr>
          <w:szCs w:val="24"/>
        </w:rPr>
        <w:t>2014a)</w:t>
      </w:r>
      <w:r>
        <w:t>). However, since the impacts of disasters tend to be localised, economic costs can be large relative to the income and economic activity in the region affected by the natural disaster.</w:t>
      </w:r>
    </w:p>
    <w:p w14:paraId="3F16C8D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F1419E7" w14:textId="77777777" w:rsidTr="00343F3E">
        <w:tc>
          <w:tcPr>
            <w:tcW w:w="8771" w:type="dxa"/>
            <w:tcBorders>
              <w:top w:val="single" w:sz="6" w:space="0" w:color="78A22F"/>
              <w:left w:val="nil"/>
              <w:bottom w:val="nil"/>
              <w:right w:val="nil"/>
            </w:tcBorders>
            <w:shd w:val="clear" w:color="auto" w:fill="auto"/>
          </w:tcPr>
          <w:p w14:paraId="6823C39C" w14:textId="3C9AE6C5" w:rsidR="00DE1537" w:rsidRPr="00176D3F" w:rsidRDefault="00DE1537" w:rsidP="00343F3E">
            <w:pPr>
              <w:pStyle w:val="FigureTitle"/>
            </w:pPr>
            <w:r w:rsidRPr="00784A05">
              <w:rPr>
                <w:b w:val="0"/>
              </w:rPr>
              <w:t xml:space="preserve">Figure </w:t>
            </w:r>
            <w:r>
              <w:rPr>
                <w:b w:val="0"/>
              </w:rPr>
              <w:t>7.</w:t>
            </w:r>
            <w:r>
              <w:rPr>
                <w:b w:val="0"/>
                <w:noProof/>
              </w:rPr>
              <w:t>2</w:t>
            </w:r>
            <w:r>
              <w:tab/>
              <w:t>Projected central estimates of the economic costs of natural disasters</w:t>
            </w:r>
            <w:r w:rsidRPr="00E06E03">
              <w:rPr>
                <w:rStyle w:val="NoteLabel"/>
                <w:b/>
              </w:rPr>
              <w:t>a</w:t>
            </w:r>
          </w:p>
        </w:tc>
      </w:tr>
      <w:tr w:rsidR="00DE1537" w14:paraId="5300947A"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0C0F577D" w14:textId="77777777" w:rsidTr="00343F3E">
              <w:tc>
                <w:tcPr>
                  <w:tcW w:w="5000" w:type="pct"/>
                  <w:tcBorders>
                    <w:top w:val="nil"/>
                    <w:bottom w:val="nil"/>
                  </w:tcBorders>
                </w:tcPr>
                <w:p w14:paraId="013291C8" w14:textId="77777777" w:rsidR="00DE1537" w:rsidRDefault="00DE1537" w:rsidP="00343F3E">
                  <w:pPr>
                    <w:pStyle w:val="Figure"/>
                    <w:spacing w:before="60" w:after="60"/>
                  </w:pPr>
                  <w:r>
                    <w:rPr>
                      <w:noProof/>
                    </w:rPr>
                    <w:drawing>
                      <wp:inline distT="0" distB="0" distL="0" distR="0" wp14:anchorId="1D0F7BE0" wp14:editId="76100635">
                        <wp:extent cx="5398770" cy="2950210"/>
                        <wp:effectExtent l="0" t="0" r="0" b="2540"/>
                        <wp:docPr id="128" name="Picture 128" descr="This figure shows projected central estimates of the economic costs of natural disasters in the medium term (2018) and long term (2023). Projections of nominal insurance losses are also shown for comparison. Economic costs are calculated using a low ratio of 0.2 and a high ratio of 0.5. In both cases, economic costs are projected to rise in the medium term and long term." title="Projected central estimates of 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398770" cy="2950210"/>
                                </a:xfrm>
                                <a:prstGeom prst="rect">
                                  <a:avLst/>
                                </a:prstGeom>
                                <a:noFill/>
                                <a:ln>
                                  <a:noFill/>
                                </a:ln>
                              </pic:spPr>
                            </pic:pic>
                          </a:graphicData>
                        </a:graphic>
                      </wp:inline>
                    </w:drawing>
                  </w:r>
                </w:p>
              </w:tc>
            </w:tr>
          </w:tbl>
          <w:p w14:paraId="439C01DF" w14:textId="77777777" w:rsidR="00DE1537" w:rsidRDefault="00DE1537" w:rsidP="00343F3E">
            <w:pPr>
              <w:pStyle w:val="Figure"/>
            </w:pPr>
          </w:p>
        </w:tc>
      </w:tr>
      <w:tr w:rsidR="00DE1537" w:rsidRPr="00176D3F" w14:paraId="18602D7E" w14:textId="77777777" w:rsidTr="00343F3E">
        <w:tc>
          <w:tcPr>
            <w:tcW w:w="8771" w:type="dxa"/>
            <w:tcBorders>
              <w:top w:val="nil"/>
              <w:left w:val="nil"/>
              <w:bottom w:val="nil"/>
              <w:right w:val="nil"/>
            </w:tcBorders>
            <w:shd w:val="clear" w:color="auto" w:fill="auto"/>
          </w:tcPr>
          <w:p w14:paraId="584CE0FD" w14:textId="77777777" w:rsidR="00DE1537" w:rsidRPr="00F27003" w:rsidRDefault="00DE1537" w:rsidP="00343F3E">
            <w:pPr>
              <w:pStyle w:val="Note"/>
              <w:rPr>
                <w:i/>
              </w:rPr>
            </w:pPr>
            <w:proofErr w:type="gramStart"/>
            <w:r w:rsidRPr="003B638F">
              <w:rPr>
                <w:rStyle w:val="NoteLabel"/>
                <w:szCs w:val="18"/>
              </w:rPr>
              <w:t>a</w:t>
            </w:r>
            <w:proofErr w:type="gramEnd"/>
            <w:r w:rsidRPr="00D12DC9">
              <w:t xml:space="preserve"> </w:t>
            </w:r>
            <w:r>
              <w:t>The low ratio is 0.2 and the high ratio is 0.5. The projection period is 2014 to 2023. The medium term is 2018 and the long term is 2023.</w:t>
            </w:r>
            <w:r>
              <w:rPr>
                <w:rFonts w:cs="Arial"/>
              </w:rPr>
              <w:t xml:space="preserve"> </w:t>
            </w:r>
          </w:p>
        </w:tc>
      </w:tr>
      <w:tr w:rsidR="00DE1537" w:rsidRPr="00176D3F" w14:paraId="5FB72469" w14:textId="77777777" w:rsidTr="00343F3E">
        <w:tc>
          <w:tcPr>
            <w:tcW w:w="8771" w:type="dxa"/>
            <w:tcBorders>
              <w:top w:val="nil"/>
              <w:left w:val="nil"/>
              <w:bottom w:val="nil"/>
              <w:right w:val="nil"/>
            </w:tcBorders>
            <w:shd w:val="clear" w:color="auto" w:fill="auto"/>
          </w:tcPr>
          <w:p w14:paraId="3CBDFD9C" w14:textId="3770A208" w:rsidR="00DE1537" w:rsidRPr="00176D3F" w:rsidRDefault="00DE1537" w:rsidP="00343F3E">
            <w:pPr>
              <w:pStyle w:val="Subtitle"/>
              <w:keepNext w:val="0"/>
              <w:spacing w:before="80" w:after="0" w:line="220" w:lineRule="exact"/>
              <w:ind w:left="0"/>
              <w:jc w:val="both"/>
              <w:rPr>
                <w:i/>
              </w:rPr>
            </w:pPr>
            <w:r>
              <w:rPr>
                <w:i/>
                <w:sz w:val="18"/>
              </w:rPr>
              <w:t>Data s</w:t>
            </w:r>
            <w:r w:rsidRPr="00F27003">
              <w:rPr>
                <w:i/>
                <w:sz w:val="18"/>
              </w:rPr>
              <w:t>ource</w:t>
            </w:r>
            <w:r>
              <w:rPr>
                <w:i/>
                <w:sz w:val="18"/>
              </w:rPr>
              <w:t>s</w:t>
            </w:r>
            <w:r w:rsidRPr="00F27003">
              <w:rPr>
                <w:sz w:val="18"/>
              </w:rPr>
              <w:t xml:space="preserve">: ICA </w:t>
            </w:r>
            <w:r w:rsidR="007C5656" w:rsidRPr="007C5656">
              <w:rPr>
                <w:rFonts w:cs="Arial"/>
                <w:sz w:val="18"/>
              </w:rPr>
              <w:t>(2014e)</w:t>
            </w:r>
            <w:r w:rsidRPr="00F27003">
              <w:rPr>
                <w:sz w:val="18"/>
              </w:rPr>
              <w:t>; Productivity Commission estimates.</w:t>
            </w:r>
          </w:p>
        </w:tc>
      </w:tr>
      <w:tr w:rsidR="00DE1537" w14:paraId="6AE11C6A" w14:textId="77777777" w:rsidTr="00343F3E">
        <w:tc>
          <w:tcPr>
            <w:tcW w:w="8771" w:type="dxa"/>
            <w:tcBorders>
              <w:top w:val="nil"/>
              <w:left w:val="nil"/>
              <w:bottom w:val="single" w:sz="6" w:space="0" w:color="78A22F"/>
              <w:right w:val="nil"/>
            </w:tcBorders>
            <w:shd w:val="clear" w:color="auto" w:fill="auto"/>
          </w:tcPr>
          <w:p w14:paraId="0FFCA8B7" w14:textId="77777777" w:rsidR="00DE1537" w:rsidRDefault="00DE1537" w:rsidP="00343F3E">
            <w:pPr>
              <w:pStyle w:val="Figurespace"/>
            </w:pPr>
          </w:p>
        </w:tc>
      </w:tr>
      <w:tr w:rsidR="00DE1537" w:rsidRPr="000863A5" w14:paraId="3D8C1A13" w14:textId="77777777" w:rsidTr="00343F3E">
        <w:tc>
          <w:tcPr>
            <w:tcW w:w="8771" w:type="dxa"/>
            <w:tcBorders>
              <w:top w:val="single" w:sz="6" w:space="0" w:color="78A22F"/>
              <w:left w:val="nil"/>
              <w:bottom w:val="nil"/>
              <w:right w:val="nil"/>
            </w:tcBorders>
          </w:tcPr>
          <w:p w14:paraId="590C0797" w14:textId="77777777" w:rsidR="00DE1537" w:rsidRPr="00626D32" w:rsidRDefault="00DE1537" w:rsidP="00343F3E">
            <w:pPr>
              <w:pStyle w:val="BoxSpaceBelow"/>
            </w:pPr>
          </w:p>
        </w:tc>
      </w:tr>
    </w:tbl>
    <w:p w14:paraId="42D12C29" w14:textId="77777777" w:rsidR="00DE1537" w:rsidRDefault="00DE1537" w:rsidP="00343F3E">
      <w:pPr>
        <w:pStyle w:val="Heading3"/>
      </w:pPr>
      <w:r>
        <w:t>Projecting fiscal costs</w:t>
      </w:r>
    </w:p>
    <w:p w14:paraId="6D97F1E4" w14:textId="77777777" w:rsidR="00DE1537" w:rsidRDefault="00DE1537" w:rsidP="00343F3E">
      <w:pPr>
        <w:pStyle w:val="BodyText"/>
      </w:pPr>
      <w:r>
        <w:t>The Commission used a series of simple regressions to analyse the relationship between insurance losses and fiscal costs. In these regressions, fiscal costs were regressed on insurance losses in the same period and up to two lags (in years) of insurance losses (table 7.4). This is because after a natural disaster insurance payouts generally occur relatively quickly while government expenditure can happen over several years (section 7.3). Data constraints limited this analysis to Australian Government expenditure over the period 2002</w:t>
      </w:r>
      <w:r>
        <w:noBreakHyphen/>
        <w:t>03 to 2012</w:t>
      </w:r>
      <w:r>
        <w:noBreakHyphen/>
        <w:t>13.</w:t>
      </w:r>
      <w:r w:rsidRPr="00181401">
        <w:rPr>
          <w:rStyle w:val="FootnoteReference"/>
        </w:rPr>
        <w:footnoteReference w:id="21"/>
      </w:r>
      <w:r>
        <w:t xml:space="preserve"> </w:t>
      </w:r>
    </w:p>
    <w:p w14:paraId="79279F3A" w14:textId="77777777" w:rsidR="00DE1537" w:rsidRDefault="00DE1537" w:rsidP="00343F3E">
      <w:pPr>
        <w:pStyle w:val="BodyText"/>
      </w:pPr>
      <w:r>
        <w:t>A comparison of the estimated models, including an examination of the overall fit of the regressions as well as the individual and joint statistical significance of the regressors, indicated that a model of fiscal costs regressed on insurance losses in the same period and insurance losses lagged once performs relatively well (specification 2 in table 7.4). The chosen regression specification was:</w:t>
      </w:r>
    </w:p>
    <w:p w14:paraId="00146764" w14:textId="77777777" w:rsidR="00DE1537" w:rsidRPr="000610A3" w:rsidRDefault="00DE1537" w:rsidP="00343F3E">
      <w:pPr>
        <w:pStyle w:val="BodyText"/>
      </w:pPr>
      <m:oMathPara>
        <m:oMath>
          <m:r>
            <m:rPr>
              <m:sty m:val="p"/>
            </m:rPr>
            <w:rPr>
              <w:rFonts w:ascii="Cambria Math" w:hAnsi="Cambria Math"/>
            </w:rPr>
            <m:t>Fiscal</m:t>
          </m:r>
          <m:sSub>
            <m:sSubPr>
              <m:ctrlPr>
                <w:rPr>
                  <w:rFonts w:ascii="Cambria Math" w:hAnsi="Cambria Math"/>
                </w:rPr>
              </m:ctrlPr>
            </m:sSubPr>
            <m:e>
              <m:r>
                <m:rPr>
                  <m:sty m:val="p"/>
                </m:rPr>
                <w:rPr>
                  <w:rFonts w:ascii="Cambria Math" w:hAnsi="Cambria Math"/>
                </w:rPr>
                <m:t xml:space="preserve"> costs</m:t>
              </m:r>
            </m:e>
            <m:sub>
              <m:r>
                <m:rPr>
                  <m:sty m:val="p"/>
                </m:rPr>
                <w:rPr>
                  <w:rFonts w:ascii="Cambria Math" w:hAnsi="Cambria Math"/>
                </w:rPr>
                <m:t>t</m:t>
              </m:r>
            </m:sub>
          </m:sSub>
          <m:r>
            <m:rPr>
              <m:sty m:val="p"/>
            </m:rPr>
            <w:rPr>
              <w:rFonts w:ascii="Cambria Math" w:hAnsi="Cambria Math"/>
            </w:rPr>
            <m:t xml:space="preserve">=-$712 million+0.502 insurance </m:t>
          </m:r>
          <m:sSub>
            <m:sSubPr>
              <m:ctrlPr>
                <w:rPr>
                  <w:rFonts w:ascii="Cambria Math" w:hAnsi="Cambria Math"/>
                </w:rPr>
              </m:ctrlPr>
            </m:sSubPr>
            <m:e>
              <m:r>
                <m:rPr>
                  <m:sty m:val="p"/>
                </m:rPr>
                <w:rPr>
                  <w:rFonts w:ascii="Cambria Math" w:hAnsi="Cambria Math"/>
                </w:rPr>
                <m:t>losses</m:t>
              </m:r>
            </m:e>
            <m:sub>
              <m:r>
                <m:rPr>
                  <m:sty m:val="p"/>
                </m:rPr>
                <w:rPr>
                  <w:rFonts w:ascii="Cambria Math" w:hAnsi="Cambria Math"/>
                </w:rPr>
                <m:t>t</m:t>
              </m:r>
            </m:sub>
          </m:sSub>
          <m:r>
            <m:rPr>
              <m:sty m:val="p"/>
            </m:rPr>
            <w:rPr>
              <w:rFonts w:ascii="Cambria Math" w:hAnsi="Cambria Math"/>
            </w:rPr>
            <m:t xml:space="preserve">+0.670 insurance </m:t>
          </m:r>
          <m:sSub>
            <m:sSubPr>
              <m:ctrlPr>
                <w:rPr>
                  <w:rFonts w:ascii="Cambria Math" w:hAnsi="Cambria Math"/>
                </w:rPr>
              </m:ctrlPr>
            </m:sSubPr>
            <m:e>
              <m:r>
                <m:rPr>
                  <m:sty m:val="p"/>
                </m:rPr>
                <w:rPr>
                  <w:rFonts w:ascii="Cambria Math" w:hAnsi="Cambria Math"/>
                </w:rPr>
                <m:t>losses</m:t>
              </m:r>
            </m:e>
            <m:sub>
              <m:r>
                <m:rPr>
                  <m:sty m:val="p"/>
                </m:rPr>
                <w:rPr>
                  <w:rFonts w:ascii="Cambria Math" w:hAnsi="Cambria Math"/>
                </w:rPr>
                <m:t>t-1</m:t>
              </m:r>
            </m:sub>
          </m:sSub>
        </m:oMath>
      </m:oMathPara>
    </w:p>
    <w:p w14:paraId="29CF096C"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61CC59F" w14:textId="77777777" w:rsidTr="00343F3E">
        <w:tc>
          <w:tcPr>
            <w:tcW w:w="8771" w:type="dxa"/>
            <w:tcBorders>
              <w:top w:val="single" w:sz="6" w:space="0" w:color="78A22F"/>
              <w:left w:val="nil"/>
              <w:bottom w:val="nil"/>
              <w:right w:val="nil"/>
            </w:tcBorders>
            <w:shd w:val="clear" w:color="auto" w:fill="auto"/>
          </w:tcPr>
          <w:p w14:paraId="06A94084" w14:textId="3A0F0C37" w:rsidR="00DE1537" w:rsidRPr="00784A05" w:rsidRDefault="00DE1537" w:rsidP="00343F3E">
            <w:pPr>
              <w:pStyle w:val="TableTitle"/>
            </w:pPr>
            <w:r>
              <w:rPr>
                <w:b w:val="0"/>
              </w:rPr>
              <w:t>Table 7.</w:t>
            </w:r>
            <w:r>
              <w:rPr>
                <w:b w:val="0"/>
                <w:noProof/>
              </w:rPr>
              <w:t>4</w:t>
            </w:r>
            <w:r>
              <w:tab/>
              <w:t>A regression of fiscal costs on insurance losses</w:t>
            </w:r>
          </w:p>
        </w:tc>
      </w:tr>
      <w:tr w:rsidR="00DE1537" w14:paraId="30402C7D"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80"/>
              <w:gridCol w:w="974"/>
              <w:gridCol w:w="1417"/>
              <w:gridCol w:w="1417"/>
              <w:gridCol w:w="1299"/>
            </w:tblGrid>
            <w:tr w:rsidR="00DE1537" w14:paraId="2819AADE" w14:textId="77777777" w:rsidTr="00343F3E">
              <w:tc>
                <w:tcPr>
                  <w:tcW w:w="1991" w:type="pct"/>
                  <w:tcBorders>
                    <w:top w:val="single" w:sz="6" w:space="0" w:color="BFBFBF"/>
                    <w:bottom w:val="single" w:sz="6" w:space="0" w:color="BFBFBF"/>
                  </w:tcBorders>
                  <w:shd w:val="clear" w:color="auto" w:fill="auto"/>
                  <w:tcMar>
                    <w:top w:w="28" w:type="dxa"/>
                  </w:tcMar>
                </w:tcPr>
                <w:p w14:paraId="38D62B0C" w14:textId="77777777" w:rsidR="00DE1537" w:rsidRDefault="00DE1537" w:rsidP="00343F3E">
                  <w:pPr>
                    <w:pStyle w:val="TableColumnHeading"/>
                    <w:jc w:val="left"/>
                  </w:pPr>
                </w:p>
              </w:tc>
              <w:tc>
                <w:tcPr>
                  <w:tcW w:w="574" w:type="pct"/>
                  <w:tcBorders>
                    <w:top w:val="single" w:sz="6" w:space="0" w:color="BFBFBF"/>
                    <w:bottom w:val="single" w:sz="6" w:space="0" w:color="BFBFBF"/>
                  </w:tcBorders>
                </w:tcPr>
                <w:p w14:paraId="0B3E2D60" w14:textId="77777777" w:rsidR="00DE1537" w:rsidRDefault="00DE1537" w:rsidP="00343F3E">
                  <w:pPr>
                    <w:pStyle w:val="TableColumnHeading"/>
                  </w:pPr>
                  <w:r>
                    <w:t>Units</w:t>
                  </w:r>
                </w:p>
              </w:tc>
              <w:tc>
                <w:tcPr>
                  <w:tcW w:w="835" w:type="pct"/>
                  <w:tcBorders>
                    <w:top w:val="single" w:sz="6" w:space="0" w:color="BFBFBF"/>
                    <w:bottom w:val="single" w:sz="6" w:space="0" w:color="BFBFBF"/>
                  </w:tcBorders>
                </w:tcPr>
                <w:p w14:paraId="6B5F7053" w14:textId="77777777" w:rsidR="00DE1537" w:rsidRDefault="00DE1537" w:rsidP="00343F3E">
                  <w:pPr>
                    <w:pStyle w:val="TableColumnHeading"/>
                  </w:pPr>
                  <w:r>
                    <w:t>Specification 1</w:t>
                  </w:r>
                </w:p>
              </w:tc>
              <w:tc>
                <w:tcPr>
                  <w:tcW w:w="835" w:type="pct"/>
                  <w:tcBorders>
                    <w:top w:val="single" w:sz="6" w:space="0" w:color="BFBFBF"/>
                    <w:bottom w:val="single" w:sz="6" w:space="0" w:color="BFBFBF"/>
                  </w:tcBorders>
                  <w:shd w:val="clear" w:color="auto" w:fill="auto"/>
                  <w:tcMar>
                    <w:top w:w="28" w:type="dxa"/>
                  </w:tcMar>
                </w:tcPr>
                <w:p w14:paraId="4764FFB0" w14:textId="77777777" w:rsidR="00DE1537" w:rsidRDefault="00DE1537" w:rsidP="00343F3E">
                  <w:pPr>
                    <w:pStyle w:val="TableColumnHeading"/>
                  </w:pPr>
                  <w:r>
                    <w:t>Specification 2</w:t>
                  </w:r>
                </w:p>
              </w:tc>
              <w:tc>
                <w:tcPr>
                  <w:tcW w:w="765" w:type="pct"/>
                  <w:tcBorders>
                    <w:top w:val="single" w:sz="6" w:space="0" w:color="BFBFBF"/>
                    <w:bottom w:val="single" w:sz="6" w:space="0" w:color="BFBFBF"/>
                  </w:tcBorders>
                  <w:shd w:val="clear" w:color="auto" w:fill="auto"/>
                  <w:tcMar>
                    <w:top w:w="28" w:type="dxa"/>
                  </w:tcMar>
                </w:tcPr>
                <w:p w14:paraId="08B1CD32" w14:textId="77777777" w:rsidR="00DE1537" w:rsidRDefault="00DE1537" w:rsidP="00343F3E">
                  <w:pPr>
                    <w:pStyle w:val="TableColumnHeading"/>
                    <w:ind w:right="28"/>
                  </w:pPr>
                  <w:r>
                    <w:t>Specification 3</w:t>
                  </w:r>
                </w:p>
              </w:tc>
            </w:tr>
            <w:tr w:rsidR="00DE1537" w14:paraId="396C32BA" w14:textId="77777777" w:rsidTr="00343F3E">
              <w:tc>
                <w:tcPr>
                  <w:tcW w:w="1991" w:type="pct"/>
                  <w:tcBorders>
                    <w:top w:val="single" w:sz="6" w:space="0" w:color="BFBFBF"/>
                  </w:tcBorders>
                </w:tcPr>
                <w:p w14:paraId="7BBCC6DC" w14:textId="77777777" w:rsidR="00DE1537" w:rsidRDefault="00DE1537" w:rsidP="00343F3E">
                  <w:pPr>
                    <w:pStyle w:val="TableBodyText"/>
                    <w:spacing w:before="40"/>
                    <w:jc w:val="left"/>
                  </w:pPr>
                  <w:r>
                    <w:t>R square</w:t>
                  </w:r>
                </w:p>
              </w:tc>
              <w:tc>
                <w:tcPr>
                  <w:tcW w:w="574" w:type="pct"/>
                  <w:tcBorders>
                    <w:top w:val="single" w:sz="6" w:space="0" w:color="BFBFBF"/>
                  </w:tcBorders>
                </w:tcPr>
                <w:p w14:paraId="1425D950" w14:textId="77777777" w:rsidR="00DE1537" w:rsidRDefault="00DE1537" w:rsidP="00343F3E">
                  <w:pPr>
                    <w:pStyle w:val="TableBodyText"/>
                    <w:spacing w:before="40"/>
                  </w:pPr>
                  <w:r>
                    <w:t>%</w:t>
                  </w:r>
                </w:p>
              </w:tc>
              <w:tc>
                <w:tcPr>
                  <w:tcW w:w="835" w:type="pct"/>
                  <w:tcBorders>
                    <w:top w:val="single" w:sz="6" w:space="0" w:color="BFBFBF"/>
                  </w:tcBorders>
                </w:tcPr>
                <w:p w14:paraId="0B0EA16A" w14:textId="77777777" w:rsidR="00DE1537" w:rsidRDefault="00DE1537" w:rsidP="00343F3E">
                  <w:pPr>
                    <w:pStyle w:val="TableBodyText"/>
                    <w:spacing w:before="40"/>
                  </w:pPr>
                  <w:r>
                    <w:t>45.9</w:t>
                  </w:r>
                </w:p>
              </w:tc>
              <w:tc>
                <w:tcPr>
                  <w:tcW w:w="835" w:type="pct"/>
                  <w:tcBorders>
                    <w:top w:val="single" w:sz="6" w:space="0" w:color="BFBFBF"/>
                  </w:tcBorders>
                </w:tcPr>
                <w:p w14:paraId="4B5320B2" w14:textId="77777777" w:rsidR="00DE1537" w:rsidRDefault="00DE1537" w:rsidP="00343F3E">
                  <w:pPr>
                    <w:pStyle w:val="TableBodyText"/>
                    <w:spacing w:before="40"/>
                  </w:pPr>
                  <w:r>
                    <w:t>79.8</w:t>
                  </w:r>
                </w:p>
              </w:tc>
              <w:tc>
                <w:tcPr>
                  <w:tcW w:w="765" w:type="pct"/>
                  <w:tcBorders>
                    <w:top w:val="single" w:sz="6" w:space="0" w:color="BFBFBF"/>
                  </w:tcBorders>
                </w:tcPr>
                <w:p w14:paraId="4F1A278D" w14:textId="77777777" w:rsidR="00DE1537" w:rsidRDefault="00DE1537" w:rsidP="00343F3E">
                  <w:pPr>
                    <w:pStyle w:val="TableBodyText"/>
                    <w:spacing w:before="40"/>
                    <w:ind w:right="28"/>
                  </w:pPr>
                  <w:r>
                    <w:t>80.5</w:t>
                  </w:r>
                </w:p>
              </w:tc>
            </w:tr>
            <w:tr w:rsidR="00DE1537" w14:paraId="6D5299E9" w14:textId="77777777" w:rsidTr="00343F3E">
              <w:tc>
                <w:tcPr>
                  <w:tcW w:w="1991" w:type="pct"/>
                </w:tcPr>
                <w:p w14:paraId="06E2CFA2" w14:textId="77777777" w:rsidR="00DE1537" w:rsidRDefault="00DE1537" w:rsidP="00343F3E">
                  <w:pPr>
                    <w:pStyle w:val="TableBodyText"/>
                    <w:jc w:val="left"/>
                  </w:pPr>
                  <w:r>
                    <w:t>Adjusted R square</w:t>
                  </w:r>
                </w:p>
              </w:tc>
              <w:tc>
                <w:tcPr>
                  <w:tcW w:w="574" w:type="pct"/>
                </w:tcPr>
                <w:p w14:paraId="464426F5" w14:textId="77777777" w:rsidR="00DE1537" w:rsidRDefault="00DE1537" w:rsidP="00343F3E">
                  <w:pPr>
                    <w:pStyle w:val="TableBodyText"/>
                  </w:pPr>
                  <w:r>
                    <w:t>%</w:t>
                  </w:r>
                </w:p>
              </w:tc>
              <w:tc>
                <w:tcPr>
                  <w:tcW w:w="835" w:type="pct"/>
                </w:tcPr>
                <w:p w14:paraId="3F976C2E" w14:textId="77777777" w:rsidR="00DE1537" w:rsidRDefault="00DE1537" w:rsidP="00343F3E">
                  <w:pPr>
                    <w:pStyle w:val="TableBodyText"/>
                  </w:pPr>
                  <w:r>
                    <w:t>39.9</w:t>
                  </w:r>
                </w:p>
              </w:tc>
              <w:tc>
                <w:tcPr>
                  <w:tcW w:w="835" w:type="pct"/>
                </w:tcPr>
                <w:p w14:paraId="2F1DFF1F" w14:textId="77777777" w:rsidR="00DE1537" w:rsidRDefault="00DE1537" w:rsidP="00343F3E">
                  <w:pPr>
                    <w:pStyle w:val="TableBodyText"/>
                  </w:pPr>
                  <w:r>
                    <w:t>74.7</w:t>
                  </w:r>
                </w:p>
              </w:tc>
              <w:tc>
                <w:tcPr>
                  <w:tcW w:w="765" w:type="pct"/>
                </w:tcPr>
                <w:p w14:paraId="2CD11D02" w14:textId="77777777" w:rsidR="00DE1537" w:rsidRDefault="00DE1537" w:rsidP="00343F3E">
                  <w:pPr>
                    <w:pStyle w:val="TableBodyText"/>
                    <w:ind w:right="28"/>
                  </w:pPr>
                  <w:r>
                    <w:t>72.1</w:t>
                  </w:r>
                </w:p>
              </w:tc>
            </w:tr>
            <w:tr w:rsidR="00DE1537" w14:paraId="5E14E823" w14:textId="77777777" w:rsidTr="00343F3E">
              <w:tc>
                <w:tcPr>
                  <w:tcW w:w="1991" w:type="pct"/>
                  <w:shd w:val="clear" w:color="auto" w:fill="auto"/>
                </w:tcPr>
                <w:p w14:paraId="14E764BA" w14:textId="77777777" w:rsidR="00DE1537" w:rsidRDefault="00DE1537" w:rsidP="00343F3E">
                  <w:pPr>
                    <w:pStyle w:val="TableBodyText"/>
                    <w:jc w:val="left"/>
                  </w:pPr>
                  <w:r>
                    <w:t>P-value of regression F statistic</w:t>
                  </w:r>
                </w:p>
              </w:tc>
              <w:tc>
                <w:tcPr>
                  <w:tcW w:w="574" w:type="pct"/>
                </w:tcPr>
                <w:p w14:paraId="0C0FE866" w14:textId="77777777" w:rsidR="00DE1537" w:rsidRDefault="00DE1537" w:rsidP="00343F3E">
                  <w:pPr>
                    <w:pStyle w:val="TableBodyText"/>
                  </w:pPr>
                </w:p>
              </w:tc>
              <w:tc>
                <w:tcPr>
                  <w:tcW w:w="835" w:type="pct"/>
                </w:tcPr>
                <w:p w14:paraId="595346B4" w14:textId="77777777" w:rsidR="00DE1537" w:rsidRDefault="00DE1537" w:rsidP="00343F3E">
                  <w:pPr>
                    <w:pStyle w:val="TableBodyText"/>
                    <w:ind w:right="28"/>
                  </w:pPr>
                  <w:r>
                    <w:t>0.022*</w:t>
                  </w:r>
                </w:p>
              </w:tc>
              <w:tc>
                <w:tcPr>
                  <w:tcW w:w="835" w:type="pct"/>
                  <w:shd w:val="clear" w:color="auto" w:fill="auto"/>
                </w:tcPr>
                <w:p w14:paraId="6ACC4353" w14:textId="77777777" w:rsidR="00DE1537" w:rsidRDefault="00DE1537" w:rsidP="00343F3E">
                  <w:pPr>
                    <w:pStyle w:val="TableBodyText"/>
                    <w:ind w:right="28"/>
                  </w:pPr>
                  <w:r>
                    <w:t>0.002*</w:t>
                  </w:r>
                </w:p>
              </w:tc>
              <w:tc>
                <w:tcPr>
                  <w:tcW w:w="765" w:type="pct"/>
                  <w:shd w:val="clear" w:color="auto" w:fill="auto"/>
                </w:tcPr>
                <w:p w14:paraId="393FC27C" w14:textId="77777777" w:rsidR="00DE1537" w:rsidRDefault="00DE1537" w:rsidP="00343F3E">
                  <w:pPr>
                    <w:pStyle w:val="TableBodyText"/>
                    <w:ind w:right="0"/>
                  </w:pPr>
                  <w:r>
                    <w:t>0.007*</w:t>
                  </w:r>
                </w:p>
              </w:tc>
            </w:tr>
            <w:tr w:rsidR="00DE1537" w14:paraId="6C3894D0" w14:textId="77777777" w:rsidTr="00343F3E">
              <w:tc>
                <w:tcPr>
                  <w:tcW w:w="1991" w:type="pct"/>
                  <w:shd w:val="clear" w:color="auto" w:fill="auto"/>
                </w:tcPr>
                <w:p w14:paraId="631A5F6E" w14:textId="77777777" w:rsidR="00DE1537" w:rsidRDefault="00DE1537" w:rsidP="00343F3E">
                  <w:pPr>
                    <w:pStyle w:val="TableBodyText"/>
                    <w:spacing w:before="160"/>
                    <w:jc w:val="left"/>
                  </w:pPr>
                  <w:r>
                    <w:t>Intercept</w:t>
                  </w:r>
                </w:p>
              </w:tc>
              <w:tc>
                <w:tcPr>
                  <w:tcW w:w="574" w:type="pct"/>
                </w:tcPr>
                <w:p w14:paraId="05CBDB34" w14:textId="77777777" w:rsidR="00DE1537" w:rsidRDefault="00DE1537" w:rsidP="00343F3E">
                  <w:pPr>
                    <w:pStyle w:val="TableBodyText"/>
                    <w:spacing w:before="160"/>
                  </w:pPr>
                  <w:r>
                    <w:t>$b</w:t>
                  </w:r>
                </w:p>
              </w:tc>
              <w:tc>
                <w:tcPr>
                  <w:tcW w:w="835" w:type="pct"/>
                </w:tcPr>
                <w:p w14:paraId="78A4FE01" w14:textId="77777777" w:rsidR="00DE1537" w:rsidRDefault="00DE1537" w:rsidP="00343F3E">
                  <w:pPr>
                    <w:pStyle w:val="TableBodyText"/>
                    <w:spacing w:before="160"/>
                  </w:pPr>
                  <w:r>
                    <w:t>-0.227</w:t>
                  </w:r>
                </w:p>
              </w:tc>
              <w:tc>
                <w:tcPr>
                  <w:tcW w:w="835" w:type="pct"/>
                  <w:shd w:val="clear" w:color="auto" w:fill="auto"/>
                </w:tcPr>
                <w:p w14:paraId="6CB15B54" w14:textId="77777777" w:rsidR="00DE1537" w:rsidRDefault="00DE1537" w:rsidP="00343F3E">
                  <w:pPr>
                    <w:pStyle w:val="TableBodyText"/>
                    <w:spacing w:before="160"/>
                    <w:rPr>
                      <w:i/>
                    </w:rPr>
                  </w:pPr>
                  <w:r>
                    <w:t>-0.712</w:t>
                  </w:r>
                </w:p>
              </w:tc>
              <w:tc>
                <w:tcPr>
                  <w:tcW w:w="765" w:type="pct"/>
                  <w:shd w:val="clear" w:color="auto" w:fill="auto"/>
                </w:tcPr>
                <w:p w14:paraId="6B09A62A" w14:textId="77777777" w:rsidR="00DE1537" w:rsidRDefault="00DE1537" w:rsidP="00343F3E">
                  <w:pPr>
                    <w:pStyle w:val="TableBodyText"/>
                    <w:spacing w:before="160"/>
                    <w:ind w:right="28"/>
                  </w:pPr>
                  <w:r>
                    <w:t>-0.664</w:t>
                  </w:r>
                </w:p>
              </w:tc>
            </w:tr>
            <w:tr w:rsidR="00DE1537" w14:paraId="7C587577" w14:textId="77777777" w:rsidTr="00343F3E">
              <w:tc>
                <w:tcPr>
                  <w:tcW w:w="1991" w:type="pct"/>
                  <w:shd w:val="clear" w:color="auto" w:fill="auto"/>
                </w:tcPr>
                <w:p w14:paraId="51B1DDA2" w14:textId="77777777" w:rsidR="00DE1537" w:rsidRDefault="00DE1537" w:rsidP="00343F3E">
                  <w:pPr>
                    <w:pStyle w:val="TableBodyText"/>
                    <w:jc w:val="left"/>
                  </w:pPr>
                  <w:r>
                    <w:t>Insurance losses in period t</w:t>
                  </w:r>
                </w:p>
              </w:tc>
              <w:tc>
                <w:tcPr>
                  <w:tcW w:w="574" w:type="pct"/>
                </w:tcPr>
                <w:p w14:paraId="2F906340" w14:textId="77777777" w:rsidR="00DE1537" w:rsidRDefault="00DE1537">
                  <w:pPr>
                    <w:pStyle w:val="TableBodyText"/>
                  </w:pPr>
                </w:p>
              </w:tc>
              <w:tc>
                <w:tcPr>
                  <w:tcW w:w="835" w:type="pct"/>
                </w:tcPr>
                <w:p w14:paraId="513C4818" w14:textId="77777777" w:rsidR="00DE1537" w:rsidRDefault="00DE1537" w:rsidP="00343F3E">
                  <w:pPr>
                    <w:pStyle w:val="TableBodyText"/>
                    <w:ind w:right="28"/>
                    <w:rPr>
                      <w:i/>
                    </w:rPr>
                  </w:pPr>
                  <w:r>
                    <w:t>0.759*</w:t>
                  </w:r>
                </w:p>
              </w:tc>
              <w:tc>
                <w:tcPr>
                  <w:tcW w:w="835" w:type="pct"/>
                  <w:shd w:val="clear" w:color="auto" w:fill="auto"/>
                </w:tcPr>
                <w:p w14:paraId="10A6A341" w14:textId="77777777" w:rsidR="00DE1537" w:rsidRDefault="00DE1537" w:rsidP="00343F3E">
                  <w:pPr>
                    <w:pStyle w:val="TableBodyText"/>
                    <w:ind w:right="28"/>
                  </w:pPr>
                  <w:r>
                    <w:t>0.502*</w:t>
                  </w:r>
                </w:p>
              </w:tc>
              <w:tc>
                <w:tcPr>
                  <w:tcW w:w="765" w:type="pct"/>
                  <w:shd w:val="clear" w:color="auto" w:fill="auto"/>
                </w:tcPr>
                <w:p w14:paraId="63D1A29E" w14:textId="77777777" w:rsidR="00DE1537" w:rsidRDefault="00DE1537" w:rsidP="00343F3E">
                  <w:pPr>
                    <w:pStyle w:val="TableBodyText"/>
                    <w:ind w:right="0"/>
                  </w:pPr>
                  <w:r>
                    <w:t>0.513*</w:t>
                  </w:r>
                </w:p>
              </w:tc>
            </w:tr>
            <w:tr w:rsidR="00DE1537" w14:paraId="1009C0E9" w14:textId="77777777" w:rsidTr="00343F3E">
              <w:tc>
                <w:tcPr>
                  <w:tcW w:w="1991" w:type="pct"/>
                  <w:shd w:val="clear" w:color="auto" w:fill="auto"/>
                </w:tcPr>
                <w:p w14:paraId="689F4FE9" w14:textId="77777777" w:rsidR="00DE1537" w:rsidRDefault="00DE1537" w:rsidP="00343F3E">
                  <w:pPr>
                    <w:pStyle w:val="TableBodyText"/>
                    <w:jc w:val="left"/>
                  </w:pPr>
                  <w:r>
                    <w:t>Insurance losses in period t-1</w:t>
                  </w:r>
                </w:p>
              </w:tc>
              <w:tc>
                <w:tcPr>
                  <w:tcW w:w="574" w:type="pct"/>
                </w:tcPr>
                <w:p w14:paraId="42C99D3F" w14:textId="77777777" w:rsidR="00DE1537" w:rsidRDefault="00DE1537" w:rsidP="00343F3E">
                  <w:pPr>
                    <w:pStyle w:val="TableBodyText"/>
                  </w:pPr>
                </w:p>
              </w:tc>
              <w:tc>
                <w:tcPr>
                  <w:tcW w:w="835" w:type="pct"/>
                </w:tcPr>
                <w:p w14:paraId="4BA2608A" w14:textId="77777777" w:rsidR="00DE1537" w:rsidRDefault="00DE1537" w:rsidP="00343F3E">
                  <w:pPr>
                    <w:pStyle w:val="TableBodyText"/>
                  </w:pPr>
                  <w:r>
                    <w:t>..</w:t>
                  </w:r>
                </w:p>
              </w:tc>
              <w:tc>
                <w:tcPr>
                  <w:tcW w:w="835" w:type="pct"/>
                  <w:shd w:val="clear" w:color="auto" w:fill="auto"/>
                </w:tcPr>
                <w:p w14:paraId="2F5E6221" w14:textId="77777777" w:rsidR="00DE1537" w:rsidRDefault="00DE1537" w:rsidP="00343F3E">
                  <w:pPr>
                    <w:pStyle w:val="TableBodyText"/>
                    <w:ind w:right="28"/>
                    <w:rPr>
                      <w:i/>
                    </w:rPr>
                  </w:pPr>
                  <w:r>
                    <w:t>0.670*</w:t>
                  </w:r>
                </w:p>
              </w:tc>
              <w:tc>
                <w:tcPr>
                  <w:tcW w:w="765" w:type="pct"/>
                  <w:shd w:val="clear" w:color="auto" w:fill="auto"/>
                </w:tcPr>
                <w:p w14:paraId="52E75737" w14:textId="77777777" w:rsidR="00DE1537" w:rsidRDefault="00DE1537" w:rsidP="00343F3E">
                  <w:pPr>
                    <w:pStyle w:val="TableBodyText"/>
                    <w:ind w:right="0"/>
                  </w:pPr>
                  <w:r>
                    <w:t>0.706*</w:t>
                  </w:r>
                </w:p>
              </w:tc>
            </w:tr>
            <w:tr w:rsidR="00DE1537" w14:paraId="40673BCB" w14:textId="77777777" w:rsidTr="00343F3E">
              <w:tc>
                <w:tcPr>
                  <w:tcW w:w="1991" w:type="pct"/>
                  <w:tcBorders>
                    <w:bottom w:val="single" w:sz="6" w:space="0" w:color="BFBFBF"/>
                  </w:tcBorders>
                  <w:shd w:val="clear" w:color="auto" w:fill="auto"/>
                </w:tcPr>
                <w:p w14:paraId="613A5BA5" w14:textId="77777777" w:rsidR="00DE1537" w:rsidRDefault="00DE1537" w:rsidP="00343F3E">
                  <w:pPr>
                    <w:pStyle w:val="TableBodyText"/>
                    <w:jc w:val="left"/>
                  </w:pPr>
                  <w:r>
                    <w:t>Insurance losses in period t-2</w:t>
                  </w:r>
                </w:p>
              </w:tc>
              <w:tc>
                <w:tcPr>
                  <w:tcW w:w="574" w:type="pct"/>
                  <w:tcBorders>
                    <w:bottom w:val="single" w:sz="6" w:space="0" w:color="BFBFBF"/>
                  </w:tcBorders>
                </w:tcPr>
                <w:p w14:paraId="16DAC134" w14:textId="77777777" w:rsidR="00DE1537" w:rsidRDefault="00DE1537" w:rsidP="00343F3E">
                  <w:pPr>
                    <w:pStyle w:val="TableBodyText"/>
                  </w:pPr>
                </w:p>
              </w:tc>
              <w:tc>
                <w:tcPr>
                  <w:tcW w:w="835" w:type="pct"/>
                  <w:tcBorders>
                    <w:bottom w:val="single" w:sz="6" w:space="0" w:color="BFBFBF"/>
                  </w:tcBorders>
                </w:tcPr>
                <w:p w14:paraId="6132AFD2" w14:textId="77777777" w:rsidR="00DE1537" w:rsidRDefault="00DE1537" w:rsidP="00343F3E">
                  <w:pPr>
                    <w:pStyle w:val="TableBodyText"/>
                  </w:pPr>
                  <w:r>
                    <w:t>..</w:t>
                  </w:r>
                </w:p>
              </w:tc>
              <w:tc>
                <w:tcPr>
                  <w:tcW w:w="835" w:type="pct"/>
                  <w:tcBorders>
                    <w:bottom w:val="single" w:sz="6" w:space="0" w:color="BFBFBF"/>
                  </w:tcBorders>
                  <w:shd w:val="clear" w:color="auto" w:fill="auto"/>
                </w:tcPr>
                <w:p w14:paraId="708FF383" w14:textId="77777777" w:rsidR="00DE1537" w:rsidRDefault="00DE1537" w:rsidP="00343F3E">
                  <w:pPr>
                    <w:pStyle w:val="TableBodyText"/>
                  </w:pPr>
                  <w:r>
                    <w:t>..</w:t>
                  </w:r>
                </w:p>
              </w:tc>
              <w:tc>
                <w:tcPr>
                  <w:tcW w:w="765" w:type="pct"/>
                  <w:tcBorders>
                    <w:bottom w:val="single" w:sz="6" w:space="0" w:color="BFBFBF"/>
                  </w:tcBorders>
                  <w:shd w:val="clear" w:color="auto" w:fill="auto"/>
                </w:tcPr>
                <w:p w14:paraId="5D7DDBD4" w14:textId="77777777" w:rsidR="00DE1537" w:rsidRDefault="00DE1537" w:rsidP="00343F3E">
                  <w:pPr>
                    <w:pStyle w:val="TableBodyText"/>
                    <w:ind w:right="28"/>
                  </w:pPr>
                  <w:r>
                    <w:t>-0.094</w:t>
                  </w:r>
                </w:p>
              </w:tc>
            </w:tr>
          </w:tbl>
          <w:p w14:paraId="536DA42D" w14:textId="77777777" w:rsidR="00DE1537" w:rsidRDefault="00DE1537" w:rsidP="00343F3E">
            <w:pPr>
              <w:pStyle w:val="Box"/>
            </w:pPr>
          </w:p>
        </w:tc>
      </w:tr>
      <w:tr w:rsidR="00DE1537" w14:paraId="39C05620" w14:textId="77777777" w:rsidTr="00343F3E">
        <w:trPr>
          <w:cantSplit/>
        </w:trPr>
        <w:tc>
          <w:tcPr>
            <w:tcW w:w="8771" w:type="dxa"/>
            <w:tcBorders>
              <w:top w:val="nil"/>
              <w:left w:val="nil"/>
              <w:bottom w:val="nil"/>
              <w:right w:val="nil"/>
            </w:tcBorders>
            <w:shd w:val="clear" w:color="auto" w:fill="auto"/>
          </w:tcPr>
          <w:p w14:paraId="28F77E98" w14:textId="77777777" w:rsidR="00DE1537" w:rsidRDefault="00DE1537" w:rsidP="00343F3E">
            <w:pPr>
              <w:pStyle w:val="Note"/>
              <w:rPr>
                <w:i/>
              </w:rPr>
            </w:pPr>
            <w:r>
              <w:t xml:space="preserve">* indicates statistical significance at the five per cent level. </w:t>
            </w:r>
            <w:r w:rsidRPr="00F27003">
              <w:rPr>
                <w:b/>
              </w:rPr>
              <w:t>..</w:t>
            </w:r>
            <w:r>
              <w:t xml:space="preserve"> Not applicable.</w:t>
            </w:r>
          </w:p>
        </w:tc>
      </w:tr>
      <w:tr w:rsidR="00DE1537" w14:paraId="0F030F5D" w14:textId="77777777" w:rsidTr="00343F3E">
        <w:trPr>
          <w:cantSplit/>
        </w:trPr>
        <w:tc>
          <w:tcPr>
            <w:tcW w:w="8771" w:type="dxa"/>
            <w:tcBorders>
              <w:top w:val="nil"/>
              <w:left w:val="nil"/>
              <w:bottom w:val="nil"/>
              <w:right w:val="nil"/>
            </w:tcBorders>
            <w:shd w:val="clear" w:color="auto" w:fill="auto"/>
          </w:tcPr>
          <w:p w14:paraId="22B4D95A" w14:textId="77777777" w:rsidR="00DE1537" w:rsidRDefault="00DE1537" w:rsidP="00343F3E">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DE1537" w14:paraId="2741598D" w14:textId="77777777" w:rsidTr="00343F3E">
        <w:trPr>
          <w:cantSplit/>
        </w:trPr>
        <w:tc>
          <w:tcPr>
            <w:tcW w:w="8771" w:type="dxa"/>
            <w:tcBorders>
              <w:top w:val="nil"/>
              <w:left w:val="nil"/>
              <w:bottom w:val="single" w:sz="6" w:space="0" w:color="78A22F"/>
              <w:right w:val="nil"/>
            </w:tcBorders>
            <w:shd w:val="clear" w:color="auto" w:fill="auto"/>
          </w:tcPr>
          <w:p w14:paraId="03712912" w14:textId="77777777" w:rsidR="00DE1537" w:rsidRDefault="00DE1537" w:rsidP="00343F3E">
            <w:pPr>
              <w:pStyle w:val="Box"/>
              <w:spacing w:before="0" w:line="120" w:lineRule="exact"/>
            </w:pPr>
          </w:p>
        </w:tc>
      </w:tr>
      <w:tr w:rsidR="00DE1537" w:rsidRPr="000863A5" w14:paraId="79D2A5CD" w14:textId="77777777" w:rsidTr="00343F3E">
        <w:tc>
          <w:tcPr>
            <w:tcW w:w="8771" w:type="dxa"/>
            <w:tcBorders>
              <w:top w:val="single" w:sz="6" w:space="0" w:color="78A22F"/>
              <w:left w:val="nil"/>
              <w:bottom w:val="nil"/>
              <w:right w:val="nil"/>
            </w:tcBorders>
          </w:tcPr>
          <w:p w14:paraId="1115510A" w14:textId="77777777" w:rsidR="00DE1537" w:rsidRPr="00626D32" w:rsidRDefault="00DE1537" w:rsidP="00343F3E">
            <w:pPr>
              <w:pStyle w:val="BoxSpaceBelow"/>
            </w:pPr>
          </w:p>
        </w:tc>
      </w:tr>
    </w:tbl>
    <w:p w14:paraId="212F9A04" w14:textId="77777777" w:rsidR="00DE1537" w:rsidRDefault="00DE1537" w:rsidP="00343F3E">
      <w:pPr>
        <w:pStyle w:val="BodyText"/>
      </w:pPr>
      <w:r>
        <w:t>Projections of the Australian Government’s fiscal costs were obtained by applying this estimated relationship to the average projected nominal insurance losses estimated above. Since forward estimates of fiscal costs are available for 2013</w:t>
      </w:r>
      <w:r>
        <w:noBreakHyphen/>
        <w:t>14 and 2014</w:t>
      </w:r>
      <w:r>
        <w:noBreakHyphen/>
        <w:t xml:space="preserve">15 (for disasters that have already occurred), the projections start in 2016. </w:t>
      </w:r>
    </w:p>
    <w:p w14:paraId="3A345E8D" w14:textId="77777777" w:rsidR="00DE1537" w:rsidRDefault="00DE1537" w:rsidP="00343F3E">
      <w:pPr>
        <w:pStyle w:val="BodyText"/>
      </w:pPr>
      <w:r>
        <w:t xml:space="preserve">Similar to the insurance loss projections, the fiscal cost projections reflect the likely trend in fiscal costs. The trend value of fiscal costs is a useful indicator because it can be used to determine an appropriate amount to provision for the likely future costs of natural disasters. Natural disasters are too unpredictable to attempt to forecast expenditure for any particular year. </w:t>
      </w:r>
    </w:p>
    <w:p w14:paraId="061C0B90" w14:textId="77777777" w:rsidR="00DE1537" w:rsidRDefault="00DE1537" w:rsidP="00343F3E">
      <w:pPr>
        <w:pStyle w:val="BodyText"/>
      </w:pPr>
      <w:r>
        <w:t>Assuming that the relationship between insurance losses and fiscal costs is stable over the projection period, the latter are projected to increase as insurance losses increase (figure 7.3 and table 7.5).</w:t>
      </w:r>
    </w:p>
    <w:p w14:paraId="7CF43999" w14:textId="77777777" w:rsidR="00DE1537" w:rsidRDefault="00DE1537" w:rsidP="00343F3E">
      <w:pPr>
        <w:pStyle w:val="ListBullet"/>
      </w:pPr>
      <w:r>
        <w:t xml:space="preserve">Average fiscal costs are projected to grow roughly in line with insurance losses in </w:t>
      </w:r>
      <w:r w:rsidRPr="00F35625">
        <w:t>the medium and long term</w:t>
      </w:r>
      <w:r w:rsidRPr="00AD3E84">
        <w:t>.</w:t>
      </w:r>
    </w:p>
    <w:p w14:paraId="40529BD1" w14:textId="77777777" w:rsidR="00DE1537" w:rsidRDefault="00DE1537" w:rsidP="00343F3E">
      <w:pPr>
        <w:pStyle w:val="ListBullet"/>
      </w:pPr>
      <w:r>
        <w:t>In the medium term (2018), nominal fiscal costs could be in the range of $100 million to $2.9 billion.</w:t>
      </w:r>
    </w:p>
    <w:p w14:paraId="3C3076B8" w14:textId="77777777" w:rsidR="00DE1537" w:rsidRDefault="00DE1537" w:rsidP="00343F3E">
      <w:pPr>
        <w:pStyle w:val="ListBullet"/>
      </w:pPr>
      <w:r>
        <w:t>In the long term (2023),</w:t>
      </w:r>
      <w:r w:rsidRPr="001B6E60">
        <w:t xml:space="preserve"> </w:t>
      </w:r>
      <w:r>
        <w:t>nominal fiscal costs could be in the range of $400 million to $3.2 billion.</w:t>
      </w:r>
    </w:p>
    <w:p w14:paraId="2A4749DC" w14:textId="77777777" w:rsidR="00DE1537" w:rsidRDefault="00DE1537" w:rsidP="00343F3E">
      <w:pPr>
        <w:pStyle w:val="BodyText"/>
      </w:pPr>
      <w:r>
        <w:t>The projections are subject to numerous caveats. For example:</w:t>
      </w:r>
    </w:p>
    <w:p w14:paraId="0BE94EAC" w14:textId="77777777" w:rsidR="00DE1537" w:rsidRDefault="00DE1537" w:rsidP="00343F3E">
      <w:pPr>
        <w:pStyle w:val="ListBullet"/>
      </w:pPr>
      <w:r>
        <w:t>the high standard deviation in the data ($1.4 billion) implies very wide ranges for projected fiscal costs</w:t>
      </w:r>
    </w:p>
    <w:p w14:paraId="107BD67B" w14:textId="77777777" w:rsidR="00DE1537" w:rsidRDefault="00DE1537" w:rsidP="00343F3E">
      <w:pPr>
        <w:pStyle w:val="ListBullet"/>
      </w:pPr>
      <w:proofErr w:type="gramStart"/>
      <w:r>
        <w:t>the</w:t>
      </w:r>
      <w:proofErr w:type="gramEnd"/>
      <w:r>
        <w:t xml:space="preserve"> use of a short time series of fiscal costs makes it difficult to identify a stable relationship and likely medium</w:t>
      </w:r>
      <w:r>
        <w:noBreakHyphen/>
        <w:t xml:space="preserve"> and long</w:t>
      </w:r>
      <w:r>
        <w:noBreakHyphen/>
        <w:t>term trend.</w:t>
      </w:r>
    </w:p>
    <w:p w14:paraId="79DFF6C9"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07E41A3" w14:textId="77777777" w:rsidTr="00343F3E">
        <w:tc>
          <w:tcPr>
            <w:tcW w:w="8771" w:type="dxa"/>
            <w:tcBorders>
              <w:top w:val="single" w:sz="6" w:space="0" w:color="78A22F"/>
              <w:left w:val="nil"/>
              <w:bottom w:val="nil"/>
              <w:right w:val="nil"/>
            </w:tcBorders>
            <w:shd w:val="clear" w:color="auto" w:fill="auto"/>
          </w:tcPr>
          <w:p w14:paraId="200B6F83" w14:textId="35DBE22C" w:rsidR="00DE1537" w:rsidRDefault="00DE1537" w:rsidP="00343F3E">
            <w:pPr>
              <w:pStyle w:val="FigureTitle"/>
            </w:pPr>
            <w:r w:rsidRPr="00784A05">
              <w:rPr>
                <w:b w:val="0"/>
              </w:rPr>
              <w:t xml:space="preserve">Figure </w:t>
            </w:r>
            <w:r>
              <w:rPr>
                <w:b w:val="0"/>
              </w:rPr>
              <w:t>7.</w:t>
            </w:r>
            <w:r>
              <w:rPr>
                <w:b w:val="0"/>
                <w:noProof/>
              </w:rPr>
              <w:t>3</w:t>
            </w:r>
            <w:r>
              <w:tab/>
              <w:t>Projecting nominal fiscal costs</w:t>
            </w:r>
            <w:r w:rsidRPr="00C35101">
              <w:rPr>
                <w:rStyle w:val="NoteLabel"/>
                <w:b/>
              </w:rPr>
              <w:t>a</w:t>
            </w:r>
          </w:p>
          <w:p w14:paraId="71C1BD0B" w14:textId="77777777" w:rsidR="00DE1537" w:rsidRPr="00176D3F" w:rsidRDefault="00DE1537" w:rsidP="00343F3E">
            <w:pPr>
              <w:pStyle w:val="Subtitle"/>
            </w:pPr>
            <w:r>
              <w:t>Australian Government expenditure only</w:t>
            </w:r>
          </w:p>
        </w:tc>
      </w:tr>
      <w:tr w:rsidR="00DE1537" w14:paraId="2178368C"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47BD84B5" w14:textId="77777777" w:rsidTr="00343F3E">
              <w:tc>
                <w:tcPr>
                  <w:tcW w:w="5000" w:type="pct"/>
                  <w:tcBorders>
                    <w:top w:val="nil"/>
                    <w:bottom w:val="nil"/>
                  </w:tcBorders>
                </w:tcPr>
                <w:p w14:paraId="76A8E09B" w14:textId="77777777" w:rsidR="00DE1537" w:rsidRDefault="00DE1537" w:rsidP="00343F3E">
                  <w:pPr>
                    <w:pStyle w:val="Figure"/>
                    <w:spacing w:before="60" w:after="60"/>
                  </w:pPr>
                  <w:r>
                    <w:rPr>
                      <w:noProof/>
                    </w:rPr>
                    <w:drawing>
                      <wp:inline distT="0" distB="0" distL="0" distR="0" wp14:anchorId="5FCB042E" wp14:editId="0A6C4C54">
                        <wp:extent cx="5398770" cy="2878455"/>
                        <wp:effectExtent l="0" t="0" r="0" b="0"/>
                        <wp:docPr id="129" name="Picture 129" descr="This figure shows the projected nominal fiscal costs of natural disasters in the medium term and long term (Australian Government expenditure only), along with one standard deviation intervals. Projected nominal insurance losses are also shown for comparison. In the medium and long term, fiscal costs are projected to be lower than insurance costs. The intervals in which the fiscal costs could be are very wide." title="Projecting nominal fiscal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4C98EAE5" w14:textId="77777777" w:rsidR="00DE1537" w:rsidRDefault="00DE1537" w:rsidP="00343F3E">
            <w:pPr>
              <w:pStyle w:val="Figure"/>
            </w:pPr>
          </w:p>
        </w:tc>
      </w:tr>
      <w:tr w:rsidR="00DE1537" w:rsidRPr="00176D3F" w14:paraId="4C555845" w14:textId="77777777" w:rsidTr="00343F3E">
        <w:tc>
          <w:tcPr>
            <w:tcW w:w="8771" w:type="dxa"/>
            <w:tcBorders>
              <w:top w:val="nil"/>
              <w:left w:val="nil"/>
              <w:bottom w:val="nil"/>
              <w:right w:val="nil"/>
            </w:tcBorders>
            <w:shd w:val="clear" w:color="auto" w:fill="auto"/>
          </w:tcPr>
          <w:p w14:paraId="1BD16D28" w14:textId="77777777" w:rsidR="00DE1537" w:rsidRDefault="00DE1537" w:rsidP="00343F3E">
            <w:pPr>
              <w:pStyle w:val="Source"/>
              <w:rPr>
                <w:i/>
              </w:rPr>
            </w:pPr>
            <w:proofErr w:type="gramStart"/>
            <w:r w:rsidRPr="002D2174">
              <w:rPr>
                <w:rStyle w:val="NoteLabel"/>
              </w:rPr>
              <w:t>a</w:t>
            </w:r>
            <w:proofErr w:type="gramEnd"/>
            <w:r>
              <w:rPr>
                <w:rStyle w:val="NoteLabel"/>
              </w:rPr>
              <w:t xml:space="preserve"> </w:t>
            </w:r>
            <w:r>
              <w:t>Central projections of fiscal costs (the blue dots) and one standard deviation ranges (the blue diamonds) are provided (estimated with the standard deviation in nominal fiscal costs over the period 2002</w:t>
            </w:r>
            <w:r>
              <w:noBreakHyphen/>
              <w:t>03 to 2014</w:t>
            </w:r>
            <w:r>
              <w:noBreakHyphen/>
              <w:t>15).</w:t>
            </w:r>
          </w:p>
        </w:tc>
      </w:tr>
      <w:tr w:rsidR="00DE1537" w:rsidRPr="00176D3F" w14:paraId="7C5A2217" w14:textId="77777777" w:rsidTr="00343F3E">
        <w:tc>
          <w:tcPr>
            <w:tcW w:w="8771" w:type="dxa"/>
            <w:tcBorders>
              <w:top w:val="nil"/>
              <w:left w:val="nil"/>
              <w:bottom w:val="nil"/>
              <w:right w:val="nil"/>
            </w:tcBorders>
            <w:shd w:val="clear" w:color="auto" w:fill="auto"/>
          </w:tcPr>
          <w:p w14:paraId="01282683" w14:textId="1C3F15FC" w:rsidR="00DE1537" w:rsidRPr="00176D3F" w:rsidRDefault="00DE1537" w:rsidP="00343F3E">
            <w:pPr>
              <w:pStyle w:val="Source"/>
            </w:pPr>
            <w:r>
              <w:rPr>
                <w:i/>
              </w:rPr>
              <w:t>Data s</w:t>
            </w:r>
            <w:r w:rsidRPr="00F27003">
              <w:rPr>
                <w:i/>
              </w:rPr>
              <w:t>ource</w:t>
            </w:r>
            <w:r>
              <w:rPr>
                <w:i/>
              </w:rPr>
              <w:t>s</w:t>
            </w:r>
            <w:r w:rsidRPr="00176D3F">
              <w:t xml:space="preserve">: </w:t>
            </w:r>
            <w:r>
              <w:t xml:space="preserve">ICA </w:t>
            </w:r>
            <w:r w:rsidR="007C5656" w:rsidRPr="007C5656">
              <w:rPr>
                <w:rFonts w:cs="Arial"/>
              </w:rPr>
              <w:t>(2014e)</w:t>
            </w:r>
            <w:r>
              <w:t>; Productivity Commission estimates.</w:t>
            </w:r>
          </w:p>
        </w:tc>
      </w:tr>
      <w:tr w:rsidR="00DE1537" w14:paraId="69994D1B" w14:textId="77777777" w:rsidTr="00343F3E">
        <w:tc>
          <w:tcPr>
            <w:tcW w:w="8771" w:type="dxa"/>
            <w:tcBorders>
              <w:top w:val="nil"/>
              <w:left w:val="nil"/>
              <w:bottom w:val="single" w:sz="6" w:space="0" w:color="78A22F"/>
              <w:right w:val="nil"/>
            </w:tcBorders>
            <w:shd w:val="clear" w:color="auto" w:fill="auto"/>
          </w:tcPr>
          <w:p w14:paraId="28DAB688" w14:textId="77777777" w:rsidR="00DE1537" w:rsidRDefault="00DE1537" w:rsidP="00343F3E">
            <w:pPr>
              <w:pStyle w:val="Figurespace"/>
            </w:pPr>
          </w:p>
        </w:tc>
      </w:tr>
      <w:tr w:rsidR="00DE1537" w:rsidRPr="000863A5" w14:paraId="7E91200C" w14:textId="77777777" w:rsidTr="00343F3E">
        <w:tc>
          <w:tcPr>
            <w:tcW w:w="8771" w:type="dxa"/>
            <w:tcBorders>
              <w:top w:val="single" w:sz="6" w:space="0" w:color="78A22F"/>
              <w:left w:val="nil"/>
              <w:bottom w:val="nil"/>
              <w:right w:val="nil"/>
            </w:tcBorders>
          </w:tcPr>
          <w:p w14:paraId="392FEC83" w14:textId="77777777" w:rsidR="00DE1537" w:rsidRPr="00626D32" w:rsidRDefault="00DE1537" w:rsidP="00343F3E">
            <w:pPr>
              <w:pStyle w:val="BoxSpaceBelow"/>
            </w:pPr>
          </w:p>
        </w:tc>
      </w:tr>
    </w:tbl>
    <w:p w14:paraId="208770FC"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42E95660" w14:textId="77777777" w:rsidTr="00343F3E">
        <w:tc>
          <w:tcPr>
            <w:tcW w:w="8771" w:type="dxa"/>
            <w:tcBorders>
              <w:top w:val="single" w:sz="6" w:space="0" w:color="78A22F"/>
              <w:left w:val="nil"/>
              <w:bottom w:val="nil"/>
              <w:right w:val="nil"/>
            </w:tcBorders>
            <w:shd w:val="clear" w:color="auto" w:fill="auto"/>
          </w:tcPr>
          <w:p w14:paraId="07063A5C" w14:textId="048A8A9B" w:rsidR="00DE1537" w:rsidRDefault="00DE1537" w:rsidP="00343F3E">
            <w:pPr>
              <w:pStyle w:val="TableTitle"/>
              <w:rPr>
                <w:rStyle w:val="NoteLabel"/>
                <w:b/>
              </w:rPr>
            </w:pPr>
            <w:r>
              <w:rPr>
                <w:b w:val="0"/>
              </w:rPr>
              <w:t>Table 7.</w:t>
            </w:r>
            <w:r>
              <w:rPr>
                <w:b w:val="0"/>
                <w:noProof/>
              </w:rPr>
              <w:t>5</w:t>
            </w:r>
            <w:r>
              <w:tab/>
              <w:t>Projections of nominal fiscal costs</w:t>
            </w:r>
            <w:r w:rsidRPr="001C0B36">
              <w:rPr>
                <w:rStyle w:val="NoteLabel"/>
                <w:b/>
              </w:rPr>
              <w:t>a</w:t>
            </w:r>
          </w:p>
          <w:p w14:paraId="14F9817D" w14:textId="77777777" w:rsidR="00DE1537" w:rsidRPr="00B32B2F" w:rsidRDefault="00DE1537" w:rsidP="00343F3E">
            <w:pPr>
              <w:pStyle w:val="Subtitle"/>
            </w:pPr>
            <w:r>
              <w:t>Australian Government expenditure only</w:t>
            </w:r>
          </w:p>
        </w:tc>
      </w:tr>
      <w:tr w:rsidR="00DE1537" w14:paraId="3DEE340D" w14:textId="77777777" w:rsidTr="00343F3E">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805"/>
              <w:gridCol w:w="1559"/>
              <w:gridCol w:w="1702"/>
              <w:gridCol w:w="1417"/>
            </w:tblGrid>
            <w:tr w:rsidR="00DE1537" w14:paraId="7248810E" w14:textId="77777777" w:rsidTr="00343F3E">
              <w:tc>
                <w:tcPr>
                  <w:tcW w:w="2243" w:type="pct"/>
                  <w:tcBorders>
                    <w:top w:val="single" w:sz="6" w:space="0" w:color="BFBFBF"/>
                    <w:bottom w:val="single" w:sz="6" w:space="0" w:color="BFBFBF"/>
                  </w:tcBorders>
                  <w:shd w:val="clear" w:color="auto" w:fill="auto"/>
                  <w:tcMar>
                    <w:top w:w="28" w:type="dxa"/>
                  </w:tcMar>
                </w:tcPr>
                <w:p w14:paraId="0CA38309" w14:textId="77777777" w:rsidR="00DE1537" w:rsidRDefault="00DE1537" w:rsidP="00343F3E">
                  <w:pPr>
                    <w:pStyle w:val="TableColumnHeading"/>
                    <w:jc w:val="left"/>
                  </w:pPr>
                </w:p>
              </w:tc>
              <w:tc>
                <w:tcPr>
                  <w:tcW w:w="919" w:type="pct"/>
                  <w:tcBorders>
                    <w:top w:val="single" w:sz="6" w:space="0" w:color="BFBFBF"/>
                    <w:bottom w:val="single" w:sz="6" w:space="0" w:color="BFBFBF"/>
                  </w:tcBorders>
                </w:tcPr>
                <w:p w14:paraId="77E6A1CB" w14:textId="77777777" w:rsidR="00DE1537" w:rsidRPr="00FB13D0" w:rsidRDefault="00DE1537" w:rsidP="00343F3E">
                  <w:pPr>
                    <w:pStyle w:val="TableColumnHeading"/>
                  </w:pPr>
                  <w:r w:rsidRPr="00FB13D0">
                    <w:t>Low estimate</w:t>
                  </w:r>
                </w:p>
              </w:tc>
              <w:tc>
                <w:tcPr>
                  <w:tcW w:w="1003" w:type="pct"/>
                  <w:tcBorders>
                    <w:top w:val="single" w:sz="6" w:space="0" w:color="BFBFBF"/>
                    <w:bottom w:val="single" w:sz="6" w:space="0" w:color="BFBFBF"/>
                  </w:tcBorders>
                </w:tcPr>
                <w:p w14:paraId="65D9EB6B" w14:textId="77777777" w:rsidR="00DE1537" w:rsidRPr="00FB13D0" w:rsidRDefault="00DE1537" w:rsidP="00343F3E">
                  <w:pPr>
                    <w:pStyle w:val="TableColumnHeading"/>
                  </w:pPr>
                  <w:r w:rsidRPr="00FB13D0">
                    <w:t>Central estimate</w:t>
                  </w:r>
                </w:p>
              </w:tc>
              <w:tc>
                <w:tcPr>
                  <w:tcW w:w="835" w:type="pct"/>
                  <w:tcBorders>
                    <w:top w:val="single" w:sz="6" w:space="0" w:color="BFBFBF"/>
                    <w:bottom w:val="single" w:sz="6" w:space="0" w:color="BFBFBF"/>
                  </w:tcBorders>
                </w:tcPr>
                <w:p w14:paraId="74295FAE" w14:textId="77777777" w:rsidR="00DE1537" w:rsidRPr="00FB13D0" w:rsidRDefault="00DE1537" w:rsidP="00343F3E">
                  <w:pPr>
                    <w:pStyle w:val="TableColumnHeading"/>
                    <w:ind w:right="28"/>
                  </w:pPr>
                  <w:r w:rsidRPr="00FB13D0">
                    <w:t>High estimate</w:t>
                  </w:r>
                </w:p>
              </w:tc>
            </w:tr>
            <w:tr w:rsidR="00DE1537" w14:paraId="0884E102" w14:textId="77777777" w:rsidTr="00343F3E">
              <w:tc>
                <w:tcPr>
                  <w:tcW w:w="2243" w:type="pct"/>
                  <w:tcBorders>
                    <w:top w:val="single" w:sz="6" w:space="0" w:color="BFBFBF"/>
                  </w:tcBorders>
                </w:tcPr>
                <w:p w14:paraId="628BF709" w14:textId="77777777" w:rsidR="00DE1537" w:rsidRDefault="00DE1537" w:rsidP="00343F3E">
                  <w:pPr>
                    <w:pStyle w:val="TableUnitsRow"/>
                    <w:jc w:val="left"/>
                  </w:pPr>
                </w:p>
              </w:tc>
              <w:tc>
                <w:tcPr>
                  <w:tcW w:w="919" w:type="pct"/>
                  <w:tcBorders>
                    <w:top w:val="single" w:sz="6" w:space="0" w:color="BFBFBF"/>
                  </w:tcBorders>
                </w:tcPr>
                <w:p w14:paraId="2E910556" w14:textId="77777777" w:rsidR="00DE1537" w:rsidRPr="00FB13D0" w:rsidRDefault="00DE1537" w:rsidP="00343F3E">
                  <w:pPr>
                    <w:pStyle w:val="TableUnitsRow"/>
                  </w:pPr>
                  <w:r w:rsidRPr="00FB13D0">
                    <w:t>$b</w:t>
                  </w:r>
                </w:p>
              </w:tc>
              <w:tc>
                <w:tcPr>
                  <w:tcW w:w="1003" w:type="pct"/>
                  <w:tcBorders>
                    <w:top w:val="single" w:sz="6" w:space="0" w:color="BFBFBF"/>
                  </w:tcBorders>
                </w:tcPr>
                <w:p w14:paraId="0C8691C2" w14:textId="77777777" w:rsidR="00DE1537" w:rsidRPr="00FB13D0" w:rsidRDefault="00DE1537" w:rsidP="00343F3E">
                  <w:pPr>
                    <w:pStyle w:val="TableUnitsRow"/>
                  </w:pPr>
                  <w:r w:rsidRPr="00FB13D0">
                    <w:t>$b</w:t>
                  </w:r>
                </w:p>
              </w:tc>
              <w:tc>
                <w:tcPr>
                  <w:tcW w:w="835" w:type="pct"/>
                  <w:tcBorders>
                    <w:top w:val="single" w:sz="6" w:space="0" w:color="BFBFBF"/>
                  </w:tcBorders>
                </w:tcPr>
                <w:p w14:paraId="219266F7" w14:textId="77777777" w:rsidR="00DE1537" w:rsidRPr="00FB13D0" w:rsidRDefault="00DE1537" w:rsidP="00343F3E">
                  <w:pPr>
                    <w:pStyle w:val="TableUnitsRow"/>
                    <w:ind w:right="28"/>
                  </w:pPr>
                  <w:r w:rsidRPr="00FB13D0">
                    <w:t>$b</w:t>
                  </w:r>
                </w:p>
              </w:tc>
            </w:tr>
            <w:tr w:rsidR="00DE1537" w14:paraId="2C52695D" w14:textId="77777777" w:rsidTr="00343F3E">
              <w:tc>
                <w:tcPr>
                  <w:tcW w:w="2243" w:type="pct"/>
                </w:tcPr>
                <w:p w14:paraId="6CB8C3F2" w14:textId="77777777" w:rsidR="00DE1537" w:rsidRDefault="00DE1537" w:rsidP="00343F3E">
                  <w:pPr>
                    <w:pStyle w:val="TableBodyText"/>
                    <w:jc w:val="left"/>
                  </w:pPr>
                  <w:r>
                    <w:t>Standard deviation of fiscal costs</w:t>
                  </w:r>
                </w:p>
              </w:tc>
              <w:tc>
                <w:tcPr>
                  <w:tcW w:w="919" w:type="pct"/>
                </w:tcPr>
                <w:p w14:paraId="0741F9ED" w14:textId="77777777" w:rsidR="00DE1537" w:rsidRPr="00000CFD" w:rsidRDefault="00DE1537" w:rsidP="00343F3E">
                  <w:pPr>
                    <w:pStyle w:val="TableBodyText"/>
                    <w:rPr>
                      <w:i/>
                    </w:rPr>
                  </w:pPr>
                  <w:r w:rsidRPr="00AD3E84">
                    <w:t>1.4</w:t>
                  </w:r>
                </w:p>
              </w:tc>
              <w:tc>
                <w:tcPr>
                  <w:tcW w:w="1003" w:type="pct"/>
                </w:tcPr>
                <w:p w14:paraId="091DB8DE" w14:textId="77777777" w:rsidR="00DE1537" w:rsidRPr="00000CFD" w:rsidRDefault="00DE1537" w:rsidP="00343F3E">
                  <w:pPr>
                    <w:pStyle w:val="TableBodyText"/>
                    <w:rPr>
                      <w:i/>
                    </w:rPr>
                  </w:pPr>
                  <w:r w:rsidRPr="00AD3E84">
                    <w:t>1.4</w:t>
                  </w:r>
                </w:p>
              </w:tc>
              <w:tc>
                <w:tcPr>
                  <w:tcW w:w="835" w:type="pct"/>
                </w:tcPr>
                <w:p w14:paraId="5449BFDD" w14:textId="77777777" w:rsidR="00DE1537" w:rsidRPr="00000CFD" w:rsidRDefault="00DE1537" w:rsidP="00343F3E">
                  <w:pPr>
                    <w:pStyle w:val="TableBodyText"/>
                    <w:ind w:right="28"/>
                    <w:rPr>
                      <w:i/>
                    </w:rPr>
                  </w:pPr>
                  <w:r w:rsidRPr="00AD3E84">
                    <w:t>1.4</w:t>
                  </w:r>
                </w:p>
              </w:tc>
            </w:tr>
            <w:tr w:rsidR="00DE1537" w14:paraId="1A71E3BF" w14:textId="77777777" w:rsidTr="00343F3E">
              <w:tc>
                <w:tcPr>
                  <w:tcW w:w="2243" w:type="pct"/>
                </w:tcPr>
                <w:p w14:paraId="70A0D3B9" w14:textId="77777777" w:rsidR="00DE1537" w:rsidRDefault="00DE1537" w:rsidP="00343F3E">
                  <w:pPr>
                    <w:pStyle w:val="TableBodyText"/>
                    <w:jc w:val="left"/>
                  </w:pPr>
                  <w:r>
                    <w:t>Medium term (2018)</w:t>
                  </w:r>
                </w:p>
              </w:tc>
              <w:tc>
                <w:tcPr>
                  <w:tcW w:w="919" w:type="pct"/>
                </w:tcPr>
                <w:p w14:paraId="64E75039" w14:textId="77777777" w:rsidR="00DE1537" w:rsidRPr="00347B1F" w:rsidRDefault="00DE1537" w:rsidP="00343F3E">
                  <w:pPr>
                    <w:pStyle w:val="TableBodyText"/>
                  </w:pPr>
                  <w:r w:rsidRPr="00347B1F">
                    <w:t>0.1</w:t>
                  </w:r>
                </w:p>
              </w:tc>
              <w:tc>
                <w:tcPr>
                  <w:tcW w:w="1003" w:type="pct"/>
                </w:tcPr>
                <w:p w14:paraId="18FD89D4" w14:textId="77777777" w:rsidR="00DE1537" w:rsidRPr="00347B1F" w:rsidRDefault="00DE1537" w:rsidP="00343F3E">
                  <w:pPr>
                    <w:pStyle w:val="TableBodyText"/>
                  </w:pPr>
                  <w:r w:rsidRPr="00347B1F">
                    <w:t>1.5</w:t>
                  </w:r>
                </w:p>
              </w:tc>
              <w:tc>
                <w:tcPr>
                  <w:tcW w:w="835" w:type="pct"/>
                </w:tcPr>
                <w:p w14:paraId="519D4BCD" w14:textId="77777777" w:rsidR="00DE1537" w:rsidRPr="00347B1F" w:rsidRDefault="00DE1537" w:rsidP="00343F3E">
                  <w:pPr>
                    <w:pStyle w:val="TableBodyText"/>
                    <w:ind w:right="28"/>
                  </w:pPr>
                  <w:r w:rsidRPr="00347B1F">
                    <w:t>2.9</w:t>
                  </w:r>
                </w:p>
              </w:tc>
            </w:tr>
            <w:tr w:rsidR="00DE1537" w14:paraId="1515C70E" w14:textId="77777777" w:rsidTr="00343F3E">
              <w:tc>
                <w:tcPr>
                  <w:tcW w:w="2243" w:type="pct"/>
                  <w:tcBorders>
                    <w:bottom w:val="single" w:sz="6" w:space="0" w:color="BFBFBF"/>
                  </w:tcBorders>
                </w:tcPr>
                <w:p w14:paraId="1E3ADBEC" w14:textId="77777777" w:rsidR="00DE1537" w:rsidRDefault="00DE1537" w:rsidP="00343F3E">
                  <w:pPr>
                    <w:pStyle w:val="TableBodyText"/>
                    <w:jc w:val="left"/>
                  </w:pPr>
                  <w:r>
                    <w:t>Long term (2023)</w:t>
                  </w:r>
                </w:p>
              </w:tc>
              <w:tc>
                <w:tcPr>
                  <w:tcW w:w="919" w:type="pct"/>
                  <w:tcBorders>
                    <w:bottom w:val="single" w:sz="6" w:space="0" w:color="BFBFBF"/>
                  </w:tcBorders>
                </w:tcPr>
                <w:p w14:paraId="5313B5CA" w14:textId="77777777" w:rsidR="00DE1537" w:rsidRPr="00000CFD" w:rsidRDefault="00DE1537" w:rsidP="00343F3E">
                  <w:pPr>
                    <w:pStyle w:val="TableBodyText"/>
                  </w:pPr>
                  <w:r>
                    <w:t>0.4</w:t>
                  </w:r>
                </w:p>
              </w:tc>
              <w:tc>
                <w:tcPr>
                  <w:tcW w:w="1003" w:type="pct"/>
                  <w:tcBorders>
                    <w:bottom w:val="single" w:sz="6" w:space="0" w:color="BFBFBF"/>
                  </w:tcBorders>
                </w:tcPr>
                <w:p w14:paraId="3631E40B" w14:textId="77777777" w:rsidR="00DE1537" w:rsidRPr="00000CFD" w:rsidRDefault="00DE1537" w:rsidP="00343F3E">
                  <w:pPr>
                    <w:pStyle w:val="TableBodyText"/>
                  </w:pPr>
                  <w:r>
                    <w:t>1.8</w:t>
                  </w:r>
                </w:p>
              </w:tc>
              <w:tc>
                <w:tcPr>
                  <w:tcW w:w="835" w:type="pct"/>
                  <w:tcBorders>
                    <w:bottom w:val="single" w:sz="6" w:space="0" w:color="BFBFBF"/>
                  </w:tcBorders>
                </w:tcPr>
                <w:p w14:paraId="330655C9" w14:textId="77777777" w:rsidR="00DE1537" w:rsidRPr="00000CFD" w:rsidRDefault="00DE1537" w:rsidP="00343F3E">
                  <w:pPr>
                    <w:pStyle w:val="TableBodyText"/>
                    <w:ind w:right="28"/>
                  </w:pPr>
                  <w:r>
                    <w:t>3.2</w:t>
                  </w:r>
                </w:p>
              </w:tc>
            </w:tr>
          </w:tbl>
          <w:p w14:paraId="7F821F0D" w14:textId="77777777" w:rsidR="00DE1537" w:rsidRDefault="00DE1537" w:rsidP="00343F3E">
            <w:pPr>
              <w:pStyle w:val="Box"/>
            </w:pPr>
          </w:p>
        </w:tc>
      </w:tr>
      <w:tr w:rsidR="00DE1537" w14:paraId="6B9F85B0" w14:textId="77777777" w:rsidTr="00343F3E">
        <w:trPr>
          <w:cantSplit/>
        </w:trPr>
        <w:tc>
          <w:tcPr>
            <w:tcW w:w="8771" w:type="dxa"/>
            <w:tcBorders>
              <w:top w:val="nil"/>
              <w:left w:val="nil"/>
              <w:bottom w:val="nil"/>
              <w:right w:val="nil"/>
            </w:tcBorders>
            <w:shd w:val="clear" w:color="auto" w:fill="auto"/>
          </w:tcPr>
          <w:p w14:paraId="764FBA00" w14:textId="77777777" w:rsidR="00DE1537" w:rsidRDefault="00DE1537" w:rsidP="00343F3E">
            <w:pPr>
              <w:pStyle w:val="Note"/>
              <w:rPr>
                <w:i/>
              </w:rPr>
            </w:pPr>
            <w:proofErr w:type="gramStart"/>
            <w:r w:rsidRPr="008E77FE">
              <w:rPr>
                <w:rStyle w:val="NoteLabel"/>
              </w:rPr>
              <w:t>a</w:t>
            </w:r>
            <w:proofErr w:type="gramEnd"/>
            <w:r>
              <w:t xml:space="preserve"> The low estimate is one standard deviation below the central estimate and the high estimate is one standard deviation above the central estimate. This standard deviation is constructed as the standard deviation in nominal fiscal costs over the period 2002</w:t>
            </w:r>
            <w:r>
              <w:noBreakHyphen/>
              <w:t>03 to 2014</w:t>
            </w:r>
            <w:r>
              <w:noBreakHyphen/>
              <w:t xml:space="preserve">15. </w:t>
            </w:r>
          </w:p>
        </w:tc>
      </w:tr>
      <w:tr w:rsidR="00DE1537" w14:paraId="4DEBA809" w14:textId="77777777" w:rsidTr="00343F3E">
        <w:trPr>
          <w:cantSplit/>
        </w:trPr>
        <w:tc>
          <w:tcPr>
            <w:tcW w:w="8771" w:type="dxa"/>
            <w:tcBorders>
              <w:top w:val="nil"/>
              <w:left w:val="nil"/>
              <w:bottom w:val="nil"/>
              <w:right w:val="nil"/>
            </w:tcBorders>
            <w:shd w:val="clear" w:color="auto" w:fill="auto"/>
          </w:tcPr>
          <w:p w14:paraId="61D89C28" w14:textId="77777777" w:rsidR="00DE1537" w:rsidRDefault="00DE1537" w:rsidP="00343F3E">
            <w:pPr>
              <w:pStyle w:val="Source"/>
              <w:rPr>
                <w:i/>
              </w:rPr>
            </w:pPr>
            <w:r>
              <w:rPr>
                <w:i/>
              </w:rPr>
              <w:t>Source</w:t>
            </w:r>
            <w:r w:rsidRPr="00167F06">
              <w:t xml:space="preserve">: </w:t>
            </w:r>
            <w:r>
              <w:t>Productivity Commission estimates.</w:t>
            </w:r>
          </w:p>
        </w:tc>
      </w:tr>
      <w:tr w:rsidR="00DE1537" w14:paraId="0D47826C" w14:textId="77777777" w:rsidTr="00343F3E">
        <w:trPr>
          <w:cantSplit/>
        </w:trPr>
        <w:tc>
          <w:tcPr>
            <w:tcW w:w="8771" w:type="dxa"/>
            <w:tcBorders>
              <w:top w:val="nil"/>
              <w:left w:val="nil"/>
              <w:bottom w:val="single" w:sz="6" w:space="0" w:color="78A22F"/>
              <w:right w:val="nil"/>
            </w:tcBorders>
            <w:shd w:val="clear" w:color="auto" w:fill="auto"/>
          </w:tcPr>
          <w:p w14:paraId="649A449F" w14:textId="77777777" w:rsidR="00DE1537" w:rsidRDefault="00DE1537" w:rsidP="00343F3E">
            <w:pPr>
              <w:pStyle w:val="Box"/>
              <w:spacing w:before="0" w:line="120" w:lineRule="exact"/>
            </w:pPr>
          </w:p>
        </w:tc>
      </w:tr>
      <w:tr w:rsidR="00DE1537" w:rsidRPr="000863A5" w14:paraId="764E0CE5" w14:textId="77777777" w:rsidTr="00343F3E">
        <w:tc>
          <w:tcPr>
            <w:tcW w:w="8771" w:type="dxa"/>
            <w:tcBorders>
              <w:top w:val="single" w:sz="6" w:space="0" w:color="78A22F"/>
              <w:left w:val="nil"/>
              <w:bottom w:val="nil"/>
              <w:right w:val="nil"/>
            </w:tcBorders>
          </w:tcPr>
          <w:p w14:paraId="0B6329FA" w14:textId="77777777" w:rsidR="00DE1537" w:rsidRPr="00626D32" w:rsidRDefault="00DE1537" w:rsidP="00343F3E">
            <w:pPr>
              <w:pStyle w:val="BoxSpaceBelow"/>
            </w:pPr>
          </w:p>
        </w:tc>
      </w:tr>
    </w:tbl>
    <w:p w14:paraId="2B51AC6C" w14:textId="570BFFB2" w:rsidR="00DE1537" w:rsidRDefault="00DE1537" w:rsidP="00343F3E">
      <w:pPr>
        <w:pStyle w:val="Heading2"/>
      </w:pPr>
      <w:bookmarkStart w:id="84" w:name="_Toc406424353"/>
      <w:r>
        <w:t>7.</w:t>
      </w:r>
      <w:r>
        <w:rPr>
          <w:noProof/>
        </w:rPr>
        <w:t>5</w:t>
      </w:r>
      <w:r>
        <w:tab/>
        <w:t>Quantitatively assessing the Commission’s funding model</w:t>
      </w:r>
      <w:bookmarkEnd w:id="84"/>
    </w:p>
    <w:p w14:paraId="77506F0B" w14:textId="77777777" w:rsidR="00DE1537" w:rsidRDefault="00DE1537" w:rsidP="00343F3E">
      <w:pPr>
        <w:pStyle w:val="BodyText"/>
      </w:pPr>
      <w:r>
        <w:t xml:space="preserve">The Commission’s analysis focused on the main fiscal costs of natural disasters, specifically NDRRA costs. These account for the bulk of disaster costs incurred by </w:t>
      </w:r>
      <w:r w:rsidRPr="00B45188">
        <w:lastRenderedPageBreak/>
        <w:t xml:space="preserve">governments. A quantitative assessment was </w:t>
      </w:r>
      <w:r>
        <w:t>undertaken</w:t>
      </w:r>
      <w:r w:rsidRPr="00B45188">
        <w:t xml:space="preserve"> for </w:t>
      </w:r>
      <w:r>
        <w:t>the Commission’s funding model, but not the ‘top-up’ fiscal support,</w:t>
      </w:r>
      <w:r w:rsidRPr="00B45188">
        <w:t xml:space="preserve"> and consisted of two parts</w:t>
      </w:r>
      <w:r>
        <w:t>.</w:t>
      </w:r>
      <w:r>
        <w:rPr>
          <w:rStyle w:val="FootnoteReference"/>
        </w:rPr>
        <w:footnoteReference w:id="22"/>
      </w:r>
      <w:r w:rsidRPr="00B45188">
        <w:t xml:space="preserve"> First, recent NDRRA costs for the Australian </w:t>
      </w:r>
      <w:r>
        <w:t>G</w:t>
      </w:r>
      <w:r w:rsidRPr="00B45188">
        <w:t xml:space="preserve">overnment were compared to what these costs would have been had </w:t>
      </w:r>
      <w:r>
        <w:t>the Commission’s funding model</w:t>
      </w:r>
      <w:r w:rsidRPr="00B45188">
        <w:t xml:space="preserve"> been in place.</w:t>
      </w:r>
      <w:r w:rsidRPr="00B45188">
        <w:rPr>
          <w:rStyle w:val="FootnoteReference"/>
        </w:rPr>
        <w:footnoteReference w:id="23"/>
      </w:r>
      <w:r w:rsidRPr="00B45188">
        <w:t xml:space="preserve"> Second, projected fiscal costs of natural disasters </w:t>
      </w:r>
      <w:r>
        <w:t>under the Commission’s funding model</w:t>
      </w:r>
      <w:r w:rsidRPr="00B45188">
        <w:t xml:space="preserve"> were estimated.</w:t>
      </w:r>
    </w:p>
    <w:p w14:paraId="63C0E198" w14:textId="77777777" w:rsidR="00DE1537" w:rsidRDefault="00DE1537" w:rsidP="00343F3E">
      <w:pPr>
        <w:pStyle w:val="BodyText"/>
      </w:pPr>
      <w:r>
        <w:t>While illustrative estimates of economic costs can be obtained under current funding arrangements, given the availability of insurance loss data, such data are not available for policy change scenarios. This is because insurance losses may be lower if the Commission’s funding model</w:t>
      </w:r>
      <w:r w:rsidRPr="00B45188">
        <w:t xml:space="preserve"> </w:t>
      </w:r>
      <w:r>
        <w:t xml:space="preserve">improves incentives to better </w:t>
      </w:r>
      <w:proofErr w:type="gramStart"/>
      <w:r>
        <w:t>mitigate</w:t>
      </w:r>
      <w:proofErr w:type="gramEnd"/>
      <w:r>
        <w:t xml:space="preserve"> against the impacts of natural disasters, thereby reducing direct and indirect disaster damage. How much lower and over what timeframe are unknown. Consequently, there is too much uncertainty to project economic costs under the Commission’s funding model.</w:t>
      </w:r>
    </w:p>
    <w:p w14:paraId="799B73EF" w14:textId="5AA55212" w:rsidR="00DE1537" w:rsidRDefault="00DE1537" w:rsidP="00343F3E">
      <w:pPr>
        <w:pStyle w:val="BodyText"/>
      </w:pPr>
      <w:r>
        <w:t>Furthermore, the economic cost of natural disasters is not necessarily a useful measure. It can overstate the impact of natural disasters on the economy, and is not comparable to national economic measures such as GDP. Taking an economy</w:t>
      </w:r>
      <w:r>
        <w:noBreakHyphen/>
        <w:t xml:space="preserve">wide view, as required by the terms of reference, it is reasonable and practicable to exclude economic costs from the assessment of the Commission’s funding model. A natural disaster can adversely affect a regional economy in the short term but is unlikely to have a significant impact on national economic growth. According to the Regional Australia Institute </w:t>
      </w:r>
      <w:r w:rsidRPr="00F659C7">
        <w:rPr>
          <w:szCs w:val="24"/>
        </w:rPr>
        <w:t>(2012, p. 3)</w:t>
      </w:r>
      <w:r>
        <w:t>, ‘at a country level, there is research indicating that disasters do not negatively impact long</w:t>
      </w:r>
      <w:r>
        <w:noBreakHyphen/>
        <w:t xml:space="preserve">term economic growth’. The Reserve Bank of Australia </w:t>
      </w:r>
      <w:r w:rsidRPr="00905612">
        <w:t>(2011)</w:t>
      </w:r>
      <w:r>
        <w:t xml:space="preserve"> also reported that the adverse effects of natural disasters on the national economy are temporary and typically offset by an above</w:t>
      </w:r>
      <w:r>
        <w:noBreakHyphen/>
        <w:t>trend ‘bounce back’ in national output.</w:t>
      </w:r>
    </w:p>
    <w:p w14:paraId="5BBB915B" w14:textId="77777777" w:rsidR="00DE1537" w:rsidRDefault="00DE1537" w:rsidP="00343F3E">
      <w:pPr>
        <w:pStyle w:val="BodyText"/>
      </w:pPr>
      <w:r>
        <w:t xml:space="preserve">The Commission used NDRRA data provided </w:t>
      </w:r>
      <w:r w:rsidRPr="00AD3E84">
        <w:t>by the Attorney</w:t>
      </w:r>
      <w:r>
        <w:noBreakHyphen/>
      </w:r>
      <w:r w:rsidRPr="00AD3E84">
        <w:t>General’s Department</w:t>
      </w:r>
      <w:r>
        <w:t xml:space="preserve"> on a confidential basis</w:t>
      </w:r>
      <w:r w:rsidRPr="00AD3E84">
        <w:t>.</w:t>
      </w:r>
      <w:r>
        <w:t xml:space="preserve"> These data include actual expenditure, expenditure estimates and outstanding claims by each state and territory over time. However, not all the data have been audited and some estimates may be outdated. Therefore, the Commission is using these data only as indicative estimates of NDRRA expenditure. These data are the only consistent source of NDRRA expenditure for all states and territories disaggregated by category (A, B, C and D) and the sub</w:t>
      </w:r>
      <w:r>
        <w:noBreakHyphen/>
        <w:t xml:space="preserve">categories of expenditure that make up each category. In some cases, these data relate to NDRRA </w:t>
      </w:r>
      <w:r w:rsidRPr="00AD3E84">
        <w:rPr>
          <w:i/>
        </w:rPr>
        <w:t>expenditure</w:t>
      </w:r>
      <w:r>
        <w:rPr>
          <w:i/>
        </w:rPr>
        <w:t xml:space="preserve"> claimed</w:t>
      </w:r>
      <w:r>
        <w:t xml:space="preserve"> and not NDRRA </w:t>
      </w:r>
      <w:r w:rsidRPr="00AD3E84">
        <w:rPr>
          <w:i/>
        </w:rPr>
        <w:t>payments</w:t>
      </w:r>
      <w:r>
        <w:rPr>
          <w:i/>
        </w:rPr>
        <w:t xml:space="preserve"> made</w:t>
      </w:r>
      <w:r>
        <w:t>. Expenditure claimed by a state or territory in a given year is sometimes paid in the following years, meaning that expenditure numbers presented here may not match the NDRRA payment data used elsewhere in the report.</w:t>
      </w:r>
    </w:p>
    <w:p w14:paraId="45C441BA" w14:textId="77777777" w:rsidR="00DE1537" w:rsidRDefault="00DE1537" w:rsidP="00343F3E">
      <w:pPr>
        <w:pStyle w:val="Heading3"/>
      </w:pPr>
      <w:r>
        <w:lastRenderedPageBreak/>
        <w:t>Modelled components of the Commission’s funding model</w:t>
      </w:r>
    </w:p>
    <w:p w14:paraId="151A451B" w14:textId="77777777" w:rsidR="00DE1537" w:rsidRDefault="00DE1537" w:rsidP="00343F3E">
      <w:pPr>
        <w:pStyle w:val="BodyText"/>
      </w:pPr>
      <w:r>
        <w:t>The Commission’s funding reforms include changes to eligible expenditure, the small disaster criterion, reimbursement/cost-sharing rate and annual thresholds for support from the Australian Government (chapter 3).</w:t>
      </w:r>
    </w:p>
    <w:p w14:paraId="2BD9C9B1" w14:textId="77777777" w:rsidR="00DE1537" w:rsidRDefault="00DE1537" w:rsidP="00343F3E">
      <w:pPr>
        <w:pStyle w:val="BodyText"/>
      </w:pPr>
      <w:r>
        <w:t>A quantitative assessment that incorporates all these changes is not possible with the dataset that was provided to the Commission. First, there is limited time series information about some NDRRA components and triggers. For example, the Commission only has a narrow insight into how many natural disasters met the small disaster criterion and therefore were eligible under the NDRRA. Second, the effects of changes in the NDRRA on incentives to better manage risks are not modelled. Any assumptions about how the Commission’s funding model can improve incentives and increase mitigation spending, thereby reducing disaster costs in the future, are likely to be highly subjective. The results from this assessment are therefore best interpreted as the fiscal costs that would have occurred under the Commission’s funding model, assuming no change in behaviour.</w:t>
      </w:r>
    </w:p>
    <w:p w14:paraId="5D1B5D92" w14:textId="77777777" w:rsidR="00DE1537" w:rsidRDefault="00DE1537" w:rsidP="00343F3E">
      <w:pPr>
        <w:pStyle w:val="BodyText"/>
      </w:pPr>
      <w:r>
        <w:t>The following changes to current funding arrangements are explicitly modelled in this exercise.</w:t>
      </w:r>
    </w:p>
    <w:p w14:paraId="7DE194CF" w14:textId="77777777" w:rsidR="00DE1537" w:rsidRDefault="00DE1537" w:rsidP="00343F3E">
      <w:pPr>
        <w:pStyle w:val="ListBullet"/>
      </w:pPr>
      <w:r>
        <w:t>A single higher threshold for reimbursement from the Australian Government — 0.45 per cent of state government revenue.</w:t>
      </w:r>
    </w:p>
    <w:p w14:paraId="5216C32F" w14:textId="77777777" w:rsidR="00DE1537" w:rsidRDefault="00DE1537" w:rsidP="00343F3E">
      <w:pPr>
        <w:pStyle w:val="ListBullet2"/>
      </w:pPr>
      <w:r>
        <w:t>Sensitivity analysis with 0.35 per cent and 0.50 per cent as alternative thresholds.</w:t>
      </w:r>
    </w:p>
    <w:p w14:paraId="4E4AB0D3" w14:textId="77777777" w:rsidR="00DE1537" w:rsidRDefault="00DE1537" w:rsidP="00343F3E">
      <w:pPr>
        <w:pStyle w:val="ListBullet"/>
      </w:pPr>
      <w:r>
        <w:t>An Australian Government cost-sharing rate of 50 per cent of all eligible expenditure (across categories A, B and C) above the new threshold.</w:t>
      </w:r>
    </w:p>
    <w:p w14:paraId="226E64D2" w14:textId="77777777" w:rsidR="00DE1537" w:rsidRDefault="00DE1537" w:rsidP="00343F3E">
      <w:pPr>
        <w:pStyle w:val="ListBullet2"/>
      </w:pPr>
      <w:r>
        <w:t>Sensitivity analysis with 25 per cent and 33 per cent as alternative cost-sharing rates.</w:t>
      </w:r>
    </w:p>
    <w:p w14:paraId="001EA1C9" w14:textId="77777777" w:rsidR="00DE1537" w:rsidRDefault="00DE1537">
      <w:pPr>
        <w:pStyle w:val="ListBullet"/>
      </w:pPr>
      <w:r>
        <w:t>Removal of the following items of NDRRA eligible expenditure:</w:t>
      </w:r>
      <w:r>
        <w:rPr>
          <w:rStyle w:val="FootnoteReference"/>
        </w:rPr>
        <w:footnoteReference w:id="24"/>
      </w:r>
    </w:p>
    <w:p w14:paraId="3231592A" w14:textId="77777777" w:rsidR="00DE1537" w:rsidRDefault="00DE1537" w:rsidP="00343F3E">
      <w:pPr>
        <w:pStyle w:val="ListBullet2"/>
      </w:pPr>
      <w:r>
        <w:t>category A subclauses 3.2.2 (a), (d), (e) and (f) — emergency food, clothing or temporary accommodation; demolition or rebuilding to restore housing; removal of debris from residential properties; extraordinary counter disaster operations of direct assistance to individuals</w:t>
      </w:r>
    </w:p>
    <w:p w14:paraId="2A365C21" w14:textId="77777777" w:rsidR="00DE1537" w:rsidRDefault="00DE1537" w:rsidP="00343F3E">
      <w:pPr>
        <w:pStyle w:val="ListBullet2"/>
      </w:pPr>
      <w:r>
        <w:t>category B subclauses 3.3.2 (a) to (d) — loans to small businesses and primary producers; loans to needy individuals or nonprofit bodies; freight subsidies to primary producers; and interest rate subsidies to small businesses and primary producers</w:t>
      </w:r>
    </w:p>
    <w:p w14:paraId="027924E0" w14:textId="77777777" w:rsidR="00DE1537" w:rsidRDefault="00DE1537" w:rsidP="00343F3E">
      <w:pPr>
        <w:pStyle w:val="ListBullet2"/>
      </w:pPr>
      <w:proofErr w:type="gramStart"/>
      <w:r w:rsidRPr="001223C5">
        <w:t>category</w:t>
      </w:r>
      <w:proofErr w:type="gramEnd"/>
      <w:r w:rsidRPr="001223C5">
        <w:t xml:space="preserve"> C subclauses 3.4.1 (b) and (c) — recovery grants for small businesses; recovery grants for primary producers.</w:t>
      </w:r>
    </w:p>
    <w:p w14:paraId="7C885267" w14:textId="77777777" w:rsidR="00DE1537" w:rsidRDefault="00DE1537" w:rsidP="00343F3E">
      <w:pPr>
        <w:pStyle w:val="Heading3"/>
      </w:pPr>
      <w:r>
        <w:lastRenderedPageBreak/>
        <w:t>Results and sensitivity analysis</w:t>
      </w:r>
    </w:p>
    <w:p w14:paraId="14CE3FFF" w14:textId="77777777" w:rsidR="00DE1537" w:rsidRDefault="00DE1537" w:rsidP="00343F3E">
      <w:pPr>
        <w:pStyle w:val="BodyText"/>
      </w:pPr>
      <w:r>
        <w:t>The analysis covers the period 2007</w:t>
      </w:r>
      <w:r>
        <w:noBreakHyphen/>
        <w:t>08 to 2013</w:t>
      </w:r>
      <w:r>
        <w:noBreakHyphen/>
        <w:t xml:space="preserve">14. The main findings are that under the Commission’s recommended funding model, the </w:t>
      </w:r>
      <w:r w:rsidRPr="00CE6549">
        <w:t>Australian Government’s</w:t>
      </w:r>
      <w:r>
        <w:t xml:space="preserve"> </w:t>
      </w:r>
      <w:r w:rsidRPr="00CE6549">
        <w:t xml:space="preserve">share of total </w:t>
      </w:r>
      <w:r>
        <w:t>recovery</w:t>
      </w:r>
      <w:r w:rsidRPr="00CE6549">
        <w:t xml:space="preserve"> expenditure</w:t>
      </w:r>
      <w:r>
        <w:t xml:space="preserve"> would have:</w:t>
      </w:r>
    </w:p>
    <w:p w14:paraId="4779C65E" w14:textId="77777777" w:rsidR="00DE1537" w:rsidRDefault="00DE1537" w:rsidP="00343F3E">
      <w:pPr>
        <w:pStyle w:val="ListBullet"/>
      </w:pPr>
      <w:r>
        <w:t>been nearly 30 percentage points lower than under current funding arrangements, translating to a cumulative reduction of over $4 billion over the 7</w:t>
      </w:r>
      <w:r>
        <w:noBreakHyphen/>
        <w:t>year period, or an annual average of around $600 million (table 7.6)</w:t>
      </w:r>
    </w:p>
    <w:p w14:paraId="25BBEED9" w14:textId="77777777" w:rsidR="00DE1537" w:rsidRDefault="00DE1537" w:rsidP="00343F3E">
      <w:pPr>
        <w:pStyle w:val="ListBullet"/>
      </w:pPr>
      <w:proofErr w:type="gramStart"/>
      <w:r>
        <w:t>rarely</w:t>
      </w:r>
      <w:proofErr w:type="gramEnd"/>
      <w:r>
        <w:t xml:space="preserve"> </w:t>
      </w:r>
      <w:r w:rsidRPr="0028559D">
        <w:t>exceed</w:t>
      </w:r>
      <w:r>
        <w:t>ed</w:t>
      </w:r>
      <w:r w:rsidRPr="0028559D">
        <w:t xml:space="preserve"> 40 per cent, even in years </w:t>
      </w:r>
      <w:r>
        <w:t>following significant natural disasters such as the 2010–11 Queensland floods</w:t>
      </w:r>
      <w:r w:rsidRPr="0028559D">
        <w:t>. This contrasts with current funding</w:t>
      </w:r>
      <w:r>
        <w:t xml:space="preserve"> arrangements where the Australian Government’s NDRRA share peaked at 67 per cent in 2012</w:t>
      </w:r>
      <w:r>
        <w:noBreakHyphen/>
        <w:t>13.</w:t>
      </w:r>
    </w:p>
    <w:p w14:paraId="35C6C77C"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4E829F46" w14:textId="77777777" w:rsidTr="00343F3E">
        <w:tc>
          <w:tcPr>
            <w:tcW w:w="8771" w:type="dxa"/>
            <w:tcBorders>
              <w:top w:val="single" w:sz="6" w:space="0" w:color="78A22F"/>
              <w:left w:val="nil"/>
              <w:bottom w:val="nil"/>
              <w:right w:val="nil"/>
            </w:tcBorders>
            <w:shd w:val="clear" w:color="auto" w:fill="auto"/>
          </w:tcPr>
          <w:p w14:paraId="25DFB2EB" w14:textId="6A984320" w:rsidR="00DE1537" w:rsidRDefault="00DE1537" w:rsidP="00343F3E">
            <w:pPr>
              <w:pStyle w:val="TableTitle"/>
            </w:pPr>
            <w:r>
              <w:rPr>
                <w:b w:val="0"/>
              </w:rPr>
              <w:t>Table 7.</w:t>
            </w:r>
            <w:r>
              <w:rPr>
                <w:b w:val="0"/>
                <w:noProof/>
              </w:rPr>
              <w:t>6</w:t>
            </w:r>
            <w:r>
              <w:tab/>
              <w:t>Australian Government NDRRA share under current arrangements and the Commission’s funding model</w:t>
            </w:r>
            <w:r w:rsidRPr="00AD3E84">
              <w:rPr>
                <w:rStyle w:val="NoteLabel"/>
                <w:b/>
              </w:rPr>
              <w:t>a</w:t>
            </w:r>
          </w:p>
          <w:p w14:paraId="11DFB72B" w14:textId="77777777" w:rsidR="00DE1537" w:rsidRPr="00784A05" w:rsidRDefault="00DE1537" w:rsidP="00343F3E">
            <w:pPr>
              <w:pStyle w:val="Subtitle"/>
            </w:pPr>
            <w:r>
              <w:t>2007</w:t>
            </w:r>
            <w:r>
              <w:noBreakHyphen/>
              <w:t>08 to 2013-14</w:t>
            </w:r>
          </w:p>
        </w:tc>
      </w:tr>
      <w:tr w:rsidR="00DE1537" w14:paraId="57D7DB6B"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1560"/>
              <w:gridCol w:w="2127"/>
              <w:gridCol w:w="2555"/>
            </w:tblGrid>
            <w:tr w:rsidR="00DE1537" w14:paraId="0775A82F" w14:textId="77777777" w:rsidTr="00343F3E">
              <w:tc>
                <w:tcPr>
                  <w:tcW w:w="1323" w:type="pct"/>
                  <w:tcBorders>
                    <w:top w:val="single" w:sz="6" w:space="0" w:color="BFBFBF"/>
                    <w:bottom w:val="single" w:sz="6" w:space="0" w:color="BFBFBF"/>
                  </w:tcBorders>
                  <w:shd w:val="clear" w:color="auto" w:fill="auto"/>
                  <w:tcMar>
                    <w:top w:w="28" w:type="dxa"/>
                  </w:tcMar>
                </w:tcPr>
                <w:p w14:paraId="0425122E" w14:textId="77777777" w:rsidR="00DE1537" w:rsidRDefault="00DE1537" w:rsidP="00343F3E">
                  <w:pPr>
                    <w:pStyle w:val="TableColumnHeading"/>
                    <w:jc w:val="left"/>
                  </w:pPr>
                </w:p>
              </w:tc>
              <w:tc>
                <w:tcPr>
                  <w:tcW w:w="919" w:type="pct"/>
                  <w:tcBorders>
                    <w:top w:val="single" w:sz="6" w:space="0" w:color="BFBFBF"/>
                    <w:bottom w:val="single" w:sz="6" w:space="0" w:color="BFBFBF"/>
                  </w:tcBorders>
                </w:tcPr>
                <w:p w14:paraId="1D3728B5" w14:textId="77777777" w:rsidR="00DE1537" w:rsidRPr="00FB13D0" w:rsidRDefault="00DE1537" w:rsidP="00343F3E">
                  <w:pPr>
                    <w:pStyle w:val="TableColumnHeading"/>
                  </w:pPr>
                  <w:r w:rsidRPr="00FB13D0">
                    <w:t>Units</w:t>
                  </w:r>
                </w:p>
              </w:tc>
              <w:tc>
                <w:tcPr>
                  <w:tcW w:w="1253" w:type="pct"/>
                  <w:tcBorders>
                    <w:top w:val="single" w:sz="6" w:space="0" w:color="BFBFBF"/>
                    <w:bottom w:val="single" w:sz="6" w:space="0" w:color="BFBFBF"/>
                  </w:tcBorders>
                  <w:shd w:val="clear" w:color="auto" w:fill="auto"/>
                  <w:tcMar>
                    <w:top w:w="28" w:type="dxa"/>
                  </w:tcMar>
                </w:tcPr>
                <w:p w14:paraId="682171DB" w14:textId="77777777" w:rsidR="00DE1537" w:rsidRPr="00FB13D0" w:rsidRDefault="00DE1537" w:rsidP="00343F3E">
                  <w:pPr>
                    <w:pStyle w:val="TableColumnHeading"/>
                  </w:pPr>
                  <w:r w:rsidRPr="00FB13D0">
                    <w:t>Current arrangements</w:t>
                  </w:r>
                </w:p>
              </w:tc>
              <w:tc>
                <w:tcPr>
                  <w:tcW w:w="1505" w:type="pct"/>
                  <w:tcBorders>
                    <w:top w:val="single" w:sz="6" w:space="0" w:color="BFBFBF"/>
                    <w:bottom w:val="single" w:sz="6" w:space="0" w:color="BFBFBF"/>
                  </w:tcBorders>
                  <w:shd w:val="clear" w:color="auto" w:fill="auto"/>
                  <w:tcMar>
                    <w:top w:w="28" w:type="dxa"/>
                  </w:tcMar>
                </w:tcPr>
                <w:p w14:paraId="6619D10C" w14:textId="77777777" w:rsidR="00DE1537" w:rsidRPr="00FB13D0" w:rsidRDefault="00DE1537" w:rsidP="00343F3E">
                  <w:pPr>
                    <w:pStyle w:val="TableColumnHeading"/>
                    <w:ind w:right="28"/>
                  </w:pPr>
                  <w:r>
                    <w:t>Commission’s funding model</w:t>
                  </w:r>
                </w:p>
              </w:tc>
            </w:tr>
            <w:tr w:rsidR="00DE1537" w14:paraId="4CD1DD06" w14:textId="77777777" w:rsidTr="00343F3E">
              <w:tc>
                <w:tcPr>
                  <w:tcW w:w="1323" w:type="pct"/>
                </w:tcPr>
                <w:p w14:paraId="47C1B8FD" w14:textId="77777777" w:rsidR="00DE1537" w:rsidRDefault="00DE1537" w:rsidP="00343F3E">
                  <w:pPr>
                    <w:pStyle w:val="TableBodyText"/>
                    <w:spacing w:before="40"/>
                    <w:jc w:val="left"/>
                  </w:pPr>
                  <w:r>
                    <w:t>Total contribution</w:t>
                  </w:r>
                </w:p>
              </w:tc>
              <w:tc>
                <w:tcPr>
                  <w:tcW w:w="919" w:type="pct"/>
                </w:tcPr>
                <w:p w14:paraId="6DE2984D" w14:textId="77777777" w:rsidR="00DE1537" w:rsidRDefault="00DE1537" w:rsidP="00343F3E">
                  <w:pPr>
                    <w:pStyle w:val="TableBodyText"/>
                    <w:spacing w:before="40"/>
                  </w:pPr>
                  <w:r>
                    <w:t>$b</w:t>
                  </w:r>
                </w:p>
              </w:tc>
              <w:tc>
                <w:tcPr>
                  <w:tcW w:w="1253" w:type="pct"/>
                </w:tcPr>
                <w:p w14:paraId="28F9AC5F" w14:textId="77777777" w:rsidR="00DE1537" w:rsidRDefault="00DE1537" w:rsidP="00343F3E">
                  <w:pPr>
                    <w:pStyle w:val="TableBodyText"/>
                    <w:spacing w:before="40"/>
                  </w:pPr>
                  <w:r>
                    <w:t>10.1</w:t>
                  </w:r>
                </w:p>
              </w:tc>
              <w:tc>
                <w:tcPr>
                  <w:tcW w:w="1505" w:type="pct"/>
                </w:tcPr>
                <w:p w14:paraId="0D568FA8" w14:textId="77777777" w:rsidR="00DE1537" w:rsidRDefault="00DE1537" w:rsidP="00343F3E">
                  <w:pPr>
                    <w:pStyle w:val="TableBodyText"/>
                    <w:spacing w:before="40"/>
                    <w:ind w:right="28"/>
                  </w:pPr>
                  <w:r>
                    <w:t xml:space="preserve">5.6 </w:t>
                  </w:r>
                </w:p>
              </w:tc>
            </w:tr>
            <w:tr w:rsidR="00DE1537" w14:paraId="42076D79" w14:textId="77777777" w:rsidTr="00343F3E">
              <w:tc>
                <w:tcPr>
                  <w:tcW w:w="1323" w:type="pct"/>
                  <w:shd w:val="clear" w:color="auto" w:fill="auto"/>
                </w:tcPr>
                <w:p w14:paraId="2A19037A" w14:textId="77777777" w:rsidR="00DE1537" w:rsidRDefault="00DE1537" w:rsidP="00343F3E">
                  <w:pPr>
                    <w:pStyle w:val="TableBodyText"/>
                    <w:jc w:val="left"/>
                  </w:pPr>
                  <w:r>
                    <w:t>Total share</w:t>
                  </w:r>
                </w:p>
              </w:tc>
              <w:tc>
                <w:tcPr>
                  <w:tcW w:w="919" w:type="pct"/>
                </w:tcPr>
                <w:p w14:paraId="1CA72010" w14:textId="77777777" w:rsidR="00DE1537" w:rsidRDefault="00DE1537" w:rsidP="00343F3E">
                  <w:pPr>
                    <w:pStyle w:val="TableBodyText"/>
                  </w:pPr>
                  <w:r>
                    <w:t>%</w:t>
                  </w:r>
                </w:p>
              </w:tc>
              <w:tc>
                <w:tcPr>
                  <w:tcW w:w="1253" w:type="pct"/>
                  <w:shd w:val="clear" w:color="auto" w:fill="auto"/>
                </w:tcPr>
                <w:p w14:paraId="5285B6E4" w14:textId="77777777" w:rsidR="00DE1537" w:rsidRDefault="00DE1537" w:rsidP="00343F3E">
                  <w:pPr>
                    <w:pStyle w:val="TableBodyText"/>
                  </w:pPr>
                  <w:r>
                    <w:t>63</w:t>
                  </w:r>
                </w:p>
              </w:tc>
              <w:tc>
                <w:tcPr>
                  <w:tcW w:w="1505" w:type="pct"/>
                  <w:shd w:val="clear" w:color="auto" w:fill="auto"/>
                </w:tcPr>
                <w:p w14:paraId="6EC621B1" w14:textId="77777777" w:rsidR="00DE1537" w:rsidRDefault="00DE1537" w:rsidP="00343F3E">
                  <w:pPr>
                    <w:pStyle w:val="TableBodyText"/>
                    <w:ind w:right="28"/>
                  </w:pPr>
                  <w:r>
                    <w:t>35</w:t>
                  </w:r>
                </w:p>
              </w:tc>
            </w:tr>
            <w:tr w:rsidR="00DE1537" w14:paraId="06C1704F" w14:textId="77777777" w:rsidTr="00343F3E">
              <w:tc>
                <w:tcPr>
                  <w:tcW w:w="1323" w:type="pct"/>
                  <w:shd w:val="clear" w:color="auto" w:fill="auto"/>
                </w:tcPr>
                <w:p w14:paraId="31FFA3A2" w14:textId="77777777" w:rsidR="00DE1537" w:rsidRDefault="00DE1537" w:rsidP="00343F3E">
                  <w:pPr>
                    <w:pStyle w:val="TableBodyText"/>
                    <w:jc w:val="left"/>
                  </w:pPr>
                  <w:r>
                    <w:t>Minimum annual share</w:t>
                  </w:r>
                </w:p>
              </w:tc>
              <w:tc>
                <w:tcPr>
                  <w:tcW w:w="919" w:type="pct"/>
                </w:tcPr>
                <w:p w14:paraId="37354E2D" w14:textId="77777777" w:rsidR="00DE1537" w:rsidRDefault="00DE1537" w:rsidP="00343F3E">
                  <w:pPr>
                    <w:pStyle w:val="TableBodyText"/>
                  </w:pPr>
                  <w:r>
                    <w:t>%</w:t>
                  </w:r>
                </w:p>
              </w:tc>
              <w:tc>
                <w:tcPr>
                  <w:tcW w:w="1253" w:type="pct"/>
                  <w:shd w:val="clear" w:color="auto" w:fill="auto"/>
                </w:tcPr>
                <w:p w14:paraId="1304E366" w14:textId="77777777" w:rsidR="00DE1537" w:rsidRDefault="00DE1537" w:rsidP="00343F3E">
                  <w:pPr>
                    <w:pStyle w:val="TableBodyText"/>
                  </w:pPr>
                  <w:r>
                    <w:t>28</w:t>
                  </w:r>
                </w:p>
              </w:tc>
              <w:tc>
                <w:tcPr>
                  <w:tcW w:w="1505" w:type="pct"/>
                  <w:shd w:val="clear" w:color="auto" w:fill="auto"/>
                </w:tcPr>
                <w:p w14:paraId="3D948BBC" w14:textId="77777777" w:rsidR="00DE1537" w:rsidRDefault="00DE1537" w:rsidP="00343F3E">
                  <w:pPr>
                    <w:pStyle w:val="TableBodyText"/>
                    <w:ind w:right="28"/>
                  </w:pPr>
                  <w:r>
                    <w:t>5</w:t>
                  </w:r>
                </w:p>
              </w:tc>
            </w:tr>
            <w:tr w:rsidR="00DE1537" w14:paraId="7E07427D" w14:textId="77777777" w:rsidTr="00343F3E">
              <w:tc>
                <w:tcPr>
                  <w:tcW w:w="1323" w:type="pct"/>
                  <w:shd w:val="clear" w:color="auto" w:fill="auto"/>
                </w:tcPr>
                <w:p w14:paraId="45FE4557" w14:textId="77777777" w:rsidR="00DE1537" w:rsidRDefault="00DE1537" w:rsidP="00343F3E">
                  <w:pPr>
                    <w:pStyle w:val="TableBodyText"/>
                    <w:jc w:val="left"/>
                  </w:pPr>
                  <w:r>
                    <w:t>Maximum annual share</w:t>
                  </w:r>
                </w:p>
              </w:tc>
              <w:tc>
                <w:tcPr>
                  <w:tcW w:w="919" w:type="pct"/>
                </w:tcPr>
                <w:p w14:paraId="46B6EEC0" w14:textId="77777777" w:rsidR="00DE1537" w:rsidRDefault="00DE1537" w:rsidP="00343F3E">
                  <w:pPr>
                    <w:pStyle w:val="TableBodyText"/>
                  </w:pPr>
                  <w:r>
                    <w:t>%</w:t>
                  </w:r>
                </w:p>
              </w:tc>
              <w:tc>
                <w:tcPr>
                  <w:tcW w:w="1253" w:type="pct"/>
                  <w:shd w:val="clear" w:color="auto" w:fill="auto"/>
                </w:tcPr>
                <w:p w14:paraId="72F214E9" w14:textId="77777777" w:rsidR="00DE1537" w:rsidRDefault="00DE1537" w:rsidP="00343F3E">
                  <w:pPr>
                    <w:pStyle w:val="TableBodyText"/>
                  </w:pPr>
                  <w:r>
                    <w:t>67</w:t>
                  </w:r>
                </w:p>
              </w:tc>
              <w:tc>
                <w:tcPr>
                  <w:tcW w:w="1505" w:type="pct"/>
                  <w:shd w:val="clear" w:color="auto" w:fill="auto"/>
                </w:tcPr>
                <w:p w14:paraId="4C1934B1" w14:textId="77777777" w:rsidR="00DE1537" w:rsidRDefault="00DE1537" w:rsidP="00343F3E">
                  <w:pPr>
                    <w:pStyle w:val="TableBodyText"/>
                    <w:ind w:right="28"/>
                  </w:pPr>
                  <w:r>
                    <w:t>40</w:t>
                  </w:r>
                </w:p>
              </w:tc>
            </w:tr>
            <w:tr w:rsidR="00DE1537" w14:paraId="0A152449" w14:textId="77777777" w:rsidTr="00343F3E">
              <w:tc>
                <w:tcPr>
                  <w:tcW w:w="1323" w:type="pct"/>
                  <w:tcBorders>
                    <w:bottom w:val="single" w:sz="6" w:space="0" w:color="BFBFBF"/>
                  </w:tcBorders>
                  <w:shd w:val="clear" w:color="auto" w:fill="auto"/>
                </w:tcPr>
                <w:p w14:paraId="778EAD98" w14:textId="77777777" w:rsidR="00DE1537" w:rsidRDefault="00DE1537" w:rsidP="00343F3E">
                  <w:pPr>
                    <w:pStyle w:val="TableBodyText"/>
                    <w:jc w:val="left"/>
                  </w:pPr>
                  <w:r>
                    <w:t>Average annual share</w:t>
                  </w:r>
                </w:p>
              </w:tc>
              <w:tc>
                <w:tcPr>
                  <w:tcW w:w="919" w:type="pct"/>
                  <w:tcBorders>
                    <w:bottom w:val="single" w:sz="6" w:space="0" w:color="BFBFBF"/>
                  </w:tcBorders>
                </w:tcPr>
                <w:p w14:paraId="37A6878C" w14:textId="77777777" w:rsidR="00DE1537" w:rsidRDefault="00DE1537" w:rsidP="00343F3E">
                  <w:pPr>
                    <w:pStyle w:val="TableBodyText"/>
                  </w:pPr>
                  <w:r>
                    <w:t>%</w:t>
                  </w:r>
                </w:p>
              </w:tc>
              <w:tc>
                <w:tcPr>
                  <w:tcW w:w="1253" w:type="pct"/>
                  <w:tcBorders>
                    <w:bottom w:val="single" w:sz="6" w:space="0" w:color="BFBFBF"/>
                  </w:tcBorders>
                  <w:shd w:val="clear" w:color="auto" w:fill="auto"/>
                </w:tcPr>
                <w:p w14:paraId="0AAACBEC" w14:textId="77777777" w:rsidR="00DE1537" w:rsidRDefault="00DE1537" w:rsidP="00343F3E">
                  <w:pPr>
                    <w:pStyle w:val="TableBodyText"/>
                  </w:pPr>
                  <w:r>
                    <w:t>54</w:t>
                  </w:r>
                </w:p>
              </w:tc>
              <w:tc>
                <w:tcPr>
                  <w:tcW w:w="1505" w:type="pct"/>
                  <w:tcBorders>
                    <w:bottom w:val="single" w:sz="6" w:space="0" w:color="BFBFBF"/>
                  </w:tcBorders>
                  <w:shd w:val="clear" w:color="auto" w:fill="auto"/>
                </w:tcPr>
                <w:p w14:paraId="555DC9D7" w14:textId="77777777" w:rsidR="00DE1537" w:rsidRDefault="00DE1537" w:rsidP="00343F3E">
                  <w:pPr>
                    <w:pStyle w:val="TableBodyText"/>
                    <w:ind w:right="28"/>
                  </w:pPr>
                  <w:r>
                    <w:t>27</w:t>
                  </w:r>
                </w:p>
              </w:tc>
            </w:tr>
          </w:tbl>
          <w:p w14:paraId="681DBC90" w14:textId="77777777" w:rsidR="00DE1537" w:rsidRDefault="00DE1537" w:rsidP="00343F3E">
            <w:pPr>
              <w:pStyle w:val="Box"/>
            </w:pPr>
          </w:p>
        </w:tc>
      </w:tr>
      <w:tr w:rsidR="00DE1537" w14:paraId="7ADD27F2" w14:textId="77777777" w:rsidTr="00343F3E">
        <w:trPr>
          <w:cantSplit/>
        </w:trPr>
        <w:tc>
          <w:tcPr>
            <w:tcW w:w="8771" w:type="dxa"/>
            <w:tcBorders>
              <w:top w:val="nil"/>
              <w:left w:val="nil"/>
              <w:bottom w:val="nil"/>
              <w:right w:val="nil"/>
            </w:tcBorders>
            <w:shd w:val="clear" w:color="auto" w:fill="auto"/>
          </w:tcPr>
          <w:p w14:paraId="0F09826C" w14:textId="77777777" w:rsidR="00DE1537" w:rsidRDefault="00DE1537" w:rsidP="00343F3E">
            <w:pPr>
              <w:pStyle w:val="Note"/>
              <w:rPr>
                <w:i/>
              </w:rPr>
            </w:pPr>
            <w:proofErr w:type="gramStart"/>
            <w:r w:rsidRPr="008E77FE">
              <w:rPr>
                <w:rStyle w:val="NoteLabel"/>
              </w:rPr>
              <w:t>a</w:t>
            </w:r>
            <w:proofErr w:type="gramEnd"/>
            <w:r>
              <w:t xml:space="preserve"> Only some aspects of the Commission’s funding model were modelled.</w:t>
            </w:r>
          </w:p>
        </w:tc>
      </w:tr>
      <w:tr w:rsidR="00DE1537" w14:paraId="22AE8160" w14:textId="77777777" w:rsidTr="00343F3E">
        <w:trPr>
          <w:cantSplit/>
        </w:trPr>
        <w:tc>
          <w:tcPr>
            <w:tcW w:w="8771" w:type="dxa"/>
            <w:tcBorders>
              <w:top w:val="nil"/>
              <w:left w:val="nil"/>
              <w:bottom w:val="nil"/>
              <w:right w:val="nil"/>
            </w:tcBorders>
            <w:shd w:val="clear" w:color="auto" w:fill="auto"/>
          </w:tcPr>
          <w:p w14:paraId="11527065" w14:textId="77777777" w:rsidR="00DE1537" w:rsidRDefault="00DE1537" w:rsidP="00343F3E">
            <w:pPr>
              <w:pStyle w:val="Source"/>
            </w:pPr>
            <w:r>
              <w:rPr>
                <w:i/>
              </w:rPr>
              <w:t>Source</w:t>
            </w:r>
            <w:r w:rsidRPr="00167F06">
              <w:t>:</w:t>
            </w:r>
            <w:r>
              <w:t xml:space="preserve"> Productivity Commission estimates.</w:t>
            </w:r>
          </w:p>
        </w:tc>
      </w:tr>
      <w:tr w:rsidR="00DE1537" w14:paraId="49642AA2" w14:textId="77777777" w:rsidTr="00343F3E">
        <w:trPr>
          <w:cantSplit/>
        </w:trPr>
        <w:tc>
          <w:tcPr>
            <w:tcW w:w="8771" w:type="dxa"/>
            <w:tcBorders>
              <w:top w:val="nil"/>
              <w:left w:val="nil"/>
              <w:bottom w:val="single" w:sz="6" w:space="0" w:color="78A22F"/>
              <w:right w:val="nil"/>
            </w:tcBorders>
            <w:shd w:val="clear" w:color="auto" w:fill="auto"/>
          </w:tcPr>
          <w:p w14:paraId="1BA5F993" w14:textId="77777777" w:rsidR="00DE1537" w:rsidRDefault="00DE1537" w:rsidP="00343F3E">
            <w:pPr>
              <w:pStyle w:val="Box"/>
              <w:spacing w:before="0" w:line="120" w:lineRule="exact"/>
            </w:pPr>
          </w:p>
        </w:tc>
      </w:tr>
      <w:tr w:rsidR="00DE1537" w:rsidRPr="000863A5" w14:paraId="63754D30" w14:textId="77777777" w:rsidTr="00343F3E">
        <w:tc>
          <w:tcPr>
            <w:tcW w:w="8771" w:type="dxa"/>
            <w:tcBorders>
              <w:top w:val="single" w:sz="6" w:space="0" w:color="78A22F"/>
              <w:left w:val="nil"/>
              <w:bottom w:val="nil"/>
              <w:right w:val="nil"/>
            </w:tcBorders>
          </w:tcPr>
          <w:p w14:paraId="22C46577" w14:textId="77777777" w:rsidR="00DE1537" w:rsidRPr="00626D32" w:rsidRDefault="00DE1537" w:rsidP="00343F3E">
            <w:pPr>
              <w:pStyle w:val="BoxSpaceBelow"/>
            </w:pPr>
          </w:p>
        </w:tc>
      </w:tr>
    </w:tbl>
    <w:p w14:paraId="261F04CE" w14:textId="77777777" w:rsidR="00DE1537" w:rsidRDefault="00DE1537" w:rsidP="00343F3E">
      <w:pPr>
        <w:pStyle w:val="BodyText"/>
      </w:pPr>
      <w:r>
        <w:t>Sensitivity analysis was undertaken with different thresholds and cost-sharing rates applied to the Commission’s funding model (figure 7.4). The main result is that the share of costs borne by the Australian Government is sensitive to changes in the cost-sharing rate. On the other hand, sensitivity to changes in the state and territory revenue thresholds is relatively low.</w:t>
      </w:r>
    </w:p>
    <w:p w14:paraId="0F080890" w14:textId="77777777" w:rsidR="00DE1537" w:rsidRDefault="00DE1537" w:rsidP="00343F3E">
      <w:pPr>
        <w:pStyle w:val="BodyText"/>
      </w:pPr>
      <w:r>
        <w:t>In an additional scenario, the reimbursement rate was changed under current funding arrangements. The reimbursement rate for any expenditure that exceeds the second NDRRA threshold (1.75 times 0.225 per cent) was lowered from 75 per cent to 50 per cent. Holding all else constant, this reduced the total Australian Government NDRRA share under current arrangements for 2007</w:t>
      </w:r>
      <w:r>
        <w:noBreakHyphen/>
        <w:t>08 to 2013</w:t>
      </w:r>
      <w:r>
        <w:noBreakHyphen/>
        <w:t>14 by approximately 20 percentage points.</w:t>
      </w:r>
    </w:p>
    <w:p w14:paraId="423D38DB"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D25413F" w14:textId="77777777" w:rsidTr="00343F3E">
        <w:tc>
          <w:tcPr>
            <w:tcW w:w="8771" w:type="dxa"/>
            <w:tcBorders>
              <w:top w:val="single" w:sz="6" w:space="0" w:color="78A22F"/>
              <w:left w:val="nil"/>
              <w:bottom w:val="nil"/>
              <w:right w:val="nil"/>
            </w:tcBorders>
            <w:shd w:val="clear" w:color="auto" w:fill="auto"/>
          </w:tcPr>
          <w:p w14:paraId="41BAFA68" w14:textId="459D8678" w:rsidR="00DE1537" w:rsidRPr="00176D3F" w:rsidRDefault="00DE1537" w:rsidP="00343F3E">
            <w:pPr>
              <w:pStyle w:val="FigureTitle"/>
            </w:pPr>
            <w:r w:rsidRPr="00784A05">
              <w:rPr>
                <w:b w:val="0"/>
              </w:rPr>
              <w:t xml:space="preserve">Figure </w:t>
            </w:r>
            <w:r>
              <w:rPr>
                <w:b w:val="0"/>
              </w:rPr>
              <w:t>7.</w:t>
            </w:r>
            <w:r>
              <w:rPr>
                <w:b w:val="0"/>
                <w:noProof/>
              </w:rPr>
              <w:t>4</w:t>
            </w:r>
            <w:r>
              <w:tab/>
              <w:t>Australian Government NDRRA share under current arrangements and variants of the Commission’s funding model</w:t>
            </w:r>
            <w:r w:rsidRPr="00C60625">
              <w:rPr>
                <w:rStyle w:val="NoteLabel"/>
                <w:b/>
              </w:rPr>
              <w:t>a</w:t>
            </w:r>
          </w:p>
        </w:tc>
      </w:tr>
      <w:tr w:rsidR="00DE1537" w14:paraId="5361A5A9"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42C86443" w14:textId="77777777" w:rsidTr="00343F3E">
              <w:tc>
                <w:tcPr>
                  <w:tcW w:w="5000" w:type="pct"/>
                  <w:tcBorders>
                    <w:top w:val="nil"/>
                    <w:bottom w:val="nil"/>
                  </w:tcBorders>
                </w:tcPr>
                <w:p w14:paraId="5944E314" w14:textId="77777777" w:rsidR="00DE1537" w:rsidRDefault="00DE1537" w:rsidP="00343F3E">
                  <w:pPr>
                    <w:pStyle w:val="Figure"/>
                    <w:spacing w:before="60" w:after="60"/>
                  </w:pPr>
                  <w:r>
                    <w:rPr>
                      <w:noProof/>
                    </w:rPr>
                    <w:drawing>
                      <wp:inline distT="0" distB="0" distL="0" distR="0" wp14:anchorId="77B8F067" wp14:editId="0CEBA0F9">
                        <wp:extent cx="5398770" cy="2878455"/>
                        <wp:effectExtent l="0" t="0" r="0" b="0"/>
                        <wp:docPr id="130" name="Picture 130" descr="This figure shows the approximate Australian Government NDRRA share under current arrangements and variations of the Commission’s funding model. The time period is 2007-08 to 2013-14. The variations are 0.35 per cent and 0.5 per cent thresholds for reimbursement, 0.5 per cent threshold and 33 per cent cost sharing rate, and 0.5 per cent threshold and 25 per cent cost sharing rate. Australian Government NDRRA share is significantly lower in the Commission’s funding model relative to current arrangements. Lowering the cost sharing rate also significantly reduces the Australian Government NDRRA share." title="Australian Government NDRRA share under current arrangements and variations of the Commission’s funding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1CBB2AB2" w14:textId="77777777" w:rsidR="00DE1537" w:rsidRDefault="00DE1537" w:rsidP="00343F3E">
            <w:pPr>
              <w:pStyle w:val="Figure"/>
            </w:pPr>
          </w:p>
        </w:tc>
      </w:tr>
      <w:tr w:rsidR="00DE1537" w:rsidRPr="00176D3F" w14:paraId="4DFAE000" w14:textId="77777777" w:rsidTr="00343F3E">
        <w:tc>
          <w:tcPr>
            <w:tcW w:w="8771" w:type="dxa"/>
            <w:tcBorders>
              <w:top w:val="nil"/>
              <w:left w:val="nil"/>
              <w:bottom w:val="nil"/>
              <w:right w:val="nil"/>
            </w:tcBorders>
            <w:shd w:val="clear" w:color="auto" w:fill="auto"/>
          </w:tcPr>
          <w:p w14:paraId="641D2AAB" w14:textId="77777777" w:rsidR="00DE1537" w:rsidRDefault="00DE1537" w:rsidP="00343F3E">
            <w:pPr>
              <w:pStyle w:val="Note"/>
              <w:rPr>
                <w:i/>
              </w:rPr>
            </w:pPr>
            <w:proofErr w:type="gramStart"/>
            <w:r w:rsidRPr="003E1F17">
              <w:rPr>
                <w:rStyle w:val="NoteLabel"/>
              </w:rPr>
              <w:t>a</w:t>
            </w:r>
            <w:proofErr w:type="gramEnd"/>
            <w:r>
              <w:rPr>
                <w:rStyle w:val="NoteLabel"/>
              </w:rPr>
              <w:t xml:space="preserve"> </w:t>
            </w:r>
            <w:r>
              <w:t>Threshold refers to state and territory government revenue thresholds for Australian Government assistance.</w:t>
            </w:r>
          </w:p>
        </w:tc>
      </w:tr>
      <w:tr w:rsidR="00DE1537" w:rsidRPr="00176D3F" w14:paraId="694DB46E" w14:textId="77777777" w:rsidTr="00343F3E">
        <w:tc>
          <w:tcPr>
            <w:tcW w:w="8771" w:type="dxa"/>
            <w:tcBorders>
              <w:top w:val="nil"/>
              <w:left w:val="nil"/>
              <w:bottom w:val="nil"/>
              <w:right w:val="nil"/>
            </w:tcBorders>
            <w:shd w:val="clear" w:color="auto" w:fill="auto"/>
          </w:tcPr>
          <w:p w14:paraId="2C703FD6" w14:textId="77777777" w:rsidR="00DE1537" w:rsidRPr="00176D3F" w:rsidRDefault="00DE1537" w:rsidP="00343F3E">
            <w:pPr>
              <w:pStyle w:val="Source"/>
            </w:pPr>
            <w:r>
              <w:rPr>
                <w:i/>
              </w:rPr>
              <w:t>S</w:t>
            </w:r>
            <w:r w:rsidRPr="00784A05">
              <w:rPr>
                <w:i/>
              </w:rPr>
              <w:t>ource</w:t>
            </w:r>
            <w:r w:rsidRPr="00176D3F">
              <w:t xml:space="preserve">: </w:t>
            </w:r>
            <w:r>
              <w:t>Productivity Commission estimates.</w:t>
            </w:r>
          </w:p>
        </w:tc>
      </w:tr>
      <w:tr w:rsidR="00DE1537" w14:paraId="299C6506" w14:textId="77777777" w:rsidTr="00343F3E">
        <w:tc>
          <w:tcPr>
            <w:tcW w:w="8771" w:type="dxa"/>
            <w:tcBorders>
              <w:top w:val="nil"/>
              <w:left w:val="nil"/>
              <w:bottom w:val="single" w:sz="6" w:space="0" w:color="78A22F"/>
              <w:right w:val="nil"/>
            </w:tcBorders>
            <w:shd w:val="clear" w:color="auto" w:fill="auto"/>
          </w:tcPr>
          <w:p w14:paraId="650FC8EF" w14:textId="77777777" w:rsidR="00DE1537" w:rsidRDefault="00DE1537" w:rsidP="00343F3E">
            <w:pPr>
              <w:pStyle w:val="Figurespace"/>
            </w:pPr>
          </w:p>
        </w:tc>
      </w:tr>
      <w:tr w:rsidR="00DE1537" w:rsidRPr="000863A5" w14:paraId="72D24D8F" w14:textId="77777777" w:rsidTr="00343F3E">
        <w:tc>
          <w:tcPr>
            <w:tcW w:w="8771" w:type="dxa"/>
            <w:tcBorders>
              <w:top w:val="single" w:sz="6" w:space="0" w:color="78A22F"/>
              <w:left w:val="nil"/>
              <w:bottom w:val="nil"/>
              <w:right w:val="nil"/>
            </w:tcBorders>
          </w:tcPr>
          <w:p w14:paraId="6FDC55BE" w14:textId="77777777" w:rsidR="00DE1537" w:rsidRPr="00626D32" w:rsidRDefault="00DE1537" w:rsidP="00343F3E">
            <w:pPr>
              <w:pStyle w:val="BoxSpaceBelow"/>
            </w:pPr>
          </w:p>
        </w:tc>
      </w:tr>
    </w:tbl>
    <w:p w14:paraId="08F66A9A" w14:textId="77777777" w:rsidR="00DE1537" w:rsidRPr="00AB7CA5" w:rsidRDefault="00DE1537" w:rsidP="00343F3E">
      <w:pPr>
        <w:pStyle w:val="BodyText"/>
      </w:pPr>
      <w:r w:rsidRPr="00AB7CA5">
        <w:t>The conclusion from this assessment is that the Commission’s funding model is likely to significantly reduce natural disaster costs for the Australian Government.</w:t>
      </w:r>
    </w:p>
    <w:p w14:paraId="70644EF7" w14:textId="77777777" w:rsidR="00DE1537" w:rsidRDefault="00DE1537" w:rsidP="00343F3E">
      <w:pPr>
        <w:pStyle w:val="ListBullet"/>
      </w:pPr>
      <w:r>
        <w:t>Changing the cost</w:t>
      </w:r>
      <w:r>
        <w:noBreakHyphen/>
        <w:t>sharing rate plays a large part in reducing the costs.</w:t>
      </w:r>
    </w:p>
    <w:p w14:paraId="53363C56" w14:textId="77777777" w:rsidR="00DE1537" w:rsidRDefault="00DE1537" w:rsidP="00343F3E">
      <w:pPr>
        <w:pStyle w:val="ListBullet"/>
      </w:pPr>
      <w:r>
        <w:t>The reduction in costs reported here is probably an overestimate of the long</w:t>
      </w:r>
      <w:r>
        <w:noBreakHyphen/>
        <w:t>term average because of the many costly natural disasters experienced over the past five years.</w:t>
      </w:r>
    </w:p>
    <w:p w14:paraId="62B58A94" w14:textId="77777777" w:rsidR="00DE1537" w:rsidRDefault="00DE1537" w:rsidP="00343F3E">
      <w:pPr>
        <w:pStyle w:val="BodyText"/>
      </w:pPr>
      <w:r>
        <w:t>An implicit assumption in the above projections is that recovery</w:t>
      </w:r>
      <w:r w:rsidRPr="00CE6549">
        <w:t xml:space="preserve"> </w:t>
      </w:r>
      <w:r>
        <w:t>expenditure that is no longer eligible for reimbursement by the Australian Government under the Commission’s funding model is entirely picked up by state and territory governments. In other words, total recovery</w:t>
      </w:r>
      <w:r w:rsidRPr="00CE6549">
        <w:t xml:space="preserve"> </w:t>
      </w:r>
      <w:r>
        <w:t>expenditure does not change under the Commission’s funding model; only the distribution of expenditure changes where the Australian Government spends less and state and territory governments spend more.</w:t>
      </w:r>
    </w:p>
    <w:p w14:paraId="699239B6" w14:textId="77777777" w:rsidR="00DE1537" w:rsidRDefault="00DE1537" w:rsidP="00343F3E">
      <w:pPr>
        <w:pStyle w:val="BodyText"/>
      </w:pPr>
      <w:r>
        <w:t>However, an objective of reform is to improve incentives to manage natural disaster risk. If these funding reforms are successful and additional government mitigation expenditure is provided, it is reasonable to assume that over time some components of post</w:t>
      </w:r>
      <w:r>
        <w:noBreakHyphen/>
        <w:t xml:space="preserve">disaster government expenditure will </w:t>
      </w:r>
      <w:r w:rsidRPr="00BA2609">
        <w:t>decrease</w:t>
      </w:r>
      <w:r>
        <w:t xml:space="preserve"> or cease altogether</w:t>
      </w:r>
      <w:r w:rsidRPr="00BA2609">
        <w:t xml:space="preserve">. </w:t>
      </w:r>
      <w:r>
        <w:t>Examples include</w:t>
      </w:r>
      <w:r w:rsidRPr="00BA2609">
        <w:t xml:space="preserve"> </w:t>
      </w:r>
      <w:r>
        <w:t>rebuilding marginal public assets or</w:t>
      </w:r>
      <w:r w:rsidRPr="00BA2609">
        <w:t xml:space="preserve"> </w:t>
      </w:r>
      <w:r>
        <w:t>government activities that may undermine private</w:t>
      </w:r>
      <w:r>
        <w:noBreakHyphen/>
        <w:t>sector risk management, such as cleaning up debris on private property.</w:t>
      </w:r>
    </w:p>
    <w:p w14:paraId="29BCF52D" w14:textId="77777777" w:rsidR="00DE1537" w:rsidRDefault="00DE1537" w:rsidP="00343F3E">
      <w:pPr>
        <w:pStyle w:val="BodyText"/>
      </w:pPr>
      <w:r>
        <w:lastRenderedPageBreak/>
        <w:t xml:space="preserve">Sensitivity analysis was done where state and territory </w:t>
      </w:r>
      <w:proofErr w:type="gramStart"/>
      <w:r>
        <w:t>governments</w:t>
      </w:r>
      <w:proofErr w:type="gramEnd"/>
      <w:r>
        <w:t xml:space="preserve"> stop undertaking all ineligible recovery</w:t>
      </w:r>
      <w:r w:rsidRPr="00CE6549">
        <w:t xml:space="preserve"> </w:t>
      </w:r>
      <w:r>
        <w:t xml:space="preserve">expenditure </w:t>
      </w:r>
      <w:r w:rsidRPr="002E00E2">
        <w:t xml:space="preserve">under </w:t>
      </w:r>
      <w:r>
        <w:t>the Commission’s funding model — post</w:t>
      </w:r>
      <w:r>
        <w:noBreakHyphen/>
        <w:t>disaster expenditure is effectively reduced</w:t>
      </w:r>
      <w:r w:rsidRPr="002E00E2">
        <w:t xml:space="preserve">. </w:t>
      </w:r>
      <w:r>
        <w:t xml:space="preserve">The results show a negligible difference between the two versions of the Commission’s funding model (figure 7.5). This indicates that the excluded categories (discussed above) are a small component of total recovery costs. </w:t>
      </w:r>
    </w:p>
    <w:p w14:paraId="5116951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95A8393" w14:textId="77777777" w:rsidTr="00343F3E">
        <w:tc>
          <w:tcPr>
            <w:tcW w:w="8771" w:type="dxa"/>
            <w:tcBorders>
              <w:top w:val="single" w:sz="6" w:space="0" w:color="78A22F"/>
              <w:left w:val="nil"/>
              <w:bottom w:val="nil"/>
              <w:right w:val="nil"/>
            </w:tcBorders>
            <w:shd w:val="clear" w:color="auto" w:fill="auto"/>
          </w:tcPr>
          <w:p w14:paraId="6A617F38" w14:textId="412A8489" w:rsidR="00DE1537" w:rsidRPr="00176D3F" w:rsidRDefault="00DE1537" w:rsidP="00343F3E">
            <w:pPr>
              <w:pStyle w:val="FigureTitle"/>
            </w:pPr>
            <w:r w:rsidRPr="00784A05">
              <w:rPr>
                <w:b w:val="0"/>
              </w:rPr>
              <w:t xml:space="preserve">Figure </w:t>
            </w:r>
            <w:r>
              <w:rPr>
                <w:b w:val="0"/>
              </w:rPr>
              <w:t>7.</w:t>
            </w:r>
            <w:r>
              <w:rPr>
                <w:b w:val="0"/>
                <w:noProof/>
              </w:rPr>
              <w:t>5</w:t>
            </w:r>
            <w:r>
              <w:tab/>
              <w:t>A variation of the Commission’s funding model — ineligible recovery expenditure is no longer incurred by state and territory governments</w:t>
            </w:r>
          </w:p>
        </w:tc>
      </w:tr>
      <w:tr w:rsidR="00DE1537" w14:paraId="57F9B570"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CDB6997" w14:textId="77777777" w:rsidTr="00343F3E">
              <w:tc>
                <w:tcPr>
                  <w:tcW w:w="5000" w:type="pct"/>
                  <w:tcBorders>
                    <w:top w:val="nil"/>
                    <w:bottom w:val="nil"/>
                  </w:tcBorders>
                </w:tcPr>
                <w:p w14:paraId="60767E62" w14:textId="77777777" w:rsidR="00DE1537" w:rsidRDefault="00DE1537" w:rsidP="00343F3E">
                  <w:pPr>
                    <w:pStyle w:val="Figure"/>
                    <w:spacing w:before="60" w:after="60"/>
                  </w:pPr>
                  <w:r>
                    <w:rPr>
                      <w:noProof/>
                    </w:rPr>
                    <w:drawing>
                      <wp:inline distT="0" distB="0" distL="0" distR="0" wp14:anchorId="468B262E" wp14:editId="6344959D">
                        <wp:extent cx="5398770" cy="2878455"/>
                        <wp:effectExtent l="0" t="0" r="0" b="0"/>
                        <wp:docPr id="131" name="Picture 131" descr="This figure shows a variation of the Commission’s funding model where ineligible NDRRA expenditure is no longer incurred, and its impact on state and territory government share of NDRRA. The time period is 2007-08 to 2013-14. The reduction in NDRRA share is very small relative to the Commission’s funding model (where ineligible expenditure is still incurred)." title="A variation of the Commission’s funding model — ineligible recovery expenditure is no longer incurred by state and territory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486EA696" w14:textId="77777777" w:rsidR="00DE1537" w:rsidRDefault="00DE1537" w:rsidP="00343F3E">
            <w:pPr>
              <w:pStyle w:val="Figure"/>
            </w:pPr>
          </w:p>
        </w:tc>
      </w:tr>
      <w:tr w:rsidR="00DE1537" w:rsidRPr="00176D3F" w14:paraId="543C3CBB" w14:textId="77777777" w:rsidTr="00343F3E">
        <w:tc>
          <w:tcPr>
            <w:tcW w:w="8771" w:type="dxa"/>
            <w:tcBorders>
              <w:top w:val="nil"/>
              <w:left w:val="nil"/>
              <w:bottom w:val="nil"/>
              <w:right w:val="nil"/>
            </w:tcBorders>
            <w:shd w:val="clear" w:color="auto" w:fill="auto"/>
          </w:tcPr>
          <w:p w14:paraId="21B26793" w14:textId="77777777" w:rsidR="00DE1537" w:rsidRPr="00176D3F" w:rsidRDefault="00DE1537" w:rsidP="00343F3E">
            <w:pPr>
              <w:pStyle w:val="Source"/>
              <w:rPr>
                <w:i/>
              </w:rPr>
            </w:pPr>
            <w:r>
              <w:rPr>
                <w:i/>
              </w:rPr>
              <w:t>S</w:t>
            </w:r>
            <w:r w:rsidRPr="00784A05">
              <w:rPr>
                <w:i/>
              </w:rPr>
              <w:t>ource</w:t>
            </w:r>
            <w:r w:rsidRPr="00176D3F">
              <w:t>:</w:t>
            </w:r>
            <w:r>
              <w:t xml:space="preserve"> Productivity Commission estimates.</w:t>
            </w:r>
          </w:p>
        </w:tc>
      </w:tr>
      <w:tr w:rsidR="00DE1537" w14:paraId="6AC8902F" w14:textId="77777777" w:rsidTr="00343F3E">
        <w:tc>
          <w:tcPr>
            <w:tcW w:w="8771" w:type="dxa"/>
            <w:tcBorders>
              <w:top w:val="nil"/>
              <w:left w:val="nil"/>
              <w:bottom w:val="single" w:sz="6" w:space="0" w:color="78A22F"/>
              <w:right w:val="nil"/>
            </w:tcBorders>
            <w:shd w:val="clear" w:color="auto" w:fill="auto"/>
          </w:tcPr>
          <w:p w14:paraId="25F2B2F8" w14:textId="77777777" w:rsidR="00DE1537" w:rsidRDefault="00DE1537" w:rsidP="00343F3E">
            <w:pPr>
              <w:pStyle w:val="Figurespace"/>
            </w:pPr>
          </w:p>
        </w:tc>
      </w:tr>
      <w:tr w:rsidR="00DE1537" w:rsidRPr="000863A5" w14:paraId="42ED5A02" w14:textId="77777777" w:rsidTr="00343F3E">
        <w:tc>
          <w:tcPr>
            <w:tcW w:w="8771" w:type="dxa"/>
            <w:tcBorders>
              <w:top w:val="single" w:sz="6" w:space="0" w:color="78A22F"/>
              <w:left w:val="nil"/>
              <w:bottom w:val="nil"/>
              <w:right w:val="nil"/>
            </w:tcBorders>
          </w:tcPr>
          <w:p w14:paraId="2B504ED7" w14:textId="77777777" w:rsidR="00DE1537" w:rsidRPr="00626D32" w:rsidRDefault="00DE1537" w:rsidP="00343F3E">
            <w:pPr>
              <w:pStyle w:val="BoxSpaceBelow"/>
            </w:pPr>
          </w:p>
        </w:tc>
      </w:tr>
    </w:tbl>
    <w:p w14:paraId="26A2D8A4" w14:textId="77777777" w:rsidR="00DE1537" w:rsidRPr="00046046" w:rsidRDefault="00DE1537" w:rsidP="00343F3E">
      <w:pPr>
        <w:pStyle w:val="Heading3"/>
      </w:pPr>
      <w:r w:rsidRPr="00046046">
        <w:t>Fiscal impact on state and territory governments</w:t>
      </w:r>
    </w:p>
    <w:p w14:paraId="505DE438" w14:textId="77777777" w:rsidR="00DE1537" w:rsidRDefault="00DE1537" w:rsidP="00343F3E">
      <w:pPr>
        <w:pStyle w:val="BodyText"/>
      </w:pPr>
      <w:r>
        <w:t>Under the</w:t>
      </w:r>
      <w:r w:rsidRPr="006422E9">
        <w:t xml:space="preserve"> </w:t>
      </w:r>
      <w:r>
        <w:t xml:space="preserve">Commission’s funding model, </w:t>
      </w:r>
      <w:r w:rsidRPr="006422E9">
        <w:t>state</w:t>
      </w:r>
      <w:r>
        <w:t xml:space="preserve"> and territory governments will have to</w:t>
      </w:r>
      <w:r w:rsidRPr="006422E9">
        <w:t xml:space="preserve"> bear a higher proportion of natural disaster recovery costs</w:t>
      </w:r>
      <w:r>
        <w:t>. This is chiefly driven by the reduction in the cost-sharing rate from 75 per cent to 50 per cent and to a lesser extent by other changes such as the increase in the threshold for Australian Government assistance and the small disaster criterion.</w:t>
      </w:r>
    </w:p>
    <w:p w14:paraId="3D090D9D" w14:textId="77777777" w:rsidR="00DE1537" w:rsidRPr="006422E9" w:rsidRDefault="00DE1537" w:rsidP="00343F3E">
      <w:pPr>
        <w:pStyle w:val="BodyText"/>
      </w:pPr>
      <w:r>
        <w:t xml:space="preserve">A number of state governments undertook their own fiscal analysis and submitted that they would have faced a greater burden of disaster recovery expenditure under the Commission’s funding model. </w:t>
      </w:r>
      <w:proofErr w:type="gramStart"/>
      <w:r>
        <w:t xml:space="preserve">For example, </w:t>
      </w:r>
      <w:r w:rsidRPr="006422E9">
        <w:t>the Queensland Government (sub.</w:t>
      </w:r>
      <w:proofErr w:type="gramEnd"/>
      <w:r>
        <w:t> </w:t>
      </w:r>
      <w:r w:rsidRPr="006422E9">
        <w:t>DR184)</w:t>
      </w:r>
      <w:r>
        <w:t xml:space="preserve"> </w:t>
      </w:r>
      <w:r w:rsidRPr="006422E9">
        <w:t>estimated that the reforms would have had a</w:t>
      </w:r>
      <w:r>
        <w:t xml:space="preserve"> fiscal</w:t>
      </w:r>
      <w:r w:rsidRPr="006422E9">
        <w:t xml:space="preserve"> impact of almost $3 billion from 2010</w:t>
      </w:r>
      <w:r>
        <w:noBreakHyphen/>
      </w:r>
      <w:r w:rsidRPr="006422E9">
        <w:t>11 to 2013</w:t>
      </w:r>
      <w:r>
        <w:noBreakHyphen/>
      </w:r>
      <w:r w:rsidRPr="006422E9">
        <w:t xml:space="preserve">14; most of this ($2.7 billion) driven by the reduction in the </w:t>
      </w:r>
      <w:r>
        <w:t xml:space="preserve">cost-sharing </w:t>
      </w:r>
      <w:r>
        <w:lastRenderedPageBreak/>
        <w:t>rate</w:t>
      </w:r>
      <w:r w:rsidRPr="006422E9">
        <w:t xml:space="preserve"> from 75 per cent to 50 per cent.</w:t>
      </w:r>
      <w:r>
        <w:rPr>
          <w:rStyle w:val="FootnoteReference"/>
        </w:rPr>
        <w:footnoteReference w:id="25"/>
      </w:r>
      <w:r>
        <w:t xml:space="preserve"> </w:t>
      </w:r>
      <w:proofErr w:type="gramStart"/>
      <w:r w:rsidRPr="006422E9">
        <w:t xml:space="preserve">In another example, the Victorian Government </w:t>
      </w:r>
      <w:r>
        <w:t>(sub.</w:t>
      </w:r>
      <w:proofErr w:type="gramEnd"/>
      <w:r>
        <w:t xml:space="preserve"> DR215, p. 6) </w:t>
      </w:r>
      <w:r w:rsidRPr="006422E9">
        <w:t>stated that:</w:t>
      </w:r>
      <w:r>
        <w:rPr>
          <w:rStyle w:val="FootnoteReference"/>
        </w:rPr>
        <w:footnoteReference w:id="26"/>
      </w:r>
    </w:p>
    <w:p w14:paraId="1F5C0EA3" w14:textId="77777777" w:rsidR="00DE1537" w:rsidRDefault="00DE1537" w:rsidP="00343F3E">
      <w:pPr>
        <w:pStyle w:val="Quote"/>
      </w:pPr>
      <w:r>
        <w:t>Under the Commission’s proposed changes, Victoria would have been required to bear an additional $850 million of expenditure in recovery from 2008</w:t>
      </w:r>
      <w:r>
        <w:noBreakHyphen/>
        <w:t>09 to 2013</w:t>
      </w:r>
      <w:r>
        <w:noBreakHyphen/>
        <w:t>14, which equates to 0.34 per cent of State revenue for that period.</w:t>
      </w:r>
    </w:p>
    <w:p w14:paraId="29AA4B73" w14:textId="77777777" w:rsidR="00DE1537" w:rsidRDefault="00DE1537" w:rsidP="00343F3E">
      <w:pPr>
        <w:pStyle w:val="BodyText"/>
      </w:pPr>
      <w:r>
        <w:t>The fiscal impact of the Commission’s funding model will vary across states and territories. The Commission’s historical analysis showed that, had its funding model been implemented in 2007</w:t>
      </w:r>
      <w:r>
        <w:noBreakHyphen/>
        <w:t>08, Queensland would have had to bear the most additional recovery costs — over $3 billion dollars (figure 7.6). It would have been followed by New South Wales and Victoria, with total extra recovery costs of under $600 million each.</w:t>
      </w:r>
      <w:r>
        <w:rPr>
          <w:rStyle w:val="FootnoteReference"/>
        </w:rPr>
        <w:footnoteReference w:id="27"/>
      </w:r>
      <w:r>
        <w:t xml:space="preserve"> In contrast, the additional fiscal costs in other jurisdictions are negligible. </w:t>
      </w:r>
    </w:p>
    <w:p w14:paraId="051D322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2B05D3A" w14:textId="77777777" w:rsidTr="00343F3E">
        <w:tc>
          <w:tcPr>
            <w:tcW w:w="8771" w:type="dxa"/>
            <w:tcBorders>
              <w:top w:val="single" w:sz="6" w:space="0" w:color="78A22F"/>
              <w:left w:val="nil"/>
              <w:bottom w:val="nil"/>
              <w:right w:val="nil"/>
            </w:tcBorders>
            <w:shd w:val="clear" w:color="auto" w:fill="auto"/>
          </w:tcPr>
          <w:p w14:paraId="4C19BE8F" w14:textId="61F66394" w:rsidR="00DE1537" w:rsidRPr="000C0FC3" w:rsidRDefault="00DE1537" w:rsidP="00343F3E">
            <w:pPr>
              <w:pStyle w:val="FigureTitle"/>
            </w:pPr>
            <w:r w:rsidRPr="00784A05">
              <w:rPr>
                <w:b w:val="0"/>
              </w:rPr>
              <w:t xml:space="preserve">Figure </w:t>
            </w:r>
            <w:r>
              <w:rPr>
                <w:b w:val="0"/>
              </w:rPr>
              <w:t>7.</w:t>
            </w:r>
            <w:r>
              <w:rPr>
                <w:b w:val="0"/>
                <w:noProof/>
              </w:rPr>
              <w:t>6</w:t>
            </w:r>
            <w:r>
              <w:tab/>
              <w:t>Additional costs to state and territory governments under the Commission’s funding model, 2007-08 to 2013-14</w:t>
            </w:r>
          </w:p>
        </w:tc>
      </w:tr>
      <w:tr w:rsidR="00DE1537" w14:paraId="353D64A0" w14:textId="77777777" w:rsidTr="00343F3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E1537" w14:paraId="640EF7F3" w14:textId="77777777" w:rsidTr="00343F3E">
              <w:trPr>
                <w:jc w:val="center"/>
              </w:trPr>
              <w:tc>
                <w:tcPr>
                  <w:tcW w:w="5000" w:type="pct"/>
                  <w:tcBorders>
                    <w:top w:val="nil"/>
                    <w:bottom w:val="nil"/>
                  </w:tcBorders>
                </w:tcPr>
                <w:p w14:paraId="12F5356B" w14:textId="77777777" w:rsidR="00DE1537" w:rsidRDefault="00DE1537" w:rsidP="00343F3E">
                  <w:pPr>
                    <w:pStyle w:val="Figure"/>
                    <w:spacing w:before="60" w:after="60"/>
                  </w:pPr>
                  <w:r>
                    <w:rPr>
                      <w:noProof/>
                    </w:rPr>
                    <w:drawing>
                      <wp:inline distT="0" distB="0" distL="0" distR="0" wp14:anchorId="592C9F3F" wp14:editId="1FE60D5A">
                        <wp:extent cx="5400040" cy="2872740"/>
                        <wp:effectExtent l="0" t="0" r="0" b="3810"/>
                        <wp:docPr id="132" name="Picture 132" descr="This figure shows the additional costs to state and territory governments under the Commission’s funding model. The time period is 2007-08 to 2013-14. Had the Commission’s funding model been implemented in 2007 08, Queensland would have had to bear the most additional recovery costs. It would have been followed by New South Wales and Victoria." title="Additional costs to state and territory governments under the Commission’s funding model, 2007-08 to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2D4B1A51" w14:textId="77777777" w:rsidR="00DE1537" w:rsidRDefault="00DE1537" w:rsidP="00343F3E">
            <w:pPr>
              <w:pStyle w:val="Figure"/>
            </w:pPr>
          </w:p>
        </w:tc>
      </w:tr>
      <w:tr w:rsidR="00DE1537" w:rsidRPr="00176D3F" w14:paraId="2AE360CB" w14:textId="77777777" w:rsidTr="00343F3E">
        <w:trPr>
          <w:trHeight w:val="258"/>
        </w:trPr>
        <w:tc>
          <w:tcPr>
            <w:tcW w:w="8771" w:type="dxa"/>
            <w:tcBorders>
              <w:top w:val="nil"/>
              <w:left w:val="nil"/>
              <w:bottom w:val="nil"/>
              <w:right w:val="nil"/>
            </w:tcBorders>
            <w:shd w:val="clear" w:color="auto" w:fill="auto"/>
          </w:tcPr>
          <w:p w14:paraId="0F4A27BE" w14:textId="77777777" w:rsidR="00DE1537" w:rsidRPr="00FB2CA1" w:rsidRDefault="00DE1537" w:rsidP="00343F3E">
            <w:pPr>
              <w:pStyle w:val="Reference"/>
              <w:rPr>
                <w:rFonts w:cs="Arial"/>
              </w:rPr>
            </w:pPr>
            <w:r w:rsidRPr="00FB2CA1">
              <w:rPr>
                <w:rFonts w:ascii="Arial" w:hAnsi="Arial" w:cs="Arial"/>
                <w:i/>
                <w:sz w:val="18"/>
              </w:rPr>
              <w:t>Source</w:t>
            </w:r>
            <w:r w:rsidRPr="00FB2CA1">
              <w:rPr>
                <w:rFonts w:ascii="Arial" w:hAnsi="Arial" w:cs="Arial"/>
                <w:sz w:val="18"/>
              </w:rPr>
              <w:t xml:space="preserve">: Productivity Commission estimates. </w:t>
            </w:r>
          </w:p>
        </w:tc>
      </w:tr>
      <w:tr w:rsidR="00DE1537" w14:paraId="0C890AD2" w14:textId="77777777" w:rsidTr="00343F3E">
        <w:tc>
          <w:tcPr>
            <w:tcW w:w="8771" w:type="dxa"/>
            <w:tcBorders>
              <w:top w:val="nil"/>
              <w:left w:val="nil"/>
              <w:bottom w:val="single" w:sz="6" w:space="0" w:color="78A22F"/>
              <w:right w:val="nil"/>
            </w:tcBorders>
            <w:shd w:val="clear" w:color="auto" w:fill="auto"/>
          </w:tcPr>
          <w:p w14:paraId="70050B22" w14:textId="77777777" w:rsidR="00DE1537" w:rsidRPr="00FB2CA1" w:rsidRDefault="00DE1537" w:rsidP="00343F3E">
            <w:pPr>
              <w:pStyle w:val="Figurespace"/>
              <w:rPr>
                <w:rFonts w:cs="Arial"/>
                <w:sz w:val="18"/>
              </w:rPr>
            </w:pPr>
          </w:p>
        </w:tc>
      </w:tr>
      <w:tr w:rsidR="00DE1537" w:rsidRPr="000863A5" w14:paraId="020E6FD4" w14:textId="77777777" w:rsidTr="00343F3E">
        <w:tc>
          <w:tcPr>
            <w:tcW w:w="8771" w:type="dxa"/>
            <w:tcBorders>
              <w:top w:val="single" w:sz="6" w:space="0" w:color="78A22F"/>
              <w:left w:val="nil"/>
              <w:bottom w:val="nil"/>
              <w:right w:val="nil"/>
            </w:tcBorders>
          </w:tcPr>
          <w:p w14:paraId="0070CA53" w14:textId="77777777" w:rsidR="00DE1537" w:rsidRPr="00626D32" w:rsidRDefault="00DE1537" w:rsidP="00343F3E">
            <w:pPr>
              <w:pStyle w:val="BoxSpaceBelow"/>
            </w:pPr>
          </w:p>
        </w:tc>
      </w:tr>
    </w:tbl>
    <w:p w14:paraId="7EE4C8CB" w14:textId="77777777" w:rsidR="00DE1537" w:rsidRDefault="00DE1537" w:rsidP="00343F3E">
      <w:pPr>
        <w:pStyle w:val="BodyText"/>
      </w:pPr>
      <w:r>
        <w:t xml:space="preserve">The costs of natural disaster relief (or recovery) (net of Australian Government reimbursement) are shared among all jurisdictions through the process of horizontal fiscal </w:t>
      </w:r>
      <w:r>
        <w:lastRenderedPageBreak/>
        <w:t>equalisation — effectively a second round of cost sharing (chapter 2 and supplementary paper 1). Above</w:t>
      </w:r>
      <w:r>
        <w:noBreakHyphen/>
        <w:t>average spending on disaster relief in one jurisdiction, for example Queensland, is partly funded by a reduction in other jurisdictions’ GST shares.</w:t>
      </w:r>
    </w:p>
    <w:p w14:paraId="29F8029A" w14:textId="77777777" w:rsidR="00DE1537" w:rsidRDefault="00DE1537" w:rsidP="00343F3E">
      <w:pPr>
        <w:pStyle w:val="BodyText"/>
      </w:pPr>
      <w:r>
        <w:t>The additional fiscal impact of the Commission’s funding model on state and territory governments is small when compared to statewide metrics such as total government revenue and gross state product. For example, total (initial) additional cost in the past seven years would have been approximately:</w:t>
      </w:r>
    </w:p>
    <w:p w14:paraId="2A8899D9" w14:textId="77777777" w:rsidR="00DE1537" w:rsidRDefault="00DE1537" w:rsidP="00343F3E">
      <w:pPr>
        <w:pStyle w:val="ListBullet"/>
      </w:pPr>
      <w:r>
        <w:t>$3.3 billion in Queensland. This represents 1.2 per cent of total government revenue over the period. As an annual average of around $470 million, this represents 0.2 per cent of gross state product for the financial year 2012</w:t>
      </w:r>
      <w:r>
        <w:noBreakHyphen/>
        <w:t>13</w:t>
      </w:r>
    </w:p>
    <w:p w14:paraId="5582F3BF" w14:textId="77777777" w:rsidR="00DE1537" w:rsidRDefault="00DE1537" w:rsidP="00343F3E">
      <w:pPr>
        <w:pStyle w:val="ListBullet"/>
      </w:pPr>
      <w:r>
        <w:t>$590 million in New South Wales. This represents 0.1 per cent of total government revenue over the period. As an annual average of around $85 million, this represents 0.02 per cent of gross state product for the financial year 2012</w:t>
      </w:r>
      <w:r>
        <w:noBreakHyphen/>
        <w:t>13.</w:t>
      </w:r>
    </w:p>
    <w:p w14:paraId="1BCDBF08" w14:textId="77777777" w:rsidR="00DE1537" w:rsidRDefault="00DE1537" w:rsidP="00343F3E">
      <w:pPr>
        <w:pStyle w:val="Heading3"/>
      </w:pPr>
      <w:r>
        <w:t>Projecting fiscal costs under the Commission’s funding model</w:t>
      </w:r>
    </w:p>
    <w:p w14:paraId="3F2644D0" w14:textId="77777777" w:rsidR="00DE1537" w:rsidRDefault="00DE1537" w:rsidP="00343F3E">
      <w:pPr>
        <w:pStyle w:val="BodyText"/>
      </w:pPr>
      <w:r>
        <w:t>It is not possible to project the medium</w:t>
      </w:r>
      <w:r>
        <w:noBreakHyphen/>
        <w:t xml:space="preserve"> and long</w:t>
      </w:r>
      <w:r>
        <w:noBreakHyphen/>
        <w:t>term fiscal costs of natural disasters under the Commission’s funding model using the approach in section 7.4. The following approach is used instead.</w:t>
      </w:r>
    </w:p>
    <w:p w14:paraId="3A2AAE2A" w14:textId="77777777" w:rsidR="00DE1537" w:rsidRDefault="00DE1537" w:rsidP="00DE1537">
      <w:pPr>
        <w:pStyle w:val="ListNumber"/>
        <w:numPr>
          <w:ilvl w:val="0"/>
          <w:numId w:val="20"/>
        </w:numPr>
      </w:pPr>
      <w:r>
        <w:t>Total Australian Government NDRRA expenditure was estimated for the period</w:t>
      </w:r>
      <w:r>
        <w:br/>
        <w:t>2007</w:t>
      </w:r>
      <w:r>
        <w:noBreakHyphen/>
        <w:t>08 to 2013</w:t>
      </w:r>
      <w:r>
        <w:noBreakHyphen/>
        <w:t>14 under current arrangements — $10.1 billion.</w:t>
      </w:r>
    </w:p>
    <w:p w14:paraId="1268497E" w14:textId="77777777" w:rsidR="00DE1537" w:rsidRDefault="00DE1537" w:rsidP="00343F3E">
      <w:pPr>
        <w:pStyle w:val="ListNumber"/>
      </w:pPr>
      <w:r>
        <w:t>Total Australian Government recovery expenditure was estimated for the period</w:t>
      </w:r>
      <w:r>
        <w:br/>
        <w:t>2007</w:t>
      </w:r>
      <w:r>
        <w:noBreakHyphen/>
        <w:t>08 to 2013</w:t>
      </w:r>
      <w:r>
        <w:noBreakHyphen/>
        <w:t>14 under the Commission’s funding model — $5.6 billion.</w:t>
      </w:r>
    </w:p>
    <w:p w14:paraId="45D81E25" w14:textId="77777777" w:rsidR="00DE1537" w:rsidRPr="00B95069" w:rsidRDefault="00DE1537" w:rsidP="00343F3E">
      <w:pPr>
        <w:pStyle w:val="ListNumber"/>
      </w:pPr>
      <w:r>
        <w:rPr>
          <w:szCs w:val="24"/>
        </w:rPr>
        <w:t xml:space="preserve">The ratio of expenditure in (2) to expenditure in (1) was calculated — 0.55. </w:t>
      </w:r>
    </w:p>
    <w:p w14:paraId="0F095433" w14:textId="77777777" w:rsidR="00DE1537" w:rsidRDefault="00DE1537" w:rsidP="00343F3E">
      <w:pPr>
        <w:pStyle w:val="ListNumber"/>
      </w:pPr>
      <w:r>
        <w:t>This ratio was applied to the medium</w:t>
      </w:r>
      <w:r>
        <w:noBreakHyphen/>
        <w:t xml:space="preserve"> and long</w:t>
      </w:r>
      <w:r>
        <w:noBreakHyphen/>
        <w:t>term projections of fiscal costs under current arrangements.</w:t>
      </w:r>
      <w:r w:rsidRPr="00181401">
        <w:rPr>
          <w:rStyle w:val="FootnoteReference"/>
        </w:rPr>
        <w:footnoteReference w:id="28"/>
      </w:r>
    </w:p>
    <w:p w14:paraId="73EFEB6F" w14:textId="77777777" w:rsidR="00DE1537" w:rsidRDefault="00DE1537">
      <w:pPr>
        <w:pStyle w:val="BodyText"/>
      </w:pPr>
      <w:r>
        <w:t>Fiscal cost projections under the Commission’s funding model are reported in table 7.7 and figure 7.7.</w:t>
      </w:r>
    </w:p>
    <w:p w14:paraId="56280965" w14:textId="77777777" w:rsidR="00DE1537" w:rsidRDefault="00DE1537" w:rsidP="00343F3E">
      <w:pPr>
        <w:pStyle w:val="ListBullet"/>
      </w:pPr>
      <w:r>
        <w:t>In the medium term (2018), average nominal fiscal costs could be in the range of zero to $2.2 billion.</w:t>
      </w:r>
    </w:p>
    <w:p w14:paraId="58FD3C22" w14:textId="77777777" w:rsidR="00DE1537" w:rsidRDefault="00DE1537" w:rsidP="00343F3E">
      <w:pPr>
        <w:pStyle w:val="ListBullet"/>
      </w:pPr>
      <w:r>
        <w:t>In the long term (2023), average nominal fiscal costs could be in the range of zero to $2.4 billion.</w:t>
      </w:r>
    </w:p>
    <w:p w14:paraId="05F8D965"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DE1537" w14:paraId="63F334A8" w14:textId="77777777" w:rsidTr="00343F3E">
        <w:tc>
          <w:tcPr>
            <w:tcW w:w="8771" w:type="dxa"/>
            <w:tcBorders>
              <w:top w:val="single" w:sz="6" w:space="0" w:color="78A22F"/>
              <w:left w:val="nil"/>
              <w:bottom w:val="nil"/>
              <w:right w:val="nil"/>
            </w:tcBorders>
            <w:shd w:val="clear" w:color="auto" w:fill="auto"/>
          </w:tcPr>
          <w:p w14:paraId="36B8A087" w14:textId="68B5A396" w:rsidR="00DE1537" w:rsidRPr="00784A05" w:rsidRDefault="00DE1537" w:rsidP="00343F3E">
            <w:pPr>
              <w:pStyle w:val="TableTitle"/>
            </w:pPr>
            <w:r>
              <w:rPr>
                <w:b w:val="0"/>
              </w:rPr>
              <w:t>Table 7.</w:t>
            </w:r>
            <w:r>
              <w:rPr>
                <w:b w:val="0"/>
                <w:noProof/>
              </w:rPr>
              <w:t>7</w:t>
            </w:r>
            <w:r>
              <w:tab/>
              <w:t>Projections of fiscal costs under the Commission’s funding model</w:t>
            </w:r>
            <w:r w:rsidRPr="00762B7B">
              <w:rPr>
                <w:rStyle w:val="NoteLabel"/>
                <w:b/>
              </w:rPr>
              <w:t>a</w:t>
            </w:r>
          </w:p>
        </w:tc>
      </w:tr>
      <w:tr w:rsidR="00DE1537" w14:paraId="6DDBB240" w14:textId="77777777" w:rsidTr="00343F3E">
        <w:trPr>
          <w:cantSplit/>
        </w:trPr>
        <w:tc>
          <w:tcPr>
            <w:tcW w:w="8771"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3551"/>
              <w:gridCol w:w="1701"/>
              <w:gridCol w:w="1701"/>
              <w:gridCol w:w="1559"/>
            </w:tblGrid>
            <w:tr w:rsidR="00DE1537" w14:paraId="7AC5F974" w14:textId="77777777" w:rsidTr="00343F3E">
              <w:tc>
                <w:tcPr>
                  <w:tcW w:w="2086" w:type="pct"/>
                  <w:tcBorders>
                    <w:top w:val="single" w:sz="6" w:space="0" w:color="BFBFBF"/>
                    <w:bottom w:val="single" w:sz="6" w:space="0" w:color="BFBFBF"/>
                  </w:tcBorders>
                  <w:shd w:val="clear" w:color="auto" w:fill="auto"/>
                  <w:tcMar>
                    <w:top w:w="28" w:type="dxa"/>
                  </w:tcMar>
                </w:tcPr>
                <w:p w14:paraId="0437F42A" w14:textId="77777777" w:rsidR="00DE1537" w:rsidRPr="00FB13D0" w:rsidRDefault="00DE1537" w:rsidP="00343F3E">
                  <w:pPr>
                    <w:pStyle w:val="TableColumnHeading"/>
                  </w:pPr>
                </w:p>
              </w:tc>
              <w:tc>
                <w:tcPr>
                  <w:tcW w:w="999" w:type="pct"/>
                  <w:tcBorders>
                    <w:top w:val="single" w:sz="6" w:space="0" w:color="BFBFBF"/>
                    <w:bottom w:val="single" w:sz="6" w:space="0" w:color="BFBFBF"/>
                  </w:tcBorders>
                </w:tcPr>
                <w:p w14:paraId="719EAEA5" w14:textId="77777777" w:rsidR="00DE1537" w:rsidRPr="00FB13D0" w:rsidRDefault="00DE1537" w:rsidP="00343F3E">
                  <w:pPr>
                    <w:pStyle w:val="TableColumnHeading"/>
                  </w:pPr>
                  <w:r w:rsidRPr="00FB13D0">
                    <w:t>Low estimate</w:t>
                  </w:r>
                </w:p>
              </w:tc>
              <w:tc>
                <w:tcPr>
                  <w:tcW w:w="999" w:type="pct"/>
                  <w:tcBorders>
                    <w:top w:val="single" w:sz="6" w:space="0" w:color="BFBFBF"/>
                    <w:bottom w:val="single" w:sz="6" w:space="0" w:color="BFBFBF"/>
                  </w:tcBorders>
                </w:tcPr>
                <w:p w14:paraId="6F9EE367" w14:textId="77777777" w:rsidR="00DE1537" w:rsidRPr="00FB13D0" w:rsidRDefault="00DE1537" w:rsidP="00343F3E">
                  <w:pPr>
                    <w:pStyle w:val="TableColumnHeading"/>
                  </w:pPr>
                  <w:r w:rsidRPr="00FB13D0">
                    <w:t>Central estimate</w:t>
                  </w:r>
                </w:p>
              </w:tc>
              <w:tc>
                <w:tcPr>
                  <w:tcW w:w="916" w:type="pct"/>
                  <w:tcBorders>
                    <w:top w:val="single" w:sz="6" w:space="0" w:color="BFBFBF"/>
                    <w:bottom w:val="single" w:sz="6" w:space="0" w:color="BFBFBF"/>
                  </w:tcBorders>
                </w:tcPr>
                <w:p w14:paraId="3D86E32D" w14:textId="77777777" w:rsidR="00DE1537" w:rsidRPr="00FB13D0" w:rsidRDefault="00DE1537" w:rsidP="00343F3E">
                  <w:pPr>
                    <w:pStyle w:val="TableColumnHeading"/>
                    <w:ind w:right="28"/>
                  </w:pPr>
                  <w:r w:rsidRPr="00FB13D0">
                    <w:t>High estimate</w:t>
                  </w:r>
                </w:p>
              </w:tc>
            </w:tr>
            <w:tr w:rsidR="00DE1537" w14:paraId="78A77993" w14:textId="77777777" w:rsidTr="00343F3E">
              <w:tc>
                <w:tcPr>
                  <w:tcW w:w="2086" w:type="pct"/>
                  <w:tcBorders>
                    <w:top w:val="single" w:sz="6" w:space="0" w:color="BFBFBF"/>
                  </w:tcBorders>
                </w:tcPr>
                <w:p w14:paraId="17FFDB9E" w14:textId="77777777" w:rsidR="00DE1537" w:rsidRDefault="00DE1537" w:rsidP="00343F3E">
                  <w:pPr>
                    <w:pStyle w:val="TableUnitsRow"/>
                    <w:jc w:val="left"/>
                  </w:pPr>
                </w:p>
              </w:tc>
              <w:tc>
                <w:tcPr>
                  <w:tcW w:w="999" w:type="pct"/>
                  <w:tcBorders>
                    <w:top w:val="single" w:sz="6" w:space="0" w:color="BFBFBF"/>
                  </w:tcBorders>
                </w:tcPr>
                <w:p w14:paraId="4D98F545" w14:textId="77777777" w:rsidR="00DE1537" w:rsidRPr="000745FC" w:rsidRDefault="00DE1537" w:rsidP="00343F3E">
                  <w:pPr>
                    <w:pStyle w:val="TableUnitsRow"/>
                  </w:pPr>
                  <w:r w:rsidRPr="000745FC">
                    <w:t>$b</w:t>
                  </w:r>
                </w:p>
              </w:tc>
              <w:tc>
                <w:tcPr>
                  <w:tcW w:w="999" w:type="pct"/>
                  <w:tcBorders>
                    <w:top w:val="single" w:sz="6" w:space="0" w:color="BFBFBF"/>
                  </w:tcBorders>
                </w:tcPr>
                <w:p w14:paraId="00062CBD" w14:textId="77777777" w:rsidR="00DE1537" w:rsidRPr="000745FC" w:rsidRDefault="00DE1537" w:rsidP="00343F3E">
                  <w:pPr>
                    <w:pStyle w:val="TableUnitsRow"/>
                  </w:pPr>
                  <w:r w:rsidRPr="000745FC">
                    <w:t>$b</w:t>
                  </w:r>
                </w:p>
              </w:tc>
              <w:tc>
                <w:tcPr>
                  <w:tcW w:w="916" w:type="pct"/>
                  <w:tcBorders>
                    <w:top w:val="single" w:sz="6" w:space="0" w:color="BFBFBF"/>
                  </w:tcBorders>
                </w:tcPr>
                <w:p w14:paraId="07EF0BE1" w14:textId="77777777" w:rsidR="00DE1537" w:rsidRPr="000745FC" w:rsidRDefault="00DE1537" w:rsidP="00343F3E">
                  <w:pPr>
                    <w:pStyle w:val="TableUnitsRow"/>
                    <w:ind w:right="28"/>
                  </w:pPr>
                  <w:r w:rsidRPr="000745FC">
                    <w:t>$b</w:t>
                  </w:r>
                </w:p>
              </w:tc>
            </w:tr>
            <w:tr w:rsidR="00DE1537" w14:paraId="7BCD80B0" w14:textId="77777777" w:rsidTr="00343F3E">
              <w:tc>
                <w:tcPr>
                  <w:tcW w:w="2086" w:type="pct"/>
                </w:tcPr>
                <w:p w14:paraId="4BEFE4CC" w14:textId="77777777" w:rsidR="00DE1537" w:rsidRDefault="00DE1537" w:rsidP="00343F3E">
                  <w:pPr>
                    <w:pStyle w:val="TableBodyText"/>
                    <w:jc w:val="left"/>
                  </w:pPr>
                  <w:r>
                    <w:t>Standard deviation of fiscal costs</w:t>
                  </w:r>
                </w:p>
              </w:tc>
              <w:tc>
                <w:tcPr>
                  <w:tcW w:w="999" w:type="pct"/>
                </w:tcPr>
                <w:p w14:paraId="4D29390E" w14:textId="77777777" w:rsidR="00DE1537" w:rsidRPr="00E7362E" w:rsidRDefault="00DE1537" w:rsidP="00343F3E">
                  <w:pPr>
                    <w:pStyle w:val="TableBodyText"/>
                  </w:pPr>
                  <w:r w:rsidRPr="00E7362E">
                    <w:t>1.4</w:t>
                  </w:r>
                </w:p>
              </w:tc>
              <w:tc>
                <w:tcPr>
                  <w:tcW w:w="999" w:type="pct"/>
                </w:tcPr>
                <w:p w14:paraId="417EAAD9" w14:textId="77777777" w:rsidR="00DE1537" w:rsidRPr="00E7362E" w:rsidRDefault="00DE1537" w:rsidP="00343F3E">
                  <w:pPr>
                    <w:pStyle w:val="TableBodyText"/>
                  </w:pPr>
                  <w:r w:rsidRPr="00E7362E">
                    <w:t>1.4</w:t>
                  </w:r>
                </w:p>
              </w:tc>
              <w:tc>
                <w:tcPr>
                  <w:tcW w:w="916" w:type="pct"/>
                </w:tcPr>
                <w:p w14:paraId="336D1BBA" w14:textId="77777777" w:rsidR="00DE1537" w:rsidRPr="00E7362E" w:rsidRDefault="00DE1537" w:rsidP="00343F3E">
                  <w:pPr>
                    <w:pStyle w:val="TableBodyText"/>
                    <w:ind w:right="28"/>
                  </w:pPr>
                  <w:r w:rsidRPr="00E7362E">
                    <w:t>1.4</w:t>
                  </w:r>
                </w:p>
              </w:tc>
            </w:tr>
            <w:tr w:rsidR="00DE1537" w14:paraId="2D55BF0D" w14:textId="77777777" w:rsidTr="00343F3E">
              <w:tc>
                <w:tcPr>
                  <w:tcW w:w="2086" w:type="pct"/>
                </w:tcPr>
                <w:p w14:paraId="15CEE324" w14:textId="77777777" w:rsidR="00DE1537" w:rsidRDefault="00DE1537" w:rsidP="00343F3E">
                  <w:pPr>
                    <w:pStyle w:val="TableBodyText"/>
                    <w:jc w:val="left"/>
                  </w:pPr>
                  <w:r>
                    <w:t>Medium term (2018)</w:t>
                  </w:r>
                </w:p>
              </w:tc>
              <w:tc>
                <w:tcPr>
                  <w:tcW w:w="999" w:type="pct"/>
                </w:tcPr>
                <w:p w14:paraId="3CEC91A7" w14:textId="77777777" w:rsidR="00DE1537" w:rsidRPr="001C29AB" w:rsidRDefault="00DE1537" w:rsidP="00343F3E">
                  <w:pPr>
                    <w:pStyle w:val="TableBodyText"/>
                  </w:pPr>
                  <w:r>
                    <w:t>–</w:t>
                  </w:r>
                </w:p>
              </w:tc>
              <w:tc>
                <w:tcPr>
                  <w:tcW w:w="999" w:type="pct"/>
                </w:tcPr>
                <w:p w14:paraId="5A9C88A3" w14:textId="77777777" w:rsidR="00DE1537" w:rsidRPr="00E7362E" w:rsidRDefault="00DE1537" w:rsidP="00343F3E">
                  <w:pPr>
                    <w:pStyle w:val="TableBodyText"/>
                  </w:pPr>
                  <w:r w:rsidRPr="00E7362E">
                    <w:t>0.8</w:t>
                  </w:r>
                </w:p>
              </w:tc>
              <w:tc>
                <w:tcPr>
                  <w:tcW w:w="916" w:type="pct"/>
                </w:tcPr>
                <w:p w14:paraId="4232AE4E" w14:textId="77777777" w:rsidR="00DE1537" w:rsidRPr="00E7362E" w:rsidRDefault="00DE1537" w:rsidP="00343F3E">
                  <w:pPr>
                    <w:pStyle w:val="TableBodyText"/>
                    <w:ind w:right="28"/>
                  </w:pPr>
                  <w:r w:rsidRPr="00E7362E">
                    <w:t>2.2</w:t>
                  </w:r>
                </w:p>
              </w:tc>
            </w:tr>
            <w:tr w:rsidR="00DE1537" w14:paraId="1C77FF12" w14:textId="77777777" w:rsidTr="00343F3E">
              <w:tc>
                <w:tcPr>
                  <w:tcW w:w="2086" w:type="pct"/>
                  <w:tcBorders>
                    <w:bottom w:val="single" w:sz="6" w:space="0" w:color="BFBFBF"/>
                  </w:tcBorders>
                </w:tcPr>
                <w:p w14:paraId="4D8F31F5" w14:textId="77777777" w:rsidR="00DE1537" w:rsidRDefault="00DE1537" w:rsidP="00343F3E">
                  <w:pPr>
                    <w:pStyle w:val="TableBodyText"/>
                    <w:jc w:val="left"/>
                  </w:pPr>
                  <w:r>
                    <w:t>Long term (2023)</w:t>
                  </w:r>
                </w:p>
              </w:tc>
              <w:tc>
                <w:tcPr>
                  <w:tcW w:w="999" w:type="pct"/>
                  <w:tcBorders>
                    <w:bottom w:val="single" w:sz="6" w:space="0" w:color="BFBFBF"/>
                  </w:tcBorders>
                </w:tcPr>
                <w:p w14:paraId="097C74D9" w14:textId="77777777" w:rsidR="00DE1537" w:rsidRPr="001C29AB" w:rsidRDefault="00DE1537" w:rsidP="00343F3E">
                  <w:pPr>
                    <w:pStyle w:val="TableBodyText"/>
                  </w:pPr>
                  <w:r>
                    <w:t>–</w:t>
                  </w:r>
                </w:p>
              </w:tc>
              <w:tc>
                <w:tcPr>
                  <w:tcW w:w="999" w:type="pct"/>
                  <w:tcBorders>
                    <w:bottom w:val="single" w:sz="6" w:space="0" w:color="BFBFBF"/>
                  </w:tcBorders>
                </w:tcPr>
                <w:p w14:paraId="069B7171" w14:textId="77777777" w:rsidR="00DE1537" w:rsidRPr="00E7362E" w:rsidRDefault="00DE1537" w:rsidP="00343F3E">
                  <w:pPr>
                    <w:pStyle w:val="TableBodyText"/>
                  </w:pPr>
                  <w:r w:rsidRPr="00E7362E">
                    <w:t>1.0</w:t>
                  </w:r>
                </w:p>
              </w:tc>
              <w:tc>
                <w:tcPr>
                  <w:tcW w:w="916" w:type="pct"/>
                  <w:tcBorders>
                    <w:bottom w:val="single" w:sz="6" w:space="0" w:color="BFBFBF"/>
                  </w:tcBorders>
                </w:tcPr>
                <w:p w14:paraId="145BAFE7" w14:textId="77777777" w:rsidR="00DE1537" w:rsidRPr="00E7362E" w:rsidRDefault="00DE1537" w:rsidP="00343F3E">
                  <w:pPr>
                    <w:pStyle w:val="TableBodyText"/>
                    <w:ind w:right="28"/>
                  </w:pPr>
                  <w:r w:rsidRPr="00E7362E">
                    <w:t>2.4</w:t>
                  </w:r>
                </w:p>
              </w:tc>
            </w:tr>
          </w:tbl>
          <w:p w14:paraId="42811A53" w14:textId="77777777" w:rsidR="00DE1537" w:rsidRDefault="00DE1537" w:rsidP="00343F3E">
            <w:pPr>
              <w:pStyle w:val="Box"/>
            </w:pPr>
          </w:p>
        </w:tc>
      </w:tr>
      <w:tr w:rsidR="00DE1537" w14:paraId="09E5E785" w14:textId="77777777" w:rsidTr="00343F3E">
        <w:trPr>
          <w:cantSplit/>
        </w:trPr>
        <w:tc>
          <w:tcPr>
            <w:tcW w:w="8771" w:type="dxa"/>
            <w:tcBorders>
              <w:top w:val="nil"/>
              <w:left w:val="nil"/>
              <w:bottom w:val="nil"/>
              <w:right w:val="nil"/>
            </w:tcBorders>
            <w:shd w:val="clear" w:color="auto" w:fill="auto"/>
          </w:tcPr>
          <w:p w14:paraId="205221C3" w14:textId="77777777" w:rsidR="00DE1537" w:rsidRDefault="00DE1537" w:rsidP="00343F3E">
            <w:pPr>
              <w:pStyle w:val="Note"/>
              <w:rPr>
                <w:i/>
              </w:rPr>
            </w:pPr>
            <w:r w:rsidRPr="008E77FE">
              <w:rPr>
                <w:rStyle w:val="NoteLabel"/>
              </w:rPr>
              <w:t>a</w:t>
            </w:r>
            <w:r>
              <w:t xml:space="preserve"> The low estimate is one standard deviation below the central estimate (truncated at zero) and the high estimate is one standard deviation above the central estimate. This standard deviation is constructed as the standard deviation in nominal fiscal costs over the period 2002</w:t>
            </w:r>
            <w:r>
              <w:noBreakHyphen/>
              <w:t>03 to 2014</w:t>
            </w:r>
            <w:r>
              <w:noBreakHyphen/>
              <w:t xml:space="preserve">15. </w:t>
            </w:r>
            <w:r w:rsidRPr="00371CBD">
              <w:rPr>
                <w:b/>
              </w:rPr>
              <w:t>–</w:t>
            </w:r>
            <w:r>
              <w:t xml:space="preserve"> Nil or rounded to zero.</w:t>
            </w:r>
          </w:p>
        </w:tc>
      </w:tr>
      <w:tr w:rsidR="00DE1537" w14:paraId="2A6E9D19" w14:textId="77777777" w:rsidTr="00343F3E">
        <w:trPr>
          <w:cantSplit/>
        </w:trPr>
        <w:tc>
          <w:tcPr>
            <w:tcW w:w="8771" w:type="dxa"/>
            <w:tcBorders>
              <w:top w:val="nil"/>
              <w:left w:val="nil"/>
              <w:bottom w:val="nil"/>
              <w:right w:val="nil"/>
            </w:tcBorders>
            <w:shd w:val="clear" w:color="auto" w:fill="auto"/>
          </w:tcPr>
          <w:p w14:paraId="53EF9D33" w14:textId="77777777" w:rsidR="00DE1537" w:rsidRDefault="00DE1537" w:rsidP="00343F3E">
            <w:pPr>
              <w:pStyle w:val="Source"/>
              <w:rPr>
                <w:i/>
              </w:rPr>
            </w:pPr>
            <w:r>
              <w:rPr>
                <w:i/>
              </w:rPr>
              <w:t>Source</w:t>
            </w:r>
            <w:r w:rsidRPr="00167F06">
              <w:t xml:space="preserve">: </w:t>
            </w:r>
            <w:r>
              <w:t>Productivity Commission estimates.</w:t>
            </w:r>
          </w:p>
        </w:tc>
      </w:tr>
      <w:tr w:rsidR="00DE1537" w14:paraId="01732FFA" w14:textId="77777777" w:rsidTr="00343F3E">
        <w:trPr>
          <w:cantSplit/>
        </w:trPr>
        <w:tc>
          <w:tcPr>
            <w:tcW w:w="8771" w:type="dxa"/>
            <w:tcBorders>
              <w:top w:val="nil"/>
              <w:left w:val="nil"/>
              <w:bottom w:val="single" w:sz="6" w:space="0" w:color="78A22F"/>
              <w:right w:val="nil"/>
            </w:tcBorders>
            <w:shd w:val="clear" w:color="auto" w:fill="auto"/>
          </w:tcPr>
          <w:p w14:paraId="708D8D50" w14:textId="77777777" w:rsidR="00DE1537" w:rsidRDefault="00DE1537" w:rsidP="00343F3E">
            <w:pPr>
              <w:pStyle w:val="Box"/>
              <w:spacing w:before="0" w:line="120" w:lineRule="exact"/>
            </w:pPr>
          </w:p>
        </w:tc>
      </w:tr>
      <w:tr w:rsidR="00DE1537" w:rsidRPr="000863A5" w14:paraId="29FE7D52" w14:textId="77777777" w:rsidTr="00343F3E">
        <w:tc>
          <w:tcPr>
            <w:tcW w:w="8771" w:type="dxa"/>
            <w:tcBorders>
              <w:top w:val="single" w:sz="6" w:space="0" w:color="78A22F"/>
              <w:left w:val="nil"/>
              <w:bottom w:val="nil"/>
              <w:right w:val="nil"/>
            </w:tcBorders>
          </w:tcPr>
          <w:p w14:paraId="3B042B50" w14:textId="77777777" w:rsidR="00DE1537" w:rsidRPr="00626D32" w:rsidRDefault="00DE1537" w:rsidP="00343F3E">
            <w:pPr>
              <w:pStyle w:val="BoxSpaceBelow"/>
            </w:pPr>
          </w:p>
        </w:tc>
      </w:tr>
    </w:tbl>
    <w:p w14:paraId="231A8F4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BB1B9D8" w14:textId="77777777" w:rsidTr="00343F3E">
        <w:tc>
          <w:tcPr>
            <w:tcW w:w="8771" w:type="dxa"/>
            <w:tcBorders>
              <w:top w:val="single" w:sz="6" w:space="0" w:color="78A22F"/>
              <w:left w:val="nil"/>
              <w:bottom w:val="nil"/>
              <w:right w:val="nil"/>
            </w:tcBorders>
            <w:shd w:val="clear" w:color="auto" w:fill="auto"/>
          </w:tcPr>
          <w:p w14:paraId="4CF669A2" w14:textId="2EBE0406" w:rsidR="00DE1537" w:rsidRDefault="00DE1537" w:rsidP="00343F3E">
            <w:pPr>
              <w:pStyle w:val="FigureTitle"/>
            </w:pPr>
            <w:r w:rsidRPr="00784A05">
              <w:rPr>
                <w:b w:val="0"/>
              </w:rPr>
              <w:t xml:space="preserve">Figure </w:t>
            </w:r>
            <w:r>
              <w:rPr>
                <w:b w:val="0"/>
              </w:rPr>
              <w:t>7.</w:t>
            </w:r>
            <w:r>
              <w:rPr>
                <w:b w:val="0"/>
                <w:noProof/>
              </w:rPr>
              <w:t>7</w:t>
            </w:r>
            <w:r>
              <w:tab/>
              <w:t>Projected nominal fiscal costs under the Commission’s funding model</w:t>
            </w:r>
            <w:r w:rsidRPr="00C56522">
              <w:rPr>
                <w:rStyle w:val="NoteLabel"/>
                <w:b/>
              </w:rPr>
              <w:t>a</w:t>
            </w:r>
          </w:p>
          <w:p w14:paraId="243F4E76" w14:textId="77777777" w:rsidR="00DE1537" w:rsidRPr="00176D3F" w:rsidRDefault="00DE1537" w:rsidP="00343F3E">
            <w:pPr>
              <w:pStyle w:val="Subtitle"/>
            </w:pPr>
            <w:r>
              <w:t>Australian Government expenditure only</w:t>
            </w:r>
          </w:p>
        </w:tc>
      </w:tr>
      <w:tr w:rsidR="00DE1537" w14:paraId="492809EC"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389F87C8" w14:textId="77777777" w:rsidTr="00343F3E">
              <w:tc>
                <w:tcPr>
                  <w:tcW w:w="5000" w:type="pct"/>
                  <w:tcBorders>
                    <w:top w:val="nil"/>
                    <w:bottom w:val="nil"/>
                  </w:tcBorders>
                </w:tcPr>
                <w:p w14:paraId="5C33570D" w14:textId="77777777" w:rsidR="00DE1537" w:rsidRDefault="00DE1537" w:rsidP="00343F3E">
                  <w:pPr>
                    <w:pStyle w:val="Figure"/>
                    <w:spacing w:before="60" w:after="60"/>
                  </w:pPr>
                  <w:r>
                    <w:rPr>
                      <w:noProof/>
                    </w:rPr>
                    <w:drawing>
                      <wp:inline distT="0" distB="0" distL="0" distR="0" wp14:anchorId="579B0AE3" wp14:editId="71FD9475">
                        <wp:extent cx="5382895" cy="2846705"/>
                        <wp:effectExtent l="0" t="0" r="8255" b="0"/>
                        <wp:docPr id="133" name="Picture 133" descr="This figure shows projected nominal fiscal costs of natural disasters under the Commission’s funding model (Australian Government expenditure only). Current fiscal costs and insurance losses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title="Projected nominal fiscal costs under the Commission’s funding mod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382895" cy="2846705"/>
                                </a:xfrm>
                                <a:prstGeom prst="rect">
                                  <a:avLst/>
                                </a:prstGeom>
                                <a:noFill/>
                                <a:ln>
                                  <a:noFill/>
                                </a:ln>
                              </pic:spPr>
                            </pic:pic>
                          </a:graphicData>
                        </a:graphic>
                      </wp:inline>
                    </w:drawing>
                  </w:r>
                </w:p>
              </w:tc>
            </w:tr>
          </w:tbl>
          <w:p w14:paraId="5B28D95F" w14:textId="77777777" w:rsidR="00DE1537" w:rsidRDefault="00DE1537" w:rsidP="00343F3E">
            <w:pPr>
              <w:pStyle w:val="Figure"/>
            </w:pPr>
          </w:p>
        </w:tc>
      </w:tr>
      <w:tr w:rsidR="00DE1537" w:rsidRPr="00176D3F" w14:paraId="594C8BED" w14:textId="77777777" w:rsidTr="00343F3E">
        <w:tc>
          <w:tcPr>
            <w:tcW w:w="8771" w:type="dxa"/>
            <w:tcBorders>
              <w:top w:val="nil"/>
              <w:left w:val="nil"/>
              <w:bottom w:val="nil"/>
              <w:right w:val="nil"/>
            </w:tcBorders>
            <w:shd w:val="clear" w:color="auto" w:fill="auto"/>
          </w:tcPr>
          <w:p w14:paraId="2011789B" w14:textId="77777777" w:rsidR="00DE1537" w:rsidRPr="00176D3F" w:rsidRDefault="00DE1537" w:rsidP="00343F3E">
            <w:pPr>
              <w:pStyle w:val="Note"/>
            </w:pPr>
            <w:proofErr w:type="gramStart"/>
            <w:r>
              <w:rPr>
                <w:rStyle w:val="NoteLabel"/>
              </w:rPr>
              <w:t>a</w:t>
            </w:r>
            <w:proofErr w:type="gramEnd"/>
            <w:r>
              <w:t xml:space="preserve"> The projection period is 2016 to 2023, the medium term is 2018, and the long term is 2023. Central projections (the green and black dots) and one standard deviation ranges (the green and black diamonds) are provided. Negative ranges are truncated at zero.</w:t>
            </w:r>
          </w:p>
        </w:tc>
      </w:tr>
      <w:tr w:rsidR="00DE1537" w:rsidRPr="00176D3F" w14:paraId="0233E7BB" w14:textId="77777777" w:rsidTr="00343F3E">
        <w:tc>
          <w:tcPr>
            <w:tcW w:w="8771" w:type="dxa"/>
            <w:tcBorders>
              <w:top w:val="nil"/>
              <w:left w:val="nil"/>
              <w:bottom w:val="nil"/>
              <w:right w:val="nil"/>
            </w:tcBorders>
            <w:shd w:val="clear" w:color="auto" w:fill="auto"/>
          </w:tcPr>
          <w:p w14:paraId="68A0F716" w14:textId="236F8078" w:rsidR="00DE1537" w:rsidRPr="00176D3F" w:rsidRDefault="00DE1537" w:rsidP="00343F3E">
            <w:pPr>
              <w:pStyle w:val="Source"/>
            </w:pPr>
            <w:r>
              <w:rPr>
                <w:i/>
              </w:rPr>
              <w:t>Data s</w:t>
            </w:r>
            <w:r w:rsidRPr="00F27003">
              <w:rPr>
                <w:i/>
              </w:rPr>
              <w:t>ource</w:t>
            </w:r>
            <w:r>
              <w:rPr>
                <w:i/>
              </w:rPr>
              <w:t>s</w:t>
            </w:r>
            <w:r w:rsidRPr="00176D3F">
              <w:t>:</w:t>
            </w:r>
            <w:r>
              <w:t xml:space="preserve"> ICA </w:t>
            </w:r>
            <w:r w:rsidR="007C5656" w:rsidRPr="007C5656">
              <w:rPr>
                <w:rFonts w:cs="Arial"/>
              </w:rPr>
              <w:t>(2014e)</w:t>
            </w:r>
            <w:r>
              <w:t>; Productivity Commission estimates.</w:t>
            </w:r>
            <w:r w:rsidRPr="00176D3F">
              <w:t xml:space="preserve"> </w:t>
            </w:r>
          </w:p>
        </w:tc>
      </w:tr>
      <w:tr w:rsidR="00DE1537" w14:paraId="66C6630E" w14:textId="77777777" w:rsidTr="00343F3E">
        <w:tc>
          <w:tcPr>
            <w:tcW w:w="8771" w:type="dxa"/>
            <w:tcBorders>
              <w:top w:val="nil"/>
              <w:left w:val="nil"/>
              <w:bottom w:val="single" w:sz="6" w:space="0" w:color="78A22F"/>
              <w:right w:val="nil"/>
            </w:tcBorders>
            <w:shd w:val="clear" w:color="auto" w:fill="auto"/>
          </w:tcPr>
          <w:p w14:paraId="1C4D9128" w14:textId="77777777" w:rsidR="00DE1537" w:rsidRDefault="00DE1537" w:rsidP="00343F3E">
            <w:pPr>
              <w:pStyle w:val="Figurespace"/>
            </w:pPr>
          </w:p>
        </w:tc>
      </w:tr>
      <w:tr w:rsidR="00DE1537" w:rsidRPr="000863A5" w14:paraId="2E846DD7" w14:textId="77777777" w:rsidTr="00343F3E">
        <w:tc>
          <w:tcPr>
            <w:tcW w:w="8771" w:type="dxa"/>
            <w:tcBorders>
              <w:top w:val="single" w:sz="6" w:space="0" w:color="78A22F"/>
              <w:left w:val="nil"/>
              <w:bottom w:val="nil"/>
              <w:right w:val="nil"/>
            </w:tcBorders>
          </w:tcPr>
          <w:p w14:paraId="63D2F16A" w14:textId="77777777" w:rsidR="00DE1537" w:rsidRPr="00626D32" w:rsidRDefault="00DE1537" w:rsidP="00343F3E">
            <w:pPr>
              <w:pStyle w:val="BoxSpaceBelow"/>
            </w:pPr>
          </w:p>
        </w:tc>
      </w:tr>
    </w:tbl>
    <w:p w14:paraId="29768E06" w14:textId="77777777" w:rsidR="00DE1537" w:rsidRDefault="00DE1537" w:rsidP="00343F3E">
      <w:pPr>
        <w:pStyle w:val="BodyText"/>
      </w:pPr>
    </w:p>
    <w:p w14:paraId="44334981" w14:textId="23E79FF4" w:rsidR="00DE1537" w:rsidRDefault="00DE1537" w:rsidP="00343F3E">
      <w:pPr>
        <w:pStyle w:val="Heading2"/>
      </w:pPr>
      <w:bookmarkStart w:id="85" w:name="_Toc406424354"/>
      <w:r>
        <w:lastRenderedPageBreak/>
        <w:t>7.</w:t>
      </w:r>
      <w:r>
        <w:rPr>
          <w:noProof/>
        </w:rPr>
        <w:t>6</w:t>
      </w:r>
      <w:r>
        <w:tab/>
        <w:t>Additional sensitivity analysis</w:t>
      </w:r>
      <w:bookmarkEnd w:id="85"/>
    </w:p>
    <w:p w14:paraId="7E97C515" w14:textId="77777777" w:rsidR="00DE1537" w:rsidRPr="00302DF8" w:rsidRDefault="00DE1537" w:rsidP="00343F3E">
      <w:pPr>
        <w:pStyle w:val="BodyText"/>
      </w:pPr>
      <w:r>
        <w:t>Alongside the assessment of its recommended funding model, the Commission also conducted some additional analysis to examine the fiscal impact of:</w:t>
      </w:r>
    </w:p>
    <w:p w14:paraId="1F70B410" w14:textId="77777777" w:rsidR="00DE1537" w:rsidRDefault="00DE1537" w:rsidP="00343F3E">
      <w:pPr>
        <w:pStyle w:val="ListBullet"/>
      </w:pPr>
      <w:r>
        <w:t>increasing the small disaster criterion</w:t>
      </w:r>
    </w:p>
    <w:p w14:paraId="41B87FD6" w14:textId="77777777" w:rsidR="00DE1537" w:rsidRDefault="00DE1537" w:rsidP="00343F3E">
      <w:pPr>
        <w:pStyle w:val="ListBullet"/>
      </w:pPr>
      <w:proofErr w:type="gramStart"/>
      <w:r>
        <w:t>an</w:t>
      </w:r>
      <w:proofErr w:type="gramEnd"/>
      <w:r>
        <w:t xml:space="preserve"> event</w:t>
      </w:r>
      <w:r>
        <w:noBreakHyphen/>
        <w:t>based post</w:t>
      </w:r>
      <w:r>
        <w:noBreakHyphen/>
        <w:t>disaster funding model (reform option 3 in the draft report).</w:t>
      </w:r>
    </w:p>
    <w:p w14:paraId="5E0D0D28" w14:textId="77777777" w:rsidR="00DE1537" w:rsidRPr="00282092" w:rsidRDefault="00DE1537" w:rsidP="00343F3E">
      <w:pPr>
        <w:pStyle w:val="Heading3"/>
      </w:pPr>
      <w:r w:rsidRPr="00282092">
        <w:t>The small</w:t>
      </w:r>
      <w:r>
        <w:t xml:space="preserve"> disaster criterion</w:t>
      </w:r>
    </w:p>
    <w:p w14:paraId="35BE9E42" w14:textId="77777777" w:rsidR="00DE1537" w:rsidRDefault="00DE1537" w:rsidP="00343F3E">
      <w:pPr>
        <w:pStyle w:val="BodyText"/>
      </w:pPr>
      <w:r>
        <w:t>The Commission’s funding model includes a higher small disaster criterion (chapter 3). For a particular natural disaster, state and territory government expenditure must exceed the small disaster criterion to be eligible for reimbursement from the Australian Government. This criterion is $240 000 under current arrangements and $2 million under the Commission’s funding model.</w:t>
      </w:r>
    </w:p>
    <w:p w14:paraId="6CCA24F0" w14:textId="77777777" w:rsidR="00DE1537" w:rsidRDefault="00DE1537">
      <w:pPr>
        <w:pStyle w:val="BodyText"/>
      </w:pPr>
      <w:r>
        <w:t xml:space="preserve">Sensitivity analysis was conducted </w:t>
      </w:r>
      <w:r w:rsidRPr="0061718B">
        <w:t>with a range of values for the small disaster criterion — from $240</w:t>
      </w:r>
      <w:r>
        <w:t> </w:t>
      </w:r>
      <w:r w:rsidRPr="0061718B">
        <w:t>000 to $200 million. Changes</w:t>
      </w:r>
      <w:r>
        <w:t xml:space="preserve"> to the small disaster criterion can make a significant difference to the number of eligible events under the NDRRA (table 7.8). For example, from 2011</w:t>
      </w:r>
      <w:r>
        <w:noBreakHyphen/>
        <w:t>12 to 2013</w:t>
      </w:r>
      <w:r>
        <w:noBreakHyphen/>
        <w:t>14, the number of eligible events would have been approximately:</w:t>
      </w:r>
    </w:p>
    <w:p w14:paraId="21F7F8A9" w14:textId="77777777" w:rsidR="00DE1537" w:rsidRDefault="00DE1537" w:rsidP="00343F3E">
      <w:pPr>
        <w:pStyle w:val="ListBullet"/>
      </w:pPr>
      <w:r>
        <w:t>134 with a small disaster criterion of $240 000</w:t>
      </w:r>
    </w:p>
    <w:p w14:paraId="410B2D68" w14:textId="77777777" w:rsidR="00DE1537" w:rsidRDefault="00DE1537" w:rsidP="00343F3E">
      <w:pPr>
        <w:pStyle w:val="ListBullet"/>
      </w:pPr>
      <w:r>
        <w:t>73 had the small disaster criterion been $2 million</w:t>
      </w:r>
    </w:p>
    <w:p w14:paraId="64D9C998" w14:textId="77777777" w:rsidR="00DE1537" w:rsidRDefault="00DE1537" w:rsidP="00343F3E">
      <w:pPr>
        <w:pStyle w:val="ListBullet"/>
      </w:pPr>
      <w:r>
        <w:t>19 had the small disaster criterion been $50 million.</w:t>
      </w:r>
    </w:p>
    <w:p w14:paraId="1217ABC1" w14:textId="77777777" w:rsidR="00DE1537" w:rsidRDefault="00DE1537" w:rsidP="00535C9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3764014E" w14:textId="77777777" w:rsidTr="00343F3E">
        <w:tc>
          <w:tcPr>
            <w:tcW w:w="8771" w:type="dxa"/>
            <w:tcBorders>
              <w:top w:val="single" w:sz="6" w:space="0" w:color="78A22F"/>
              <w:left w:val="nil"/>
              <w:bottom w:val="nil"/>
              <w:right w:val="nil"/>
            </w:tcBorders>
            <w:shd w:val="clear" w:color="auto" w:fill="auto"/>
          </w:tcPr>
          <w:p w14:paraId="3124D54B" w14:textId="19ECF60F" w:rsidR="00DE1537" w:rsidRDefault="00DE1537" w:rsidP="00343F3E">
            <w:pPr>
              <w:pStyle w:val="TableTitle"/>
            </w:pPr>
            <w:r>
              <w:rPr>
                <w:b w:val="0"/>
              </w:rPr>
              <w:t>Table 7.</w:t>
            </w:r>
            <w:r>
              <w:rPr>
                <w:b w:val="0"/>
                <w:noProof/>
              </w:rPr>
              <w:t>8</w:t>
            </w:r>
            <w:r>
              <w:tab/>
              <w:t>Impact of changes to the small disaster criterion on number of eligible events</w:t>
            </w:r>
          </w:p>
          <w:p w14:paraId="6D177157" w14:textId="77777777" w:rsidR="00DE1537" w:rsidRPr="00784A05" w:rsidRDefault="00DE1537" w:rsidP="00343F3E">
            <w:pPr>
              <w:pStyle w:val="Subtitle"/>
            </w:pPr>
            <w:r>
              <w:t>2011</w:t>
            </w:r>
            <w:r>
              <w:noBreakHyphen/>
              <w:t>12 to 2013</w:t>
            </w:r>
            <w:r>
              <w:noBreakHyphen/>
              <w:t>14</w:t>
            </w:r>
          </w:p>
        </w:tc>
      </w:tr>
      <w:tr w:rsidR="00DE1537" w14:paraId="6180B04C"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5"/>
              <w:gridCol w:w="1030"/>
              <w:gridCol w:w="1212"/>
              <w:gridCol w:w="1212"/>
              <w:gridCol w:w="1212"/>
              <w:gridCol w:w="1212"/>
              <w:gridCol w:w="1214"/>
            </w:tblGrid>
            <w:tr w:rsidR="00DE1537" w14:paraId="660D24A1" w14:textId="77777777" w:rsidTr="00343F3E">
              <w:tc>
                <w:tcPr>
                  <w:tcW w:w="822" w:type="pct"/>
                  <w:tcBorders>
                    <w:top w:val="single" w:sz="6" w:space="0" w:color="BFBFBF"/>
                    <w:bottom w:val="single" w:sz="6" w:space="0" w:color="BFBFBF"/>
                  </w:tcBorders>
                  <w:shd w:val="clear" w:color="auto" w:fill="auto"/>
                  <w:tcMar>
                    <w:top w:w="28" w:type="dxa"/>
                  </w:tcMar>
                </w:tcPr>
                <w:p w14:paraId="1292D9FE" w14:textId="77777777" w:rsidR="00DE1537" w:rsidRDefault="00DE1537" w:rsidP="00343F3E">
                  <w:pPr>
                    <w:pStyle w:val="TableColumnHeading"/>
                    <w:jc w:val="left"/>
                  </w:pPr>
                  <w:r>
                    <w:t>Small disaster criterion</w:t>
                  </w:r>
                </w:p>
              </w:tc>
              <w:tc>
                <w:tcPr>
                  <w:tcW w:w="607" w:type="pct"/>
                  <w:tcBorders>
                    <w:top w:val="single" w:sz="6" w:space="0" w:color="BFBFBF"/>
                    <w:bottom w:val="single" w:sz="6" w:space="0" w:color="BFBFBF"/>
                  </w:tcBorders>
                  <w:shd w:val="clear" w:color="auto" w:fill="auto"/>
                  <w:tcMar>
                    <w:top w:w="28" w:type="dxa"/>
                  </w:tcMar>
                  <w:vAlign w:val="bottom"/>
                </w:tcPr>
                <w:p w14:paraId="26C191C8" w14:textId="77777777" w:rsidR="00DE1537" w:rsidRPr="002A6843" w:rsidRDefault="00DE1537" w:rsidP="00343F3E">
                  <w:pPr>
                    <w:pStyle w:val="TableColumnHeading"/>
                  </w:pPr>
                  <w:r>
                    <w:t>$240 000</w:t>
                  </w:r>
                  <w:r w:rsidRPr="002A6843">
                    <w:t xml:space="preserve"> </w:t>
                  </w:r>
                </w:p>
              </w:tc>
              <w:tc>
                <w:tcPr>
                  <w:tcW w:w="714" w:type="pct"/>
                  <w:tcBorders>
                    <w:top w:val="single" w:sz="6" w:space="0" w:color="BFBFBF"/>
                    <w:bottom w:val="single" w:sz="6" w:space="0" w:color="BFBFBF"/>
                  </w:tcBorders>
                  <w:shd w:val="clear" w:color="auto" w:fill="auto"/>
                  <w:tcMar>
                    <w:top w:w="28" w:type="dxa"/>
                  </w:tcMar>
                  <w:vAlign w:val="bottom"/>
                </w:tcPr>
                <w:p w14:paraId="6B027B72" w14:textId="77777777" w:rsidR="00DE1537" w:rsidRPr="002A6843" w:rsidRDefault="00DE1537" w:rsidP="00343F3E">
                  <w:pPr>
                    <w:pStyle w:val="TableColumnHeading"/>
                  </w:pPr>
                  <w:r>
                    <w:t xml:space="preserve"> $2 million</w:t>
                  </w:r>
                  <w:r w:rsidRPr="002A6843">
                    <w:t xml:space="preserve"> </w:t>
                  </w:r>
                </w:p>
              </w:tc>
              <w:tc>
                <w:tcPr>
                  <w:tcW w:w="714" w:type="pct"/>
                  <w:tcBorders>
                    <w:top w:val="single" w:sz="6" w:space="0" w:color="BFBFBF"/>
                    <w:bottom w:val="single" w:sz="6" w:space="0" w:color="BFBFBF"/>
                  </w:tcBorders>
                  <w:vAlign w:val="bottom"/>
                </w:tcPr>
                <w:p w14:paraId="5946C3CA" w14:textId="77777777" w:rsidR="00DE1537" w:rsidRPr="002A6843" w:rsidRDefault="00DE1537" w:rsidP="00343F3E">
                  <w:pPr>
                    <w:pStyle w:val="TableColumnHeading"/>
                  </w:pPr>
                  <w:r>
                    <w:t>$10 million</w:t>
                  </w:r>
                </w:p>
              </w:tc>
              <w:tc>
                <w:tcPr>
                  <w:tcW w:w="714" w:type="pct"/>
                  <w:tcBorders>
                    <w:top w:val="single" w:sz="6" w:space="0" w:color="BFBFBF"/>
                    <w:bottom w:val="single" w:sz="6" w:space="0" w:color="BFBFBF"/>
                  </w:tcBorders>
                  <w:vAlign w:val="bottom"/>
                </w:tcPr>
                <w:p w14:paraId="0AD2147F" w14:textId="77777777" w:rsidR="00DE1537" w:rsidRPr="002A6843" w:rsidRDefault="00DE1537" w:rsidP="00343F3E">
                  <w:pPr>
                    <w:pStyle w:val="TableColumnHeading"/>
                  </w:pPr>
                  <w:r>
                    <w:t>$50 million</w:t>
                  </w:r>
                </w:p>
              </w:tc>
              <w:tc>
                <w:tcPr>
                  <w:tcW w:w="714" w:type="pct"/>
                  <w:tcBorders>
                    <w:top w:val="single" w:sz="6" w:space="0" w:color="BFBFBF"/>
                    <w:bottom w:val="single" w:sz="6" w:space="0" w:color="BFBFBF"/>
                  </w:tcBorders>
                  <w:vAlign w:val="bottom"/>
                </w:tcPr>
                <w:p w14:paraId="38690622" w14:textId="77777777" w:rsidR="00DE1537" w:rsidRPr="002A6843" w:rsidRDefault="00DE1537" w:rsidP="00343F3E">
                  <w:pPr>
                    <w:pStyle w:val="TableColumnHeading"/>
                  </w:pPr>
                  <w:r>
                    <w:t>$100 million</w:t>
                  </w:r>
                </w:p>
              </w:tc>
              <w:tc>
                <w:tcPr>
                  <w:tcW w:w="715" w:type="pct"/>
                  <w:tcBorders>
                    <w:top w:val="single" w:sz="6" w:space="0" w:color="BFBFBF"/>
                    <w:bottom w:val="single" w:sz="6" w:space="0" w:color="BFBFBF"/>
                  </w:tcBorders>
                  <w:vAlign w:val="bottom"/>
                </w:tcPr>
                <w:p w14:paraId="301D1075" w14:textId="77777777" w:rsidR="00DE1537" w:rsidRPr="002A6843" w:rsidRDefault="00DE1537" w:rsidP="00343F3E">
                  <w:pPr>
                    <w:pStyle w:val="TableColumnHeading"/>
                    <w:ind w:right="0"/>
                  </w:pPr>
                  <w:r>
                    <w:t>$200 million</w:t>
                  </w:r>
                </w:p>
              </w:tc>
            </w:tr>
            <w:tr w:rsidR="00DE1537" w14:paraId="66BEA236" w14:textId="77777777" w:rsidTr="00343F3E">
              <w:tc>
                <w:tcPr>
                  <w:tcW w:w="822" w:type="pct"/>
                  <w:tcBorders>
                    <w:top w:val="single" w:sz="6" w:space="0" w:color="BFBFBF"/>
                    <w:bottom w:val="single" w:sz="6" w:space="0" w:color="BFBFBF"/>
                  </w:tcBorders>
                </w:tcPr>
                <w:p w14:paraId="2143234F" w14:textId="77777777" w:rsidR="00DE1537" w:rsidRDefault="00DE1537" w:rsidP="00343F3E">
                  <w:pPr>
                    <w:pStyle w:val="TableUnitsRow"/>
                    <w:jc w:val="left"/>
                  </w:pPr>
                </w:p>
              </w:tc>
              <w:tc>
                <w:tcPr>
                  <w:tcW w:w="4178" w:type="pct"/>
                  <w:gridSpan w:val="6"/>
                  <w:tcBorders>
                    <w:top w:val="single" w:sz="6" w:space="0" w:color="BFBFBF"/>
                    <w:bottom w:val="single" w:sz="6" w:space="0" w:color="BFBFBF"/>
                  </w:tcBorders>
                  <w:vAlign w:val="center"/>
                </w:tcPr>
                <w:p w14:paraId="27AE59FA" w14:textId="77777777" w:rsidR="00DE1537" w:rsidRPr="002A6843" w:rsidRDefault="00DE1537" w:rsidP="00343F3E">
                  <w:pPr>
                    <w:pStyle w:val="TableUnitsRow"/>
                    <w:jc w:val="center"/>
                    <w:rPr>
                      <w:b/>
                    </w:rPr>
                  </w:pPr>
                  <w:r w:rsidRPr="002A6843">
                    <w:rPr>
                      <w:b/>
                    </w:rPr>
                    <w:t>Number of eligible events</w:t>
                  </w:r>
                </w:p>
              </w:tc>
            </w:tr>
            <w:tr w:rsidR="00DE1537" w14:paraId="15CA20E2" w14:textId="77777777" w:rsidTr="00343F3E">
              <w:tc>
                <w:tcPr>
                  <w:tcW w:w="822" w:type="pct"/>
                  <w:tcBorders>
                    <w:top w:val="single" w:sz="6" w:space="0" w:color="BFBFBF"/>
                  </w:tcBorders>
                  <w:shd w:val="pct5" w:color="auto" w:fill="auto"/>
                </w:tcPr>
                <w:p w14:paraId="3A61DC04" w14:textId="77777777" w:rsidR="00DE1537" w:rsidRDefault="00DE1537" w:rsidP="00343F3E">
                  <w:pPr>
                    <w:pStyle w:val="TableBodyText"/>
                    <w:spacing w:before="40"/>
                    <w:jc w:val="left"/>
                  </w:pPr>
                  <w:r>
                    <w:t>NSW</w:t>
                  </w:r>
                </w:p>
              </w:tc>
              <w:tc>
                <w:tcPr>
                  <w:tcW w:w="607" w:type="pct"/>
                  <w:tcBorders>
                    <w:top w:val="single" w:sz="6" w:space="0" w:color="BFBFBF"/>
                  </w:tcBorders>
                  <w:shd w:val="pct5" w:color="auto" w:fill="auto"/>
                  <w:vAlign w:val="bottom"/>
                </w:tcPr>
                <w:p w14:paraId="57425C98" w14:textId="77777777" w:rsidR="00DE1537" w:rsidRDefault="00DE1537" w:rsidP="00343F3E">
                  <w:pPr>
                    <w:pStyle w:val="TableBodyText"/>
                    <w:spacing w:before="40"/>
                  </w:pPr>
                  <w:r>
                    <w:t>52</w:t>
                  </w:r>
                </w:p>
              </w:tc>
              <w:tc>
                <w:tcPr>
                  <w:tcW w:w="714" w:type="pct"/>
                  <w:tcBorders>
                    <w:top w:val="single" w:sz="6" w:space="0" w:color="BFBFBF"/>
                  </w:tcBorders>
                  <w:shd w:val="pct5" w:color="auto" w:fill="auto"/>
                  <w:vAlign w:val="bottom"/>
                </w:tcPr>
                <w:p w14:paraId="27E71693" w14:textId="77777777" w:rsidR="00DE1537" w:rsidRDefault="00DE1537" w:rsidP="00343F3E">
                  <w:pPr>
                    <w:pStyle w:val="TableBodyText"/>
                    <w:spacing w:before="40"/>
                  </w:pPr>
                  <w:r>
                    <w:t>24</w:t>
                  </w:r>
                </w:p>
              </w:tc>
              <w:tc>
                <w:tcPr>
                  <w:tcW w:w="714" w:type="pct"/>
                  <w:tcBorders>
                    <w:top w:val="single" w:sz="6" w:space="0" w:color="BFBFBF"/>
                  </w:tcBorders>
                  <w:shd w:val="pct5" w:color="auto" w:fill="auto"/>
                  <w:vAlign w:val="bottom"/>
                </w:tcPr>
                <w:p w14:paraId="6759D9B2" w14:textId="77777777" w:rsidR="00DE1537" w:rsidRDefault="00DE1537" w:rsidP="00343F3E">
                  <w:pPr>
                    <w:pStyle w:val="TableBodyText"/>
                    <w:spacing w:before="40"/>
                  </w:pPr>
                  <w:r>
                    <w:t>9</w:t>
                  </w:r>
                </w:p>
              </w:tc>
              <w:tc>
                <w:tcPr>
                  <w:tcW w:w="714" w:type="pct"/>
                  <w:tcBorders>
                    <w:top w:val="single" w:sz="6" w:space="0" w:color="BFBFBF"/>
                  </w:tcBorders>
                  <w:shd w:val="pct5" w:color="auto" w:fill="auto"/>
                  <w:vAlign w:val="bottom"/>
                </w:tcPr>
                <w:p w14:paraId="7D0168C3" w14:textId="77777777" w:rsidR="00DE1537" w:rsidRDefault="00DE1537" w:rsidP="00343F3E">
                  <w:pPr>
                    <w:pStyle w:val="TableBodyText"/>
                    <w:spacing w:before="40"/>
                  </w:pPr>
                  <w:r>
                    <w:t>7</w:t>
                  </w:r>
                </w:p>
              </w:tc>
              <w:tc>
                <w:tcPr>
                  <w:tcW w:w="714" w:type="pct"/>
                  <w:tcBorders>
                    <w:top w:val="single" w:sz="6" w:space="0" w:color="BFBFBF"/>
                  </w:tcBorders>
                  <w:shd w:val="pct5" w:color="auto" w:fill="auto"/>
                  <w:vAlign w:val="bottom"/>
                </w:tcPr>
                <w:p w14:paraId="3A1CFEA5" w14:textId="77777777" w:rsidR="00DE1537" w:rsidRDefault="00DE1537" w:rsidP="00343F3E">
                  <w:pPr>
                    <w:pStyle w:val="TableBodyText"/>
                    <w:spacing w:before="40"/>
                  </w:pPr>
                  <w:r>
                    <w:t>2</w:t>
                  </w:r>
                </w:p>
              </w:tc>
              <w:tc>
                <w:tcPr>
                  <w:tcW w:w="715" w:type="pct"/>
                  <w:tcBorders>
                    <w:top w:val="single" w:sz="6" w:space="0" w:color="BFBFBF"/>
                  </w:tcBorders>
                  <w:shd w:val="pct5" w:color="auto" w:fill="auto"/>
                  <w:vAlign w:val="bottom"/>
                </w:tcPr>
                <w:p w14:paraId="0561D8E3" w14:textId="77777777" w:rsidR="00DE1537" w:rsidRDefault="00DE1537" w:rsidP="00343F3E">
                  <w:pPr>
                    <w:pStyle w:val="TableBodyText"/>
                    <w:spacing w:before="40"/>
                    <w:ind w:right="0"/>
                  </w:pPr>
                  <w:r>
                    <w:t>1</w:t>
                  </w:r>
                </w:p>
              </w:tc>
            </w:tr>
            <w:tr w:rsidR="00DE1537" w14:paraId="737ED5A0" w14:textId="77777777" w:rsidTr="00343F3E">
              <w:tc>
                <w:tcPr>
                  <w:tcW w:w="822" w:type="pct"/>
                  <w:shd w:val="clear" w:color="auto" w:fill="auto"/>
                </w:tcPr>
                <w:p w14:paraId="065C3C39" w14:textId="77777777" w:rsidR="00DE1537" w:rsidRDefault="00DE1537" w:rsidP="00343F3E">
                  <w:pPr>
                    <w:pStyle w:val="TableBodyText"/>
                    <w:jc w:val="left"/>
                  </w:pPr>
                  <w:r>
                    <w:t>Vic</w:t>
                  </w:r>
                </w:p>
              </w:tc>
              <w:tc>
                <w:tcPr>
                  <w:tcW w:w="607" w:type="pct"/>
                  <w:shd w:val="clear" w:color="auto" w:fill="auto"/>
                  <w:vAlign w:val="bottom"/>
                </w:tcPr>
                <w:p w14:paraId="1B7EFA13" w14:textId="77777777" w:rsidR="00DE1537" w:rsidRDefault="00DE1537" w:rsidP="00343F3E">
                  <w:pPr>
                    <w:pStyle w:val="TableBodyText"/>
                  </w:pPr>
                  <w:r>
                    <w:t>23</w:t>
                  </w:r>
                </w:p>
              </w:tc>
              <w:tc>
                <w:tcPr>
                  <w:tcW w:w="714" w:type="pct"/>
                  <w:shd w:val="clear" w:color="auto" w:fill="auto"/>
                  <w:vAlign w:val="bottom"/>
                </w:tcPr>
                <w:p w14:paraId="714C7A8C" w14:textId="77777777" w:rsidR="00DE1537" w:rsidRDefault="00DE1537" w:rsidP="00343F3E">
                  <w:pPr>
                    <w:pStyle w:val="TableBodyText"/>
                  </w:pPr>
                  <w:r>
                    <w:t>13</w:t>
                  </w:r>
                </w:p>
              </w:tc>
              <w:tc>
                <w:tcPr>
                  <w:tcW w:w="714" w:type="pct"/>
                  <w:vAlign w:val="bottom"/>
                </w:tcPr>
                <w:p w14:paraId="1E065049" w14:textId="77777777" w:rsidR="00DE1537" w:rsidRDefault="00DE1537" w:rsidP="00343F3E">
                  <w:pPr>
                    <w:pStyle w:val="TableBodyText"/>
                  </w:pPr>
                  <w:r>
                    <w:t>5</w:t>
                  </w:r>
                </w:p>
              </w:tc>
              <w:tc>
                <w:tcPr>
                  <w:tcW w:w="714" w:type="pct"/>
                  <w:vAlign w:val="bottom"/>
                </w:tcPr>
                <w:p w14:paraId="7342CAEC" w14:textId="77777777" w:rsidR="00DE1537" w:rsidRDefault="00DE1537" w:rsidP="00343F3E">
                  <w:pPr>
                    <w:pStyle w:val="TableBodyText"/>
                  </w:pPr>
                  <w:r>
                    <w:t>2</w:t>
                  </w:r>
                </w:p>
              </w:tc>
              <w:tc>
                <w:tcPr>
                  <w:tcW w:w="714" w:type="pct"/>
                  <w:vAlign w:val="bottom"/>
                </w:tcPr>
                <w:p w14:paraId="646FA7BC" w14:textId="77777777" w:rsidR="00DE1537" w:rsidRDefault="00DE1537" w:rsidP="00343F3E">
                  <w:pPr>
                    <w:pStyle w:val="TableBodyText"/>
                  </w:pPr>
                  <w:r>
                    <w:t>1</w:t>
                  </w:r>
                </w:p>
              </w:tc>
              <w:tc>
                <w:tcPr>
                  <w:tcW w:w="715" w:type="pct"/>
                  <w:vAlign w:val="bottom"/>
                </w:tcPr>
                <w:p w14:paraId="2A82B5A2" w14:textId="77777777" w:rsidR="00DE1537" w:rsidRDefault="00DE1537" w:rsidP="00343F3E">
                  <w:pPr>
                    <w:pStyle w:val="TableBodyText"/>
                    <w:ind w:right="0"/>
                  </w:pPr>
                  <w:r>
                    <w:t>0</w:t>
                  </w:r>
                </w:p>
              </w:tc>
            </w:tr>
            <w:tr w:rsidR="00DE1537" w14:paraId="30C197B9" w14:textId="77777777" w:rsidTr="00343F3E">
              <w:tc>
                <w:tcPr>
                  <w:tcW w:w="822" w:type="pct"/>
                  <w:shd w:val="pct5" w:color="auto" w:fill="auto"/>
                </w:tcPr>
                <w:p w14:paraId="63D649CB" w14:textId="77777777" w:rsidR="00DE1537" w:rsidRDefault="00DE1537" w:rsidP="00343F3E">
                  <w:pPr>
                    <w:pStyle w:val="TableBodyText"/>
                    <w:jc w:val="left"/>
                  </w:pPr>
                  <w:r>
                    <w:t>Qld</w:t>
                  </w:r>
                </w:p>
              </w:tc>
              <w:tc>
                <w:tcPr>
                  <w:tcW w:w="607" w:type="pct"/>
                  <w:shd w:val="pct5" w:color="auto" w:fill="auto"/>
                  <w:vAlign w:val="bottom"/>
                </w:tcPr>
                <w:p w14:paraId="2ED9D587" w14:textId="77777777" w:rsidR="00DE1537" w:rsidRDefault="00DE1537" w:rsidP="00343F3E">
                  <w:pPr>
                    <w:pStyle w:val="TableBodyText"/>
                  </w:pPr>
                  <w:r>
                    <w:t>18</w:t>
                  </w:r>
                </w:p>
              </w:tc>
              <w:tc>
                <w:tcPr>
                  <w:tcW w:w="714" w:type="pct"/>
                  <w:shd w:val="pct5" w:color="auto" w:fill="auto"/>
                  <w:vAlign w:val="bottom"/>
                </w:tcPr>
                <w:p w14:paraId="75E15B48" w14:textId="77777777" w:rsidR="00DE1537" w:rsidRDefault="00DE1537" w:rsidP="00343F3E">
                  <w:pPr>
                    <w:pStyle w:val="TableBodyText"/>
                  </w:pPr>
                  <w:r>
                    <w:t>14</w:t>
                  </w:r>
                </w:p>
              </w:tc>
              <w:tc>
                <w:tcPr>
                  <w:tcW w:w="714" w:type="pct"/>
                  <w:shd w:val="pct5" w:color="auto" w:fill="auto"/>
                  <w:vAlign w:val="bottom"/>
                </w:tcPr>
                <w:p w14:paraId="6177BEAF" w14:textId="77777777" w:rsidR="00DE1537" w:rsidRDefault="00DE1537" w:rsidP="00343F3E">
                  <w:pPr>
                    <w:pStyle w:val="TableBodyText"/>
                  </w:pPr>
                  <w:r>
                    <w:t>11</w:t>
                  </w:r>
                </w:p>
              </w:tc>
              <w:tc>
                <w:tcPr>
                  <w:tcW w:w="714" w:type="pct"/>
                  <w:shd w:val="pct5" w:color="auto" w:fill="auto"/>
                  <w:vAlign w:val="bottom"/>
                </w:tcPr>
                <w:p w14:paraId="49DB1E35" w14:textId="77777777" w:rsidR="00DE1537" w:rsidRDefault="00DE1537" w:rsidP="00343F3E">
                  <w:pPr>
                    <w:pStyle w:val="TableBodyText"/>
                  </w:pPr>
                  <w:r>
                    <w:t>10</w:t>
                  </w:r>
                </w:p>
              </w:tc>
              <w:tc>
                <w:tcPr>
                  <w:tcW w:w="714" w:type="pct"/>
                  <w:shd w:val="pct5" w:color="auto" w:fill="auto"/>
                  <w:vAlign w:val="bottom"/>
                </w:tcPr>
                <w:p w14:paraId="7622C0E6" w14:textId="77777777" w:rsidR="00DE1537" w:rsidRDefault="00DE1537" w:rsidP="00343F3E">
                  <w:pPr>
                    <w:pStyle w:val="TableBodyText"/>
                  </w:pPr>
                  <w:r>
                    <w:t>5</w:t>
                  </w:r>
                </w:p>
              </w:tc>
              <w:tc>
                <w:tcPr>
                  <w:tcW w:w="715" w:type="pct"/>
                  <w:shd w:val="pct5" w:color="auto" w:fill="auto"/>
                  <w:vAlign w:val="bottom"/>
                </w:tcPr>
                <w:p w14:paraId="2E4F3C1B" w14:textId="77777777" w:rsidR="00DE1537" w:rsidRDefault="00DE1537" w:rsidP="00343F3E">
                  <w:pPr>
                    <w:pStyle w:val="TableBodyText"/>
                    <w:ind w:right="0"/>
                  </w:pPr>
                  <w:r>
                    <w:t>3</w:t>
                  </w:r>
                </w:p>
              </w:tc>
            </w:tr>
            <w:tr w:rsidR="00DE1537" w14:paraId="74E6F7C5" w14:textId="77777777" w:rsidTr="00343F3E">
              <w:tc>
                <w:tcPr>
                  <w:tcW w:w="822" w:type="pct"/>
                  <w:shd w:val="clear" w:color="auto" w:fill="auto"/>
                </w:tcPr>
                <w:p w14:paraId="0DE66BBA" w14:textId="77777777" w:rsidR="00DE1537" w:rsidRDefault="00DE1537" w:rsidP="00343F3E">
                  <w:pPr>
                    <w:pStyle w:val="TableBodyText"/>
                    <w:jc w:val="left"/>
                  </w:pPr>
                  <w:r>
                    <w:t>SA</w:t>
                  </w:r>
                </w:p>
              </w:tc>
              <w:tc>
                <w:tcPr>
                  <w:tcW w:w="607" w:type="pct"/>
                  <w:shd w:val="clear" w:color="auto" w:fill="auto"/>
                  <w:vAlign w:val="bottom"/>
                </w:tcPr>
                <w:p w14:paraId="5BBF780A" w14:textId="77777777" w:rsidR="00DE1537" w:rsidRDefault="00DE1537" w:rsidP="00343F3E">
                  <w:pPr>
                    <w:pStyle w:val="TableBodyText"/>
                  </w:pPr>
                  <w:r>
                    <w:t>11</w:t>
                  </w:r>
                </w:p>
              </w:tc>
              <w:tc>
                <w:tcPr>
                  <w:tcW w:w="714" w:type="pct"/>
                  <w:shd w:val="clear" w:color="auto" w:fill="auto"/>
                  <w:vAlign w:val="bottom"/>
                </w:tcPr>
                <w:p w14:paraId="5B6CFDAF" w14:textId="77777777" w:rsidR="00DE1537" w:rsidRDefault="00DE1537" w:rsidP="00343F3E">
                  <w:pPr>
                    <w:pStyle w:val="TableBodyText"/>
                  </w:pPr>
                  <w:r>
                    <w:t>4</w:t>
                  </w:r>
                </w:p>
              </w:tc>
              <w:tc>
                <w:tcPr>
                  <w:tcW w:w="714" w:type="pct"/>
                  <w:vAlign w:val="bottom"/>
                </w:tcPr>
                <w:p w14:paraId="7F4D0B8C" w14:textId="77777777" w:rsidR="00DE1537" w:rsidRDefault="00DE1537" w:rsidP="00343F3E">
                  <w:pPr>
                    <w:pStyle w:val="TableBodyText"/>
                  </w:pPr>
                  <w:r>
                    <w:t>2</w:t>
                  </w:r>
                </w:p>
              </w:tc>
              <w:tc>
                <w:tcPr>
                  <w:tcW w:w="714" w:type="pct"/>
                  <w:vAlign w:val="bottom"/>
                </w:tcPr>
                <w:p w14:paraId="49C0E60E" w14:textId="77777777" w:rsidR="00DE1537" w:rsidRDefault="00DE1537" w:rsidP="00343F3E">
                  <w:pPr>
                    <w:pStyle w:val="TableBodyText"/>
                  </w:pPr>
                  <w:r>
                    <w:t>0</w:t>
                  </w:r>
                </w:p>
              </w:tc>
              <w:tc>
                <w:tcPr>
                  <w:tcW w:w="714" w:type="pct"/>
                  <w:vAlign w:val="bottom"/>
                </w:tcPr>
                <w:p w14:paraId="08468C05" w14:textId="77777777" w:rsidR="00DE1537" w:rsidRDefault="00DE1537" w:rsidP="00343F3E">
                  <w:pPr>
                    <w:pStyle w:val="TableBodyText"/>
                  </w:pPr>
                  <w:r>
                    <w:t>0</w:t>
                  </w:r>
                </w:p>
              </w:tc>
              <w:tc>
                <w:tcPr>
                  <w:tcW w:w="715" w:type="pct"/>
                  <w:vAlign w:val="bottom"/>
                </w:tcPr>
                <w:p w14:paraId="157642A2" w14:textId="77777777" w:rsidR="00DE1537" w:rsidRDefault="00DE1537" w:rsidP="00343F3E">
                  <w:pPr>
                    <w:pStyle w:val="TableBodyText"/>
                    <w:ind w:right="0"/>
                  </w:pPr>
                  <w:r>
                    <w:t>0</w:t>
                  </w:r>
                </w:p>
              </w:tc>
            </w:tr>
            <w:tr w:rsidR="00DE1537" w14:paraId="52A2E828" w14:textId="77777777" w:rsidTr="00343F3E">
              <w:tc>
                <w:tcPr>
                  <w:tcW w:w="822" w:type="pct"/>
                  <w:shd w:val="pct5" w:color="auto" w:fill="auto"/>
                </w:tcPr>
                <w:p w14:paraId="5BBC463D" w14:textId="77777777" w:rsidR="00DE1537" w:rsidRDefault="00DE1537" w:rsidP="00343F3E">
                  <w:pPr>
                    <w:pStyle w:val="TableBodyText"/>
                    <w:jc w:val="left"/>
                  </w:pPr>
                  <w:r>
                    <w:t>WA</w:t>
                  </w:r>
                </w:p>
              </w:tc>
              <w:tc>
                <w:tcPr>
                  <w:tcW w:w="607" w:type="pct"/>
                  <w:shd w:val="pct5" w:color="auto" w:fill="auto"/>
                  <w:vAlign w:val="bottom"/>
                </w:tcPr>
                <w:p w14:paraId="60DF6DCC" w14:textId="77777777" w:rsidR="00DE1537" w:rsidRDefault="00DE1537" w:rsidP="00343F3E">
                  <w:pPr>
                    <w:pStyle w:val="TableBodyText"/>
                  </w:pPr>
                  <w:r>
                    <w:t>20</w:t>
                  </w:r>
                </w:p>
              </w:tc>
              <w:tc>
                <w:tcPr>
                  <w:tcW w:w="714" w:type="pct"/>
                  <w:shd w:val="pct5" w:color="auto" w:fill="auto"/>
                  <w:vAlign w:val="bottom"/>
                </w:tcPr>
                <w:p w14:paraId="76840A91" w14:textId="77777777" w:rsidR="00DE1537" w:rsidRDefault="00DE1537" w:rsidP="00343F3E">
                  <w:pPr>
                    <w:pStyle w:val="TableBodyText"/>
                  </w:pPr>
                  <w:r>
                    <w:t>12</w:t>
                  </w:r>
                </w:p>
              </w:tc>
              <w:tc>
                <w:tcPr>
                  <w:tcW w:w="714" w:type="pct"/>
                  <w:shd w:val="pct5" w:color="auto" w:fill="auto"/>
                  <w:vAlign w:val="bottom"/>
                </w:tcPr>
                <w:p w14:paraId="42964640" w14:textId="77777777" w:rsidR="00DE1537" w:rsidRDefault="00DE1537" w:rsidP="00343F3E">
                  <w:pPr>
                    <w:pStyle w:val="TableBodyText"/>
                  </w:pPr>
                  <w:r>
                    <w:t>4</w:t>
                  </w:r>
                </w:p>
              </w:tc>
              <w:tc>
                <w:tcPr>
                  <w:tcW w:w="714" w:type="pct"/>
                  <w:shd w:val="pct5" w:color="auto" w:fill="auto"/>
                  <w:vAlign w:val="bottom"/>
                </w:tcPr>
                <w:p w14:paraId="1A11DC8B" w14:textId="77777777" w:rsidR="00DE1537" w:rsidRDefault="00DE1537" w:rsidP="00343F3E">
                  <w:pPr>
                    <w:pStyle w:val="TableBodyText"/>
                  </w:pPr>
                  <w:r>
                    <w:t>0</w:t>
                  </w:r>
                </w:p>
              </w:tc>
              <w:tc>
                <w:tcPr>
                  <w:tcW w:w="714" w:type="pct"/>
                  <w:shd w:val="pct5" w:color="auto" w:fill="auto"/>
                  <w:vAlign w:val="bottom"/>
                </w:tcPr>
                <w:p w14:paraId="3A468B6D" w14:textId="77777777" w:rsidR="00DE1537" w:rsidRDefault="00DE1537" w:rsidP="00343F3E">
                  <w:pPr>
                    <w:pStyle w:val="TableBodyText"/>
                  </w:pPr>
                  <w:r>
                    <w:t>0</w:t>
                  </w:r>
                </w:p>
              </w:tc>
              <w:tc>
                <w:tcPr>
                  <w:tcW w:w="715" w:type="pct"/>
                  <w:shd w:val="pct5" w:color="auto" w:fill="auto"/>
                  <w:vAlign w:val="bottom"/>
                </w:tcPr>
                <w:p w14:paraId="3F5FA0A6" w14:textId="77777777" w:rsidR="00DE1537" w:rsidRDefault="00DE1537" w:rsidP="00343F3E">
                  <w:pPr>
                    <w:pStyle w:val="TableBodyText"/>
                    <w:ind w:right="0"/>
                  </w:pPr>
                  <w:r>
                    <w:t>0</w:t>
                  </w:r>
                </w:p>
              </w:tc>
            </w:tr>
            <w:tr w:rsidR="00DE1537" w14:paraId="72DEF842" w14:textId="77777777" w:rsidTr="00343F3E">
              <w:tc>
                <w:tcPr>
                  <w:tcW w:w="822" w:type="pct"/>
                  <w:shd w:val="clear" w:color="auto" w:fill="auto"/>
                </w:tcPr>
                <w:p w14:paraId="4EB116EE" w14:textId="77777777" w:rsidR="00DE1537" w:rsidRDefault="00DE1537" w:rsidP="00343F3E">
                  <w:pPr>
                    <w:pStyle w:val="TableBodyText"/>
                    <w:jc w:val="left"/>
                  </w:pPr>
                  <w:r>
                    <w:t>Tas</w:t>
                  </w:r>
                </w:p>
              </w:tc>
              <w:tc>
                <w:tcPr>
                  <w:tcW w:w="607" w:type="pct"/>
                  <w:shd w:val="clear" w:color="auto" w:fill="auto"/>
                  <w:vAlign w:val="bottom"/>
                </w:tcPr>
                <w:p w14:paraId="7AC97E7A" w14:textId="77777777" w:rsidR="00DE1537" w:rsidRDefault="00DE1537" w:rsidP="00343F3E">
                  <w:pPr>
                    <w:pStyle w:val="TableBodyText"/>
                  </w:pPr>
                  <w:r>
                    <w:t>3</w:t>
                  </w:r>
                </w:p>
              </w:tc>
              <w:tc>
                <w:tcPr>
                  <w:tcW w:w="714" w:type="pct"/>
                  <w:shd w:val="clear" w:color="auto" w:fill="auto"/>
                  <w:vAlign w:val="bottom"/>
                </w:tcPr>
                <w:p w14:paraId="1F05FC3E" w14:textId="77777777" w:rsidR="00DE1537" w:rsidRDefault="00DE1537" w:rsidP="00343F3E">
                  <w:pPr>
                    <w:pStyle w:val="TableBodyText"/>
                  </w:pPr>
                  <w:r>
                    <w:t>2</w:t>
                  </w:r>
                </w:p>
              </w:tc>
              <w:tc>
                <w:tcPr>
                  <w:tcW w:w="714" w:type="pct"/>
                  <w:vAlign w:val="bottom"/>
                </w:tcPr>
                <w:p w14:paraId="43AA9BFB" w14:textId="77777777" w:rsidR="00DE1537" w:rsidRDefault="00DE1537" w:rsidP="00343F3E">
                  <w:pPr>
                    <w:pStyle w:val="TableBodyText"/>
                  </w:pPr>
                  <w:r>
                    <w:t>1</w:t>
                  </w:r>
                </w:p>
              </w:tc>
              <w:tc>
                <w:tcPr>
                  <w:tcW w:w="714" w:type="pct"/>
                  <w:vAlign w:val="bottom"/>
                </w:tcPr>
                <w:p w14:paraId="032ED4A3" w14:textId="77777777" w:rsidR="00DE1537" w:rsidRDefault="00DE1537" w:rsidP="00343F3E">
                  <w:pPr>
                    <w:pStyle w:val="TableBodyText"/>
                  </w:pPr>
                  <w:r>
                    <w:t>0</w:t>
                  </w:r>
                </w:p>
              </w:tc>
              <w:tc>
                <w:tcPr>
                  <w:tcW w:w="714" w:type="pct"/>
                  <w:vAlign w:val="bottom"/>
                </w:tcPr>
                <w:p w14:paraId="36A02CA2" w14:textId="77777777" w:rsidR="00DE1537" w:rsidRDefault="00DE1537" w:rsidP="00343F3E">
                  <w:pPr>
                    <w:pStyle w:val="TableBodyText"/>
                  </w:pPr>
                  <w:r>
                    <w:t>0</w:t>
                  </w:r>
                </w:p>
              </w:tc>
              <w:tc>
                <w:tcPr>
                  <w:tcW w:w="715" w:type="pct"/>
                  <w:vAlign w:val="bottom"/>
                </w:tcPr>
                <w:p w14:paraId="39DD1E44" w14:textId="77777777" w:rsidR="00DE1537" w:rsidRDefault="00DE1537" w:rsidP="00343F3E">
                  <w:pPr>
                    <w:pStyle w:val="TableBodyText"/>
                    <w:ind w:right="0"/>
                  </w:pPr>
                  <w:r>
                    <w:t>0</w:t>
                  </w:r>
                </w:p>
              </w:tc>
            </w:tr>
            <w:tr w:rsidR="00DE1537" w14:paraId="4D63CC14" w14:textId="77777777" w:rsidTr="00343F3E">
              <w:tc>
                <w:tcPr>
                  <w:tcW w:w="822" w:type="pct"/>
                  <w:shd w:val="pct5" w:color="auto" w:fill="auto"/>
                </w:tcPr>
                <w:p w14:paraId="6EE6E8D8" w14:textId="77777777" w:rsidR="00DE1537" w:rsidRDefault="00DE1537" w:rsidP="00343F3E">
                  <w:pPr>
                    <w:pStyle w:val="TableBodyText"/>
                    <w:jc w:val="left"/>
                  </w:pPr>
                  <w:r>
                    <w:t>NT</w:t>
                  </w:r>
                </w:p>
              </w:tc>
              <w:tc>
                <w:tcPr>
                  <w:tcW w:w="607" w:type="pct"/>
                  <w:shd w:val="pct5" w:color="auto" w:fill="auto"/>
                  <w:vAlign w:val="bottom"/>
                </w:tcPr>
                <w:p w14:paraId="2B7FA3D3" w14:textId="77777777" w:rsidR="00DE1537" w:rsidRDefault="00DE1537" w:rsidP="00343F3E">
                  <w:pPr>
                    <w:pStyle w:val="TableBodyText"/>
                  </w:pPr>
                  <w:r>
                    <w:t>5</w:t>
                  </w:r>
                </w:p>
              </w:tc>
              <w:tc>
                <w:tcPr>
                  <w:tcW w:w="714" w:type="pct"/>
                  <w:shd w:val="pct5" w:color="auto" w:fill="auto"/>
                  <w:vAlign w:val="bottom"/>
                </w:tcPr>
                <w:p w14:paraId="5ABCAB25" w14:textId="77777777" w:rsidR="00DE1537" w:rsidRDefault="00DE1537" w:rsidP="00343F3E">
                  <w:pPr>
                    <w:pStyle w:val="TableBodyText"/>
                  </w:pPr>
                  <w:r>
                    <w:t>4</w:t>
                  </w:r>
                </w:p>
              </w:tc>
              <w:tc>
                <w:tcPr>
                  <w:tcW w:w="714" w:type="pct"/>
                  <w:shd w:val="pct5" w:color="auto" w:fill="auto"/>
                  <w:vAlign w:val="bottom"/>
                </w:tcPr>
                <w:p w14:paraId="12FE8DF3" w14:textId="77777777" w:rsidR="00DE1537" w:rsidRDefault="00DE1537" w:rsidP="00343F3E">
                  <w:pPr>
                    <w:pStyle w:val="TableBodyText"/>
                  </w:pPr>
                  <w:r>
                    <w:t>1</w:t>
                  </w:r>
                </w:p>
              </w:tc>
              <w:tc>
                <w:tcPr>
                  <w:tcW w:w="714" w:type="pct"/>
                  <w:shd w:val="pct5" w:color="auto" w:fill="auto"/>
                  <w:vAlign w:val="bottom"/>
                </w:tcPr>
                <w:p w14:paraId="4A985F25" w14:textId="77777777" w:rsidR="00DE1537" w:rsidRDefault="00DE1537" w:rsidP="00343F3E">
                  <w:pPr>
                    <w:pStyle w:val="TableBodyText"/>
                  </w:pPr>
                  <w:r>
                    <w:t>0</w:t>
                  </w:r>
                </w:p>
              </w:tc>
              <w:tc>
                <w:tcPr>
                  <w:tcW w:w="714" w:type="pct"/>
                  <w:shd w:val="pct5" w:color="auto" w:fill="auto"/>
                  <w:vAlign w:val="bottom"/>
                </w:tcPr>
                <w:p w14:paraId="5286ED4D" w14:textId="77777777" w:rsidR="00DE1537" w:rsidRDefault="00DE1537" w:rsidP="00343F3E">
                  <w:pPr>
                    <w:pStyle w:val="TableBodyText"/>
                  </w:pPr>
                  <w:r>
                    <w:t>0</w:t>
                  </w:r>
                </w:p>
              </w:tc>
              <w:tc>
                <w:tcPr>
                  <w:tcW w:w="715" w:type="pct"/>
                  <w:shd w:val="pct5" w:color="auto" w:fill="auto"/>
                  <w:vAlign w:val="bottom"/>
                </w:tcPr>
                <w:p w14:paraId="1D4A7B2A" w14:textId="77777777" w:rsidR="00DE1537" w:rsidRDefault="00DE1537" w:rsidP="00343F3E">
                  <w:pPr>
                    <w:pStyle w:val="TableBodyText"/>
                    <w:ind w:right="0"/>
                  </w:pPr>
                  <w:r>
                    <w:t>0</w:t>
                  </w:r>
                </w:p>
              </w:tc>
            </w:tr>
            <w:tr w:rsidR="00DE1537" w14:paraId="73925B6C" w14:textId="77777777" w:rsidTr="00343F3E">
              <w:tc>
                <w:tcPr>
                  <w:tcW w:w="822" w:type="pct"/>
                  <w:shd w:val="clear" w:color="auto" w:fill="auto"/>
                </w:tcPr>
                <w:p w14:paraId="08990298" w14:textId="77777777" w:rsidR="00DE1537" w:rsidRDefault="00DE1537" w:rsidP="00343F3E">
                  <w:pPr>
                    <w:pStyle w:val="TableBodyText"/>
                    <w:jc w:val="left"/>
                  </w:pPr>
                  <w:r>
                    <w:t>ACT</w:t>
                  </w:r>
                </w:p>
              </w:tc>
              <w:tc>
                <w:tcPr>
                  <w:tcW w:w="607" w:type="pct"/>
                  <w:shd w:val="clear" w:color="auto" w:fill="auto"/>
                  <w:vAlign w:val="bottom"/>
                </w:tcPr>
                <w:p w14:paraId="71054733" w14:textId="77777777" w:rsidR="00DE1537" w:rsidRDefault="00DE1537" w:rsidP="00343F3E">
                  <w:pPr>
                    <w:pStyle w:val="TableBodyText"/>
                  </w:pPr>
                  <w:r>
                    <w:t>2</w:t>
                  </w:r>
                </w:p>
              </w:tc>
              <w:tc>
                <w:tcPr>
                  <w:tcW w:w="714" w:type="pct"/>
                  <w:shd w:val="clear" w:color="auto" w:fill="auto"/>
                  <w:vAlign w:val="bottom"/>
                </w:tcPr>
                <w:p w14:paraId="72896264" w14:textId="77777777" w:rsidR="00DE1537" w:rsidRDefault="00DE1537" w:rsidP="00343F3E">
                  <w:pPr>
                    <w:pStyle w:val="TableBodyText"/>
                  </w:pPr>
                  <w:r>
                    <w:t>0</w:t>
                  </w:r>
                </w:p>
              </w:tc>
              <w:tc>
                <w:tcPr>
                  <w:tcW w:w="714" w:type="pct"/>
                  <w:vAlign w:val="bottom"/>
                </w:tcPr>
                <w:p w14:paraId="1B9081B4" w14:textId="77777777" w:rsidR="00DE1537" w:rsidRDefault="00DE1537" w:rsidP="00343F3E">
                  <w:pPr>
                    <w:pStyle w:val="TableBodyText"/>
                  </w:pPr>
                  <w:r>
                    <w:t>0</w:t>
                  </w:r>
                </w:p>
              </w:tc>
              <w:tc>
                <w:tcPr>
                  <w:tcW w:w="714" w:type="pct"/>
                  <w:vAlign w:val="bottom"/>
                </w:tcPr>
                <w:p w14:paraId="11CC951C" w14:textId="77777777" w:rsidR="00DE1537" w:rsidRDefault="00DE1537" w:rsidP="00343F3E">
                  <w:pPr>
                    <w:pStyle w:val="TableBodyText"/>
                  </w:pPr>
                  <w:r>
                    <w:t>0</w:t>
                  </w:r>
                </w:p>
              </w:tc>
              <w:tc>
                <w:tcPr>
                  <w:tcW w:w="714" w:type="pct"/>
                  <w:vAlign w:val="bottom"/>
                </w:tcPr>
                <w:p w14:paraId="708107EB" w14:textId="77777777" w:rsidR="00DE1537" w:rsidRDefault="00DE1537" w:rsidP="00343F3E">
                  <w:pPr>
                    <w:pStyle w:val="TableBodyText"/>
                  </w:pPr>
                  <w:r>
                    <w:t>0</w:t>
                  </w:r>
                </w:p>
              </w:tc>
              <w:tc>
                <w:tcPr>
                  <w:tcW w:w="715" w:type="pct"/>
                  <w:vAlign w:val="bottom"/>
                </w:tcPr>
                <w:p w14:paraId="2119BDC8" w14:textId="77777777" w:rsidR="00DE1537" w:rsidRDefault="00DE1537" w:rsidP="00343F3E">
                  <w:pPr>
                    <w:pStyle w:val="TableBodyText"/>
                    <w:ind w:right="0"/>
                  </w:pPr>
                  <w:r>
                    <w:t>0</w:t>
                  </w:r>
                </w:p>
              </w:tc>
            </w:tr>
            <w:tr w:rsidR="00DE1537" w14:paraId="4A3465D3" w14:textId="77777777" w:rsidTr="00343F3E">
              <w:tc>
                <w:tcPr>
                  <w:tcW w:w="822" w:type="pct"/>
                  <w:tcBorders>
                    <w:bottom w:val="single" w:sz="6" w:space="0" w:color="BFBFBF"/>
                  </w:tcBorders>
                  <w:shd w:val="pct5" w:color="auto" w:fill="auto"/>
                </w:tcPr>
                <w:p w14:paraId="50CA4029" w14:textId="77777777" w:rsidR="00DE1537" w:rsidRPr="002A6843" w:rsidRDefault="00DE1537" w:rsidP="00343F3E">
                  <w:pPr>
                    <w:pStyle w:val="TableBodyText"/>
                    <w:spacing w:before="40"/>
                    <w:jc w:val="left"/>
                    <w:rPr>
                      <w:b/>
                    </w:rPr>
                  </w:pPr>
                  <w:r w:rsidRPr="002A6843">
                    <w:rPr>
                      <w:b/>
                    </w:rPr>
                    <w:t>Total</w:t>
                  </w:r>
                </w:p>
              </w:tc>
              <w:tc>
                <w:tcPr>
                  <w:tcW w:w="607" w:type="pct"/>
                  <w:tcBorders>
                    <w:bottom w:val="single" w:sz="6" w:space="0" w:color="BFBFBF"/>
                  </w:tcBorders>
                  <w:shd w:val="pct5" w:color="auto" w:fill="auto"/>
                  <w:vAlign w:val="bottom"/>
                </w:tcPr>
                <w:p w14:paraId="7A0C3D62" w14:textId="77777777" w:rsidR="00DE1537" w:rsidRDefault="00DE1537" w:rsidP="00343F3E">
                  <w:pPr>
                    <w:pStyle w:val="TableBodyText"/>
                    <w:spacing w:before="40"/>
                  </w:pPr>
                  <w:r>
                    <w:rPr>
                      <w:b/>
                      <w:bCs/>
                    </w:rPr>
                    <w:t>134</w:t>
                  </w:r>
                </w:p>
              </w:tc>
              <w:tc>
                <w:tcPr>
                  <w:tcW w:w="714" w:type="pct"/>
                  <w:tcBorders>
                    <w:bottom w:val="single" w:sz="6" w:space="0" w:color="BFBFBF"/>
                  </w:tcBorders>
                  <w:shd w:val="pct5" w:color="auto" w:fill="auto"/>
                  <w:vAlign w:val="bottom"/>
                </w:tcPr>
                <w:p w14:paraId="429BC64C" w14:textId="77777777" w:rsidR="00DE1537" w:rsidRDefault="00DE1537" w:rsidP="00343F3E">
                  <w:pPr>
                    <w:pStyle w:val="TableBodyText"/>
                    <w:spacing w:before="40"/>
                  </w:pPr>
                  <w:r>
                    <w:rPr>
                      <w:b/>
                      <w:bCs/>
                    </w:rPr>
                    <w:t>73</w:t>
                  </w:r>
                </w:p>
              </w:tc>
              <w:tc>
                <w:tcPr>
                  <w:tcW w:w="714" w:type="pct"/>
                  <w:tcBorders>
                    <w:bottom w:val="single" w:sz="6" w:space="0" w:color="BFBFBF"/>
                  </w:tcBorders>
                  <w:shd w:val="pct5" w:color="auto" w:fill="auto"/>
                  <w:vAlign w:val="bottom"/>
                </w:tcPr>
                <w:p w14:paraId="6D132873" w14:textId="77777777" w:rsidR="00DE1537" w:rsidRDefault="00DE1537" w:rsidP="00343F3E">
                  <w:pPr>
                    <w:pStyle w:val="TableBodyText"/>
                    <w:spacing w:before="40"/>
                  </w:pPr>
                  <w:r>
                    <w:rPr>
                      <w:b/>
                      <w:bCs/>
                    </w:rPr>
                    <w:t>33</w:t>
                  </w:r>
                </w:p>
              </w:tc>
              <w:tc>
                <w:tcPr>
                  <w:tcW w:w="714" w:type="pct"/>
                  <w:tcBorders>
                    <w:bottom w:val="single" w:sz="6" w:space="0" w:color="BFBFBF"/>
                  </w:tcBorders>
                  <w:shd w:val="pct5" w:color="auto" w:fill="auto"/>
                  <w:vAlign w:val="bottom"/>
                </w:tcPr>
                <w:p w14:paraId="1303B1A0" w14:textId="77777777" w:rsidR="00DE1537" w:rsidRDefault="00DE1537" w:rsidP="00343F3E">
                  <w:pPr>
                    <w:pStyle w:val="TableBodyText"/>
                    <w:spacing w:before="40"/>
                  </w:pPr>
                  <w:r>
                    <w:rPr>
                      <w:b/>
                      <w:bCs/>
                    </w:rPr>
                    <w:t>19</w:t>
                  </w:r>
                </w:p>
              </w:tc>
              <w:tc>
                <w:tcPr>
                  <w:tcW w:w="714" w:type="pct"/>
                  <w:tcBorders>
                    <w:bottom w:val="single" w:sz="6" w:space="0" w:color="BFBFBF"/>
                  </w:tcBorders>
                  <w:shd w:val="pct5" w:color="auto" w:fill="auto"/>
                  <w:vAlign w:val="bottom"/>
                </w:tcPr>
                <w:p w14:paraId="0FC2058B" w14:textId="77777777" w:rsidR="00DE1537" w:rsidRDefault="00DE1537" w:rsidP="00343F3E">
                  <w:pPr>
                    <w:pStyle w:val="TableBodyText"/>
                    <w:spacing w:before="40"/>
                  </w:pPr>
                  <w:r>
                    <w:rPr>
                      <w:b/>
                      <w:bCs/>
                    </w:rPr>
                    <w:t>8</w:t>
                  </w:r>
                </w:p>
              </w:tc>
              <w:tc>
                <w:tcPr>
                  <w:tcW w:w="715" w:type="pct"/>
                  <w:tcBorders>
                    <w:bottom w:val="single" w:sz="6" w:space="0" w:color="BFBFBF"/>
                  </w:tcBorders>
                  <w:shd w:val="pct5" w:color="auto" w:fill="auto"/>
                  <w:vAlign w:val="bottom"/>
                </w:tcPr>
                <w:p w14:paraId="215B64BD" w14:textId="77777777" w:rsidR="00DE1537" w:rsidRDefault="00DE1537" w:rsidP="00343F3E">
                  <w:pPr>
                    <w:pStyle w:val="TableBodyText"/>
                    <w:spacing w:before="40"/>
                    <w:ind w:right="0"/>
                  </w:pPr>
                  <w:r>
                    <w:rPr>
                      <w:b/>
                      <w:bCs/>
                    </w:rPr>
                    <w:t>4</w:t>
                  </w:r>
                </w:p>
              </w:tc>
            </w:tr>
          </w:tbl>
          <w:p w14:paraId="57332E36" w14:textId="77777777" w:rsidR="00DE1537" w:rsidRDefault="00DE1537" w:rsidP="00343F3E">
            <w:pPr>
              <w:pStyle w:val="Box"/>
            </w:pPr>
          </w:p>
        </w:tc>
      </w:tr>
      <w:tr w:rsidR="00DE1537" w14:paraId="6D3937D5" w14:textId="77777777" w:rsidTr="00343F3E">
        <w:trPr>
          <w:cantSplit/>
        </w:trPr>
        <w:tc>
          <w:tcPr>
            <w:tcW w:w="8771" w:type="dxa"/>
            <w:tcBorders>
              <w:top w:val="nil"/>
              <w:left w:val="nil"/>
              <w:bottom w:val="nil"/>
              <w:right w:val="nil"/>
            </w:tcBorders>
            <w:shd w:val="clear" w:color="auto" w:fill="auto"/>
          </w:tcPr>
          <w:p w14:paraId="20F835EB" w14:textId="77777777" w:rsidR="00DE1537" w:rsidRDefault="00DE1537" w:rsidP="00343F3E">
            <w:pPr>
              <w:pStyle w:val="Source"/>
            </w:pPr>
            <w:r>
              <w:rPr>
                <w:i/>
              </w:rPr>
              <w:t>Source</w:t>
            </w:r>
            <w:r w:rsidRPr="00167F06">
              <w:t xml:space="preserve">: </w:t>
            </w:r>
            <w:r>
              <w:t>Productivity Commission estimates.</w:t>
            </w:r>
          </w:p>
        </w:tc>
      </w:tr>
      <w:tr w:rsidR="00DE1537" w14:paraId="2D005DC3" w14:textId="77777777" w:rsidTr="00343F3E">
        <w:trPr>
          <w:cantSplit/>
        </w:trPr>
        <w:tc>
          <w:tcPr>
            <w:tcW w:w="8771" w:type="dxa"/>
            <w:tcBorders>
              <w:top w:val="nil"/>
              <w:left w:val="nil"/>
              <w:bottom w:val="single" w:sz="6" w:space="0" w:color="78A22F"/>
              <w:right w:val="nil"/>
            </w:tcBorders>
            <w:shd w:val="clear" w:color="auto" w:fill="auto"/>
          </w:tcPr>
          <w:p w14:paraId="471FE0D0" w14:textId="77777777" w:rsidR="00DE1537" w:rsidRDefault="00DE1537" w:rsidP="00343F3E">
            <w:pPr>
              <w:pStyle w:val="Box"/>
              <w:spacing w:before="0" w:line="120" w:lineRule="exact"/>
            </w:pPr>
          </w:p>
        </w:tc>
      </w:tr>
      <w:tr w:rsidR="00DE1537" w:rsidRPr="000863A5" w14:paraId="30CC04E6" w14:textId="77777777" w:rsidTr="00343F3E">
        <w:tc>
          <w:tcPr>
            <w:tcW w:w="8771" w:type="dxa"/>
            <w:tcBorders>
              <w:top w:val="single" w:sz="6" w:space="0" w:color="78A22F"/>
              <w:left w:val="nil"/>
              <w:bottom w:val="nil"/>
              <w:right w:val="nil"/>
            </w:tcBorders>
          </w:tcPr>
          <w:p w14:paraId="0219BF49" w14:textId="77777777" w:rsidR="00DE1537" w:rsidRPr="00626D32" w:rsidRDefault="00DE1537" w:rsidP="00343F3E">
            <w:pPr>
              <w:pStyle w:val="BoxSpaceBelow"/>
            </w:pPr>
          </w:p>
        </w:tc>
      </w:tr>
    </w:tbl>
    <w:p w14:paraId="1DE4B9EF" w14:textId="77777777" w:rsidR="00DE1537" w:rsidRDefault="00DE1537" w:rsidP="00343F3E">
      <w:pPr>
        <w:pStyle w:val="BodyText"/>
      </w:pPr>
      <w:r>
        <w:lastRenderedPageBreak/>
        <w:t>While changes to the small disaster criterion dramatically reduce the number of eligible events, total state and territory NDRRA expenditure does not decrease as much.</w:t>
      </w:r>
      <w:r w:rsidRPr="004A0A0F">
        <w:t xml:space="preserve"> </w:t>
      </w:r>
      <w:r w:rsidRPr="005A2CF8">
        <w:t xml:space="preserve">This </w:t>
      </w:r>
      <w:r>
        <w:t>reflects the fact</w:t>
      </w:r>
      <w:r w:rsidRPr="005A2CF8">
        <w:t xml:space="preserve"> that the bulk of NDRRA costs </w:t>
      </w:r>
      <w:proofErr w:type="gramStart"/>
      <w:r w:rsidRPr="005A2CF8">
        <w:t>is</w:t>
      </w:r>
      <w:proofErr w:type="gramEnd"/>
      <w:r w:rsidRPr="005A2CF8">
        <w:t xml:space="preserve"> the result of</w:t>
      </w:r>
      <w:r>
        <w:t xml:space="preserve"> a small number of large</w:t>
      </w:r>
      <w:r w:rsidRPr="005A2CF8">
        <w:t xml:space="preserve"> natural disasters</w:t>
      </w:r>
      <w:r>
        <w:t xml:space="preserve"> and the Commission’s expectation that a large number of routine weather events are captured under the current arrangements’ threshold. For example, if the small disaster criterion had been increased from:</w:t>
      </w:r>
    </w:p>
    <w:p w14:paraId="6ABDD027" w14:textId="77777777" w:rsidR="00DE1537" w:rsidRDefault="00DE1537" w:rsidP="00343F3E">
      <w:pPr>
        <w:pStyle w:val="ListBullet"/>
      </w:pPr>
      <w:r>
        <w:t>$240 000 to $2 million, total eligible NDRRA expenditure would have been $6.2 billion. This represents a decrease of less than 1 per cent of total expenditure, despite a 46 per cent reduction in the number of eligible events</w:t>
      </w:r>
    </w:p>
    <w:p w14:paraId="0EE74934" w14:textId="77777777" w:rsidR="00DE1537" w:rsidRDefault="00DE1537" w:rsidP="00343F3E">
      <w:pPr>
        <w:pStyle w:val="ListBullet"/>
      </w:pPr>
      <w:r>
        <w:t>$240 000 to $50 million, total eligible NDRRA expenditure would have been $5.7 billion. This represents a decrease of 9 per cent of total expenditure, despite an 86 per cent reduction in the number of eligible events.</w:t>
      </w:r>
    </w:p>
    <w:p w14:paraId="59F00BFB" w14:textId="77777777" w:rsidR="00DE1537" w:rsidRDefault="00DE1537" w:rsidP="00343F3E">
      <w:pPr>
        <w:pStyle w:val="Heading3"/>
      </w:pPr>
      <w:r>
        <w:t>An event-based model</w:t>
      </w:r>
    </w:p>
    <w:p w14:paraId="69088FF2" w14:textId="77777777" w:rsidR="00DE1537" w:rsidRDefault="00DE1537" w:rsidP="00343F3E">
      <w:pPr>
        <w:pStyle w:val="BodyText"/>
      </w:pPr>
      <w:r>
        <w:t>In the draft report, one of the Commission’s reform options was an event</w:t>
      </w:r>
      <w:r>
        <w:noBreakHyphen/>
        <w:t xml:space="preserve">based funding model (reform option 3). In this model, </w:t>
      </w:r>
      <w:r w:rsidRPr="00B61D01">
        <w:t xml:space="preserve">the Australian Government </w:t>
      </w:r>
      <w:r>
        <w:t>would p</w:t>
      </w:r>
      <w:r w:rsidRPr="00B61D01">
        <w:t>rovide state</w:t>
      </w:r>
      <w:r>
        <w:t xml:space="preserve"> and territory governments</w:t>
      </w:r>
      <w:r w:rsidRPr="00B61D01">
        <w:t xml:space="preserve"> with an upfront grant of 50 per cent of above</w:t>
      </w:r>
      <w:r>
        <w:noBreakHyphen/>
      </w:r>
      <w:r w:rsidRPr="00B61D01">
        <w:t>threshold eligible disaster costs for each medium</w:t>
      </w:r>
      <w:r>
        <w:noBreakHyphen/>
      </w:r>
      <w:r w:rsidRPr="00B61D01">
        <w:t xml:space="preserve">sized disaster (one with assessed eligible damages exceeding 0.2 per cent of state </w:t>
      </w:r>
      <w:r>
        <w:t xml:space="preserve">government </w:t>
      </w:r>
      <w:r w:rsidRPr="00B61D01">
        <w:t>revenue)</w:t>
      </w:r>
      <w:r w:rsidRPr="00AE43B7">
        <w:t>.</w:t>
      </w:r>
      <w:r>
        <w:t xml:space="preserve"> Selected aspects of this event</w:t>
      </w:r>
      <w:r>
        <w:noBreakHyphen/>
        <w:t>based model are modelled here as sensitivity analysis to illustrate the potential differences between an event</w:t>
      </w:r>
      <w:r>
        <w:noBreakHyphen/>
        <w:t>based and cumulative</w:t>
      </w:r>
      <w:r>
        <w:noBreakHyphen/>
        <w:t>expenditure</w:t>
      </w:r>
      <w:r>
        <w:noBreakHyphen/>
        <w:t>based model (the Commission’s funding model).</w:t>
      </w:r>
    </w:p>
    <w:p w14:paraId="0887291C" w14:textId="77777777" w:rsidR="00DE1537" w:rsidRDefault="00DE1537" w:rsidP="00343F3E">
      <w:pPr>
        <w:pStyle w:val="BodyText"/>
      </w:pPr>
      <w:r>
        <w:t>A quantitative assessment that incorporates all the features of an event</w:t>
      </w:r>
      <w:r>
        <w:noBreakHyphen/>
        <w:t>based model is not possible with the dataset that was provided to the Commission.</w:t>
      </w:r>
      <w:r>
        <w:rPr>
          <w:rStyle w:val="FootnoteReference"/>
        </w:rPr>
        <w:footnoteReference w:id="29"/>
      </w:r>
      <w:r>
        <w:t xml:space="preserve"> For example, disaggregated data by NDRRA category are not available. As a result, the Commission’s streamlining of eligible expenditure cannot be modelled; this exercise is undertaken under the assumption that eligible expenditure items are the same as under current funding arrangements. Although it is not ideal, it will not have material effects on the results given that the excluded categories are a small component of total NDRRA costs (section 7.5). </w:t>
      </w:r>
    </w:p>
    <w:p w14:paraId="4440C3C1" w14:textId="77777777" w:rsidR="00DE1537" w:rsidRDefault="00DE1537" w:rsidP="00343F3E">
      <w:pPr>
        <w:pStyle w:val="Heading4"/>
      </w:pPr>
      <w:r>
        <w:t>Results</w:t>
      </w:r>
    </w:p>
    <w:p w14:paraId="03A29FE1" w14:textId="77777777" w:rsidR="00DE1537" w:rsidRPr="00E06E3A" w:rsidRDefault="00DE1537" w:rsidP="00343F3E">
      <w:pPr>
        <w:pStyle w:val="BodyText"/>
      </w:pPr>
      <w:r w:rsidRPr="00E06E3A">
        <w:t xml:space="preserve">The Commission’s analysis </w:t>
      </w:r>
      <w:r>
        <w:t>covered</w:t>
      </w:r>
      <w:r w:rsidRPr="00E06E3A">
        <w:t xml:space="preserve"> the period 2011</w:t>
      </w:r>
      <w:r>
        <w:noBreakHyphen/>
        <w:t>12 to 2013</w:t>
      </w:r>
      <w:r>
        <w:noBreakHyphen/>
        <w:t>14. T</w:t>
      </w:r>
      <w:r w:rsidRPr="00E06E3A">
        <w:t xml:space="preserve">he main findings </w:t>
      </w:r>
      <w:r>
        <w:t>(table 7.9) we</w:t>
      </w:r>
      <w:r w:rsidRPr="00E06E3A">
        <w:t xml:space="preserve">re that under </w:t>
      </w:r>
      <w:r>
        <w:t>an event</w:t>
      </w:r>
      <w:r>
        <w:noBreakHyphen/>
        <w:t>based funding model</w:t>
      </w:r>
      <w:r w:rsidRPr="00E06E3A">
        <w:t>:</w:t>
      </w:r>
    </w:p>
    <w:p w14:paraId="10DC2946" w14:textId="77777777" w:rsidR="00DE1537" w:rsidRDefault="00DE1537" w:rsidP="00343F3E">
      <w:pPr>
        <w:pStyle w:val="ListBullet"/>
      </w:pPr>
      <w:r>
        <w:t>the Australian Government’s share of total NDRRA expenditure would have been nearly 20 percentage points lower than under current funding arrangements, translating to a cumulative reduction of $1.7 billion over the 3</w:t>
      </w:r>
      <w:r>
        <w:noBreakHyphen/>
        <w:t>year period or around $600 million per year</w:t>
      </w:r>
    </w:p>
    <w:p w14:paraId="69280E30" w14:textId="77777777" w:rsidR="00DE1537" w:rsidRDefault="00DE1537" w:rsidP="00343F3E">
      <w:pPr>
        <w:pStyle w:val="ListBullet"/>
      </w:pPr>
      <w:r>
        <w:lastRenderedPageBreak/>
        <w:t>the number of eligible events would have fallen drastically from 134 under current arrangements to 10</w:t>
      </w:r>
    </w:p>
    <w:p w14:paraId="40B52446" w14:textId="77777777" w:rsidR="00DE1537" w:rsidRDefault="00DE1537" w:rsidP="00343F3E">
      <w:pPr>
        <w:pStyle w:val="ListBullet"/>
      </w:pPr>
      <w:proofErr w:type="gramStart"/>
      <w:r>
        <w:t>a</w:t>
      </w:r>
      <w:proofErr w:type="gramEnd"/>
      <w:r w:rsidRPr="005A2CF8">
        <w:t xml:space="preserve"> 9</w:t>
      </w:r>
      <w:r>
        <w:t>3</w:t>
      </w:r>
      <w:r w:rsidRPr="005A2CF8">
        <w:t xml:space="preserve"> per cent r</w:t>
      </w:r>
      <w:r>
        <w:t>eduction in the number of NDRRA-</w:t>
      </w:r>
      <w:r w:rsidRPr="005A2CF8">
        <w:t xml:space="preserve">eligible events </w:t>
      </w:r>
      <w:r>
        <w:t>would have led</w:t>
      </w:r>
      <w:r w:rsidRPr="005A2CF8">
        <w:t xml:space="preserve"> to a 45</w:t>
      </w:r>
      <w:r>
        <w:t> </w:t>
      </w:r>
      <w:r w:rsidRPr="005A2CF8">
        <w:t>per cent reduction in the Australian Government’s NDRRA expenditure</w:t>
      </w:r>
      <w:r>
        <w:t xml:space="preserve"> (similar to the Commission’s funding model)</w:t>
      </w:r>
      <w:r w:rsidRPr="005A2CF8">
        <w:t xml:space="preserve">. </w:t>
      </w:r>
      <w:r>
        <w:t>As detailed above, this reflects the fact</w:t>
      </w:r>
      <w:r w:rsidRPr="005A2CF8">
        <w:t xml:space="preserve"> that the bulk of NDRRA costs </w:t>
      </w:r>
      <w:proofErr w:type="gramStart"/>
      <w:r w:rsidRPr="005A2CF8">
        <w:t>is</w:t>
      </w:r>
      <w:proofErr w:type="gramEnd"/>
      <w:r w:rsidRPr="005A2CF8">
        <w:t xml:space="preserve"> the result of</w:t>
      </w:r>
      <w:r>
        <w:t xml:space="preserve"> a small number of large</w:t>
      </w:r>
      <w:r w:rsidRPr="005A2CF8">
        <w:t xml:space="preserve"> natural disasters.</w:t>
      </w:r>
    </w:p>
    <w:p w14:paraId="003D6D4C"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5219BFCF" w14:textId="77777777" w:rsidTr="00343F3E">
        <w:tc>
          <w:tcPr>
            <w:tcW w:w="8771" w:type="dxa"/>
            <w:tcBorders>
              <w:top w:val="single" w:sz="6" w:space="0" w:color="78A22F"/>
              <w:left w:val="nil"/>
              <w:bottom w:val="nil"/>
              <w:right w:val="nil"/>
            </w:tcBorders>
            <w:shd w:val="clear" w:color="auto" w:fill="auto"/>
          </w:tcPr>
          <w:p w14:paraId="4F96A43F" w14:textId="63D5C84E" w:rsidR="00DE1537" w:rsidRDefault="00DE1537" w:rsidP="00343F3E">
            <w:pPr>
              <w:pStyle w:val="TableTitle"/>
            </w:pPr>
            <w:r>
              <w:rPr>
                <w:b w:val="0"/>
              </w:rPr>
              <w:t>Table 7.</w:t>
            </w:r>
            <w:r>
              <w:rPr>
                <w:b w:val="0"/>
                <w:noProof/>
              </w:rPr>
              <w:t>9</w:t>
            </w:r>
            <w:r>
              <w:tab/>
              <w:t>Australian Government NDRRA share under current arrangements and reform option 3</w:t>
            </w:r>
            <w:r w:rsidRPr="00AD3E84">
              <w:rPr>
                <w:rStyle w:val="NoteLabel"/>
                <w:b/>
              </w:rPr>
              <w:t>a</w:t>
            </w:r>
          </w:p>
          <w:p w14:paraId="6127E219" w14:textId="77777777" w:rsidR="00DE1537" w:rsidRPr="00784A05" w:rsidRDefault="00DE1537" w:rsidP="00343F3E">
            <w:pPr>
              <w:pStyle w:val="Subtitle"/>
            </w:pPr>
            <w:r>
              <w:t>2011</w:t>
            </w:r>
            <w:r>
              <w:noBreakHyphen/>
              <w:t>12 to 2013-14</w:t>
            </w:r>
          </w:p>
        </w:tc>
      </w:tr>
      <w:tr w:rsidR="00DE1537" w14:paraId="0E45EC99"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6"/>
              <w:gridCol w:w="1560"/>
              <w:gridCol w:w="2551"/>
              <w:gridCol w:w="2130"/>
            </w:tblGrid>
            <w:tr w:rsidR="00DE1537" w14:paraId="6BA8DD65" w14:textId="77777777" w:rsidTr="00343F3E">
              <w:tc>
                <w:tcPr>
                  <w:tcW w:w="1323" w:type="pct"/>
                  <w:tcBorders>
                    <w:top w:val="single" w:sz="6" w:space="0" w:color="BFBFBF"/>
                    <w:bottom w:val="single" w:sz="6" w:space="0" w:color="BFBFBF"/>
                  </w:tcBorders>
                  <w:shd w:val="clear" w:color="auto" w:fill="auto"/>
                  <w:tcMar>
                    <w:top w:w="28" w:type="dxa"/>
                  </w:tcMar>
                </w:tcPr>
                <w:p w14:paraId="40E0432A" w14:textId="77777777" w:rsidR="00DE1537" w:rsidRDefault="00DE1537" w:rsidP="00343F3E">
                  <w:pPr>
                    <w:pStyle w:val="TableColumnHeading"/>
                    <w:jc w:val="left"/>
                  </w:pPr>
                </w:p>
              </w:tc>
              <w:tc>
                <w:tcPr>
                  <w:tcW w:w="919" w:type="pct"/>
                  <w:tcBorders>
                    <w:top w:val="single" w:sz="6" w:space="0" w:color="BFBFBF"/>
                    <w:bottom w:val="single" w:sz="6" w:space="0" w:color="BFBFBF"/>
                  </w:tcBorders>
                </w:tcPr>
                <w:p w14:paraId="767D695D" w14:textId="77777777" w:rsidR="00DE1537" w:rsidRPr="00FB13D0" w:rsidRDefault="00DE1537" w:rsidP="00343F3E">
                  <w:pPr>
                    <w:pStyle w:val="TableColumnHeading"/>
                  </w:pPr>
                  <w:r w:rsidRPr="00FB13D0">
                    <w:t>Units</w:t>
                  </w:r>
                </w:p>
              </w:tc>
              <w:tc>
                <w:tcPr>
                  <w:tcW w:w="1503" w:type="pct"/>
                  <w:tcBorders>
                    <w:top w:val="single" w:sz="6" w:space="0" w:color="BFBFBF"/>
                    <w:bottom w:val="single" w:sz="6" w:space="0" w:color="BFBFBF"/>
                  </w:tcBorders>
                  <w:shd w:val="clear" w:color="auto" w:fill="auto"/>
                  <w:tcMar>
                    <w:top w:w="28" w:type="dxa"/>
                  </w:tcMar>
                </w:tcPr>
                <w:p w14:paraId="443FFD16" w14:textId="77777777" w:rsidR="00DE1537" w:rsidRPr="00FB13D0" w:rsidRDefault="00DE1537" w:rsidP="00343F3E">
                  <w:pPr>
                    <w:pStyle w:val="TableColumnHeading"/>
                  </w:pPr>
                  <w:r w:rsidRPr="00FB13D0">
                    <w:t>Current arrangements</w:t>
                  </w:r>
                </w:p>
              </w:tc>
              <w:tc>
                <w:tcPr>
                  <w:tcW w:w="1255" w:type="pct"/>
                  <w:tcBorders>
                    <w:top w:val="single" w:sz="6" w:space="0" w:color="BFBFBF"/>
                    <w:bottom w:val="single" w:sz="6" w:space="0" w:color="BFBFBF"/>
                  </w:tcBorders>
                  <w:shd w:val="clear" w:color="auto" w:fill="auto"/>
                  <w:tcMar>
                    <w:top w:w="28" w:type="dxa"/>
                  </w:tcMar>
                </w:tcPr>
                <w:p w14:paraId="65DD08D6" w14:textId="77777777" w:rsidR="00DE1537" w:rsidRPr="00FB13D0" w:rsidRDefault="00DE1537" w:rsidP="00343F3E">
                  <w:pPr>
                    <w:pStyle w:val="TableColumnHeading"/>
                    <w:ind w:right="28"/>
                  </w:pPr>
                  <w:r w:rsidRPr="00FB13D0">
                    <w:t xml:space="preserve">Reform option </w:t>
                  </w:r>
                  <w:r>
                    <w:t>3</w:t>
                  </w:r>
                </w:p>
              </w:tc>
            </w:tr>
            <w:tr w:rsidR="00DE1537" w14:paraId="37EFCEE5" w14:textId="77777777" w:rsidTr="00343F3E">
              <w:tc>
                <w:tcPr>
                  <w:tcW w:w="1323" w:type="pct"/>
                </w:tcPr>
                <w:p w14:paraId="48425BDC" w14:textId="77777777" w:rsidR="00DE1537" w:rsidRDefault="00DE1537" w:rsidP="00343F3E">
                  <w:pPr>
                    <w:pStyle w:val="TableBodyText"/>
                    <w:spacing w:before="40"/>
                    <w:jc w:val="left"/>
                  </w:pPr>
                  <w:r>
                    <w:t>Total contribution</w:t>
                  </w:r>
                </w:p>
              </w:tc>
              <w:tc>
                <w:tcPr>
                  <w:tcW w:w="919" w:type="pct"/>
                </w:tcPr>
                <w:p w14:paraId="34CADD9D" w14:textId="77777777" w:rsidR="00DE1537" w:rsidRDefault="00DE1537" w:rsidP="00343F3E">
                  <w:pPr>
                    <w:pStyle w:val="TableBodyText"/>
                    <w:spacing w:before="40"/>
                  </w:pPr>
                  <w:r>
                    <w:t>$b</w:t>
                  </w:r>
                </w:p>
              </w:tc>
              <w:tc>
                <w:tcPr>
                  <w:tcW w:w="1503" w:type="pct"/>
                </w:tcPr>
                <w:p w14:paraId="65A4AFF1" w14:textId="77777777" w:rsidR="00DE1537" w:rsidRDefault="00DE1537" w:rsidP="00343F3E">
                  <w:pPr>
                    <w:pStyle w:val="TableBodyText"/>
                    <w:spacing w:before="40"/>
                    <w:rPr>
                      <w:i/>
                    </w:rPr>
                  </w:pPr>
                  <w:r>
                    <w:t>3.8</w:t>
                  </w:r>
                </w:p>
              </w:tc>
              <w:tc>
                <w:tcPr>
                  <w:tcW w:w="1255" w:type="pct"/>
                </w:tcPr>
                <w:p w14:paraId="79FE9D91" w14:textId="77777777" w:rsidR="00DE1537" w:rsidRDefault="00DE1537" w:rsidP="00343F3E">
                  <w:pPr>
                    <w:pStyle w:val="TableBodyText"/>
                    <w:spacing w:before="40"/>
                    <w:ind w:right="28"/>
                  </w:pPr>
                  <w:r>
                    <w:t>2.1</w:t>
                  </w:r>
                </w:p>
              </w:tc>
            </w:tr>
            <w:tr w:rsidR="00DE1537" w14:paraId="10D3F38E" w14:textId="77777777" w:rsidTr="00343F3E">
              <w:tc>
                <w:tcPr>
                  <w:tcW w:w="1323" w:type="pct"/>
                  <w:shd w:val="clear" w:color="auto" w:fill="auto"/>
                </w:tcPr>
                <w:p w14:paraId="05E0ED67" w14:textId="77777777" w:rsidR="00DE1537" w:rsidRDefault="00DE1537" w:rsidP="00343F3E">
                  <w:pPr>
                    <w:pStyle w:val="TableBodyText"/>
                    <w:jc w:val="left"/>
                  </w:pPr>
                  <w:r>
                    <w:t>Total share</w:t>
                  </w:r>
                </w:p>
              </w:tc>
              <w:tc>
                <w:tcPr>
                  <w:tcW w:w="919" w:type="pct"/>
                </w:tcPr>
                <w:p w14:paraId="21004377" w14:textId="77777777" w:rsidR="00DE1537" w:rsidRDefault="00DE1537" w:rsidP="00343F3E">
                  <w:pPr>
                    <w:pStyle w:val="TableBodyText"/>
                  </w:pPr>
                  <w:r>
                    <w:t>%</w:t>
                  </w:r>
                </w:p>
              </w:tc>
              <w:tc>
                <w:tcPr>
                  <w:tcW w:w="1503" w:type="pct"/>
                  <w:shd w:val="clear" w:color="auto" w:fill="auto"/>
                </w:tcPr>
                <w:p w14:paraId="2228E4CE" w14:textId="77777777" w:rsidR="00DE1537" w:rsidRDefault="00DE1537" w:rsidP="00343F3E">
                  <w:pPr>
                    <w:pStyle w:val="TableBodyText"/>
                  </w:pPr>
                  <w:r>
                    <w:t>61</w:t>
                  </w:r>
                </w:p>
              </w:tc>
              <w:tc>
                <w:tcPr>
                  <w:tcW w:w="1255" w:type="pct"/>
                  <w:shd w:val="clear" w:color="auto" w:fill="auto"/>
                </w:tcPr>
                <w:p w14:paraId="15DE6BA2" w14:textId="77777777" w:rsidR="00DE1537" w:rsidRDefault="00DE1537" w:rsidP="00343F3E">
                  <w:pPr>
                    <w:pStyle w:val="TableBodyText"/>
                    <w:ind w:right="28"/>
                  </w:pPr>
                  <w:r>
                    <w:t>42</w:t>
                  </w:r>
                </w:p>
              </w:tc>
            </w:tr>
            <w:tr w:rsidR="00DE1537" w14:paraId="0BFD5C7E" w14:textId="77777777" w:rsidTr="00343F3E">
              <w:tc>
                <w:tcPr>
                  <w:tcW w:w="1323" w:type="pct"/>
                  <w:shd w:val="clear" w:color="auto" w:fill="auto"/>
                </w:tcPr>
                <w:p w14:paraId="2E334FED" w14:textId="77777777" w:rsidR="00DE1537" w:rsidRDefault="00DE1537" w:rsidP="00343F3E">
                  <w:pPr>
                    <w:pStyle w:val="TableBodyText"/>
                    <w:jc w:val="left"/>
                  </w:pPr>
                  <w:r>
                    <w:t>Maximum annual share</w:t>
                  </w:r>
                </w:p>
              </w:tc>
              <w:tc>
                <w:tcPr>
                  <w:tcW w:w="919" w:type="pct"/>
                </w:tcPr>
                <w:p w14:paraId="018DF990" w14:textId="77777777" w:rsidR="00DE1537" w:rsidRDefault="00DE1537" w:rsidP="00343F3E">
                  <w:pPr>
                    <w:pStyle w:val="TableBodyText"/>
                  </w:pPr>
                  <w:r>
                    <w:t>%</w:t>
                  </w:r>
                </w:p>
              </w:tc>
              <w:tc>
                <w:tcPr>
                  <w:tcW w:w="1503" w:type="pct"/>
                  <w:shd w:val="clear" w:color="auto" w:fill="auto"/>
                </w:tcPr>
                <w:p w14:paraId="3EABC136" w14:textId="77777777" w:rsidR="00DE1537" w:rsidRDefault="00DE1537" w:rsidP="00343F3E">
                  <w:pPr>
                    <w:pStyle w:val="TableBodyText"/>
                  </w:pPr>
                  <w:r>
                    <w:t>67</w:t>
                  </w:r>
                </w:p>
              </w:tc>
              <w:tc>
                <w:tcPr>
                  <w:tcW w:w="1255" w:type="pct"/>
                  <w:shd w:val="clear" w:color="auto" w:fill="auto"/>
                </w:tcPr>
                <w:p w14:paraId="5E1FFB6D" w14:textId="77777777" w:rsidR="00DE1537" w:rsidRDefault="00DE1537" w:rsidP="00343F3E">
                  <w:pPr>
                    <w:pStyle w:val="TableBodyText"/>
                    <w:ind w:right="28"/>
                  </w:pPr>
                  <w:r>
                    <w:t>46</w:t>
                  </w:r>
                </w:p>
              </w:tc>
            </w:tr>
            <w:tr w:rsidR="00DE1537" w14:paraId="4E03D720" w14:textId="77777777" w:rsidTr="00343F3E">
              <w:tc>
                <w:tcPr>
                  <w:tcW w:w="1323" w:type="pct"/>
                  <w:tcBorders>
                    <w:bottom w:val="single" w:sz="6" w:space="0" w:color="BFBFBF"/>
                  </w:tcBorders>
                  <w:shd w:val="clear" w:color="auto" w:fill="auto"/>
                </w:tcPr>
                <w:p w14:paraId="11D203BA" w14:textId="77777777" w:rsidR="00DE1537" w:rsidRDefault="00DE1537" w:rsidP="00343F3E">
                  <w:pPr>
                    <w:pStyle w:val="TableBodyText"/>
                    <w:jc w:val="left"/>
                  </w:pPr>
                  <w:r>
                    <w:t>Number of eligible events</w:t>
                  </w:r>
                </w:p>
              </w:tc>
              <w:tc>
                <w:tcPr>
                  <w:tcW w:w="919" w:type="pct"/>
                  <w:tcBorders>
                    <w:bottom w:val="single" w:sz="6" w:space="0" w:color="BFBFBF"/>
                  </w:tcBorders>
                </w:tcPr>
                <w:p w14:paraId="40E5A1A8" w14:textId="77777777" w:rsidR="00DE1537" w:rsidRDefault="00DE1537" w:rsidP="00343F3E">
                  <w:pPr>
                    <w:pStyle w:val="TableBodyText"/>
                  </w:pPr>
                </w:p>
              </w:tc>
              <w:tc>
                <w:tcPr>
                  <w:tcW w:w="1503" w:type="pct"/>
                  <w:tcBorders>
                    <w:bottom w:val="single" w:sz="6" w:space="0" w:color="BFBFBF"/>
                  </w:tcBorders>
                  <w:shd w:val="clear" w:color="auto" w:fill="auto"/>
                </w:tcPr>
                <w:p w14:paraId="44776E84" w14:textId="77777777" w:rsidR="00DE1537" w:rsidRDefault="00DE1537" w:rsidP="00343F3E">
                  <w:pPr>
                    <w:pStyle w:val="TableBodyText"/>
                  </w:pPr>
                  <w:r>
                    <w:t>134</w:t>
                  </w:r>
                </w:p>
              </w:tc>
              <w:tc>
                <w:tcPr>
                  <w:tcW w:w="1255" w:type="pct"/>
                  <w:tcBorders>
                    <w:bottom w:val="single" w:sz="6" w:space="0" w:color="BFBFBF"/>
                  </w:tcBorders>
                  <w:shd w:val="clear" w:color="auto" w:fill="auto"/>
                </w:tcPr>
                <w:p w14:paraId="34D7988B" w14:textId="77777777" w:rsidR="00DE1537" w:rsidRDefault="00DE1537" w:rsidP="00343F3E">
                  <w:pPr>
                    <w:pStyle w:val="TableBodyText"/>
                    <w:ind w:right="28"/>
                  </w:pPr>
                  <w:r>
                    <w:t>10</w:t>
                  </w:r>
                </w:p>
              </w:tc>
            </w:tr>
          </w:tbl>
          <w:p w14:paraId="0460BD2C" w14:textId="77777777" w:rsidR="00DE1537" w:rsidRDefault="00DE1537" w:rsidP="00343F3E">
            <w:pPr>
              <w:pStyle w:val="Box"/>
            </w:pPr>
          </w:p>
        </w:tc>
      </w:tr>
      <w:tr w:rsidR="00DE1537" w14:paraId="27652D01" w14:textId="77777777" w:rsidTr="00343F3E">
        <w:trPr>
          <w:cantSplit/>
        </w:trPr>
        <w:tc>
          <w:tcPr>
            <w:tcW w:w="8771" w:type="dxa"/>
            <w:tcBorders>
              <w:top w:val="nil"/>
              <w:left w:val="nil"/>
              <w:bottom w:val="nil"/>
              <w:right w:val="nil"/>
            </w:tcBorders>
            <w:shd w:val="clear" w:color="auto" w:fill="auto"/>
          </w:tcPr>
          <w:p w14:paraId="2B92521F" w14:textId="77777777" w:rsidR="00DE1537" w:rsidRDefault="00DE1537" w:rsidP="00343F3E">
            <w:pPr>
              <w:pStyle w:val="Note"/>
              <w:rPr>
                <w:i/>
              </w:rPr>
            </w:pPr>
            <w:proofErr w:type="gramStart"/>
            <w:r w:rsidRPr="008E77FE">
              <w:rPr>
                <w:rStyle w:val="NoteLabel"/>
              </w:rPr>
              <w:t>a</w:t>
            </w:r>
            <w:proofErr w:type="gramEnd"/>
            <w:r>
              <w:t xml:space="preserve"> Only some aspects of reform option 3 were quantitatively modelled.</w:t>
            </w:r>
          </w:p>
        </w:tc>
      </w:tr>
      <w:tr w:rsidR="00DE1537" w14:paraId="0E94074B" w14:textId="77777777" w:rsidTr="00343F3E">
        <w:trPr>
          <w:cantSplit/>
        </w:trPr>
        <w:tc>
          <w:tcPr>
            <w:tcW w:w="8771" w:type="dxa"/>
            <w:tcBorders>
              <w:top w:val="nil"/>
              <w:left w:val="nil"/>
              <w:bottom w:val="nil"/>
              <w:right w:val="nil"/>
            </w:tcBorders>
            <w:shd w:val="clear" w:color="auto" w:fill="auto"/>
          </w:tcPr>
          <w:p w14:paraId="6F7C4C9D" w14:textId="77777777" w:rsidR="00DE1537" w:rsidRDefault="00DE1537" w:rsidP="00343F3E">
            <w:pPr>
              <w:pStyle w:val="Source"/>
            </w:pPr>
            <w:r>
              <w:rPr>
                <w:i/>
              </w:rPr>
              <w:t>Source</w:t>
            </w:r>
            <w:r w:rsidRPr="00167F06">
              <w:t>:</w:t>
            </w:r>
            <w:r>
              <w:t xml:space="preserve"> Productivity Commission estimates.</w:t>
            </w:r>
          </w:p>
        </w:tc>
      </w:tr>
      <w:tr w:rsidR="00DE1537" w14:paraId="7512F78C" w14:textId="77777777" w:rsidTr="00343F3E">
        <w:trPr>
          <w:cantSplit/>
        </w:trPr>
        <w:tc>
          <w:tcPr>
            <w:tcW w:w="8771" w:type="dxa"/>
            <w:tcBorders>
              <w:top w:val="nil"/>
              <w:left w:val="nil"/>
              <w:bottom w:val="single" w:sz="6" w:space="0" w:color="78A22F"/>
              <w:right w:val="nil"/>
            </w:tcBorders>
            <w:shd w:val="clear" w:color="auto" w:fill="auto"/>
          </w:tcPr>
          <w:p w14:paraId="5FE87D12" w14:textId="77777777" w:rsidR="00DE1537" w:rsidRDefault="00DE1537" w:rsidP="00343F3E">
            <w:pPr>
              <w:pStyle w:val="Box"/>
              <w:spacing w:before="0" w:line="120" w:lineRule="exact"/>
            </w:pPr>
          </w:p>
        </w:tc>
      </w:tr>
      <w:tr w:rsidR="00DE1537" w:rsidRPr="000863A5" w14:paraId="3738D1F0" w14:textId="77777777" w:rsidTr="00343F3E">
        <w:tc>
          <w:tcPr>
            <w:tcW w:w="8771" w:type="dxa"/>
            <w:tcBorders>
              <w:top w:val="single" w:sz="6" w:space="0" w:color="78A22F"/>
              <w:left w:val="nil"/>
              <w:bottom w:val="nil"/>
              <w:right w:val="nil"/>
            </w:tcBorders>
          </w:tcPr>
          <w:p w14:paraId="73AFB828" w14:textId="77777777" w:rsidR="00DE1537" w:rsidRPr="00626D32" w:rsidRDefault="00DE1537" w:rsidP="00343F3E">
            <w:pPr>
              <w:pStyle w:val="BoxSpaceBelow"/>
            </w:pPr>
          </w:p>
        </w:tc>
      </w:tr>
    </w:tbl>
    <w:p w14:paraId="19DAC453" w14:textId="77777777" w:rsidR="00DE1537" w:rsidRPr="00044ACA" w:rsidRDefault="00DE1537" w:rsidP="00343F3E">
      <w:pPr>
        <w:pStyle w:val="Heading4"/>
      </w:pPr>
      <w:r>
        <w:t xml:space="preserve">Impact of </w:t>
      </w:r>
      <w:r w:rsidRPr="00044ACA">
        <w:t>an event-based</w:t>
      </w:r>
      <w:r w:rsidRPr="00A90815">
        <w:t xml:space="preserve"> model</w:t>
      </w:r>
      <w:r>
        <w:t xml:space="preserve"> on state and territory governments</w:t>
      </w:r>
    </w:p>
    <w:p w14:paraId="78AA5959" w14:textId="77777777" w:rsidR="00DE1537" w:rsidRPr="003975B4" w:rsidRDefault="00DE1537" w:rsidP="00343F3E">
      <w:pPr>
        <w:pStyle w:val="BodyText"/>
      </w:pPr>
      <w:r>
        <w:t>Australian Government funding to individual state and territory governments would be different under an event</w:t>
      </w:r>
      <w:r>
        <w:noBreakHyphen/>
        <w:t>based model and a cumulative</w:t>
      </w:r>
      <w:r>
        <w:noBreakHyphen/>
        <w:t xml:space="preserve">expenditure based model. Inquiry participants, especially state and territory </w:t>
      </w:r>
      <w:proofErr w:type="gramStart"/>
      <w:r>
        <w:t>governments,</w:t>
      </w:r>
      <w:proofErr w:type="gramEnd"/>
      <w:r>
        <w:t xml:space="preserve"> argued that they would invariably be worse off under an event</w:t>
      </w:r>
      <w:r>
        <w:noBreakHyphen/>
        <w:t>based model because of the high trigger for assistance from the Australian Government. This is not necessarily the case.</w:t>
      </w:r>
    </w:p>
    <w:p w14:paraId="3A32AA30" w14:textId="77777777" w:rsidR="00DE1537" w:rsidRDefault="00DE1537" w:rsidP="00343F3E">
      <w:pPr>
        <w:pStyle w:val="BodyText"/>
      </w:pPr>
      <w:r>
        <w:t>A historical comparison was undertaken to examine how states and territories would fare under the Commission’s funding model relative to an event</w:t>
      </w:r>
      <w:r>
        <w:noBreakHyphen/>
        <w:t>based model. This comparison was based on a partial assessment of these reforms, focusing on the different thresholds and mechanisms for Australian Government reimbursement.</w:t>
      </w:r>
    </w:p>
    <w:p w14:paraId="44B7BAD8" w14:textId="77777777" w:rsidR="00DE1537" w:rsidRDefault="00DE1537" w:rsidP="00343F3E">
      <w:pPr>
        <w:pStyle w:val="BodyText"/>
      </w:pPr>
      <w:r>
        <w:t>The analysis showed that Australian Government reimbursement under the Commission’s funding model and the draft report’s reform option 3 is relatively similar at an Australia</w:t>
      </w:r>
      <w:r>
        <w:noBreakHyphen/>
        <w:t>wide level, but differs by state and territory — some jurisdictions would have been better off under the Commission’s funding model while others would have been better off under option 3. New South Wales would have received higher Australian Government reimbursement under the Commission’s funding model. In Queensland, the difference would have been small. This is because severe natural disasters such as Cyclone Yasi would have been captured under both options, and the fact that the cost-sharing rate is the same under the Commission’s funding model and the event</w:t>
      </w:r>
      <w:r>
        <w:noBreakHyphen/>
        <w:t>based model (50 per cent). As discussed in section 7.5, the cost-sharing rate is the main determinant of the quantum of Australian Government post</w:t>
      </w:r>
      <w:r>
        <w:noBreakHyphen/>
        <w:t xml:space="preserve">disaster assistance to state and territory governments. On the </w:t>
      </w:r>
      <w:r>
        <w:lastRenderedPageBreak/>
        <w:t>other hand, Victoria, Tasmania and the Northern Territory would have received higher reimbursement under an event</w:t>
      </w:r>
      <w:r>
        <w:noBreakHyphen/>
        <w:t>based model. This is because they were hit by one</w:t>
      </w:r>
      <w:r>
        <w:noBreakHyphen/>
        <w:t>off natural disasters where expenditure exceeded the event</w:t>
      </w:r>
      <w:r>
        <w:noBreakHyphen/>
        <w:t>based threshold (0.2 per cent) but not the cumulative annual expenditure threshold under the Commission’s funding model (0.45 per cent).</w:t>
      </w:r>
    </w:p>
    <w:p w14:paraId="5787CE47" w14:textId="77777777" w:rsidR="00DE1537" w:rsidRDefault="00DE1537" w:rsidP="00343F3E">
      <w:pPr>
        <w:pStyle w:val="BodyText"/>
      </w:pPr>
      <w:r>
        <w:t>Importantly, the aforementioned relative position of states and territories under the two funding models is based on historical data. Given the uncertainty of future natural disaster events — their location, intensity and impact — and in the absence of catastrophe loss modelling at the state and territory level, these results should be considered as illustrative only.</w:t>
      </w:r>
    </w:p>
    <w:p w14:paraId="10016385" w14:textId="77777777" w:rsidR="00DE1537" w:rsidRDefault="00DE1537" w:rsidP="00343F3E">
      <w:pPr>
        <w:pStyle w:val="Heading2nosectionno"/>
        <w:spacing w:before="240"/>
      </w:pPr>
      <w:r>
        <w:br w:type="page"/>
      </w:r>
      <w:r>
        <w:lastRenderedPageBreak/>
        <w:t>Annex 1 — Econometric modelling</w:t>
      </w:r>
    </w:p>
    <w:p w14:paraId="2053A41C" w14:textId="77777777" w:rsidR="00DE1537" w:rsidRDefault="00DE1537" w:rsidP="00343F3E">
      <w:pPr>
        <w:pStyle w:val="BodyText"/>
      </w:pPr>
      <w:r>
        <w:t>Time series modelling was used to analyse the costs of natural disasters in Australia. The important econometric concepts, statistics and tests used in the modelling are highlighted in box 1.</w:t>
      </w:r>
    </w:p>
    <w:p w14:paraId="43CB81E4"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C821E2F" w14:textId="77777777" w:rsidTr="00343F3E">
        <w:tc>
          <w:tcPr>
            <w:tcW w:w="8771" w:type="dxa"/>
            <w:tcBorders>
              <w:top w:val="single" w:sz="6" w:space="0" w:color="78A22F"/>
              <w:left w:val="nil"/>
              <w:bottom w:val="nil"/>
              <w:right w:val="nil"/>
            </w:tcBorders>
            <w:shd w:val="clear" w:color="auto" w:fill="F2F2F2" w:themeFill="background1" w:themeFillShade="F2"/>
          </w:tcPr>
          <w:p w14:paraId="7142D8BF" w14:textId="77777777" w:rsidR="00DE1537" w:rsidRDefault="00DE1537">
            <w:pPr>
              <w:pStyle w:val="BoxTitle"/>
            </w:pPr>
            <w:r>
              <w:rPr>
                <w:b w:val="0"/>
              </w:rPr>
              <w:t>Box 1</w:t>
            </w:r>
            <w:r>
              <w:tab/>
              <w:t>Selected econometric concepts in time series modelling</w:t>
            </w:r>
          </w:p>
        </w:tc>
      </w:tr>
      <w:tr w:rsidR="00DE1537" w14:paraId="143B2A44" w14:textId="77777777" w:rsidTr="00343F3E">
        <w:trPr>
          <w:cantSplit/>
        </w:trPr>
        <w:tc>
          <w:tcPr>
            <w:tcW w:w="8771" w:type="dxa"/>
            <w:tcBorders>
              <w:top w:val="nil"/>
              <w:left w:val="nil"/>
              <w:bottom w:val="nil"/>
              <w:right w:val="nil"/>
            </w:tcBorders>
            <w:shd w:val="clear" w:color="auto" w:fill="F2F2F2" w:themeFill="background1" w:themeFillShade="F2"/>
          </w:tcPr>
          <w:p w14:paraId="16CCC239" w14:textId="77777777" w:rsidR="00DE1537" w:rsidRDefault="00DE1537" w:rsidP="00343F3E">
            <w:pPr>
              <w:pStyle w:val="BoxHeading1"/>
            </w:pPr>
            <w:r>
              <w:t>Serial correlation</w:t>
            </w:r>
          </w:p>
          <w:p w14:paraId="4843D3AE" w14:textId="77777777" w:rsidR="00DE1537" w:rsidRDefault="00DE1537" w:rsidP="00343F3E">
            <w:pPr>
              <w:pStyle w:val="Box"/>
            </w:pPr>
            <w:r>
              <w:t>Serial correlation measures the linear dependence between a variable at one point in time and its past values. First order correlation means that data in the current period are correlated with data in the previous period.</w:t>
            </w:r>
          </w:p>
          <w:p w14:paraId="6D1CA548" w14:textId="77777777" w:rsidR="00DE1537" w:rsidRPr="008D4D3A" w:rsidRDefault="00DE1537" w:rsidP="00343F3E">
            <w:pPr>
              <w:pStyle w:val="BoxHeading1"/>
            </w:pPr>
            <w:r>
              <w:t>Portmanteau test</w:t>
            </w:r>
          </w:p>
          <w:p w14:paraId="7EFDAAA5" w14:textId="77777777" w:rsidR="00DE1537" w:rsidRDefault="00DE1537" w:rsidP="00343F3E">
            <w:pPr>
              <w:pStyle w:val="Box"/>
            </w:pPr>
            <w:r>
              <w:t>This is used to test if a variable is white noise — does not have serial correlation. The null hypothesis is that there is no serial correlation.</w:t>
            </w:r>
          </w:p>
          <w:p w14:paraId="648886EE" w14:textId="77777777" w:rsidR="00DE1537" w:rsidRDefault="00DE1537" w:rsidP="00343F3E">
            <w:pPr>
              <w:pStyle w:val="BoxHeading1"/>
            </w:pPr>
            <w:r>
              <w:t>Stationarity</w:t>
            </w:r>
          </w:p>
          <w:p w14:paraId="64AD5690" w14:textId="77777777" w:rsidR="00DE1537" w:rsidRDefault="00DE1537" w:rsidP="00343F3E">
            <w:pPr>
              <w:pStyle w:val="Box"/>
            </w:pPr>
            <w:r>
              <w:t>A strictly stationary time series has a constant mean, variance, autocovariance and autocorrelation. A time series with a trend is non stationary.</w:t>
            </w:r>
          </w:p>
          <w:p w14:paraId="68DEC70C" w14:textId="77777777" w:rsidR="00DE1537" w:rsidRPr="008D4D3A" w:rsidRDefault="00DE1537" w:rsidP="00343F3E">
            <w:pPr>
              <w:pStyle w:val="BoxHeading1"/>
            </w:pPr>
            <w:r w:rsidRPr="008D4D3A">
              <w:t>Augmented Dickey-Fuller test</w:t>
            </w:r>
          </w:p>
          <w:p w14:paraId="45871769" w14:textId="77777777" w:rsidR="00DE1537" w:rsidRDefault="00DE1537" w:rsidP="00343F3E">
            <w:pPr>
              <w:pStyle w:val="Box"/>
            </w:pPr>
            <w:r>
              <w:t>This is commonly used to test for non</w:t>
            </w:r>
            <w:r>
              <w:noBreakHyphen/>
              <w:t>stationarity. The null hypothesis is that the time series has a unit root and is not stationary.</w:t>
            </w:r>
          </w:p>
          <w:p w14:paraId="6A9A013E" w14:textId="77777777" w:rsidR="00DE1537" w:rsidRDefault="00DE1537" w:rsidP="00343F3E">
            <w:pPr>
              <w:pStyle w:val="BoxHeading1"/>
              <w:rPr>
                <w:szCs w:val="24"/>
              </w:rPr>
            </w:pPr>
            <w:r>
              <w:t>Differenced series</w:t>
            </w:r>
          </w:p>
          <w:p w14:paraId="312E8928" w14:textId="77777777" w:rsidR="00DE1537" w:rsidRDefault="00DE1537" w:rsidP="00343F3E">
            <w:pPr>
              <w:pStyle w:val="Box"/>
            </w:pPr>
            <w:r>
              <w:t>A non</w:t>
            </w:r>
            <w:r>
              <w:noBreakHyphen/>
              <w:t xml:space="preserve">stationary time series can be rendered stationary through differencing. An </w:t>
            </w:r>
            <w:proofErr w:type="gramStart"/>
            <w:r>
              <w:t>I(</w:t>
            </w:r>
            <w:proofErr w:type="gramEnd"/>
            <w:r>
              <w:t>1) series has been differenced once and is obtained through the following transformation: Z</w:t>
            </w:r>
            <w:r w:rsidRPr="00AD3E84">
              <w:rPr>
                <w:vertAlign w:val="subscript"/>
              </w:rPr>
              <w:t>t</w:t>
            </w:r>
            <w:r>
              <w:t xml:space="preserve"> = X</w:t>
            </w:r>
            <w:r w:rsidRPr="00AD3E84">
              <w:rPr>
                <w:vertAlign w:val="subscript"/>
              </w:rPr>
              <w:t>t</w:t>
            </w:r>
            <w:r>
              <w:t xml:space="preserve"> – X</w:t>
            </w:r>
            <w:r w:rsidRPr="00AD3E84">
              <w:rPr>
                <w:vertAlign w:val="subscript"/>
              </w:rPr>
              <w:t>t-1</w:t>
            </w:r>
            <w:r>
              <w:t xml:space="preserve">. A series can be differenced more than once. </w:t>
            </w:r>
          </w:p>
          <w:p w14:paraId="61509101" w14:textId="77777777" w:rsidR="00DE1537" w:rsidRPr="004845C5" w:rsidRDefault="00DE1537" w:rsidP="00343F3E">
            <w:pPr>
              <w:pStyle w:val="BoxHeading1"/>
              <w:rPr>
                <w:szCs w:val="24"/>
              </w:rPr>
            </w:pPr>
            <w:r w:rsidRPr="00D93525">
              <w:t>AR(</w:t>
            </w:r>
            <w:r w:rsidRPr="00AD3E84">
              <w:rPr>
                <w:i/>
              </w:rPr>
              <w:t>p</w:t>
            </w:r>
            <w:r w:rsidRPr="00D93525">
              <w:t>) and MA(</w:t>
            </w:r>
            <w:r w:rsidRPr="00AD3E84">
              <w:rPr>
                <w:i/>
              </w:rPr>
              <w:t>q</w:t>
            </w:r>
            <w:r w:rsidRPr="00D93525">
              <w:t>) processes</w:t>
            </w:r>
          </w:p>
          <w:p w14:paraId="6AD7CC85" w14:textId="77777777" w:rsidR="00DE1537" w:rsidRDefault="00DE1537" w:rsidP="00343F3E">
            <w:pPr>
              <w:pStyle w:val="Box"/>
            </w:pPr>
            <w:r>
              <w:t xml:space="preserve">An </w:t>
            </w:r>
            <w:proofErr w:type="gramStart"/>
            <w:r w:rsidRPr="00AD3E84">
              <w:t>AR(</w:t>
            </w:r>
            <w:proofErr w:type="gramEnd"/>
            <w:r w:rsidRPr="00AD3E84">
              <w:rPr>
                <w:i/>
              </w:rPr>
              <w:t>p</w:t>
            </w:r>
            <w:r w:rsidRPr="00AD3E84">
              <w:t>)</w:t>
            </w:r>
            <w:r>
              <w:t xml:space="preserve"> process is an autoregressive process with </w:t>
            </w:r>
            <w:r w:rsidRPr="00AD3E84">
              <w:rPr>
                <w:i/>
              </w:rPr>
              <w:t>p</w:t>
            </w:r>
            <w:r>
              <w:t xml:space="preserve"> lags of the dependent variable. For example, an </w:t>
            </w:r>
            <w:proofErr w:type="gramStart"/>
            <w:r>
              <w:t>AR(</w:t>
            </w:r>
            <w:proofErr w:type="gramEnd"/>
            <w:r>
              <w:t>1) process can be represented as Y</w:t>
            </w:r>
            <w:r w:rsidRPr="00AD3E84">
              <w:rPr>
                <w:vertAlign w:val="subscript"/>
              </w:rPr>
              <w:t>t</w:t>
            </w:r>
            <w:r>
              <w:t xml:space="preserve"> = bY</w:t>
            </w:r>
            <w:r w:rsidRPr="00AD3E84">
              <w:rPr>
                <w:vertAlign w:val="subscript"/>
              </w:rPr>
              <w:t>t-1</w:t>
            </w:r>
            <w:r>
              <w:t xml:space="preserve"> + e</w:t>
            </w:r>
            <w:r w:rsidRPr="00AD3E84">
              <w:rPr>
                <w:vertAlign w:val="subscript"/>
              </w:rPr>
              <w:t>t</w:t>
            </w:r>
            <w:r>
              <w:t xml:space="preserve">. </w:t>
            </w:r>
          </w:p>
          <w:p w14:paraId="73CDFF80" w14:textId="77777777" w:rsidR="00DE1537" w:rsidRPr="00C8297E" w:rsidRDefault="00DE1537" w:rsidP="00343F3E">
            <w:pPr>
              <w:pStyle w:val="Box"/>
            </w:pPr>
            <w:r>
              <w:t xml:space="preserve">An </w:t>
            </w:r>
            <w:proofErr w:type="gramStart"/>
            <w:r>
              <w:t>MA(</w:t>
            </w:r>
            <w:proofErr w:type="gramEnd"/>
            <w:r w:rsidRPr="00910E1D">
              <w:rPr>
                <w:i/>
              </w:rPr>
              <w:t>q</w:t>
            </w:r>
            <w:r w:rsidRPr="00910E1D">
              <w:t>)</w:t>
            </w:r>
            <w:r>
              <w:t xml:space="preserve"> process is a moving average process of order </w:t>
            </w:r>
            <w:r w:rsidRPr="00AD3E84">
              <w:rPr>
                <w:i/>
              </w:rPr>
              <w:t>q</w:t>
            </w:r>
            <w:r>
              <w:t xml:space="preserve">. The intuition behind an </w:t>
            </w:r>
            <w:proofErr w:type="gramStart"/>
            <w:r>
              <w:t>MA(</w:t>
            </w:r>
            <w:proofErr w:type="gramEnd"/>
            <w:r w:rsidRPr="00AD3E84">
              <w:rPr>
                <w:i/>
              </w:rPr>
              <w:t>q</w:t>
            </w:r>
            <w:r w:rsidRPr="00E2308C">
              <w:t>)</w:t>
            </w:r>
            <w:r>
              <w:t xml:space="preserve"> process is that past shocks in the series affect the current value of the series.</w:t>
            </w:r>
          </w:p>
          <w:p w14:paraId="40CFD500" w14:textId="77777777" w:rsidR="00DE1537" w:rsidRDefault="00DE1537" w:rsidP="00343F3E">
            <w:pPr>
              <w:pStyle w:val="BoxHeading1"/>
              <w:rPr>
                <w:szCs w:val="24"/>
              </w:rPr>
            </w:pPr>
            <w:r>
              <w:t>Autocorrelation Function (ACF) and Partial Autocorrelation Function (PACF)</w:t>
            </w:r>
          </w:p>
          <w:p w14:paraId="002B3274" w14:textId="77777777" w:rsidR="00DE1537" w:rsidRPr="008D4D3A" w:rsidRDefault="00DE1537">
            <w:pPr>
              <w:pStyle w:val="Box"/>
              <w:rPr>
                <w:szCs w:val="24"/>
              </w:rPr>
            </w:pPr>
            <w:r>
              <w:t xml:space="preserve">These illustrate the relationship between observations in different </w:t>
            </w:r>
            <w:r w:rsidRPr="00B95069">
              <w:t>time</w:t>
            </w:r>
            <w:r w:rsidRPr="00E572F1">
              <w:t xml:space="preserve"> periods and can be used to identify the order of serial correlation in a variable. For example, t</w:t>
            </w:r>
            <w:r w:rsidRPr="00AD3E84">
              <w:t xml:space="preserve">he </w:t>
            </w:r>
            <w:r w:rsidRPr="00B95069">
              <w:t>PACF</w:t>
            </w:r>
            <w:r>
              <w:t xml:space="preserve"> looks at the partial correlation between a variable and a specific lag while holding everything in between constant. </w:t>
            </w:r>
          </w:p>
        </w:tc>
      </w:tr>
      <w:tr w:rsidR="00DE1537" w14:paraId="3ECF5175"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3CD126EE" w14:textId="77777777" w:rsidR="00DE1537" w:rsidRDefault="00DE1537" w:rsidP="00343F3E">
            <w:pPr>
              <w:pStyle w:val="Box"/>
              <w:spacing w:before="0" w:line="120" w:lineRule="exact"/>
            </w:pPr>
          </w:p>
        </w:tc>
      </w:tr>
      <w:tr w:rsidR="00DE1537" w:rsidRPr="000863A5" w14:paraId="463A9507" w14:textId="77777777" w:rsidTr="00343F3E">
        <w:tc>
          <w:tcPr>
            <w:tcW w:w="8771" w:type="dxa"/>
            <w:tcBorders>
              <w:top w:val="single" w:sz="6" w:space="0" w:color="78A22F"/>
              <w:left w:val="nil"/>
              <w:bottom w:val="nil"/>
              <w:right w:val="nil"/>
            </w:tcBorders>
          </w:tcPr>
          <w:p w14:paraId="3274CF1F" w14:textId="77777777" w:rsidR="00DE1537" w:rsidRPr="00626D32" w:rsidRDefault="00DE1537" w:rsidP="00343F3E">
            <w:pPr>
              <w:pStyle w:val="BoxSpaceBelow"/>
            </w:pPr>
          </w:p>
        </w:tc>
      </w:tr>
    </w:tbl>
    <w:p w14:paraId="5074134B" w14:textId="77777777" w:rsidR="00DE1537" w:rsidRPr="009A3AD5" w:rsidRDefault="00DE1537" w:rsidP="00343F3E">
      <w:pPr>
        <w:pStyle w:val="BodyText"/>
      </w:pPr>
      <w:r>
        <w:t xml:space="preserve">It was established in section 7.4 that the time series of insurance losses has an upward trend and potential increasing variation over time — heteroskedasdicity (left panel of figure 1). These features suggest that the time series is not stationary. </w:t>
      </w:r>
      <w:r w:rsidRPr="009A3AD5">
        <w:t xml:space="preserve">An Augmented </w:t>
      </w:r>
      <w:r w:rsidRPr="009A3AD5">
        <w:lastRenderedPageBreak/>
        <w:t>Dickey</w:t>
      </w:r>
      <w:r>
        <w:noBreakHyphen/>
      </w:r>
      <w:r w:rsidRPr="009A3AD5">
        <w:t>Fuller test conducted at five lags confirm</w:t>
      </w:r>
      <w:r>
        <w:t>ed</w:t>
      </w:r>
      <w:r w:rsidRPr="009A3AD5">
        <w:t xml:space="preserve"> the non</w:t>
      </w:r>
      <w:r>
        <w:noBreakHyphen/>
      </w:r>
      <w:r w:rsidRPr="009A3AD5">
        <w:t xml:space="preserve">stationarity since it </w:t>
      </w:r>
      <w:r>
        <w:t>was not possible to</w:t>
      </w:r>
      <w:r w:rsidRPr="009A3AD5">
        <w:t xml:space="preserve"> reject the null hypothesis of a unit root in the time series (table</w:t>
      </w:r>
      <w:r>
        <w:t> 1</w:t>
      </w:r>
      <w:r w:rsidRPr="009A3AD5">
        <w:t>).</w:t>
      </w:r>
      <w:r>
        <w:t xml:space="preserve"> The</w:t>
      </w:r>
      <w:r w:rsidRPr="009A3AD5">
        <w:t xml:space="preserve"> non</w:t>
      </w:r>
      <w:r>
        <w:noBreakHyphen/>
      </w:r>
      <w:r w:rsidRPr="009A3AD5">
        <w:t>stationarity</w:t>
      </w:r>
      <w:r>
        <w:t xml:space="preserve"> c</w:t>
      </w:r>
      <w:r w:rsidRPr="009A3AD5">
        <w:t xml:space="preserve">an be </w:t>
      </w:r>
      <w:r>
        <w:t>removed in a number of ways.</w:t>
      </w:r>
    </w:p>
    <w:p w14:paraId="101517B7" w14:textId="77777777" w:rsidR="00DE1537" w:rsidRPr="009A3AD5" w:rsidRDefault="00DE1537" w:rsidP="00343F3E">
      <w:pPr>
        <w:pStyle w:val="ListBullet"/>
      </w:pPr>
      <w:r w:rsidRPr="009A3AD5">
        <w:t>Taking the first difference of the series</w:t>
      </w:r>
      <w:r>
        <w:t>.</w:t>
      </w:r>
    </w:p>
    <w:p w14:paraId="143B7770" w14:textId="77777777" w:rsidR="00DE1537" w:rsidRDefault="00DE1537" w:rsidP="00343F3E">
      <w:pPr>
        <w:pStyle w:val="ListBullet"/>
      </w:pPr>
      <w:r>
        <w:t>Applying a logarithmic transformation to the series of insurance losses to stabilise the variance (right panel of figure 1).</w:t>
      </w:r>
    </w:p>
    <w:p w14:paraId="4861C0C1" w14:textId="77777777" w:rsidR="00DE1537" w:rsidRDefault="00DE1537" w:rsidP="00343F3E">
      <w:pPr>
        <w:pStyle w:val="ListBullet2"/>
      </w:pPr>
      <w:r>
        <w:t>Then taking the first difference of the above logged series.</w:t>
      </w:r>
    </w:p>
    <w:p w14:paraId="692C876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43786D38" w14:textId="77777777" w:rsidTr="00343F3E">
        <w:tc>
          <w:tcPr>
            <w:tcW w:w="8771" w:type="dxa"/>
            <w:tcBorders>
              <w:top w:val="single" w:sz="6" w:space="0" w:color="78A22F"/>
              <w:left w:val="nil"/>
              <w:bottom w:val="nil"/>
              <w:right w:val="nil"/>
            </w:tcBorders>
            <w:shd w:val="clear" w:color="auto" w:fill="auto"/>
          </w:tcPr>
          <w:p w14:paraId="6C5250DA" w14:textId="77777777" w:rsidR="00DE1537" w:rsidRDefault="00DE1537">
            <w:pPr>
              <w:pStyle w:val="FigureTitle"/>
            </w:pPr>
            <w:r w:rsidRPr="00784A05">
              <w:rPr>
                <w:b w:val="0"/>
              </w:rPr>
              <w:t xml:space="preserve">Figure </w:t>
            </w:r>
            <w:r>
              <w:rPr>
                <w:b w:val="0"/>
              </w:rPr>
              <w:t>1</w:t>
            </w:r>
            <w:r>
              <w:tab/>
              <w:t>Time series of nominal insurance losses</w:t>
            </w:r>
          </w:p>
          <w:p w14:paraId="2CF4B960" w14:textId="77777777" w:rsidR="00DE1537" w:rsidRPr="00293F40" w:rsidRDefault="00DE1537" w:rsidP="00343F3E">
            <w:pPr>
              <w:pStyle w:val="Subtitle"/>
            </w:pPr>
            <w:r>
              <w:t>In levels and in logs, 1970–2013</w:t>
            </w:r>
          </w:p>
        </w:tc>
      </w:tr>
      <w:tr w:rsidR="00DE1537" w14:paraId="581A2BD4"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4D621F1E" w14:textId="77777777" w:rsidTr="00343F3E">
              <w:tc>
                <w:tcPr>
                  <w:tcW w:w="5000" w:type="pct"/>
                  <w:tcBorders>
                    <w:top w:val="nil"/>
                    <w:bottom w:val="nil"/>
                  </w:tcBorders>
                </w:tcPr>
                <w:p w14:paraId="7E02D2E9" w14:textId="77777777" w:rsidR="00DE1537" w:rsidRDefault="00DE1537" w:rsidP="00343F3E">
                  <w:pPr>
                    <w:pStyle w:val="Figure"/>
                    <w:spacing w:before="60" w:after="60"/>
                  </w:pPr>
                  <w:r>
                    <w:rPr>
                      <w:noProof/>
                    </w:rPr>
                    <w:drawing>
                      <wp:inline distT="0" distB="0" distL="0" distR="0" wp14:anchorId="28353F39" wp14:editId="1DC724C8">
                        <wp:extent cx="2679589" cy="1452311"/>
                        <wp:effectExtent l="0" t="0" r="6985" b="0"/>
                        <wp:docPr id="134" name="Picture 134" descr="This figure shows nominal insurance losses in levels from 1970 to 2013." title="Time series of nominal insurance losses - 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682111" cy="1453678"/>
                                </a:xfrm>
                                <a:prstGeom prst="rect">
                                  <a:avLst/>
                                </a:prstGeom>
                                <a:noFill/>
                                <a:ln>
                                  <a:noFill/>
                                </a:ln>
                              </pic:spPr>
                            </pic:pic>
                          </a:graphicData>
                        </a:graphic>
                      </wp:inline>
                    </w:drawing>
                  </w:r>
                  <w:r>
                    <w:rPr>
                      <w:noProof/>
                    </w:rPr>
                    <w:drawing>
                      <wp:inline distT="0" distB="0" distL="0" distR="0" wp14:anchorId="7BDAD389" wp14:editId="14F22888">
                        <wp:extent cx="2655736" cy="1439382"/>
                        <wp:effectExtent l="0" t="0" r="0" b="8890"/>
                        <wp:docPr id="135" name="Picture 135" descr="This figure shows nominal insurance losses in logarithms from 1970 to 2013. Taking logs reduces the variability in insurance losses." title="Time series of nominal insurance losses - log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57321" cy="1440241"/>
                                </a:xfrm>
                                <a:prstGeom prst="rect">
                                  <a:avLst/>
                                </a:prstGeom>
                                <a:noFill/>
                                <a:ln>
                                  <a:noFill/>
                                </a:ln>
                              </pic:spPr>
                            </pic:pic>
                          </a:graphicData>
                        </a:graphic>
                      </wp:inline>
                    </w:drawing>
                  </w:r>
                </w:p>
              </w:tc>
            </w:tr>
          </w:tbl>
          <w:p w14:paraId="4850A015" w14:textId="77777777" w:rsidR="00DE1537" w:rsidRDefault="00DE1537" w:rsidP="00343F3E">
            <w:pPr>
              <w:pStyle w:val="Figure"/>
            </w:pPr>
          </w:p>
        </w:tc>
      </w:tr>
      <w:tr w:rsidR="00DE1537" w:rsidRPr="00176D3F" w14:paraId="317D1A0E" w14:textId="77777777" w:rsidTr="00343F3E">
        <w:tc>
          <w:tcPr>
            <w:tcW w:w="8771" w:type="dxa"/>
            <w:tcBorders>
              <w:top w:val="nil"/>
              <w:left w:val="nil"/>
              <w:bottom w:val="nil"/>
              <w:right w:val="nil"/>
            </w:tcBorders>
            <w:shd w:val="clear" w:color="auto" w:fill="auto"/>
          </w:tcPr>
          <w:p w14:paraId="7F105AEC" w14:textId="7123CDFB" w:rsidR="00DE1537" w:rsidRPr="00F27003" w:rsidRDefault="00DE1537" w:rsidP="00343F3E">
            <w:pPr>
              <w:pStyle w:val="Source"/>
            </w:pPr>
            <w:r w:rsidRPr="00784A05">
              <w:rPr>
                <w:i/>
              </w:rPr>
              <w:t>Data source</w:t>
            </w:r>
            <w:r>
              <w:rPr>
                <w:i/>
              </w:rPr>
              <w:t>s</w:t>
            </w:r>
            <w:r w:rsidRPr="00F27003">
              <w:t>:</w:t>
            </w:r>
            <w:r w:rsidRPr="003B638F">
              <w:t xml:space="preserve"> ICA</w:t>
            </w:r>
            <w:r>
              <w:t xml:space="preserve"> </w:t>
            </w:r>
            <w:r w:rsidR="007C5656" w:rsidRPr="007C5656">
              <w:rPr>
                <w:rFonts w:cs="Arial"/>
              </w:rPr>
              <w:t>(2014e)</w:t>
            </w:r>
            <w:r>
              <w:t>; Productivity Commission estimates.</w:t>
            </w:r>
            <w:r w:rsidRPr="00F27003">
              <w:t xml:space="preserve"> </w:t>
            </w:r>
          </w:p>
        </w:tc>
      </w:tr>
      <w:tr w:rsidR="00DE1537" w14:paraId="40FC178D" w14:textId="77777777" w:rsidTr="00343F3E">
        <w:tc>
          <w:tcPr>
            <w:tcW w:w="8771" w:type="dxa"/>
            <w:tcBorders>
              <w:top w:val="nil"/>
              <w:left w:val="nil"/>
              <w:bottom w:val="single" w:sz="6" w:space="0" w:color="78A22F"/>
              <w:right w:val="nil"/>
            </w:tcBorders>
            <w:shd w:val="clear" w:color="auto" w:fill="auto"/>
          </w:tcPr>
          <w:p w14:paraId="275D4A67" w14:textId="77777777" w:rsidR="00DE1537" w:rsidRDefault="00DE1537" w:rsidP="00343F3E">
            <w:pPr>
              <w:pStyle w:val="Figurespace"/>
            </w:pPr>
          </w:p>
        </w:tc>
      </w:tr>
      <w:tr w:rsidR="00DE1537" w:rsidRPr="000863A5" w14:paraId="4DA97473" w14:textId="77777777" w:rsidTr="00343F3E">
        <w:tc>
          <w:tcPr>
            <w:tcW w:w="8771" w:type="dxa"/>
            <w:tcBorders>
              <w:top w:val="single" w:sz="6" w:space="0" w:color="78A22F"/>
              <w:left w:val="nil"/>
              <w:bottom w:val="nil"/>
              <w:right w:val="nil"/>
            </w:tcBorders>
          </w:tcPr>
          <w:p w14:paraId="222056AA" w14:textId="77777777" w:rsidR="00DE1537" w:rsidRPr="00626D32" w:rsidRDefault="00DE1537" w:rsidP="00343F3E">
            <w:pPr>
              <w:pStyle w:val="BoxSpaceBelow"/>
            </w:pPr>
          </w:p>
        </w:tc>
      </w:tr>
    </w:tbl>
    <w:p w14:paraId="78E53E8F" w14:textId="77777777" w:rsidR="00DE1537" w:rsidRDefault="00DE1537" w:rsidP="00343F3E">
      <w:pPr>
        <w:pStyle w:val="BodyText"/>
      </w:pPr>
      <w:r w:rsidRPr="001D7E71">
        <w:t>Augmented Dickey</w:t>
      </w:r>
      <w:r>
        <w:noBreakHyphen/>
      </w:r>
      <w:r w:rsidRPr="001D7E71">
        <w:t xml:space="preserve">Fuller tests </w:t>
      </w:r>
      <w:r>
        <w:t>conducted again on the differenced series in levels and in logs suggest that these transformations have removed the non</w:t>
      </w:r>
      <w:r>
        <w:noBreakHyphen/>
        <w:t>stationarity. The null hypothesis of a unit root is rejected at the 5 per cent level in both cases (table 1).</w:t>
      </w:r>
    </w:p>
    <w:p w14:paraId="0D9DEB8A"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06917913" w14:textId="77777777" w:rsidTr="00343F3E">
        <w:tc>
          <w:tcPr>
            <w:tcW w:w="8771" w:type="dxa"/>
            <w:tcBorders>
              <w:top w:val="single" w:sz="6" w:space="0" w:color="78A22F"/>
              <w:left w:val="nil"/>
              <w:bottom w:val="nil"/>
              <w:right w:val="nil"/>
            </w:tcBorders>
            <w:shd w:val="clear" w:color="auto" w:fill="auto"/>
          </w:tcPr>
          <w:p w14:paraId="7E61BCB5" w14:textId="77777777" w:rsidR="00DE1537" w:rsidRPr="00784A05" w:rsidRDefault="00DE1537" w:rsidP="00343F3E">
            <w:pPr>
              <w:pStyle w:val="TableTitle"/>
            </w:pPr>
            <w:r>
              <w:rPr>
                <w:b w:val="0"/>
              </w:rPr>
              <w:t>Table 1</w:t>
            </w:r>
            <w:r>
              <w:tab/>
              <w:t>Testing for non-stationarity in nominal insurance losses</w:t>
            </w:r>
          </w:p>
        </w:tc>
      </w:tr>
      <w:tr w:rsidR="00DE1537" w14:paraId="0B2ABBFC" w14:textId="77777777" w:rsidTr="00343F3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806"/>
              <w:gridCol w:w="4678"/>
            </w:tblGrid>
            <w:tr w:rsidR="00DE1537" w14:paraId="4B7592DE" w14:textId="77777777" w:rsidTr="00343F3E">
              <w:tc>
                <w:tcPr>
                  <w:tcW w:w="2243" w:type="pct"/>
                  <w:tcBorders>
                    <w:top w:val="single" w:sz="6" w:space="0" w:color="BFBFBF"/>
                    <w:bottom w:val="single" w:sz="6" w:space="0" w:color="BFBFBF"/>
                  </w:tcBorders>
                  <w:shd w:val="clear" w:color="auto" w:fill="auto"/>
                  <w:tcMar>
                    <w:top w:w="28" w:type="dxa"/>
                  </w:tcMar>
                </w:tcPr>
                <w:p w14:paraId="15DE710C" w14:textId="77777777" w:rsidR="00DE1537" w:rsidRDefault="00DE1537" w:rsidP="00343F3E">
                  <w:pPr>
                    <w:pStyle w:val="TableColumnHeading"/>
                    <w:jc w:val="left"/>
                  </w:pPr>
                </w:p>
              </w:tc>
              <w:tc>
                <w:tcPr>
                  <w:tcW w:w="2757" w:type="pct"/>
                  <w:tcBorders>
                    <w:top w:val="single" w:sz="6" w:space="0" w:color="BFBFBF"/>
                    <w:bottom w:val="single" w:sz="6" w:space="0" w:color="BFBFBF"/>
                  </w:tcBorders>
                  <w:shd w:val="clear" w:color="auto" w:fill="auto"/>
                  <w:tcMar>
                    <w:top w:w="28" w:type="dxa"/>
                  </w:tcMar>
                </w:tcPr>
                <w:p w14:paraId="11A3941B" w14:textId="77777777" w:rsidR="00DE1537" w:rsidRDefault="00DE1537" w:rsidP="00343F3E">
                  <w:pPr>
                    <w:pStyle w:val="TableColumnHeading"/>
                  </w:pPr>
                  <w:r>
                    <w:t>Augmented Dickey-Fuller test (five lags)</w:t>
                  </w:r>
                </w:p>
              </w:tc>
            </w:tr>
            <w:tr w:rsidR="00DE1537" w14:paraId="6D35FE46" w14:textId="77777777" w:rsidTr="00343F3E">
              <w:tc>
                <w:tcPr>
                  <w:tcW w:w="2243" w:type="pct"/>
                  <w:tcBorders>
                    <w:top w:val="single" w:sz="6" w:space="0" w:color="BFBFBF"/>
                  </w:tcBorders>
                </w:tcPr>
                <w:p w14:paraId="78903E4A" w14:textId="77777777" w:rsidR="00DE1537" w:rsidRDefault="00DE1537" w:rsidP="00343F3E">
                  <w:pPr>
                    <w:pStyle w:val="TableUnitsRow"/>
                    <w:jc w:val="left"/>
                  </w:pPr>
                </w:p>
              </w:tc>
              <w:tc>
                <w:tcPr>
                  <w:tcW w:w="2757" w:type="pct"/>
                  <w:tcBorders>
                    <w:top w:val="single" w:sz="6" w:space="0" w:color="BFBFBF"/>
                  </w:tcBorders>
                  <w:vAlign w:val="center"/>
                </w:tcPr>
                <w:p w14:paraId="50B28F73" w14:textId="77777777" w:rsidR="00DE1537" w:rsidRDefault="00DE1537" w:rsidP="00343F3E">
                  <w:pPr>
                    <w:pStyle w:val="TableUnitsRow"/>
                    <w:rPr>
                      <w:i/>
                    </w:rPr>
                  </w:pPr>
                  <w:r>
                    <w:t>p-values (H</w:t>
                  </w:r>
                  <w:r w:rsidRPr="00802C66">
                    <w:rPr>
                      <w:vertAlign w:val="subscript"/>
                    </w:rPr>
                    <w:t>0</w:t>
                  </w:r>
                  <w:r>
                    <w:t>: series has a unit root)</w:t>
                  </w:r>
                </w:p>
              </w:tc>
            </w:tr>
            <w:tr w:rsidR="00DE1537" w14:paraId="6A0D9AB4" w14:textId="77777777" w:rsidTr="00343F3E">
              <w:tc>
                <w:tcPr>
                  <w:tcW w:w="2243" w:type="pct"/>
                </w:tcPr>
                <w:p w14:paraId="4B68B8EB" w14:textId="77777777" w:rsidR="00DE1537" w:rsidRDefault="00DE1537" w:rsidP="00343F3E">
                  <w:pPr>
                    <w:pStyle w:val="TableBodyText"/>
                    <w:jc w:val="left"/>
                  </w:pPr>
                  <w:r>
                    <w:t>Insurance losses</w:t>
                  </w:r>
                </w:p>
              </w:tc>
              <w:tc>
                <w:tcPr>
                  <w:tcW w:w="2757" w:type="pct"/>
                </w:tcPr>
                <w:p w14:paraId="0B8AE205" w14:textId="77777777" w:rsidR="00DE1537" w:rsidRDefault="00DE1537" w:rsidP="00343F3E">
                  <w:pPr>
                    <w:pStyle w:val="TableBodyText"/>
                  </w:pPr>
                  <w:r>
                    <w:t>0.75</w:t>
                  </w:r>
                </w:p>
              </w:tc>
            </w:tr>
            <w:tr w:rsidR="00DE1537" w14:paraId="4600AA5C" w14:textId="77777777" w:rsidTr="00343F3E">
              <w:tc>
                <w:tcPr>
                  <w:tcW w:w="2243" w:type="pct"/>
                  <w:shd w:val="clear" w:color="auto" w:fill="auto"/>
                </w:tcPr>
                <w:p w14:paraId="26F4D0C5" w14:textId="77777777" w:rsidR="00DE1537" w:rsidRDefault="00DE1537" w:rsidP="00343F3E">
                  <w:pPr>
                    <w:pStyle w:val="TableBodyText"/>
                    <w:jc w:val="left"/>
                    <w:rPr>
                      <w:szCs w:val="24"/>
                    </w:rPr>
                  </w:pPr>
                  <w:r>
                    <w:t>Logged insurance losses</w:t>
                  </w:r>
                </w:p>
              </w:tc>
              <w:tc>
                <w:tcPr>
                  <w:tcW w:w="2757" w:type="pct"/>
                  <w:shd w:val="clear" w:color="auto" w:fill="auto"/>
                </w:tcPr>
                <w:p w14:paraId="18F9E631" w14:textId="77777777" w:rsidR="00DE1537" w:rsidRDefault="00DE1537" w:rsidP="00343F3E">
                  <w:pPr>
                    <w:pStyle w:val="TableBodyText"/>
                  </w:pPr>
                  <w:r>
                    <w:t>0.85</w:t>
                  </w:r>
                </w:p>
              </w:tc>
            </w:tr>
            <w:tr w:rsidR="00DE1537" w14:paraId="456C2038" w14:textId="77777777" w:rsidTr="00343F3E">
              <w:tc>
                <w:tcPr>
                  <w:tcW w:w="2243" w:type="pct"/>
                  <w:shd w:val="clear" w:color="auto" w:fill="auto"/>
                </w:tcPr>
                <w:p w14:paraId="22946CFB" w14:textId="77777777" w:rsidR="00DE1537" w:rsidRDefault="00DE1537" w:rsidP="00343F3E">
                  <w:pPr>
                    <w:pStyle w:val="TableBodyText"/>
                    <w:jc w:val="left"/>
                  </w:pPr>
                  <w:r>
                    <w:t>First difference of insurance losses</w:t>
                  </w:r>
                </w:p>
              </w:tc>
              <w:tc>
                <w:tcPr>
                  <w:tcW w:w="2757" w:type="pct"/>
                  <w:shd w:val="clear" w:color="auto" w:fill="auto"/>
                </w:tcPr>
                <w:p w14:paraId="33259FB1" w14:textId="77777777" w:rsidR="00DE1537" w:rsidRDefault="00DE1537" w:rsidP="00343F3E">
                  <w:pPr>
                    <w:pStyle w:val="TableBodyText"/>
                    <w:ind w:right="28"/>
                  </w:pPr>
                  <w:r>
                    <w:t>0.04*</w:t>
                  </w:r>
                </w:p>
              </w:tc>
            </w:tr>
            <w:tr w:rsidR="00DE1537" w14:paraId="52C9D365" w14:textId="77777777" w:rsidTr="00343F3E">
              <w:tc>
                <w:tcPr>
                  <w:tcW w:w="2243" w:type="pct"/>
                  <w:tcBorders>
                    <w:bottom w:val="single" w:sz="6" w:space="0" w:color="BFBFBF"/>
                  </w:tcBorders>
                  <w:shd w:val="clear" w:color="auto" w:fill="auto"/>
                </w:tcPr>
                <w:p w14:paraId="601CD2CB" w14:textId="77777777" w:rsidR="00DE1537" w:rsidRDefault="00DE1537" w:rsidP="00343F3E">
                  <w:pPr>
                    <w:pStyle w:val="TableBodyText"/>
                    <w:jc w:val="left"/>
                  </w:pPr>
                  <w:r>
                    <w:t>First difference of logged insurance losses</w:t>
                  </w:r>
                </w:p>
              </w:tc>
              <w:tc>
                <w:tcPr>
                  <w:tcW w:w="2757" w:type="pct"/>
                  <w:tcBorders>
                    <w:bottom w:val="single" w:sz="6" w:space="0" w:color="BFBFBF"/>
                  </w:tcBorders>
                  <w:shd w:val="clear" w:color="auto" w:fill="auto"/>
                </w:tcPr>
                <w:p w14:paraId="4CCF9667" w14:textId="77777777" w:rsidR="00DE1537" w:rsidRDefault="00DE1537" w:rsidP="00343F3E">
                  <w:pPr>
                    <w:pStyle w:val="TableBodyText"/>
                    <w:ind w:right="28"/>
                  </w:pPr>
                  <w:r>
                    <w:t>0.0019*</w:t>
                  </w:r>
                </w:p>
              </w:tc>
            </w:tr>
          </w:tbl>
          <w:p w14:paraId="23BFABB3" w14:textId="77777777" w:rsidR="00DE1537" w:rsidRDefault="00DE1537" w:rsidP="00343F3E">
            <w:pPr>
              <w:pStyle w:val="Box"/>
            </w:pPr>
          </w:p>
        </w:tc>
      </w:tr>
      <w:tr w:rsidR="00DE1537" w14:paraId="5143D35B" w14:textId="77777777" w:rsidTr="00343F3E">
        <w:trPr>
          <w:cantSplit/>
        </w:trPr>
        <w:tc>
          <w:tcPr>
            <w:tcW w:w="8771" w:type="dxa"/>
            <w:tcBorders>
              <w:top w:val="nil"/>
              <w:left w:val="nil"/>
              <w:bottom w:val="nil"/>
              <w:right w:val="nil"/>
            </w:tcBorders>
            <w:shd w:val="clear" w:color="auto" w:fill="auto"/>
          </w:tcPr>
          <w:p w14:paraId="017A70BE" w14:textId="77777777" w:rsidR="00DE1537" w:rsidRDefault="00DE1537" w:rsidP="00343F3E">
            <w:pPr>
              <w:pStyle w:val="Note"/>
              <w:rPr>
                <w:i/>
              </w:rPr>
            </w:pPr>
            <w:r>
              <w:t xml:space="preserve">* indicates statistical significance at the five per cent level. </w:t>
            </w:r>
          </w:p>
        </w:tc>
      </w:tr>
      <w:tr w:rsidR="00DE1537" w14:paraId="33D8C22E" w14:textId="77777777" w:rsidTr="00343F3E">
        <w:trPr>
          <w:cantSplit/>
        </w:trPr>
        <w:tc>
          <w:tcPr>
            <w:tcW w:w="8771" w:type="dxa"/>
            <w:tcBorders>
              <w:top w:val="nil"/>
              <w:left w:val="nil"/>
              <w:bottom w:val="nil"/>
              <w:right w:val="nil"/>
            </w:tcBorders>
            <w:shd w:val="clear" w:color="auto" w:fill="auto"/>
          </w:tcPr>
          <w:p w14:paraId="32103BF4" w14:textId="77777777" w:rsidR="00DE1537" w:rsidRDefault="00DE1537" w:rsidP="00343F3E">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DE1537" w14:paraId="55E17973" w14:textId="77777777" w:rsidTr="00343F3E">
        <w:trPr>
          <w:cantSplit/>
        </w:trPr>
        <w:tc>
          <w:tcPr>
            <w:tcW w:w="8771" w:type="dxa"/>
            <w:tcBorders>
              <w:top w:val="nil"/>
              <w:left w:val="nil"/>
              <w:bottom w:val="single" w:sz="6" w:space="0" w:color="78A22F"/>
              <w:right w:val="nil"/>
            </w:tcBorders>
            <w:shd w:val="clear" w:color="auto" w:fill="auto"/>
          </w:tcPr>
          <w:p w14:paraId="1D9E1D94" w14:textId="77777777" w:rsidR="00DE1537" w:rsidRDefault="00DE1537" w:rsidP="00343F3E">
            <w:pPr>
              <w:pStyle w:val="Box"/>
              <w:spacing w:before="0" w:line="120" w:lineRule="exact"/>
            </w:pPr>
          </w:p>
        </w:tc>
      </w:tr>
      <w:tr w:rsidR="00DE1537" w:rsidRPr="000863A5" w14:paraId="1B58B55C" w14:textId="77777777" w:rsidTr="00343F3E">
        <w:tc>
          <w:tcPr>
            <w:tcW w:w="8771" w:type="dxa"/>
            <w:tcBorders>
              <w:top w:val="single" w:sz="6" w:space="0" w:color="78A22F"/>
              <w:left w:val="nil"/>
              <w:bottom w:val="nil"/>
              <w:right w:val="nil"/>
            </w:tcBorders>
          </w:tcPr>
          <w:p w14:paraId="45FD23F1" w14:textId="77777777" w:rsidR="00DE1537" w:rsidRPr="00626D32" w:rsidRDefault="00DE1537" w:rsidP="00343F3E">
            <w:pPr>
              <w:pStyle w:val="BoxSpaceBelow"/>
            </w:pPr>
          </w:p>
        </w:tc>
      </w:tr>
    </w:tbl>
    <w:p w14:paraId="353257F9" w14:textId="77777777" w:rsidR="00DE1537" w:rsidRDefault="00DE1537" w:rsidP="00343F3E">
      <w:pPr>
        <w:pStyle w:val="Heading3"/>
      </w:pPr>
      <w:r>
        <w:t>Model selection</w:t>
      </w:r>
    </w:p>
    <w:p w14:paraId="6765C538" w14:textId="77777777" w:rsidR="00DE1537" w:rsidRDefault="00DE1537" w:rsidP="00343F3E">
      <w:pPr>
        <w:pStyle w:val="BodyText"/>
      </w:pPr>
      <w:r>
        <w:t xml:space="preserve">The Commission’s approach was to model the trend in insurance losses by calculating an average insurance projection based on estimates from five different econometric models. </w:t>
      </w:r>
      <w:r>
        <w:lastRenderedPageBreak/>
        <w:t xml:space="preserve">This is because of the inherent randomness and volatility in the time series of insurance losses and the difficulties in finding an econometric model that </w:t>
      </w:r>
      <w:proofErr w:type="gramStart"/>
      <w:r>
        <w:t>performs</w:t>
      </w:r>
      <w:proofErr w:type="gramEnd"/>
      <w:r>
        <w:t xml:space="preserve"> well in the presence of these features.</w:t>
      </w:r>
    </w:p>
    <w:p w14:paraId="464BE669" w14:textId="77777777" w:rsidR="00DE1537" w:rsidRDefault="00DE1537" w:rsidP="00343F3E">
      <w:pPr>
        <w:pStyle w:val="BodyText"/>
      </w:pPr>
      <w:r>
        <w:t>These five models include simple linear models as well as more sophisticated ARIMA models (box 2).</w:t>
      </w:r>
      <w:r>
        <w:rPr>
          <w:rStyle w:val="FootnoteReference"/>
        </w:rPr>
        <w:footnoteReference w:id="30"/>
      </w:r>
      <w:r>
        <w:t xml:space="preserve"> The intuition behind this is to estimate models that make different assumptions about the projections of insurance losses and therefore embed the drivers of future growth in different ways. For example, a log model allows for the possibility that nominal insurance losses will grow by a constant percentage every year while a linear model’s underlying assumption is annual growth by constant amounts. On the other hand, ARIMA specifications are appropriate because they capture intertemporal dynamics by allowing past shocks to insurance losses to influence current values and by capturing the possibility that a projection of insurance losses in a given time period partly depends on past values of insurance losses.</w:t>
      </w:r>
    </w:p>
    <w:p w14:paraId="68D327A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65AB1E60" w14:textId="77777777" w:rsidTr="00343F3E">
        <w:tc>
          <w:tcPr>
            <w:tcW w:w="8771" w:type="dxa"/>
            <w:tcBorders>
              <w:top w:val="single" w:sz="6" w:space="0" w:color="78A22F"/>
              <w:left w:val="nil"/>
              <w:bottom w:val="nil"/>
              <w:right w:val="nil"/>
            </w:tcBorders>
            <w:shd w:val="clear" w:color="auto" w:fill="F2F2F2" w:themeFill="background1" w:themeFillShade="F2"/>
          </w:tcPr>
          <w:p w14:paraId="07A525E3" w14:textId="77777777" w:rsidR="00DE1537" w:rsidRDefault="00DE1537">
            <w:pPr>
              <w:pStyle w:val="BoxTitle"/>
            </w:pPr>
            <w:r>
              <w:rPr>
                <w:b w:val="0"/>
              </w:rPr>
              <w:t xml:space="preserve">Box </w:t>
            </w:r>
            <w:r w:rsidRPr="00AD3E84">
              <w:rPr>
                <w:b w:val="0"/>
              </w:rPr>
              <w:t>2</w:t>
            </w:r>
            <w:r>
              <w:tab/>
              <w:t>ARIMA models</w:t>
            </w:r>
          </w:p>
        </w:tc>
      </w:tr>
      <w:tr w:rsidR="00DE1537" w14:paraId="0693136D" w14:textId="77777777" w:rsidTr="00343F3E">
        <w:trPr>
          <w:cantSplit/>
        </w:trPr>
        <w:tc>
          <w:tcPr>
            <w:tcW w:w="8771" w:type="dxa"/>
            <w:tcBorders>
              <w:top w:val="nil"/>
              <w:left w:val="nil"/>
              <w:bottom w:val="nil"/>
              <w:right w:val="nil"/>
            </w:tcBorders>
            <w:shd w:val="clear" w:color="auto" w:fill="F2F2F2" w:themeFill="background1" w:themeFillShade="F2"/>
          </w:tcPr>
          <w:p w14:paraId="70B92974" w14:textId="77777777" w:rsidR="00DE1537" w:rsidRDefault="00DE1537" w:rsidP="00343F3E">
            <w:pPr>
              <w:pStyle w:val="Box"/>
            </w:pPr>
            <w:r w:rsidRPr="000F564C">
              <w:t xml:space="preserve">An </w:t>
            </w:r>
            <w:r>
              <w:t>autoregressive integrated moving average (</w:t>
            </w:r>
            <w:r w:rsidRPr="000F564C">
              <w:t>ARIMA</w:t>
            </w:r>
            <w:r>
              <w:t>)</w:t>
            </w:r>
            <w:r w:rsidRPr="000F564C">
              <w:t xml:space="preserve"> model is a special class of an Autoregressive Moving Average (ARMA)</w:t>
            </w:r>
            <w:r>
              <w:t xml:space="preserve"> </w:t>
            </w:r>
            <w:r w:rsidRPr="000F564C">
              <w:t>model, where a variable is modelled as a function of its lagged values as well</w:t>
            </w:r>
            <w:r>
              <w:t xml:space="preserve"> as</w:t>
            </w:r>
            <w:r w:rsidRPr="000F564C">
              <w:t xml:space="preserve"> lagged values of the </w:t>
            </w:r>
            <w:r>
              <w:t>residual</w:t>
            </w:r>
            <w:r w:rsidRPr="000F564C">
              <w:t>. An ARIMA (p</w:t>
            </w:r>
            <w:proofErr w:type="gramStart"/>
            <w:r w:rsidRPr="000F564C">
              <w:t>,d,q</w:t>
            </w:r>
            <w:proofErr w:type="gramEnd"/>
            <w:r w:rsidRPr="000F564C">
              <w:t>) model includes an AR(p) autoregressive component, a MA(q) moving average component and d</w:t>
            </w:r>
            <w:r w:rsidRPr="003E1F17">
              <w:rPr>
                <w:vertAlign w:val="superscript"/>
              </w:rPr>
              <w:t>th</w:t>
            </w:r>
            <w:r w:rsidRPr="000F564C">
              <w:t xml:space="preserve"> order differencing.</w:t>
            </w:r>
            <w:r>
              <w:t xml:space="preserve"> </w:t>
            </w:r>
            <w:r w:rsidRPr="000F564C">
              <w:t xml:space="preserve">Simple univariate ARIMA </w:t>
            </w:r>
            <w:r>
              <w:t>models were used in the Commission’s analysis.</w:t>
            </w:r>
          </w:p>
          <w:p w14:paraId="0A784C84" w14:textId="45543A79" w:rsidR="00DE1537" w:rsidRPr="00347B1F" w:rsidRDefault="00DE1537" w:rsidP="00343F3E">
            <w:pPr>
              <w:pStyle w:val="Box"/>
            </w:pPr>
            <w:r>
              <w:t xml:space="preserve">ARIMA models have previously been used in research on natural disasters. For example, Cavallo and Noy </w:t>
            </w:r>
            <w:r w:rsidRPr="00AD3E84">
              <w:rPr>
                <w:rFonts w:cs="Arial"/>
                <w:szCs w:val="24"/>
              </w:rPr>
              <w:t>(2010, p. 16)</w:t>
            </w:r>
            <w:r w:rsidRPr="00347B1F">
              <w:t xml:space="preserve"> reported that:</w:t>
            </w:r>
          </w:p>
          <w:p w14:paraId="441C23B8" w14:textId="107A417B" w:rsidR="00DE1537" w:rsidRPr="000F564C" w:rsidRDefault="00DE1537" w:rsidP="00343F3E">
            <w:pPr>
              <w:pStyle w:val="BoxQuote"/>
              <w:rPr>
                <w:rStyle w:val="DraftingNote"/>
                <w:b w:val="0"/>
                <w:color w:val="auto"/>
                <w:sz w:val="20"/>
                <w:u w:val="none"/>
              </w:rPr>
            </w:pPr>
            <w:r w:rsidRPr="00AD3E84">
              <w:t xml:space="preserve">Hochrainer </w:t>
            </w:r>
            <w:r w:rsidRPr="00B95069">
              <w:rPr>
                <w:rFonts w:cs="Arial"/>
              </w:rPr>
              <w:t>(2009)</w:t>
            </w:r>
            <w:r w:rsidRPr="00AD3E84">
              <w:t xml:space="preserve"> uses autoregressive integrated moving average models (ARIMA) to extrapolate pre</w:t>
            </w:r>
            <w:r>
              <w:noBreakHyphen/>
            </w:r>
            <w:r w:rsidRPr="00AD3E84">
              <w:t>disaster trends in GDP and construct counterfactuals of the medium term (up to 5 years after the disaster event) evolution of GDP if the disasters would have not occurred. By comparing those counterfactuals with observed GDP he finds that natural disasters on average lead to negative consequences, although the effects are significant only in the case of large shocks.</w:t>
            </w:r>
          </w:p>
        </w:tc>
      </w:tr>
      <w:tr w:rsidR="00DE1537" w14:paraId="31950201"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35CFE4F" w14:textId="77777777" w:rsidR="00DE1537" w:rsidRDefault="00DE1537" w:rsidP="00343F3E">
            <w:pPr>
              <w:pStyle w:val="Box"/>
              <w:spacing w:before="0" w:line="120" w:lineRule="exact"/>
            </w:pPr>
          </w:p>
        </w:tc>
      </w:tr>
      <w:tr w:rsidR="00DE1537" w:rsidRPr="000863A5" w14:paraId="48D94A7F" w14:textId="77777777" w:rsidTr="00343F3E">
        <w:tc>
          <w:tcPr>
            <w:tcW w:w="8771" w:type="dxa"/>
            <w:tcBorders>
              <w:top w:val="single" w:sz="6" w:space="0" w:color="78A22F"/>
              <w:left w:val="nil"/>
              <w:bottom w:val="nil"/>
              <w:right w:val="nil"/>
            </w:tcBorders>
          </w:tcPr>
          <w:p w14:paraId="3C7AAA05" w14:textId="77777777" w:rsidR="00DE1537" w:rsidRPr="00626D32" w:rsidRDefault="00DE1537" w:rsidP="00343F3E">
            <w:pPr>
              <w:pStyle w:val="BoxSpaceBelow"/>
            </w:pPr>
          </w:p>
        </w:tc>
      </w:tr>
    </w:tbl>
    <w:p w14:paraId="530BCB51" w14:textId="77777777" w:rsidR="00DE1537" w:rsidRDefault="00DE1537" w:rsidP="00343F3E">
      <w:pPr>
        <w:pStyle w:val="BodyText"/>
      </w:pPr>
      <w:r>
        <w:t xml:space="preserve">A range of ARIMA models was estimated and used for projecting insurance losses over the period 2014 to 2023. Since adopting a simple functional form was an important factor in choosing a model, a maximum of three lags was used for the </w:t>
      </w:r>
      <w:proofErr w:type="gramStart"/>
      <w:r>
        <w:t>AR(</w:t>
      </w:r>
      <w:proofErr w:type="gramEnd"/>
      <w:r>
        <w:t>p) and MA(q) components of the ARIMA model.</w:t>
      </w:r>
    </w:p>
    <w:p w14:paraId="0683D2D2" w14:textId="77777777" w:rsidR="00DE1537" w:rsidRDefault="00DE1537" w:rsidP="00343F3E">
      <w:pPr>
        <w:pStyle w:val="BodyText"/>
      </w:pPr>
      <w:r>
        <w:t xml:space="preserve">Model selection was based on prior expectations about insurance losses, simplicity, information criteria and statistical tests. </w:t>
      </w:r>
      <w:proofErr w:type="gramStart"/>
      <w:r>
        <w:t>After each estimation</w:t>
      </w:r>
      <w:proofErr w:type="gramEnd"/>
      <w:r>
        <w:t xml:space="preserve">, a Portmanteau test was performed to check if the residuals were white noise. The Akaike’s Information Criterion (AIC) and Bayesian Information Criterion (BIC) were also collected. These criteria were very similar across specifications, suggesting that the estimated ARIMA models perform similarly. Through an inspection of the projections, specifications were chosen that include </w:t>
      </w:r>
      <w:r>
        <w:lastRenderedPageBreak/>
        <w:t>volatility in the projections as well as those that project a more linear increase in insurance losses. Three ARIMA models were selected: ARIMA (1</w:t>
      </w:r>
      <w:proofErr w:type="gramStart"/>
      <w:r>
        <w:t>,1,1</w:t>
      </w:r>
      <w:proofErr w:type="gramEnd"/>
      <w:r>
        <w:t>), ARIMA (2,1,1), and ARIMA (2,1,2).</w:t>
      </w:r>
    </w:p>
    <w:p w14:paraId="0A3B8774" w14:textId="77777777" w:rsidR="00DE1537" w:rsidRDefault="00DE1537" w:rsidP="00343F3E">
      <w:pPr>
        <w:pStyle w:val="Heading4"/>
      </w:pPr>
      <w:r>
        <w:t xml:space="preserve">Projections </w:t>
      </w:r>
    </w:p>
    <w:p w14:paraId="28C8135B" w14:textId="77777777" w:rsidR="00DE1537" w:rsidRDefault="00DE1537" w:rsidP="00343F3E">
      <w:pPr>
        <w:pStyle w:val="BodyText"/>
      </w:pPr>
      <w:r>
        <w:t xml:space="preserve">Nominal insurance losses were projected over the period 2014–23 using five models — linear, log, ARIMA (1,1,1), ARIMA (2,1,1), and ARIMA (2,1,2). In all models, nominal insurance losses were projected to increase in the future (figure 2). The simple log model projected a </w:t>
      </w:r>
      <w:r w:rsidRPr="00BC3DF3">
        <w:t>relatively high growth rate while the ARIMA (1</w:t>
      </w:r>
      <w:proofErr w:type="gramStart"/>
      <w:r w:rsidRPr="00BC3DF3">
        <w:t>,1,1</w:t>
      </w:r>
      <w:proofErr w:type="gramEnd"/>
      <w:r w:rsidRPr="00BC3DF3">
        <w:t>) and simple linear models produce</w:t>
      </w:r>
      <w:r>
        <w:t>d</w:t>
      </w:r>
      <w:r w:rsidRPr="00BC3DF3">
        <w:t xml:space="preserve"> the lowest projections. The</w:t>
      </w:r>
      <w:r>
        <w:t xml:space="preserve"> ARIMA (2</w:t>
      </w:r>
      <w:proofErr w:type="gramStart"/>
      <w:r>
        <w:t>,1,1</w:t>
      </w:r>
      <w:proofErr w:type="gramEnd"/>
      <w:r>
        <w:t>) and ARIMA (2,1,2) models showed a lot of variability in the projections, reflecting the volatility in the actual data.</w:t>
      </w:r>
    </w:p>
    <w:p w14:paraId="1E9B55F7" w14:textId="77777777" w:rsidR="00DE1537" w:rsidRDefault="00DE1537" w:rsidP="00343F3E">
      <w:pPr>
        <w:pStyle w:val="BodyText"/>
      </w:pPr>
      <w:r>
        <w:t xml:space="preserve">To obtain trend projections of insurance losses in the medium term (2018) and long term (2023), a simple average of the projections obtained above was calculated. The results are discussed in section 7.4. </w:t>
      </w:r>
    </w:p>
    <w:p w14:paraId="483D9848"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E619962" w14:textId="77777777" w:rsidTr="00343F3E">
        <w:tc>
          <w:tcPr>
            <w:tcW w:w="8771" w:type="dxa"/>
            <w:tcBorders>
              <w:top w:val="single" w:sz="6" w:space="0" w:color="78A22F"/>
              <w:left w:val="nil"/>
              <w:bottom w:val="nil"/>
              <w:right w:val="nil"/>
            </w:tcBorders>
            <w:shd w:val="clear" w:color="auto" w:fill="auto"/>
          </w:tcPr>
          <w:p w14:paraId="7E07DACB" w14:textId="77777777" w:rsidR="00DE1537" w:rsidRPr="00176D3F" w:rsidRDefault="00DE1537" w:rsidP="00343F3E">
            <w:pPr>
              <w:pStyle w:val="FigureTitle"/>
            </w:pPr>
            <w:r w:rsidRPr="00784A05">
              <w:rPr>
                <w:b w:val="0"/>
              </w:rPr>
              <w:t xml:space="preserve">Figure </w:t>
            </w:r>
            <w:r>
              <w:rPr>
                <w:b w:val="0"/>
              </w:rPr>
              <w:t>2</w:t>
            </w:r>
            <w:r>
              <w:tab/>
              <w:t>Projected values from the five selected models of insurance losses</w:t>
            </w:r>
            <w:r w:rsidRPr="00C15641">
              <w:rPr>
                <w:rStyle w:val="NoteLabel"/>
                <w:b/>
              </w:rPr>
              <w:t>a</w:t>
            </w:r>
          </w:p>
        </w:tc>
      </w:tr>
      <w:tr w:rsidR="00DE1537" w14:paraId="101FB595"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029BBC57" w14:textId="77777777" w:rsidTr="00343F3E">
              <w:tc>
                <w:tcPr>
                  <w:tcW w:w="5000" w:type="pct"/>
                  <w:tcBorders>
                    <w:top w:val="nil"/>
                    <w:bottom w:val="nil"/>
                  </w:tcBorders>
                </w:tcPr>
                <w:p w14:paraId="5145ECD6" w14:textId="77777777" w:rsidR="00DE1537" w:rsidRDefault="00DE1537" w:rsidP="00343F3E">
                  <w:pPr>
                    <w:pStyle w:val="Figure"/>
                    <w:spacing w:before="60" w:after="60"/>
                  </w:pPr>
                  <w:r>
                    <w:rPr>
                      <w:noProof/>
                    </w:rPr>
                    <w:drawing>
                      <wp:inline distT="0" distB="0" distL="0" distR="0" wp14:anchorId="2909A354" wp14:editId="71CB90A6">
                        <wp:extent cx="5391150" cy="2671445"/>
                        <wp:effectExtent l="0" t="0" r="0" b="0"/>
                        <wp:docPr id="136" name="Picture 136" descr="This figure shows projected nominal insurance losses from five different econometric models: a linear model, log model, ARIMA (1,1,1), ARIMA (2,1,1) and ARIMA (2,1,2). The projection period is 2014 to 2023. The ARIMA (2,1,1) and ARIMA (2,1,2) show variability in the projections. The log model suggests the highest growth rate. The linear model and ARIMA (1,1,1) show the lowest projections." title="Projected values from the five selected models of insurance lo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391150" cy="2671445"/>
                                </a:xfrm>
                                <a:prstGeom prst="rect">
                                  <a:avLst/>
                                </a:prstGeom>
                                <a:noFill/>
                                <a:ln>
                                  <a:noFill/>
                                </a:ln>
                              </pic:spPr>
                            </pic:pic>
                          </a:graphicData>
                        </a:graphic>
                      </wp:inline>
                    </w:drawing>
                  </w:r>
                </w:p>
              </w:tc>
            </w:tr>
          </w:tbl>
          <w:p w14:paraId="2B950CFB" w14:textId="77777777" w:rsidR="00DE1537" w:rsidRDefault="00DE1537" w:rsidP="00343F3E">
            <w:pPr>
              <w:pStyle w:val="Figure"/>
            </w:pPr>
          </w:p>
        </w:tc>
      </w:tr>
      <w:tr w:rsidR="00DE1537" w:rsidRPr="00176D3F" w14:paraId="467093DA" w14:textId="77777777" w:rsidTr="00343F3E">
        <w:tc>
          <w:tcPr>
            <w:tcW w:w="8771" w:type="dxa"/>
            <w:tcBorders>
              <w:top w:val="nil"/>
              <w:left w:val="nil"/>
              <w:bottom w:val="nil"/>
              <w:right w:val="nil"/>
            </w:tcBorders>
            <w:shd w:val="clear" w:color="auto" w:fill="auto"/>
          </w:tcPr>
          <w:p w14:paraId="2B85C8AE" w14:textId="77777777" w:rsidR="00DE1537" w:rsidRPr="00176D3F" w:rsidRDefault="00DE1537" w:rsidP="00343F3E">
            <w:pPr>
              <w:pStyle w:val="Note"/>
            </w:pPr>
            <w:proofErr w:type="gramStart"/>
            <w:r>
              <w:rPr>
                <w:rStyle w:val="NoteLabel"/>
              </w:rPr>
              <w:t>a</w:t>
            </w:r>
            <w:proofErr w:type="gramEnd"/>
            <w:r>
              <w:t xml:space="preserve"> The projection period is 2014 to 2023. The medium term is 2018 and the long term is 2023. Projections from the ARIMA (1</w:t>
            </w:r>
            <w:proofErr w:type="gramStart"/>
            <w:r>
              <w:t>,1,1</w:t>
            </w:r>
            <w:proofErr w:type="gramEnd"/>
            <w:r>
              <w:t>) model are not visible because they overlap with projections from the linear equation.</w:t>
            </w:r>
          </w:p>
        </w:tc>
      </w:tr>
      <w:tr w:rsidR="00DE1537" w:rsidRPr="00176D3F" w14:paraId="53908ED4" w14:textId="77777777" w:rsidTr="00343F3E">
        <w:tc>
          <w:tcPr>
            <w:tcW w:w="8771" w:type="dxa"/>
            <w:tcBorders>
              <w:top w:val="nil"/>
              <w:left w:val="nil"/>
              <w:bottom w:val="nil"/>
              <w:right w:val="nil"/>
            </w:tcBorders>
            <w:shd w:val="clear" w:color="auto" w:fill="auto"/>
          </w:tcPr>
          <w:p w14:paraId="67E4E776" w14:textId="7ED82C35" w:rsidR="00DE1537" w:rsidRPr="00176D3F" w:rsidRDefault="00DE1537" w:rsidP="00343F3E">
            <w:pPr>
              <w:pStyle w:val="Source"/>
            </w:pPr>
            <w:r>
              <w:rPr>
                <w:i/>
              </w:rPr>
              <w:t>Data s</w:t>
            </w:r>
            <w:r w:rsidRPr="00784A05">
              <w:rPr>
                <w:i/>
              </w:rPr>
              <w:t>ource</w:t>
            </w:r>
            <w:r>
              <w:rPr>
                <w:i/>
              </w:rPr>
              <w:t>s</w:t>
            </w:r>
            <w:r w:rsidRPr="00176D3F">
              <w:t xml:space="preserve">: </w:t>
            </w:r>
            <w:r>
              <w:t xml:space="preserve">ICA </w:t>
            </w:r>
            <w:r w:rsidR="007C5656" w:rsidRPr="007C5656">
              <w:rPr>
                <w:rFonts w:cs="Arial"/>
              </w:rPr>
              <w:t>(2014e)</w:t>
            </w:r>
            <w:r>
              <w:t>; Productivity Commission estimates.</w:t>
            </w:r>
          </w:p>
        </w:tc>
      </w:tr>
      <w:tr w:rsidR="00DE1537" w14:paraId="6448C368" w14:textId="77777777" w:rsidTr="00343F3E">
        <w:tc>
          <w:tcPr>
            <w:tcW w:w="8771" w:type="dxa"/>
            <w:tcBorders>
              <w:top w:val="nil"/>
              <w:left w:val="nil"/>
              <w:bottom w:val="single" w:sz="6" w:space="0" w:color="78A22F"/>
              <w:right w:val="nil"/>
            </w:tcBorders>
            <w:shd w:val="clear" w:color="auto" w:fill="auto"/>
          </w:tcPr>
          <w:p w14:paraId="6BC4499C" w14:textId="77777777" w:rsidR="00DE1537" w:rsidRDefault="00DE1537" w:rsidP="00343F3E">
            <w:pPr>
              <w:pStyle w:val="Figurespace"/>
            </w:pPr>
          </w:p>
        </w:tc>
      </w:tr>
      <w:tr w:rsidR="00DE1537" w:rsidRPr="000863A5" w14:paraId="206403EB" w14:textId="77777777" w:rsidTr="00343F3E">
        <w:tc>
          <w:tcPr>
            <w:tcW w:w="8771" w:type="dxa"/>
            <w:tcBorders>
              <w:top w:val="single" w:sz="6" w:space="0" w:color="78A22F"/>
              <w:left w:val="nil"/>
              <w:bottom w:val="nil"/>
              <w:right w:val="nil"/>
            </w:tcBorders>
          </w:tcPr>
          <w:p w14:paraId="567D4F9C" w14:textId="77777777" w:rsidR="00DE1537" w:rsidRPr="00626D32" w:rsidRDefault="00DE1537" w:rsidP="00343F3E">
            <w:pPr>
              <w:pStyle w:val="BoxSpaceBelow"/>
            </w:pPr>
          </w:p>
        </w:tc>
      </w:tr>
    </w:tbl>
    <w:p w14:paraId="37F70598" w14:textId="77777777" w:rsidR="00DE1537" w:rsidRPr="000E6724" w:rsidRDefault="00DE1537" w:rsidP="00343F3E">
      <w:pPr>
        <w:pStyle w:val="Bibliography"/>
      </w:pPr>
    </w:p>
    <w:p w14:paraId="1A9E6D0A" w14:textId="77777777" w:rsidR="00DE1537" w:rsidRDefault="00DE1537" w:rsidP="00DE1537">
      <w:pPr>
        <w:sectPr w:rsidR="00DE1537" w:rsidSect="00DE1537">
          <w:headerReference w:type="even" r:id="rId97"/>
          <w:headerReference w:type="default" r:id="rId98"/>
          <w:footerReference w:type="even" r:id="rId99"/>
          <w:footerReference w:type="default" r:id="rId100"/>
          <w:type w:val="oddPage"/>
          <w:pgSz w:w="11907" w:h="16840" w:code="9"/>
          <w:pgMar w:top="1985" w:right="1304" w:bottom="1247" w:left="1814" w:header="1701" w:footer="397" w:gutter="0"/>
          <w:pgNumType w:chapSep="period"/>
          <w:cols w:space="720"/>
          <w:docGrid w:linePitch="326"/>
        </w:sectPr>
      </w:pPr>
    </w:p>
    <w:p w14:paraId="4AC9E3C9" w14:textId="77777777" w:rsidR="00DE1537" w:rsidRDefault="00DE1537" w:rsidP="00343F3E">
      <w:pPr>
        <w:pStyle w:val="Heading1"/>
        <w:spacing w:before="0"/>
      </w:pPr>
      <w:bookmarkStart w:id="86" w:name="_Toc406424355"/>
      <w:r>
        <w:lastRenderedPageBreak/>
        <w:t>8</w:t>
      </w:r>
      <w:r>
        <w:tab/>
        <w:t>Lessons from other countries</w:t>
      </w:r>
      <w:bookmarkEnd w:id="86"/>
    </w:p>
    <w:p w14:paraId="3E3476FA" w14:textId="77777777" w:rsidR="00DE1537" w:rsidRDefault="00DE1537" w:rsidP="00343F3E">
      <w:pPr>
        <w:pStyle w:val="Heading2"/>
      </w:pPr>
      <w:bookmarkStart w:id="87" w:name="_Toc406424356"/>
      <w:r>
        <w:t>8.</w:t>
      </w:r>
      <w:r>
        <w:rPr>
          <w:noProof/>
        </w:rPr>
        <w:t>1</w:t>
      </w:r>
      <w:r>
        <w:tab/>
        <w:t>Introduction and key points</w:t>
      </w:r>
      <w:bookmarkEnd w:id="87"/>
    </w:p>
    <w:p w14:paraId="7DC5304E" w14:textId="77777777" w:rsidR="00DE1537" w:rsidRDefault="00DE1537" w:rsidP="00343F3E">
      <w:pPr>
        <w:pStyle w:val="BodyText"/>
      </w:pPr>
      <w:r>
        <w:t>This supplementary paper identifies lessons that can be drawn from natural disaster funding arrangements in other countries. It examines experiences in countries that, like Australia, have a federal system of government, including the United States, Canada and Germany. It also covers selected examples from other countries, including New Zealand, the United Kingdom, Japan, the Netherlands and France.</w:t>
      </w:r>
      <w:r w:rsidRPr="00167CB3">
        <w:t xml:space="preserve"> </w:t>
      </w:r>
      <w:r>
        <w:t>The paper draws from official sources, published summaries of arrangements in selected countries (such as by the OECD), critical evaluations where available (mostly for the United States) and submissions to the inquiry that provided evidence or insights from international experience.</w:t>
      </w:r>
    </w:p>
    <w:p w14:paraId="10DB1839" w14:textId="77777777" w:rsidR="00DE1537" w:rsidRDefault="00DE1537" w:rsidP="00343F3E">
      <w:pPr>
        <w:pStyle w:val="BodyText"/>
      </w:pPr>
      <w:r>
        <w:t>The paper takes a thematic approach. Section 8.2 outlines mitigation funding measures by national governments. Sections 8.3–8.5 then examine recovery funding arrangements, covering funding for subnational governments, government</w:t>
      </w:r>
      <w:r>
        <w:noBreakHyphen/>
        <w:t>backed insurance pools and fiscal management, respectively. Section 8.6 discusses the provision and communication of natural disaster information and section 8.7 examines the regulation of the built environment.</w:t>
      </w:r>
    </w:p>
    <w:p w14:paraId="403D0E29" w14:textId="77777777" w:rsidR="00DE1537" w:rsidRDefault="00DE1537" w:rsidP="00343F3E">
      <w:pPr>
        <w:pStyle w:val="BodyText"/>
      </w:pPr>
      <w:r>
        <w:t>This supplementary paper makes several key points.</w:t>
      </w:r>
    </w:p>
    <w:p w14:paraId="0155115E" w14:textId="77777777" w:rsidR="00DE1537" w:rsidRDefault="00DE1537" w:rsidP="00343F3E">
      <w:pPr>
        <w:pStyle w:val="ListBullet"/>
      </w:pPr>
      <w:r>
        <w:t>Developed democratic countries comparable to Australia generally have explicit natural disaster mitigation and recovery funding arrangements. However, arrangements typically reflect national circumstances, such as the types of natural hazards faced, degree of fiscal imbalance between levels of government, and expectations of the role of government. This places a caveat on their relevance to Australia.</w:t>
      </w:r>
    </w:p>
    <w:p w14:paraId="3787E7CA" w14:textId="77777777" w:rsidR="00DE1537" w:rsidRDefault="00DE1537" w:rsidP="00343F3E">
      <w:pPr>
        <w:pStyle w:val="ListBullet"/>
      </w:pPr>
      <w:r>
        <w:t>Most national governments fund a significant portion of the recovery costs of lower levels of government. Federations typically have explicit arrangements in place.</w:t>
      </w:r>
    </w:p>
    <w:p w14:paraId="73D40367" w14:textId="77777777" w:rsidR="00DE1537" w:rsidRDefault="00DE1537" w:rsidP="00343F3E">
      <w:pPr>
        <w:pStyle w:val="ListBullet2"/>
      </w:pPr>
      <w:r>
        <w:t>Assistance arrangements in other federations appear unrelated to levels of vertical fiscal imbalance, and are typically more generous than arrangements in Australia.</w:t>
      </w:r>
    </w:p>
    <w:p w14:paraId="2793759D" w14:textId="77777777" w:rsidR="00DE1537" w:rsidRDefault="00DE1537" w:rsidP="00343F3E">
      <w:pPr>
        <w:pStyle w:val="ListBullet2"/>
      </w:pPr>
      <w:r>
        <w:t>There is some evidence to suggest that governments underinvest in disaster mitigation relative to relief and recovery, potentially because the latter are more salient with voters. However, the Commission has not been able to obtain complete data on mitigation expenditure across subnational jurisdictions in any country.</w:t>
      </w:r>
    </w:p>
    <w:p w14:paraId="5F13D0CA" w14:textId="77777777" w:rsidR="00DE1537" w:rsidRDefault="00DE1537" w:rsidP="00343F3E">
      <w:pPr>
        <w:pStyle w:val="ListBullet"/>
      </w:pPr>
      <w:r>
        <w:t xml:space="preserve">Governments in several countries have intervened in natural disaster insurance markets, either through direct government provision of insurance or by providing reinsurance or guarantees for private insurers. This international experience reveals significant </w:t>
      </w:r>
      <w:r>
        <w:lastRenderedPageBreak/>
        <w:t>disadvantages to government provision or underwriting of natural disaster insurance for private property, and that such schemes rarely succeed in meeting their objectives.</w:t>
      </w:r>
    </w:p>
    <w:p w14:paraId="163DBD89" w14:textId="77777777" w:rsidR="00DE1537" w:rsidRDefault="00DE1537" w:rsidP="00343F3E">
      <w:pPr>
        <w:pStyle w:val="ListBullet2"/>
      </w:pPr>
      <w:r>
        <w:t>Some governments have had to bail out their own schemes following a catastrophic disaster because the scheme had accumulated inadequate reserves.</w:t>
      </w:r>
    </w:p>
    <w:p w14:paraId="599CF6AD" w14:textId="77777777" w:rsidR="00DE1537" w:rsidRDefault="00DE1537" w:rsidP="00343F3E">
      <w:pPr>
        <w:pStyle w:val="ListBullet2"/>
      </w:pPr>
      <w:r>
        <w:t>Subsidised premiums can lead to moral hazard by weakening incentives to reduce risk exposure.</w:t>
      </w:r>
    </w:p>
    <w:p w14:paraId="75B036BE" w14:textId="77777777" w:rsidR="00DE1537" w:rsidRDefault="00DE1537" w:rsidP="00343F3E">
      <w:pPr>
        <w:pStyle w:val="ListBullet2"/>
      </w:pPr>
      <w:r>
        <w:t>Insurance take</w:t>
      </w:r>
      <w:r>
        <w:noBreakHyphen/>
        <w:t>up rates have sometimes been limited by expectations of post</w:t>
      </w:r>
      <w:r>
        <w:noBreakHyphen/>
        <w:t>disaster assistance from governments.</w:t>
      </w:r>
    </w:p>
    <w:p w14:paraId="04310672" w14:textId="77777777" w:rsidR="00DE1537" w:rsidRDefault="00DE1537" w:rsidP="00343F3E">
      <w:pPr>
        <w:pStyle w:val="ListBullet"/>
      </w:pPr>
      <w:r>
        <w:t xml:space="preserve">Some governments use </w:t>
      </w:r>
      <w:r w:rsidRPr="005D1136">
        <w:t>ex</w:t>
      </w:r>
      <w:r w:rsidRPr="005D1136">
        <w:noBreakHyphen/>
        <w:t>ante</w:t>
      </w:r>
      <w:r>
        <w:t xml:space="preserve"> financing mechanisms such as contingency funds or reinsurance to manage the impact of natural disasters on their budgets, particularly where the potential costs are large relative to GDP. Others rely in part on </w:t>
      </w:r>
      <w:r w:rsidRPr="005D1136">
        <w:t>ex</w:t>
      </w:r>
      <w:r w:rsidRPr="005D1136">
        <w:noBreakHyphen/>
        <w:t>post</w:t>
      </w:r>
      <w:r>
        <w:t xml:space="preserve"> mechanisms, especially where risks have a very low probability and it is considered more cost effective to finance these risks after they are realised.</w:t>
      </w:r>
    </w:p>
    <w:p w14:paraId="67D0FAC9" w14:textId="77777777" w:rsidR="00DE1537" w:rsidRDefault="00DE1537" w:rsidP="00343F3E">
      <w:pPr>
        <w:pStyle w:val="ListBullet"/>
      </w:pPr>
      <w:r>
        <w:t>More centralised approaches to natural disaster information provision and mapping can foster national consistency. However, this is potentially at the cost of less flexibility for subnational governments to obtain information suited to their needs.</w:t>
      </w:r>
    </w:p>
    <w:p w14:paraId="5731D3C6" w14:textId="77777777" w:rsidR="00DE1537" w:rsidRPr="00730CA9" w:rsidRDefault="00DE1537" w:rsidP="00343F3E">
      <w:pPr>
        <w:pStyle w:val="ListBullet"/>
      </w:pPr>
      <w:r>
        <w:t>Land use</w:t>
      </w:r>
      <w:r w:rsidRPr="00730CA9">
        <w:t xml:space="preserve"> and building regulations vary considerably across countries. Good practice is considered to include incorporating natural disaster risk into strategic planning, adopting risk</w:t>
      </w:r>
      <w:r w:rsidRPr="00730CA9">
        <w:noBreakHyphen/>
        <w:t>based regulation and engaging with communities.</w:t>
      </w:r>
    </w:p>
    <w:p w14:paraId="2D963C35" w14:textId="77777777" w:rsidR="00DE1537" w:rsidRDefault="00DE1537" w:rsidP="00343F3E">
      <w:pPr>
        <w:pStyle w:val="Heading2"/>
      </w:pPr>
      <w:bookmarkStart w:id="88" w:name="_Toc406424357"/>
      <w:r>
        <w:t>8.</w:t>
      </w:r>
      <w:r>
        <w:rPr>
          <w:noProof/>
        </w:rPr>
        <w:t>2</w:t>
      </w:r>
      <w:r>
        <w:tab/>
        <w:t>Mitigation funding arrangements</w:t>
      </w:r>
      <w:bookmarkEnd w:id="88"/>
    </w:p>
    <w:p w14:paraId="77907898" w14:textId="0BD5756F" w:rsidR="00DE1537" w:rsidRDefault="00DE1537" w:rsidP="00343F3E">
      <w:pPr>
        <w:pStyle w:val="BodyText"/>
      </w:pPr>
      <w:r>
        <w:t xml:space="preserve">Most countries have established dedicated government agencies or funding allocations for natural disaster mitigation and preparedness, in addition to mitigation work carried out as a general component of government infrastructure and service delivery. </w:t>
      </w:r>
      <w:r w:rsidRPr="00534C00">
        <w:t>Many countries also seek to implement disaster</w:t>
      </w:r>
      <w:r>
        <w:noBreakHyphen/>
      </w:r>
      <w:r w:rsidRPr="00534C00">
        <w:t xml:space="preserve">reduction and resilience measures consistent with the United Nations International Strategy for Disaster Reduction and </w:t>
      </w:r>
      <w:r>
        <w:t xml:space="preserve">the </w:t>
      </w:r>
      <w:r w:rsidRPr="00534C00">
        <w:t>Hyogo</w:t>
      </w:r>
      <w:r>
        <w:t xml:space="preserve"> Framework for Action 2005–2015 </w:t>
      </w:r>
      <w:r w:rsidRPr="00077C00">
        <w:rPr>
          <w:szCs w:val="24"/>
        </w:rPr>
        <w:t>(UNISDR 2007, 2012)</w:t>
      </w:r>
      <w:r>
        <w:t>.</w:t>
      </w:r>
    </w:p>
    <w:p w14:paraId="7C6F5A06" w14:textId="77777777" w:rsidR="00DE1537" w:rsidRDefault="00DE1537" w:rsidP="00343F3E">
      <w:pPr>
        <w:pStyle w:val="BodyText"/>
      </w:pPr>
      <w:r>
        <w:t>In federations, natural disaster mitigation is typically a responsibility of subnational governments (such as states, provinces and local governments). Some national governments provide financial and other assistance to assist with the costs or meet national objectives.</w:t>
      </w:r>
    </w:p>
    <w:p w14:paraId="56DD8D4B" w14:textId="3582D578" w:rsidR="00DE1537" w:rsidRDefault="00DE1537" w:rsidP="00343F3E">
      <w:pPr>
        <w:pStyle w:val="ListBullet"/>
      </w:pPr>
      <w:r w:rsidRPr="00E56DEC">
        <w:t>The United States operates mitigation</w:t>
      </w:r>
      <w:r>
        <w:t xml:space="preserve"> grant</w:t>
      </w:r>
      <w:r w:rsidRPr="00E56DEC">
        <w:t xml:space="preserve"> programs at the federal level</w:t>
      </w:r>
      <w:r>
        <w:t>, administered by the Federal Emergency Management Agency (FEMA)</w:t>
      </w:r>
      <w:r w:rsidRPr="00E56DEC">
        <w:t xml:space="preserve"> (</w:t>
      </w:r>
      <w:r>
        <w:t>box 8.1</w:t>
      </w:r>
      <w:r w:rsidRPr="00E56DEC">
        <w:t>).</w:t>
      </w:r>
      <w:r>
        <w:t xml:space="preserve"> Most of these have been in place for several decades. The US Government has also recently announced a National Disaster Resilience Competition, which will provide US$1 billion over three years in competitive grants for state and local governments (that recently experienced major disasters) to </w:t>
      </w:r>
      <w:r w:rsidRPr="009468D7">
        <w:rPr>
          <w:rStyle w:val="BodyTextChar"/>
        </w:rPr>
        <w:t xml:space="preserve">implement ‘innovative resilience projects’ to prepare their communities for future disasters </w:t>
      </w:r>
      <w:r w:rsidRPr="00716E00">
        <w:rPr>
          <w:szCs w:val="24"/>
        </w:rPr>
        <w:t>(USDHUD 2014)</w:t>
      </w:r>
      <w:r w:rsidRPr="009468D7">
        <w:rPr>
          <w:rStyle w:val="BodyTextChar"/>
        </w:rPr>
        <w:t>.</w:t>
      </w:r>
    </w:p>
    <w:p w14:paraId="0C824C7E" w14:textId="77777777" w:rsidR="00DE1537" w:rsidRPr="00785096"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E7BD165" w14:textId="77777777" w:rsidTr="00343F3E">
        <w:tc>
          <w:tcPr>
            <w:tcW w:w="8771" w:type="dxa"/>
            <w:tcBorders>
              <w:top w:val="single" w:sz="6" w:space="0" w:color="78A22F"/>
              <w:left w:val="nil"/>
              <w:bottom w:val="nil"/>
              <w:right w:val="nil"/>
            </w:tcBorders>
            <w:shd w:val="clear" w:color="auto" w:fill="F2F2F2" w:themeFill="background1" w:themeFillShade="F2"/>
          </w:tcPr>
          <w:p w14:paraId="7DBD33DE" w14:textId="77777777" w:rsidR="00DE1537" w:rsidRDefault="00DE1537" w:rsidP="00343F3E">
            <w:pPr>
              <w:pStyle w:val="BoxTitle"/>
            </w:pPr>
            <w:r>
              <w:rPr>
                <w:b w:val="0"/>
              </w:rPr>
              <w:t>Box 8.</w:t>
            </w:r>
            <w:r>
              <w:rPr>
                <w:b w:val="0"/>
                <w:noProof/>
              </w:rPr>
              <w:t>1</w:t>
            </w:r>
            <w:r>
              <w:tab/>
              <w:t>Federal mitigation funding in the United States</w:t>
            </w:r>
          </w:p>
        </w:tc>
      </w:tr>
      <w:tr w:rsidR="00DE1537" w14:paraId="7832DEDE" w14:textId="77777777" w:rsidTr="00343F3E">
        <w:trPr>
          <w:cantSplit/>
        </w:trPr>
        <w:tc>
          <w:tcPr>
            <w:tcW w:w="8771" w:type="dxa"/>
            <w:tcBorders>
              <w:top w:val="nil"/>
              <w:left w:val="nil"/>
              <w:bottom w:val="nil"/>
              <w:right w:val="nil"/>
            </w:tcBorders>
            <w:shd w:val="clear" w:color="auto" w:fill="F2F2F2" w:themeFill="background1" w:themeFillShade="F2"/>
          </w:tcPr>
          <w:p w14:paraId="4F1CF25F" w14:textId="77777777" w:rsidR="00DE1537" w:rsidRDefault="00DE1537" w:rsidP="00343F3E">
            <w:pPr>
              <w:pStyle w:val="Box"/>
            </w:pPr>
            <w:r>
              <w:t>The Federal Emergency Management Agency administers several grant programs for natural disaster mitigation.</w:t>
            </w:r>
          </w:p>
          <w:p w14:paraId="248B08D2" w14:textId="77777777" w:rsidR="00DE1537" w:rsidRDefault="00DE1537" w:rsidP="00343F3E">
            <w:pPr>
              <w:pStyle w:val="BoxListBullet"/>
            </w:pPr>
            <w:r>
              <w:t>Hazard Mitigation Grant Program — funding for state and local governments that have experienced a presidentially declared natural disaster to implement natural disaster mitigation measures. Eligible projects include the acquisition of high</w:t>
            </w:r>
            <w:r>
              <w:noBreakHyphen/>
              <w:t>risk properties, retrofitting buildings and infrastructure, stormwater and vegetation management, and structural flood control. Federal government funding under the program is capped for each state. The cap is set at 15 per cent of the first US$2 billion of estimated aggregate post</w:t>
            </w:r>
            <w:r>
              <w:noBreakHyphen/>
              <w:t>disaster assistance, 10 per cent of amounts between US$2 billion and US$10 billion, and 7.5 per cent for amounts between US$10 billion and US$35 billion.</w:t>
            </w:r>
          </w:p>
          <w:p w14:paraId="04DE1FC2" w14:textId="77777777" w:rsidR="00DE1537" w:rsidRDefault="00DE1537" w:rsidP="00343F3E">
            <w:pPr>
              <w:pStyle w:val="BoxListBullet"/>
            </w:pPr>
            <w:r>
              <w:t>Pre</w:t>
            </w:r>
            <w:r>
              <w:noBreakHyphen/>
              <w:t>Disaster Mitigation Program — funding for state and local governments for disaster mitigation planning and mitigation projects that reduce risks to people and structures. Eligible project types are broadly similar to those under the Hazard Mitigation Grant Program. Funds are generally distributed on a competitive basis, with each state or territory allocated a minimum of 1 per cent of appropriated funds each year. Funding of US$23.7 million was provided in fiscal year 2013, and US$63 million is available in 2014.</w:t>
            </w:r>
          </w:p>
          <w:p w14:paraId="5875032F" w14:textId="77777777" w:rsidR="00DE1537" w:rsidRDefault="00DE1537" w:rsidP="00343F3E">
            <w:pPr>
              <w:pStyle w:val="BoxListBullet"/>
            </w:pPr>
            <w:r>
              <w:t>Flood Mitigation Assistance Program — funding for state and local governments to reduce flood risk to buildings insured under the National Flood Insurance Program. Eligible projects include flood mitigation plans and measures to elevate, acquire or relocate buildings. Funds are distributed as competitive grants, with project selection based on cost effectiveness, potential savings to the Insurance Program and other criteria. Funding of US$89 million is available in fiscal year 2014.</w:t>
            </w:r>
          </w:p>
          <w:p w14:paraId="1C07F446" w14:textId="77777777" w:rsidR="00DE1537" w:rsidRDefault="00DE1537" w:rsidP="00343F3E">
            <w:pPr>
              <w:pStyle w:val="Box"/>
            </w:pPr>
            <w:r>
              <w:t>These programs generally r</w:t>
            </w:r>
            <w:r w:rsidRPr="00E56DEC">
              <w:t>equire</w:t>
            </w:r>
            <w:r>
              <w:t xml:space="preserve"> applicants to contribute project funding, with the federal share of project costs usually set at 75 per cent. Eligibility usually requires that applicants have an approved mitigation plan in place, and that projects have a benefit–cost ratio greater than one. Guidance material and software have been published to assist state and local governments to undertake benefit–cost analysis of their mitigation projects.</w:t>
            </w:r>
          </w:p>
        </w:tc>
      </w:tr>
      <w:tr w:rsidR="00DE1537" w14:paraId="689A0290" w14:textId="77777777" w:rsidTr="00343F3E">
        <w:trPr>
          <w:cantSplit/>
        </w:trPr>
        <w:tc>
          <w:tcPr>
            <w:tcW w:w="8771" w:type="dxa"/>
            <w:tcBorders>
              <w:top w:val="nil"/>
              <w:left w:val="nil"/>
              <w:bottom w:val="nil"/>
              <w:right w:val="nil"/>
            </w:tcBorders>
            <w:shd w:val="clear" w:color="auto" w:fill="F2F2F2" w:themeFill="background1" w:themeFillShade="F2"/>
          </w:tcPr>
          <w:p w14:paraId="529CE8C0" w14:textId="1575ADE2" w:rsidR="00DE1537" w:rsidRDefault="00DE1537" w:rsidP="00343F3E">
            <w:pPr>
              <w:pStyle w:val="BoxSource"/>
            </w:pPr>
            <w:r>
              <w:rPr>
                <w:i/>
              </w:rPr>
              <w:t>Sources</w:t>
            </w:r>
            <w:r w:rsidRPr="00167F06">
              <w:t xml:space="preserve">: </w:t>
            </w:r>
            <w:r>
              <w:t xml:space="preserve">FEMA </w:t>
            </w:r>
            <w:r w:rsidRPr="00CB3DBE">
              <w:rPr>
                <w:rFonts w:cs="Arial"/>
              </w:rPr>
              <w:t>(2013b, 2013d, 2014a, 2014d, 2014f)</w:t>
            </w:r>
            <w:r>
              <w:t>.</w:t>
            </w:r>
          </w:p>
        </w:tc>
      </w:tr>
      <w:tr w:rsidR="00DE1537" w14:paraId="6653C61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77612EF8" w14:textId="77777777" w:rsidR="00DE1537" w:rsidRDefault="00DE1537" w:rsidP="00343F3E">
            <w:pPr>
              <w:pStyle w:val="Box"/>
              <w:spacing w:before="0" w:line="120" w:lineRule="exact"/>
            </w:pPr>
          </w:p>
        </w:tc>
      </w:tr>
      <w:tr w:rsidR="00DE1537" w:rsidRPr="000863A5" w14:paraId="2AB9DEB0" w14:textId="77777777" w:rsidTr="00343F3E">
        <w:tc>
          <w:tcPr>
            <w:tcW w:w="8771" w:type="dxa"/>
            <w:tcBorders>
              <w:top w:val="single" w:sz="6" w:space="0" w:color="78A22F"/>
              <w:left w:val="nil"/>
              <w:bottom w:val="nil"/>
              <w:right w:val="nil"/>
            </w:tcBorders>
          </w:tcPr>
          <w:p w14:paraId="36E2829F" w14:textId="77777777" w:rsidR="00DE1537" w:rsidRPr="00785096" w:rsidRDefault="00DE1537" w:rsidP="00343F3E">
            <w:pPr>
              <w:pStyle w:val="BoxSpaceBelow"/>
            </w:pPr>
          </w:p>
        </w:tc>
      </w:tr>
    </w:tbl>
    <w:p w14:paraId="37A0C002" w14:textId="672E0D17" w:rsidR="00DE1537" w:rsidRDefault="00DE1537" w:rsidP="00343F3E">
      <w:pPr>
        <w:pStyle w:val="ListBullet"/>
      </w:pPr>
      <w:r>
        <w:t xml:space="preserve">The Canadian Government has become involved in mitigation funding more recently through a number of initiatives, guided by the principles and governance frameworks set out in its National Disaster Mitigation Strategy </w:t>
      </w:r>
      <w:r w:rsidRPr="001B4063">
        <w:rPr>
          <w:szCs w:val="24"/>
        </w:rPr>
        <w:t>(Public Safety Canada 2008)</w:t>
      </w:r>
      <w:r>
        <w:t>.</w:t>
      </w:r>
    </w:p>
    <w:p w14:paraId="2CF2DDCD" w14:textId="4994AC8E" w:rsidR="00DE1537" w:rsidRPr="00E34C5C" w:rsidRDefault="00DE1537" w:rsidP="00343F3E">
      <w:pPr>
        <w:pStyle w:val="ListBullet2"/>
      </w:pPr>
      <w:r w:rsidRPr="00613238">
        <w:t xml:space="preserve">Since 2007, </w:t>
      </w:r>
      <w:r>
        <w:t>funding has been available</w:t>
      </w:r>
      <w:r w:rsidRPr="003B330E">
        <w:t xml:space="preserve"> </w:t>
      </w:r>
      <w:r w:rsidRPr="00E34C5C">
        <w:t>through the Building Canada Fun</w:t>
      </w:r>
      <w:r w:rsidRPr="00CC6816">
        <w:t>d (a general infrastructure fund)</w:t>
      </w:r>
      <w:r>
        <w:t xml:space="preserve"> for </w:t>
      </w:r>
      <w:r w:rsidRPr="00613238">
        <w:t xml:space="preserve">provincial and municipal governments </w:t>
      </w:r>
      <w:r>
        <w:t xml:space="preserve">to undertake </w:t>
      </w:r>
      <w:r w:rsidRPr="00E34C5C">
        <w:t>structural disaster mitigation projects</w:t>
      </w:r>
      <w:r w:rsidRPr="00CC6816">
        <w:t>. T</w:t>
      </w:r>
      <w:r w:rsidRPr="00B83D25">
        <w:t>he federal share of project costs</w:t>
      </w:r>
      <w:r w:rsidRPr="002152B6">
        <w:t xml:space="preserve"> is</w:t>
      </w:r>
      <w:r w:rsidRPr="00BC3BA3">
        <w:t xml:space="preserve"> capped at 50 per cent. In 2013</w:t>
      </w:r>
      <w:r>
        <w:t>,</w:t>
      </w:r>
      <w:r w:rsidRPr="00BC3BA3">
        <w:t xml:space="preserve"> a new fund was established with </w:t>
      </w:r>
      <w:r>
        <w:t>C</w:t>
      </w:r>
      <w:r w:rsidRPr="00BC3BA3">
        <w:t xml:space="preserve">$14 billion in funding over 10 years (across all infrastructure </w:t>
      </w:r>
      <w:r w:rsidRPr="006B3AB9">
        <w:t>types</w:t>
      </w:r>
      <w:r>
        <w:t>, not just mitigation</w:t>
      </w:r>
      <w:r w:rsidRPr="00501DB4">
        <w:t xml:space="preserve">) </w:t>
      </w:r>
      <w:r w:rsidRPr="00B76E78">
        <w:rPr>
          <w:szCs w:val="24"/>
        </w:rPr>
        <w:t>(Infrastructure Canada 2014b)</w:t>
      </w:r>
      <w:r w:rsidRPr="00613238">
        <w:t>.</w:t>
      </w:r>
    </w:p>
    <w:p w14:paraId="7C33C97A" w14:textId="4F7066DE" w:rsidR="00DE1537" w:rsidRPr="00E34C5C" w:rsidRDefault="00DE1537" w:rsidP="00343F3E">
      <w:pPr>
        <w:pStyle w:val="ListBullet2"/>
      </w:pPr>
      <w:r w:rsidRPr="00CC6816">
        <w:t>Since 2008, provincial</w:t>
      </w:r>
      <w:r w:rsidRPr="00B83D25">
        <w:t xml:space="preserve"> and territory</w:t>
      </w:r>
      <w:r w:rsidRPr="002152B6">
        <w:t xml:space="preserve"> governments </w:t>
      </w:r>
      <w:r w:rsidRPr="00BC3BA3">
        <w:t>have been able to</w:t>
      </w:r>
      <w:r w:rsidRPr="006B3AB9">
        <w:t xml:space="preserve"> claim federal reimbursement fo</w:t>
      </w:r>
      <w:r w:rsidRPr="00501DB4">
        <w:t xml:space="preserve">r up to 15 per cent of the eligible costs of </w:t>
      </w:r>
      <w:r w:rsidRPr="00583B17">
        <w:t xml:space="preserve">mitigation enhancements to infrastructure damaged by a natural disaster </w:t>
      </w:r>
      <w:r w:rsidRPr="00E34C5C">
        <w:t>(Public Safety Canada 2012)</w:t>
      </w:r>
      <w:r w:rsidRPr="00613238">
        <w:t xml:space="preserve">. This assistance </w:t>
      </w:r>
      <w:r w:rsidRPr="00E34C5C">
        <w:t xml:space="preserve">is provided under the </w:t>
      </w:r>
      <w:r w:rsidRPr="00CC6816">
        <w:t xml:space="preserve">Disaster Financial Assistance Arrangements </w:t>
      </w:r>
      <w:r w:rsidRPr="00B83D25">
        <w:t>(section </w:t>
      </w:r>
      <w:r>
        <w:t>8.3</w:t>
      </w:r>
      <w:r w:rsidRPr="00613238">
        <w:t>).</w:t>
      </w:r>
    </w:p>
    <w:p w14:paraId="69C53C83" w14:textId="646B4862" w:rsidR="00DE1537" w:rsidRPr="00E34C5C" w:rsidRDefault="00DE1537" w:rsidP="00343F3E">
      <w:pPr>
        <w:pStyle w:val="ListBullet2"/>
      </w:pPr>
      <w:r w:rsidRPr="00CC6816">
        <w:lastRenderedPageBreak/>
        <w:t xml:space="preserve">In 2012, the federal government established </w:t>
      </w:r>
      <w:r w:rsidRPr="00B83D25">
        <w:t>a C$99.2 million mitigation funding program to reimburse half the costs of provincial and territory government investments in eligible permanent flood</w:t>
      </w:r>
      <w:r>
        <w:noBreakHyphen/>
      </w:r>
      <w:r w:rsidRPr="00E34C5C">
        <w:t>mitigation measures (</w:t>
      </w:r>
      <w:r w:rsidRPr="00CC6816">
        <w:t>that would not be eligible under the Disaster Financial Assistance Arrangements</w:t>
      </w:r>
      <w:r w:rsidRPr="00B83D25">
        <w:t xml:space="preserve">) </w:t>
      </w:r>
      <w:r w:rsidRPr="00E34C5C">
        <w:t>(Government of Canada 2014b)</w:t>
      </w:r>
      <w:r w:rsidRPr="00613238">
        <w:t>.</w:t>
      </w:r>
    </w:p>
    <w:p w14:paraId="4EAF5CB5" w14:textId="44316883" w:rsidR="00DE1537" w:rsidRPr="00E34C5C" w:rsidRDefault="00DE1537" w:rsidP="00343F3E">
      <w:pPr>
        <w:pStyle w:val="ListBullet2"/>
      </w:pPr>
      <w:r w:rsidRPr="00E34C5C">
        <w:t xml:space="preserve">In </w:t>
      </w:r>
      <w:r w:rsidRPr="00CC6816">
        <w:t>2014</w:t>
      </w:r>
      <w:r w:rsidRPr="00B83D25">
        <w:t>, the federal g</w:t>
      </w:r>
      <w:r w:rsidRPr="002152B6">
        <w:t>overnment announced C$200 million for a five</w:t>
      </w:r>
      <w:r w:rsidRPr="002152B6">
        <w:softHyphen/>
      </w:r>
      <w:r>
        <w:noBreakHyphen/>
      </w:r>
      <w:r w:rsidRPr="002152B6">
        <w:t>year National Disaster Mitigation Program, which would c</w:t>
      </w:r>
      <w:r w:rsidRPr="00BC3BA3">
        <w:t>ontribute funding for provincial and territory government</w:t>
      </w:r>
      <w:r>
        <w:t>s to provide</w:t>
      </w:r>
      <w:r w:rsidRPr="00BC3BA3">
        <w:t xml:space="preserve"> structural disaster mitigation measures. The scheme is due to commence in 2015</w:t>
      </w:r>
      <w:r>
        <w:noBreakHyphen/>
      </w:r>
      <w:r w:rsidRPr="00BC3BA3">
        <w:t>16</w:t>
      </w:r>
      <w:r w:rsidRPr="006B3AB9">
        <w:t xml:space="preserve"> </w:t>
      </w:r>
      <w:r w:rsidRPr="00E34C5C">
        <w:t>(Government of Canada 2014a)</w:t>
      </w:r>
      <w:r w:rsidRPr="00613238">
        <w:t>.</w:t>
      </w:r>
    </w:p>
    <w:p w14:paraId="388473E8" w14:textId="48EBB43D" w:rsidR="00DE1537" w:rsidRDefault="00DE1537" w:rsidP="00343F3E">
      <w:pPr>
        <w:pStyle w:val="BodyText"/>
      </w:pPr>
      <w:r>
        <w:t>By contrast, natural disaster mitigation is considered a state</w:t>
      </w:r>
      <w:r>
        <w:noBreakHyphen/>
        <w:t>level responsibility</w:t>
      </w:r>
      <w:r w:rsidRPr="00583B17">
        <w:t xml:space="preserve"> </w:t>
      </w:r>
      <w:r>
        <w:t xml:space="preserve">in some other federations. For example, the German Government does not provide specific mitigation funding to German states </w:t>
      </w:r>
      <w:r w:rsidRPr="007550E8">
        <w:rPr>
          <w:szCs w:val="24"/>
        </w:rPr>
        <w:t>(Government of Germany 2013)</w:t>
      </w:r>
      <w:r>
        <w:t>.</w:t>
      </w:r>
    </w:p>
    <w:p w14:paraId="4C5F5130" w14:textId="0E3BC38E" w:rsidR="00DE1537" w:rsidRDefault="00DE1537" w:rsidP="00343F3E">
      <w:pPr>
        <w:pStyle w:val="BodyText"/>
      </w:pPr>
      <w:r>
        <w:t>Responsibilities between levels of government differ in non</w:t>
      </w:r>
      <w:r>
        <w:noBreakHyphen/>
        <w:t xml:space="preserve">federal countries. For example, in the United Kingdom, responsibility for flood risk management is shared between local authorities and the Environment Agency. The central government provides various measures of funding support, including grants to local authorities and the Environment Agency, as well as funding for the repair and maintenance of damaged flood defences </w:t>
      </w:r>
      <w:r w:rsidRPr="00E00F5A">
        <w:rPr>
          <w:szCs w:val="24"/>
        </w:rPr>
        <w:t>(HM Government 2014b)</w:t>
      </w:r>
      <w:r>
        <w:t xml:space="preserve">. Prior to 2013, the government undertook to reduce flood risks by building flood defences, as part of an agreement with the Association of British Insurers </w:t>
      </w:r>
      <w:r w:rsidRPr="00F534B9">
        <w:rPr>
          <w:szCs w:val="24"/>
        </w:rPr>
        <w:t>(UKDEFRA 2014)</w:t>
      </w:r>
      <w:r>
        <w:t xml:space="preserve">. In addition, the UK Government has plans to spend £2.3 billion reducing flood and coastal erosion risks over the period 2011–2015, with around 165 000 households expected to benefit </w:t>
      </w:r>
      <w:r w:rsidRPr="00BE3B66">
        <w:rPr>
          <w:szCs w:val="24"/>
        </w:rPr>
        <w:t>(HM Government 2013b)</w:t>
      </w:r>
      <w:r>
        <w:t>.</w:t>
      </w:r>
    </w:p>
    <w:p w14:paraId="7FBA8A55" w14:textId="76631F3B" w:rsidR="00DE1537" w:rsidRDefault="00DE1537" w:rsidP="00343F3E">
      <w:pPr>
        <w:pStyle w:val="BodyText"/>
      </w:pPr>
      <w:r>
        <w:t>In New Zealand, the Ministry of Civil Defence and Emergency Management administers the Resilience Fund, which provides grants to local authorities to improve emergency management capability. Around NZ$880 000 in funding has been approved for 2014</w:t>
      </w:r>
      <w:r>
        <w:noBreakHyphen/>
        <w:t xml:space="preserve">15 </w:t>
      </w:r>
      <w:r w:rsidRPr="003305F3">
        <w:rPr>
          <w:szCs w:val="24"/>
        </w:rPr>
        <w:t>(NZMCDEM 2014)</w:t>
      </w:r>
      <w:r>
        <w:t xml:space="preserve">. There are also arrangements to restore ‘horizontal infrastructure’ </w:t>
      </w:r>
      <w:r w:rsidRPr="00C64DFB">
        <w:t>(water, energy, telecommunications and transport networks</w:t>
      </w:r>
      <w:r>
        <w:t>) damaged by the 2010</w:t>
      </w:r>
      <w:r>
        <w:noBreakHyphen/>
        <w:t xml:space="preserve">11 Canterbury earthquakes to higher levels of seismic resilience </w:t>
      </w:r>
      <w:r w:rsidRPr="002F3FF5">
        <w:rPr>
          <w:szCs w:val="24"/>
        </w:rPr>
        <w:t>(Government of New Zealand 2013)</w:t>
      </w:r>
      <w:r>
        <w:t>. The relevant cost</w:t>
      </w:r>
      <w:r>
        <w:noBreakHyphen/>
        <w:t>sharing arrangements are discussed in section 8.3.</w:t>
      </w:r>
    </w:p>
    <w:p w14:paraId="3259CE4C" w14:textId="77777777" w:rsidR="00DE1537" w:rsidRPr="00B17C70" w:rsidRDefault="00DE1537" w:rsidP="00343F3E">
      <w:pPr>
        <w:pStyle w:val="BodyText"/>
      </w:pPr>
      <w:r w:rsidRPr="00B17C70">
        <w:t>Some national governments have committed to significant mitigation funding programs</w:t>
      </w:r>
      <w:r>
        <w:t xml:space="preserve"> separately from intergovernmental funding arrangements</w:t>
      </w:r>
      <w:r w:rsidRPr="00B17C70">
        <w:t>.</w:t>
      </w:r>
    </w:p>
    <w:p w14:paraId="3A4C1758" w14:textId="74A6004C" w:rsidR="00DE1537" w:rsidRDefault="00DE1537" w:rsidP="00343F3E">
      <w:pPr>
        <w:pStyle w:val="ListBullet"/>
      </w:pPr>
      <w:r>
        <w:t>In the United States, the federal government funds the construction and maintenance of flood levees and other flood</w:t>
      </w:r>
      <w:r>
        <w:noBreakHyphen/>
        <w:t xml:space="preserve">control measures by the US Army Corps of Engineers </w:t>
      </w:r>
      <w:r w:rsidRPr="00DA3294">
        <w:rPr>
          <w:szCs w:val="24"/>
        </w:rPr>
        <w:t>(USACE 2014a)</w:t>
      </w:r>
      <w:r>
        <w:t xml:space="preserve">. In 2013, approximately US$2.5 billion was allocated to such projects </w:t>
      </w:r>
      <w:r w:rsidRPr="006B3AB9">
        <w:rPr>
          <w:szCs w:val="24"/>
        </w:rPr>
        <w:t>(OMB</w:t>
      </w:r>
      <w:r w:rsidRPr="00FB1513">
        <w:rPr>
          <w:szCs w:val="24"/>
        </w:rPr>
        <w:t> </w:t>
      </w:r>
      <w:r w:rsidRPr="00501DB4">
        <w:rPr>
          <w:szCs w:val="24"/>
        </w:rPr>
        <w:t>2014b)</w:t>
      </w:r>
      <w:r>
        <w:t>.</w:t>
      </w:r>
    </w:p>
    <w:p w14:paraId="14286DBA" w14:textId="64C3C959" w:rsidR="00DE1537" w:rsidRDefault="00DE1537" w:rsidP="00343F3E">
      <w:pPr>
        <w:pStyle w:val="ListBullet"/>
      </w:pPr>
      <w:r w:rsidRPr="004A739E">
        <w:t xml:space="preserve">The </w:t>
      </w:r>
      <w:r>
        <w:t>g</w:t>
      </w:r>
      <w:r w:rsidRPr="004A739E">
        <w:t>overnment of the Netherlands has a nationwide Delta Programme to protect low</w:t>
      </w:r>
      <w:r w:rsidRPr="004A739E">
        <w:noBreakHyphen/>
        <w:t>lying areas from flooding (</w:t>
      </w:r>
      <w:r>
        <w:t>around 60 per cent</w:t>
      </w:r>
      <w:r w:rsidRPr="004A739E">
        <w:t xml:space="preserve"> of the country’s land area). This builds on significant investments in protective infrastructure over the past 60 years. The scheme includes constructi</w:t>
      </w:r>
      <w:r>
        <w:t>ng</w:t>
      </w:r>
      <w:r w:rsidRPr="004A739E">
        <w:t xml:space="preserve"> flood defences, removing infrastructure that could </w:t>
      </w:r>
      <w:r w:rsidRPr="004A739E">
        <w:lastRenderedPageBreak/>
        <w:t>exacerbate flood</w:t>
      </w:r>
      <w:r>
        <w:t xml:space="preserve"> damage</w:t>
      </w:r>
      <w:r w:rsidRPr="004A739E">
        <w:t>, and identifying innovative activities to adapt to flooding</w:t>
      </w:r>
      <w:r>
        <w:t xml:space="preserve">. </w:t>
      </w:r>
      <w:r w:rsidRPr="004A739E">
        <w:t xml:space="preserve">Around €1.2 billion is available for these activities in 2014 </w:t>
      </w:r>
      <w:r w:rsidRPr="0047457F">
        <w:t>(Rijkswaterstaat 2013)</w:t>
      </w:r>
      <w:r w:rsidRPr="004A739E">
        <w:t>.</w:t>
      </w:r>
    </w:p>
    <w:p w14:paraId="6E063B7B" w14:textId="25B8B8BF" w:rsidR="00DE1537" w:rsidRPr="004A739E" w:rsidRDefault="00DE1537" w:rsidP="00343F3E">
      <w:pPr>
        <w:pStyle w:val="ListBullet"/>
      </w:pPr>
      <w:r>
        <w:t xml:space="preserve">In France, the Fund for the Prevention of Major Natural Hazards provides funding for natural hazard studies and protection measures, as well as compensation for properties purchased by the government when natural disasters pose serious threats to human life </w:t>
      </w:r>
      <w:r w:rsidRPr="00007599">
        <w:rPr>
          <w:szCs w:val="24"/>
        </w:rPr>
        <w:t>(FDCGSD 2012)</w:t>
      </w:r>
      <w:r>
        <w:t xml:space="preserve">. The scheme is funded by 12 per cent of the premiums paid to the government’s catastrophe insurance scheme (section 8.4), equivalent to around </w:t>
      </w:r>
      <w:r w:rsidRPr="004A739E">
        <w:t>€</w:t>
      </w:r>
      <w:r>
        <w:t xml:space="preserve">150 million per year </w:t>
      </w:r>
      <w:r w:rsidRPr="00EC324C">
        <w:rPr>
          <w:szCs w:val="24"/>
        </w:rPr>
        <w:t>(OECD 2013d)</w:t>
      </w:r>
      <w:r>
        <w:t>.</w:t>
      </w:r>
    </w:p>
    <w:p w14:paraId="0024BF65" w14:textId="156382BD" w:rsidR="00DE1537" w:rsidRPr="004A739E" w:rsidRDefault="00DE1537" w:rsidP="00343F3E">
      <w:pPr>
        <w:pStyle w:val="ListBullet"/>
      </w:pPr>
      <w:r w:rsidRPr="004A739E">
        <w:t xml:space="preserve">The </w:t>
      </w:r>
      <w:r>
        <w:t>UK Government</w:t>
      </w:r>
      <w:r w:rsidRPr="004A739E">
        <w:t xml:space="preserve"> </w:t>
      </w:r>
      <w:r w:rsidRPr="0047457F">
        <w:t>recently annou</w:t>
      </w:r>
      <w:r>
        <w:t>nced that it would provide a £5</w:t>
      </w:r>
      <w:r w:rsidRPr="0047457F">
        <w:t xml:space="preserve">000 grant to households and businesses affected by flooding to allow flood resilience to be built into properties as they are repaired </w:t>
      </w:r>
      <w:r w:rsidRPr="00762F75">
        <w:t>(HM Government 2014a)</w:t>
      </w:r>
      <w:r w:rsidRPr="0047457F">
        <w:t>.</w:t>
      </w:r>
    </w:p>
    <w:p w14:paraId="1CCF33C6" w14:textId="16024646" w:rsidR="00DE1537" w:rsidRDefault="00DE1537" w:rsidP="00343F3E">
      <w:pPr>
        <w:pStyle w:val="BodyText"/>
      </w:pPr>
      <w:r>
        <w:t>Across countries, different approaches are used to allocate funding and select projects (box 8.2). However, p</w:t>
      </w:r>
      <w:r w:rsidRPr="00613238">
        <w:t>roblems related to the coo</w:t>
      </w:r>
      <w:r w:rsidRPr="00E34C5C">
        <w:t>rdination of mitigation activities have arisen in some countries. For example, in the Netherlands, water management responsibilities are shared between the national government and local water boards,</w:t>
      </w:r>
      <w:r>
        <w:t xml:space="preserve"> which can raise local taxes to fund flood mitigation. However, t</w:t>
      </w:r>
      <w:r w:rsidRPr="00613238">
        <w:t>here have been conflicts between municipalities and</w:t>
      </w:r>
      <w:r w:rsidRPr="00E34C5C">
        <w:t xml:space="preserve"> water boards over </w:t>
      </w:r>
      <w:r>
        <w:t>land use</w:t>
      </w:r>
      <w:r w:rsidRPr="00E34C5C">
        <w:t xml:space="preserve"> planning </w:t>
      </w:r>
      <w:r w:rsidRPr="00106023">
        <w:t>(Wenger, Hussey and Pittock 2013)</w:t>
      </w:r>
      <w:r w:rsidRPr="004A739E">
        <w:t xml:space="preserve">. In the United States, </w:t>
      </w:r>
      <w:r>
        <w:t>H</w:t>
      </w:r>
      <w:r w:rsidRPr="004A739E">
        <w:t>azard</w:t>
      </w:r>
      <w:r>
        <w:t xml:space="preserve"> M</w:t>
      </w:r>
      <w:r w:rsidRPr="004A739E">
        <w:t xml:space="preserve">itigation </w:t>
      </w:r>
      <w:r>
        <w:t>G</w:t>
      </w:r>
      <w:r w:rsidRPr="004A739E">
        <w:t xml:space="preserve">rant funding has sometimes been delayed or subject to a high administrative burden, in part reflecting different views between federal and state governments </w:t>
      </w:r>
      <w:r>
        <w:t xml:space="preserve">over </w:t>
      </w:r>
      <w:r w:rsidRPr="004A739E">
        <w:t>the benefits of specific projects</w:t>
      </w:r>
      <w:r>
        <w:t xml:space="preserve"> (and hence their prioritisation for funding)</w:t>
      </w:r>
      <w:r w:rsidRPr="004A739E">
        <w:t xml:space="preserve"> </w:t>
      </w:r>
      <w:r w:rsidRPr="00106023">
        <w:t>(Love 2009)</w:t>
      </w:r>
      <w:r w:rsidRPr="004A739E">
        <w:t xml:space="preserve">. Grants have also sometimes been earmarked for specific projects by </w:t>
      </w:r>
      <w:r>
        <w:t>C</w:t>
      </w:r>
      <w:r w:rsidRPr="004A739E">
        <w:t>ongress</w:t>
      </w:r>
      <w:r>
        <w:t xml:space="preserve"> — by one estimate, such earmarking accounted for up to half of available Pre</w:t>
      </w:r>
      <w:r>
        <w:noBreakHyphen/>
        <w:t>Disaster Mitigation Program funds in 2008</w:t>
      </w:r>
      <w:r w:rsidRPr="004A739E">
        <w:t xml:space="preserve"> </w:t>
      </w:r>
      <w:r w:rsidRPr="00106023">
        <w:t>(McCarthy and Keegan 2009)</w:t>
      </w:r>
      <w:r w:rsidRPr="004A739E">
        <w:t>.</w:t>
      </w:r>
    </w:p>
    <w:p w14:paraId="5402019B" w14:textId="77777777" w:rsidR="00DE1537" w:rsidRPr="0029534F" w:rsidRDefault="00DE1537" w:rsidP="00343F3E">
      <w:pPr>
        <w:pStyle w:val="BodyText"/>
      </w:pPr>
      <w:r>
        <w:t>In summary, there is much variation in how natural disaster mitigation is funded in other countries. Responsibilities are often shared between national and subnational governments, with the former playing a greater role in some countries relative to others. However, the involvement of multiple levels of government can sometimes increase administrative complexity, and there are claims that the level of mitigation funding is too low in some countries (section 8.3).</w:t>
      </w:r>
      <w:r w:rsidRPr="00D539B4">
        <w:t xml:space="preserve"> </w:t>
      </w:r>
      <w:r>
        <w:t xml:space="preserve">Moreover, mitigation is factored into a range of government activities (such as infrastructure provision </w:t>
      </w:r>
      <w:r w:rsidRPr="0029534F">
        <w:t xml:space="preserve">or planning and building regulation), making it difficult to estimate the total quantum of government expenditure on mitigation. Even for standalone mitigation expenditure, the Commission has not been able to obtain </w:t>
      </w:r>
      <w:r>
        <w:t xml:space="preserve">complete </w:t>
      </w:r>
      <w:r w:rsidRPr="0029534F">
        <w:t>data across subnational jurisdictions in any country.</w:t>
      </w:r>
    </w:p>
    <w:p w14:paraId="6C0474E4" w14:textId="77777777" w:rsidR="00DE1537" w:rsidRPr="00785096"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FF5203F" w14:textId="77777777" w:rsidTr="00343F3E">
        <w:tc>
          <w:tcPr>
            <w:tcW w:w="8771" w:type="dxa"/>
            <w:tcBorders>
              <w:top w:val="single" w:sz="6" w:space="0" w:color="78A22F"/>
              <w:left w:val="nil"/>
              <w:bottom w:val="nil"/>
              <w:right w:val="nil"/>
            </w:tcBorders>
            <w:shd w:val="clear" w:color="auto" w:fill="F2F2F2" w:themeFill="background1" w:themeFillShade="F2"/>
          </w:tcPr>
          <w:p w14:paraId="02054A04" w14:textId="77777777" w:rsidR="00DE1537" w:rsidRDefault="00DE1537" w:rsidP="00343F3E">
            <w:pPr>
              <w:pStyle w:val="BoxTitle"/>
            </w:pPr>
            <w:r>
              <w:rPr>
                <w:b w:val="0"/>
              </w:rPr>
              <w:t>Box 8.</w:t>
            </w:r>
            <w:r>
              <w:rPr>
                <w:b w:val="0"/>
                <w:noProof/>
              </w:rPr>
              <w:t>2</w:t>
            </w:r>
            <w:r>
              <w:tab/>
              <w:t>Allocation of mitigation funding to subnational governments</w:t>
            </w:r>
          </w:p>
        </w:tc>
      </w:tr>
      <w:tr w:rsidR="00DE1537" w14:paraId="5BCC23ED" w14:textId="77777777" w:rsidTr="00343F3E">
        <w:trPr>
          <w:cantSplit/>
        </w:trPr>
        <w:tc>
          <w:tcPr>
            <w:tcW w:w="8771" w:type="dxa"/>
            <w:tcBorders>
              <w:top w:val="nil"/>
              <w:left w:val="nil"/>
              <w:bottom w:val="nil"/>
              <w:right w:val="nil"/>
            </w:tcBorders>
            <w:shd w:val="clear" w:color="auto" w:fill="F2F2F2" w:themeFill="background1" w:themeFillShade="F2"/>
          </w:tcPr>
          <w:p w14:paraId="19E2CB7C" w14:textId="77777777" w:rsidR="00DE1537" w:rsidRDefault="00DE1537" w:rsidP="00343F3E">
            <w:pPr>
              <w:pStyle w:val="Box"/>
            </w:pPr>
            <w:r>
              <w:t>Across countries, subnational governments have varying levels of autonomy in how they can spend mitigation funding provided by the national government. While information on the specific procedures used is not always available, most countries either provide funding through fixed allocations or on a project</w:t>
            </w:r>
            <w:r>
              <w:noBreakHyphen/>
              <w:t>by</w:t>
            </w:r>
            <w:r>
              <w:noBreakHyphen/>
              <w:t>project basis.</w:t>
            </w:r>
          </w:p>
          <w:p w14:paraId="2CA5202D" w14:textId="5891C56E" w:rsidR="00DE1537" w:rsidRDefault="00DE1537" w:rsidP="00343F3E">
            <w:pPr>
              <w:pStyle w:val="Box"/>
            </w:pPr>
            <w:r>
              <w:t xml:space="preserve">Some countries allow their subnational governments to identify specific projects to be funded. For example, the Canadian Government provides fixed funding allocations to its provinces and territories under the Building Canada Fund. Provincial governments are then responsible for selecting projects, which can include natural disaster mitigation </w:t>
            </w:r>
            <w:r w:rsidRPr="008A0E00">
              <w:rPr>
                <w:rFonts w:cs="Arial"/>
                <w:szCs w:val="24"/>
              </w:rPr>
              <w:t>(Infrastructure Canada 2014a)</w:t>
            </w:r>
            <w:r>
              <w:t>. In the United States, state and local governments can identify mitigation priorities, although these are subject to assessment by the federal government. In most cases, state and local governments must rank projects in terms of priority for funding, based on disaster</w:t>
            </w:r>
            <w:r>
              <w:noBreakHyphen/>
              <w:t xml:space="preserve">mitigation plans that identify and prioritise mitigation measures. The Federal Emergency Management Agency then assesses each potential project in the funding application with reference to factors including the benefit–cost ratio and project effectiveness </w:t>
            </w:r>
            <w:r w:rsidRPr="008A0E00">
              <w:rPr>
                <w:rFonts w:cs="Arial"/>
                <w:szCs w:val="24"/>
              </w:rPr>
              <w:t>(FEMA 2013b; Love 2009)</w:t>
            </w:r>
            <w:r>
              <w:t>.</w:t>
            </w:r>
          </w:p>
          <w:p w14:paraId="55D026CD" w14:textId="1006E86B" w:rsidR="00DE1537" w:rsidRDefault="00DE1537" w:rsidP="00343F3E">
            <w:pPr>
              <w:pStyle w:val="Box"/>
            </w:pPr>
            <w:r>
              <w:t xml:space="preserve">In other countries, the national government has greater involvement in selecting (and prioritising) individual projects that meet defined eligibility criteria. For example, the New Zealand Government assesses applications for grants from its Resilience Fund on the basis of criteria including alignment with the national emergency management strategy, alignment with capability gaps, the benefit–cost ratio and the level of project risk </w:t>
            </w:r>
            <w:r w:rsidRPr="008A0E00">
              <w:rPr>
                <w:rFonts w:cs="Arial"/>
                <w:szCs w:val="24"/>
              </w:rPr>
              <w:t>(NZMCDEM 2014)</w:t>
            </w:r>
            <w:r>
              <w:t xml:space="preserve">. In Canada, the national government selects which major infrastructure projects </w:t>
            </w:r>
            <w:r w:rsidRPr="007B1A8C">
              <w:t>(costing over C$100 million) to fund</w:t>
            </w:r>
            <w:r>
              <w:t xml:space="preserve"> through its Building Canada Fund, </w:t>
            </w:r>
            <w:r w:rsidRPr="007B1A8C">
              <w:t>based on those that ‘provide the greatest economic impact’</w:t>
            </w:r>
            <w:r w:rsidRPr="00340690">
              <w:t xml:space="preserve"> </w:t>
            </w:r>
            <w:r w:rsidRPr="00B41E9E">
              <w:rPr>
                <w:rFonts w:cs="Arial"/>
                <w:szCs w:val="24"/>
              </w:rPr>
              <w:t>(Infrastructure Canada 2014a)</w:t>
            </w:r>
            <w:r>
              <w:t>. This can include disaster</w:t>
            </w:r>
            <w:r>
              <w:noBreakHyphen/>
              <w:t>mitigation infrastructure (although no information is available on whether such infrastructure has been funded in this way).</w:t>
            </w:r>
          </w:p>
          <w:p w14:paraId="2D6D791D" w14:textId="77777777" w:rsidR="00DE1537" w:rsidRDefault="00DE1537" w:rsidP="00343F3E">
            <w:pPr>
              <w:pStyle w:val="Box"/>
            </w:pPr>
            <w:r>
              <w:t>National governments in the above countries generally require mitigation projects to have a benefit–cost ratio in excess of one. They also provide guidance material to their subnational governments to assist with risk assessment and cost–benefit analysis.</w:t>
            </w:r>
          </w:p>
        </w:tc>
      </w:tr>
      <w:tr w:rsidR="00DE1537" w14:paraId="122A5048"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18B257F" w14:textId="77777777" w:rsidR="00DE1537" w:rsidRDefault="00DE1537" w:rsidP="00343F3E">
            <w:pPr>
              <w:pStyle w:val="Box"/>
              <w:spacing w:before="0" w:line="120" w:lineRule="exact"/>
            </w:pPr>
          </w:p>
        </w:tc>
      </w:tr>
      <w:tr w:rsidR="00DE1537" w:rsidRPr="000863A5" w14:paraId="20F1611A" w14:textId="77777777" w:rsidTr="00343F3E">
        <w:tc>
          <w:tcPr>
            <w:tcW w:w="8771" w:type="dxa"/>
            <w:tcBorders>
              <w:top w:val="single" w:sz="6" w:space="0" w:color="78A22F"/>
              <w:left w:val="nil"/>
              <w:bottom w:val="nil"/>
              <w:right w:val="nil"/>
            </w:tcBorders>
          </w:tcPr>
          <w:p w14:paraId="7C569725" w14:textId="77777777" w:rsidR="00DE1537" w:rsidRPr="00785096" w:rsidRDefault="00DE1537" w:rsidP="00343F3E">
            <w:pPr>
              <w:pStyle w:val="BoxSpaceBelow"/>
            </w:pPr>
          </w:p>
        </w:tc>
      </w:tr>
    </w:tbl>
    <w:p w14:paraId="6726E342" w14:textId="77777777" w:rsidR="00DE1537" w:rsidRDefault="00DE1537" w:rsidP="00343F3E">
      <w:pPr>
        <w:pStyle w:val="Heading2"/>
      </w:pPr>
      <w:bookmarkStart w:id="89" w:name="_Toc406424358"/>
      <w:r>
        <w:t>8.</w:t>
      </w:r>
      <w:r>
        <w:rPr>
          <w:noProof/>
        </w:rPr>
        <w:t>3</w:t>
      </w:r>
      <w:r>
        <w:tab/>
        <w:t>Relief and recovery funding arrangements</w:t>
      </w:r>
      <w:bookmarkEnd w:id="89"/>
    </w:p>
    <w:p w14:paraId="59E93963" w14:textId="77777777" w:rsidR="00DE1537" w:rsidRPr="00E34C5C" w:rsidRDefault="00DE1537" w:rsidP="00343F3E">
      <w:pPr>
        <w:pStyle w:val="Heading3"/>
        <w:spacing w:before="280"/>
      </w:pPr>
      <w:r w:rsidRPr="00613238">
        <w:t>Intergovernmental cost sharing</w:t>
      </w:r>
    </w:p>
    <w:p w14:paraId="634B5FB5" w14:textId="77777777" w:rsidR="00DE1537" w:rsidRDefault="00DE1537" w:rsidP="00343F3E">
      <w:pPr>
        <w:pStyle w:val="BodyText"/>
      </w:pPr>
      <w:r>
        <w:t>In many countries, subnational governments are primarily responsible for restoring public infrastructure and other government assets damaged by natural disasters, as well as providing emergency response services and assistance to households and businesses. However, they sometimes lack the fiscal capacity to bear these costs and receive funding support from the national government. Table 8.1 summarises funding arrangements in selected countries. In these countries, natural disasters tend to be declared on a discretionary basis (typically by the national government) when they are considered to have significant impacts on communities or exceed the capacity of subnational governments to manage on their own.</w:t>
      </w:r>
    </w:p>
    <w:p w14:paraId="5DA38D4D" w14:textId="77777777" w:rsidR="00DE1537" w:rsidRPr="00785096"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0AEBD5D7" w14:textId="77777777" w:rsidTr="00343F3E">
        <w:tc>
          <w:tcPr>
            <w:tcW w:w="8771" w:type="dxa"/>
            <w:tcBorders>
              <w:top w:val="single" w:sz="6" w:space="0" w:color="78A22F"/>
              <w:left w:val="nil"/>
              <w:bottom w:val="nil"/>
              <w:right w:val="nil"/>
            </w:tcBorders>
            <w:shd w:val="clear" w:color="auto" w:fill="auto"/>
          </w:tcPr>
          <w:p w14:paraId="6670A80D" w14:textId="77777777" w:rsidR="00DE1537" w:rsidRDefault="00DE1537" w:rsidP="00343F3E">
            <w:pPr>
              <w:pStyle w:val="TableTitle"/>
            </w:pPr>
            <w:r>
              <w:rPr>
                <w:b w:val="0"/>
              </w:rPr>
              <w:t>Table 8.</w:t>
            </w:r>
            <w:r>
              <w:rPr>
                <w:b w:val="0"/>
                <w:noProof/>
              </w:rPr>
              <w:t>1</w:t>
            </w:r>
            <w:r>
              <w:tab/>
              <w:t>Natural disaster relief and recovery funding for subnational governments</w:t>
            </w:r>
          </w:p>
        </w:tc>
      </w:tr>
      <w:tr w:rsidR="00DE1537" w14:paraId="69955634"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73"/>
              <w:gridCol w:w="2182"/>
              <w:gridCol w:w="2268"/>
              <w:gridCol w:w="1984"/>
              <w:gridCol w:w="1280"/>
            </w:tblGrid>
            <w:tr w:rsidR="00DE1537" w14:paraId="34C08CEF" w14:textId="77777777" w:rsidTr="00343F3E">
              <w:tc>
                <w:tcPr>
                  <w:tcW w:w="455" w:type="pct"/>
                  <w:tcBorders>
                    <w:top w:val="single" w:sz="6" w:space="0" w:color="BFBFBF" w:themeColor="background2"/>
                    <w:bottom w:val="single" w:sz="6" w:space="0" w:color="BFBFBF" w:themeColor="background2"/>
                  </w:tcBorders>
                  <w:shd w:val="clear" w:color="auto" w:fill="auto"/>
                  <w:tcMar>
                    <w:top w:w="28" w:type="dxa"/>
                  </w:tcMar>
                </w:tcPr>
                <w:p w14:paraId="147747CA" w14:textId="77777777" w:rsidR="00DE1537" w:rsidRDefault="00DE1537" w:rsidP="00343F3E">
                  <w:pPr>
                    <w:pStyle w:val="TableColumnHeading"/>
                    <w:jc w:val="left"/>
                  </w:pPr>
                  <w:r>
                    <w:t>Country</w:t>
                  </w:r>
                </w:p>
              </w:tc>
              <w:tc>
                <w:tcPr>
                  <w:tcW w:w="1285" w:type="pct"/>
                  <w:tcBorders>
                    <w:top w:val="single" w:sz="6" w:space="0" w:color="BFBFBF" w:themeColor="background2"/>
                    <w:bottom w:val="single" w:sz="6" w:space="0" w:color="BFBFBF" w:themeColor="background2"/>
                  </w:tcBorders>
                </w:tcPr>
                <w:p w14:paraId="3F09CA14" w14:textId="77777777" w:rsidR="00DE1537" w:rsidRDefault="00DE1537" w:rsidP="00343F3E">
                  <w:pPr>
                    <w:pStyle w:val="TableColumnHeading"/>
                    <w:jc w:val="left"/>
                  </w:pPr>
                  <w:r>
                    <w:t>Eligible events</w:t>
                  </w:r>
                </w:p>
              </w:tc>
              <w:tc>
                <w:tcPr>
                  <w:tcW w:w="1336" w:type="pct"/>
                  <w:tcBorders>
                    <w:top w:val="single" w:sz="6" w:space="0" w:color="BFBFBF" w:themeColor="background2"/>
                    <w:bottom w:val="single" w:sz="6" w:space="0" w:color="BFBFBF" w:themeColor="background2"/>
                  </w:tcBorders>
                  <w:shd w:val="clear" w:color="auto" w:fill="auto"/>
                  <w:tcMar>
                    <w:top w:w="28" w:type="dxa"/>
                  </w:tcMar>
                </w:tcPr>
                <w:p w14:paraId="759A35DB" w14:textId="77777777" w:rsidR="00DE1537" w:rsidRDefault="00DE1537" w:rsidP="00343F3E">
                  <w:pPr>
                    <w:pStyle w:val="TableColumnHeading"/>
                    <w:jc w:val="left"/>
                  </w:pPr>
                  <w:r>
                    <w:t>Cost thresholds</w:t>
                  </w:r>
                </w:p>
              </w:tc>
              <w:tc>
                <w:tcPr>
                  <w:tcW w:w="1169" w:type="pct"/>
                  <w:tcBorders>
                    <w:top w:val="single" w:sz="6" w:space="0" w:color="BFBFBF" w:themeColor="background2"/>
                    <w:bottom w:val="single" w:sz="6" w:space="0" w:color="BFBFBF" w:themeColor="background2"/>
                  </w:tcBorders>
                </w:tcPr>
                <w:p w14:paraId="38111589" w14:textId="77777777" w:rsidR="00DE1537" w:rsidRDefault="00DE1537" w:rsidP="00343F3E">
                  <w:pPr>
                    <w:pStyle w:val="TableColumnHeading"/>
                    <w:ind w:right="28"/>
                    <w:jc w:val="left"/>
                  </w:pPr>
                  <w:r>
                    <w:t>Eligible activities</w:t>
                  </w:r>
                </w:p>
              </w:tc>
              <w:tc>
                <w:tcPr>
                  <w:tcW w:w="754" w:type="pct"/>
                  <w:tcBorders>
                    <w:top w:val="single" w:sz="6" w:space="0" w:color="BFBFBF" w:themeColor="background2"/>
                    <w:bottom w:val="single" w:sz="6" w:space="0" w:color="BFBFBF" w:themeColor="background2"/>
                  </w:tcBorders>
                  <w:shd w:val="clear" w:color="auto" w:fill="auto"/>
                  <w:tcMar>
                    <w:top w:w="28" w:type="dxa"/>
                  </w:tcMar>
                </w:tcPr>
                <w:p w14:paraId="0273EFBB" w14:textId="77777777" w:rsidR="00DE1537" w:rsidRDefault="00DE1537" w:rsidP="00343F3E">
                  <w:pPr>
                    <w:pStyle w:val="TableColumnHeading"/>
                    <w:ind w:right="28"/>
                    <w:jc w:val="left"/>
                  </w:pPr>
                  <w:r>
                    <w:t>National govt share of costs</w:t>
                  </w:r>
                </w:p>
              </w:tc>
            </w:tr>
            <w:tr w:rsidR="00DE1537" w14:paraId="33B695DD" w14:textId="77777777" w:rsidTr="00343F3E">
              <w:tc>
                <w:tcPr>
                  <w:tcW w:w="455" w:type="pct"/>
                  <w:tcBorders>
                    <w:top w:val="single" w:sz="6" w:space="0" w:color="BFBFBF" w:themeColor="background2"/>
                  </w:tcBorders>
                  <w:shd w:val="clear" w:color="auto" w:fill="F2F2F2" w:themeFill="background1" w:themeFillShade="F2"/>
                </w:tcPr>
                <w:p w14:paraId="59EB88EA" w14:textId="77777777" w:rsidR="00DE1537" w:rsidRDefault="00DE1537" w:rsidP="00343F3E">
                  <w:pPr>
                    <w:pStyle w:val="TableBodyText"/>
                    <w:jc w:val="left"/>
                  </w:pPr>
                  <w:r>
                    <w:t>United States</w:t>
                  </w:r>
                </w:p>
              </w:tc>
              <w:tc>
                <w:tcPr>
                  <w:tcW w:w="1285" w:type="pct"/>
                  <w:tcBorders>
                    <w:top w:val="single" w:sz="6" w:space="0" w:color="BFBFBF" w:themeColor="background2"/>
                  </w:tcBorders>
                  <w:shd w:val="clear" w:color="auto" w:fill="F2F2F2" w:themeFill="background1" w:themeFillShade="F2"/>
                </w:tcPr>
                <w:p w14:paraId="3BF04C8E" w14:textId="434B665A" w:rsidR="00DE1537" w:rsidRDefault="00DE1537" w:rsidP="00343F3E">
                  <w:pPr>
                    <w:pStyle w:val="TableBodyText"/>
                    <w:jc w:val="left"/>
                    <w:rPr>
                      <w:i/>
                    </w:rPr>
                  </w:pPr>
                  <w:r>
                    <w:t xml:space="preserve">Presidentially declared major disasters or emergencies where ‘… response and recovery is beyond the combined capability of the State and local governments’ </w:t>
                  </w:r>
                  <w:r w:rsidRPr="00255156">
                    <w:rPr>
                      <w:rFonts w:cs="Arial"/>
                      <w:szCs w:val="24"/>
                    </w:rPr>
                    <w:t>(FEMA 2010, p. 5)</w:t>
                  </w:r>
                </w:p>
              </w:tc>
              <w:tc>
                <w:tcPr>
                  <w:tcW w:w="1336" w:type="pct"/>
                  <w:tcBorders>
                    <w:top w:val="single" w:sz="6" w:space="0" w:color="BFBFBF" w:themeColor="background2"/>
                  </w:tcBorders>
                  <w:shd w:val="clear" w:color="auto" w:fill="F2F2F2" w:themeFill="background1" w:themeFillShade="F2"/>
                </w:tcPr>
                <w:p w14:paraId="0CB5AB5F" w14:textId="77777777" w:rsidR="00DE1537" w:rsidRDefault="00DE1537" w:rsidP="00343F3E">
                  <w:pPr>
                    <w:pStyle w:val="TableBodyText"/>
                    <w:jc w:val="left"/>
                    <w:rPr>
                      <w:i/>
                    </w:rPr>
                  </w:pPr>
                  <w:r>
                    <w:t>Disasters may be eligible for declaration when estimated costs exceed US$1.39 per capita for a state, although other factors are also considered (thresholds thus range from around US$800 000 to US$53 million, depending on the state)</w:t>
                  </w:r>
                </w:p>
              </w:tc>
              <w:tc>
                <w:tcPr>
                  <w:tcW w:w="1169" w:type="pct"/>
                  <w:tcBorders>
                    <w:top w:val="single" w:sz="6" w:space="0" w:color="BFBFBF" w:themeColor="background2"/>
                  </w:tcBorders>
                  <w:shd w:val="clear" w:color="auto" w:fill="F2F2F2" w:themeFill="background1" w:themeFillShade="F2"/>
                </w:tcPr>
                <w:p w14:paraId="307C0F70" w14:textId="77777777" w:rsidR="00DE1537" w:rsidRDefault="00DE1537" w:rsidP="00343F3E">
                  <w:pPr>
                    <w:pStyle w:val="TableBodyText"/>
                    <w:ind w:right="28"/>
                    <w:jc w:val="left"/>
                  </w:pPr>
                  <w:r>
                    <w:t>Projects with costs over US$1 000, including restoration of public infrastructure, debris removal, emergency protective measures, temporary housing, and unemployment relief</w:t>
                  </w:r>
                </w:p>
              </w:tc>
              <w:tc>
                <w:tcPr>
                  <w:tcW w:w="754" w:type="pct"/>
                  <w:tcBorders>
                    <w:top w:val="single" w:sz="6" w:space="0" w:color="BFBFBF" w:themeColor="background2"/>
                  </w:tcBorders>
                  <w:shd w:val="clear" w:color="auto" w:fill="F2F2F2" w:themeFill="background1" w:themeFillShade="F2"/>
                </w:tcPr>
                <w:p w14:paraId="226910CF" w14:textId="77777777" w:rsidR="00DE1537" w:rsidRDefault="00DE1537" w:rsidP="00343F3E">
                  <w:pPr>
                    <w:pStyle w:val="TableBodyText"/>
                    <w:ind w:right="28"/>
                    <w:jc w:val="left"/>
                    <w:rPr>
                      <w:i/>
                    </w:rPr>
                  </w:pPr>
                  <w:r>
                    <w:t xml:space="preserve">Usually 75% of all costs, but this can be raised on an </w:t>
                  </w:r>
                  <w:r w:rsidRPr="005D1136">
                    <w:t>ad</w:t>
                  </w:r>
                  <w:r w:rsidRPr="005D1136">
                    <w:noBreakHyphen/>
                    <w:t>hoc</w:t>
                  </w:r>
                  <w:r>
                    <w:t xml:space="preserve"> basis</w:t>
                  </w:r>
                </w:p>
              </w:tc>
            </w:tr>
            <w:tr w:rsidR="00DE1537" w14:paraId="07245C9B" w14:textId="77777777" w:rsidTr="00343F3E">
              <w:tc>
                <w:tcPr>
                  <w:tcW w:w="455" w:type="pct"/>
                </w:tcPr>
                <w:p w14:paraId="7EA00FC1" w14:textId="77777777" w:rsidR="00DE1537" w:rsidRDefault="00DE1537" w:rsidP="00343F3E">
                  <w:pPr>
                    <w:pStyle w:val="TableBodyText"/>
                    <w:jc w:val="left"/>
                  </w:pPr>
                  <w:r>
                    <w:t>Canada</w:t>
                  </w:r>
                </w:p>
              </w:tc>
              <w:tc>
                <w:tcPr>
                  <w:tcW w:w="1285" w:type="pct"/>
                </w:tcPr>
                <w:p w14:paraId="5D896276" w14:textId="7238B02F" w:rsidR="00DE1537" w:rsidRDefault="00DE1537" w:rsidP="00343F3E">
                  <w:pPr>
                    <w:pStyle w:val="TableBodyText"/>
                    <w:jc w:val="left"/>
                    <w:rPr>
                      <w:i/>
                    </w:rPr>
                  </w:pPr>
                  <w:r>
                    <w:t xml:space="preserve">‘Natural disasters resulting in extensive property damage or disruption of the delivery of essential goods and services’ </w:t>
                  </w:r>
                  <w:r w:rsidRPr="00255156">
                    <w:rPr>
                      <w:rFonts w:cs="Arial"/>
                      <w:szCs w:val="24"/>
                    </w:rPr>
                    <w:t>(Government of Canada 2007, p. 5)</w:t>
                  </w:r>
                </w:p>
              </w:tc>
              <w:tc>
                <w:tcPr>
                  <w:tcW w:w="1336" w:type="pct"/>
                </w:tcPr>
                <w:p w14:paraId="7A9332BD" w14:textId="77777777" w:rsidR="00DE1537" w:rsidRDefault="00DE1537" w:rsidP="00343F3E">
                  <w:pPr>
                    <w:pStyle w:val="TableBodyText"/>
                    <w:jc w:val="left"/>
                    <w:rPr>
                      <w:i/>
                    </w:rPr>
                  </w:pPr>
                  <w:r>
                    <w:t>Total eligible expenditure exceeds C$1 per capita (thresholds thus range from around C$32 000 to C$12.9 million)</w:t>
                  </w:r>
                </w:p>
              </w:tc>
              <w:tc>
                <w:tcPr>
                  <w:tcW w:w="1169" w:type="pct"/>
                </w:tcPr>
                <w:p w14:paraId="7C0E6FBF" w14:textId="77777777" w:rsidR="00DE1537" w:rsidRDefault="00DE1537" w:rsidP="00343F3E">
                  <w:pPr>
                    <w:pStyle w:val="TableBodyText"/>
                    <w:jc w:val="left"/>
                  </w:pPr>
                  <w:r>
                    <w:t>Restoration of public infrastructure, debris removal, emergency assistance to households, and restoration of dwellings and business premises</w:t>
                  </w:r>
                </w:p>
              </w:tc>
              <w:tc>
                <w:tcPr>
                  <w:tcW w:w="754" w:type="pct"/>
                </w:tcPr>
                <w:p w14:paraId="50E1F297" w14:textId="77777777" w:rsidR="00DE1537" w:rsidRDefault="00DE1537" w:rsidP="00343F3E">
                  <w:pPr>
                    <w:pStyle w:val="TableBodyText"/>
                    <w:jc w:val="left"/>
                    <w:rPr>
                      <w:i/>
                    </w:rPr>
                  </w:pPr>
                  <w:r>
                    <w:t>50% for the first C$2 per capita above the threshold, 75% for the next C$2 and 90% for additional costs</w:t>
                  </w:r>
                </w:p>
              </w:tc>
            </w:tr>
            <w:tr w:rsidR="00DE1537" w14:paraId="2BEA6CF3" w14:textId="77777777" w:rsidTr="00343F3E">
              <w:tc>
                <w:tcPr>
                  <w:tcW w:w="455" w:type="pct"/>
                  <w:tcBorders>
                    <w:bottom w:val="single" w:sz="6" w:space="0" w:color="BFBFBF" w:themeColor="background2"/>
                  </w:tcBorders>
                  <w:shd w:val="clear" w:color="auto" w:fill="F2F2F2" w:themeFill="background1" w:themeFillShade="F2"/>
                </w:tcPr>
                <w:p w14:paraId="1901604E" w14:textId="77777777" w:rsidR="00DE1537" w:rsidRDefault="00DE1537" w:rsidP="00343F3E">
                  <w:pPr>
                    <w:pStyle w:val="TableBodyText"/>
                    <w:jc w:val="left"/>
                  </w:pPr>
                  <w:r>
                    <w:t>New Zealand</w:t>
                  </w:r>
                </w:p>
              </w:tc>
              <w:tc>
                <w:tcPr>
                  <w:tcW w:w="1285" w:type="pct"/>
                  <w:tcBorders>
                    <w:bottom w:val="single" w:sz="6" w:space="0" w:color="BFBFBF" w:themeColor="background2"/>
                  </w:tcBorders>
                  <w:shd w:val="clear" w:color="auto" w:fill="F2F2F2" w:themeFill="background1" w:themeFillShade="F2"/>
                </w:tcPr>
                <w:p w14:paraId="64D85A70" w14:textId="5873CD79" w:rsidR="00DE1537" w:rsidRDefault="00DE1537" w:rsidP="00343F3E">
                  <w:pPr>
                    <w:pStyle w:val="TableBodyText"/>
                    <w:jc w:val="left"/>
                    <w:rPr>
                      <w:i/>
                    </w:rPr>
                  </w:pPr>
                  <w:r>
                    <w:t xml:space="preserve">‘Emergencies where communities and agencies are overwhelmed and demand on resources may exceed those available at the local, regional, or national level’ </w:t>
                  </w:r>
                  <w:r w:rsidRPr="00255156">
                    <w:rPr>
                      <w:rFonts w:cs="Arial"/>
                      <w:szCs w:val="24"/>
                    </w:rPr>
                    <w:t>(NZMCDEM 2009, p. 6)</w:t>
                  </w:r>
                </w:p>
              </w:tc>
              <w:tc>
                <w:tcPr>
                  <w:tcW w:w="1336" w:type="pct"/>
                  <w:tcBorders>
                    <w:bottom w:val="single" w:sz="6" w:space="0" w:color="BFBFBF" w:themeColor="background2"/>
                  </w:tcBorders>
                  <w:shd w:val="clear" w:color="auto" w:fill="F2F2F2" w:themeFill="background1" w:themeFillShade="F2"/>
                </w:tcPr>
                <w:p w14:paraId="5B126D2D" w14:textId="77777777" w:rsidR="00DE1537" w:rsidRDefault="00DE1537" w:rsidP="00343F3E">
                  <w:pPr>
                    <w:pStyle w:val="TableBodyText"/>
                    <w:jc w:val="left"/>
                    <w:rPr>
                      <w:i/>
                    </w:rPr>
                  </w:pPr>
                  <w:r>
                    <w:t>Total eligible expenditure exceeds 0.0075% of the net capital value of the local authority</w:t>
                  </w:r>
                  <w:r>
                    <w:rPr>
                      <w:rStyle w:val="NoteLabel"/>
                    </w:rPr>
                    <w:t>a</w:t>
                  </w:r>
                  <w:r w:rsidRPr="00255156">
                    <w:t xml:space="preserve"> (thresholds</w:t>
                  </w:r>
                  <w:r>
                    <w:t xml:space="preserve"> thus range from around NZ$4 000 to NZ$800 000)</w:t>
                  </w:r>
                  <w:r>
                    <w:rPr>
                      <w:rStyle w:val="NoteLabel"/>
                    </w:rPr>
                    <w:t>b</w:t>
                  </w:r>
                </w:p>
              </w:tc>
              <w:tc>
                <w:tcPr>
                  <w:tcW w:w="1169" w:type="pct"/>
                  <w:tcBorders>
                    <w:bottom w:val="single" w:sz="6" w:space="0" w:color="BFBFBF" w:themeColor="background2"/>
                  </w:tcBorders>
                  <w:shd w:val="clear" w:color="auto" w:fill="F2F2F2" w:themeFill="background1" w:themeFillShade="F2"/>
                </w:tcPr>
                <w:p w14:paraId="6CF3462A" w14:textId="77777777" w:rsidR="00DE1537" w:rsidRDefault="00DE1537" w:rsidP="00343F3E">
                  <w:pPr>
                    <w:pStyle w:val="TableBodyText"/>
                    <w:ind w:right="28"/>
                    <w:jc w:val="left"/>
                  </w:pPr>
                  <w:r>
                    <w:t>Restoration of public infrastructure, support for displaced persons, and emergency response activities</w:t>
                  </w:r>
                </w:p>
              </w:tc>
              <w:tc>
                <w:tcPr>
                  <w:tcW w:w="754" w:type="pct"/>
                  <w:tcBorders>
                    <w:bottom w:val="single" w:sz="6" w:space="0" w:color="BFBFBF" w:themeColor="background2"/>
                  </w:tcBorders>
                  <w:shd w:val="clear" w:color="auto" w:fill="F2F2F2" w:themeFill="background1" w:themeFillShade="F2"/>
                </w:tcPr>
                <w:p w14:paraId="4BD7ABE6" w14:textId="77777777" w:rsidR="00DE1537" w:rsidRDefault="00DE1537" w:rsidP="00343F3E">
                  <w:pPr>
                    <w:pStyle w:val="TableBodyText"/>
                    <w:ind w:right="28"/>
                    <w:jc w:val="left"/>
                    <w:rPr>
                      <w:i/>
                    </w:rPr>
                  </w:pPr>
                  <w:r>
                    <w:t>60% of costs above the threshold</w:t>
                  </w:r>
                </w:p>
              </w:tc>
            </w:tr>
          </w:tbl>
          <w:p w14:paraId="5B626A50" w14:textId="77777777" w:rsidR="00DE1537" w:rsidRDefault="00DE1537" w:rsidP="00343F3E">
            <w:pPr>
              <w:pStyle w:val="Box"/>
            </w:pPr>
          </w:p>
        </w:tc>
      </w:tr>
      <w:tr w:rsidR="00DE1537" w14:paraId="542C012E" w14:textId="77777777" w:rsidTr="00343F3E">
        <w:trPr>
          <w:cantSplit/>
        </w:trPr>
        <w:tc>
          <w:tcPr>
            <w:tcW w:w="8771" w:type="dxa"/>
            <w:tcBorders>
              <w:top w:val="nil"/>
              <w:left w:val="nil"/>
              <w:bottom w:val="nil"/>
              <w:right w:val="nil"/>
            </w:tcBorders>
            <w:shd w:val="clear" w:color="auto" w:fill="auto"/>
          </w:tcPr>
          <w:p w14:paraId="2118EC3F" w14:textId="77777777" w:rsidR="00DE1537" w:rsidRDefault="00DE1537" w:rsidP="00343F3E">
            <w:pPr>
              <w:pStyle w:val="Note"/>
              <w:rPr>
                <w:i/>
              </w:rPr>
            </w:pPr>
            <w:proofErr w:type="gramStart"/>
            <w:r w:rsidRPr="008E77FE">
              <w:rPr>
                <w:rStyle w:val="NoteLabel"/>
              </w:rPr>
              <w:t>a</w:t>
            </w:r>
            <w:proofErr w:type="gramEnd"/>
            <w:r>
              <w:t xml:space="preserve"> This threshold applies to city councils, district councils and unitary authorities. A threshold of 0.002 per cent applies for regional councils.</w:t>
            </w:r>
            <w:r>
              <w:rPr>
                <w:rStyle w:val="NoteLabel"/>
                <w:b w:val="0"/>
              </w:rPr>
              <w:t xml:space="preserve"> </w:t>
            </w:r>
            <w:proofErr w:type="gramStart"/>
            <w:r>
              <w:rPr>
                <w:rStyle w:val="NoteLabel"/>
              </w:rPr>
              <w:t>b</w:t>
            </w:r>
            <w:proofErr w:type="gramEnd"/>
            <w:r>
              <w:t xml:space="preserve"> Estimates based on total assets less total liabilities for New Zealand local authorities in 2014.</w:t>
            </w:r>
          </w:p>
        </w:tc>
      </w:tr>
      <w:tr w:rsidR="00DE1537" w14:paraId="33C88B01" w14:textId="77777777" w:rsidTr="00343F3E">
        <w:trPr>
          <w:cantSplit/>
        </w:trPr>
        <w:tc>
          <w:tcPr>
            <w:tcW w:w="8771" w:type="dxa"/>
            <w:tcBorders>
              <w:top w:val="nil"/>
              <w:left w:val="nil"/>
              <w:bottom w:val="nil"/>
              <w:right w:val="nil"/>
            </w:tcBorders>
            <w:shd w:val="clear" w:color="auto" w:fill="auto"/>
          </w:tcPr>
          <w:p w14:paraId="373628D0" w14:textId="1E5C4FE3" w:rsidR="00DE1537" w:rsidRDefault="00DE1537" w:rsidP="00343F3E">
            <w:pPr>
              <w:pStyle w:val="Source"/>
            </w:pPr>
            <w:r>
              <w:rPr>
                <w:i/>
              </w:rPr>
              <w:t>Sources</w:t>
            </w:r>
            <w:r>
              <w:t xml:space="preserve">: FEMA </w:t>
            </w:r>
            <w:r w:rsidRPr="00CB3DBE">
              <w:rPr>
                <w:rFonts w:cs="Arial"/>
              </w:rPr>
              <w:t>(2010, 2013c)</w:t>
            </w:r>
            <w:r>
              <w:t xml:space="preserve">; Government of Canada </w:t>
            </w:r>
            <w:r w:rsidRPr="00585474">
              <w:rPr>
                <w:rFonts w:cs="Arial"/>
              </w:rPr>
              <w:t>(2007)</w:t>
            </w:r>
            <w:r>
              <w:t xml:space="preserve">; NZDIA </w:t>
            </w:r>
            <w:r w:rsidRPr="00B005FD">
              <w:rPr>
                <w:rFonts w:cs="Arial"/>
              </w:rPr>
              <w:t>(2014)</w:t>
            </w:r>
            <w:r>
              <w:t xml:space="preserve">; NZMCDEM </w:t>
            </w:r>
            <w:r w:rsidRPr="006F3C24">
              <w:rPr>
                <w:rFonts w:cs="Arial"/>
              </w:rPr>
              <w:t>(2009)</w:t>
            </w:r>
            <w:r>
              <w:t xml:space="preserve">; USGAO </w:t>
            </w:r>
            <w:r w:rsidRPr="00940E2F">
              <w:rPr>
                <w:rFonts w:cs="Arial"/>
              </w:rPr>
              <w:t>(2012)</w:t>
            </w:r>
            <w:r>
              <w:t>.</w:t>
            </w:r>
          </w:p>
        </w:tc>
      </w:tr>
      <w:tr w:rsidR="00DE1537" w14:paraId="48BC613E" w14:textId="77777777" w:rsidTr="00343F3E">
        <w:trPr>
          <w:cantSplit/>
        </w:trPr>
        <w:tc>
          <w:tcPr>
            <w:tcW w:w="8771" w:type="dxa"/>
            <w:tcBorders>
              <w:top w:val="nil"/>
              <w:left w:val="nil"/>
              <w:bottom w:val="single" w:sz="6" w:space="0" w:color="78A22F"/>
              <w:right w:val="nil"/>
            </w:tcBorders>
            <w:shd w:val="clear" w:color="auto" w:fill="auto"/>
          </w:tcPr>
          <w:p w14:paraId="2F897E3B" w14:textId="77777777" w:rsidR="00DE1537" w:rsidRDefault="00DE1537" w:rsidP="00343F3E">
            <w:pPr>
              <w:pStyle w:val="Box"/>
              <w:spacing w:before="0" w:line="120" w:lineRule="exact"/>
            </w:pPr>
          </w:p>
        </w:tc>
      </w:tr>
      <w:tr w:rsidR="00DE1537" w:rsidRPr="000863A5" w14:paraId="4C3944FB" w14:textId="77777777" w:rsidTr="00343F3E">
        <w:tc>
          <w:tcPr>
            <w:tcW w:w="8771" w:type="dxa"/>
            <w:tcBorders>
              <w:top w:val="single" w:sz="6" w:space="0" w:color="78A22F"/>
              <w:left w:val="nil"/>
              <w:bottom w:val="nil"/>
              <w:right w:val="nil"/>
            </w:tcBorders>
          </w:tcPr>
          <w:p w14:paraId="7DEB701F" w14:textId="77777777" w:rsidR="00DE1537" w:rsidRPr="00785096" w:rsidRDefault="00DE1537" w:rsidP="00343F3E">
            <w:pPr>
              <w:pStyle w:val="BoxSpaceBelow"/>
            </w:pPr>
          </w:p>
        </w:tc>
      </w:tr>
    </w:tbl>
    <w:p w14:paraId="4C18246E" w14:textId="77777777" w:rsidR="00DE1537" w:rsidRDefault="00DE1537" w:rsidP="00343F3E">
      <w:pPr>
        <w:pStyle w:val="BodyText"/>
      </w:pPr>
      <w:r>
        <w:t>Federations usually have cost</w:t>
      </w:r>
      <w:r>
        <w:noBreakHyphen/>
        <w:t xml:space="preserve">sharing arrangements in place, whereby the federal government pays for a portion of the cost of subnational governments’ recovery costs. </w:t>
      </w:r>
    </w:p>
    <w:p w14:paraId="553A623B" w14:textId="345E4020" w:rsidR="00DE1537" w:rsidRDefault="00DE1537" w:rsidP="00343F3E">
      <w:pPr>
        <w:pStyle w:val="ListBullet"/>
      </w:pPr>
      <w:r>
        <w:t xml:space="preserve">In the </w:t>
      </w:r>
      <w:r w:rsidRPr="00E56DEC">
        <w:t>United States, the federal government provides financial assistance to state governments following a presidentially declared major disaster or emergency</w:t>
      </w:r>
      <w:r>
        <w:t xml:space="preserve"> </w:t>
      </w:r>
      <w:r w:rsidRPr="00E56DEC">
        <w:t>(box</w:t>
      </w:r>
      <w:r>
        <w:t> 8.3</w:t>
      </w:r>
      <w:r w:rsidRPr="00E56DEC">
        <w:t>).</w:t>
      </w:r>
      <w:r>
        <w:t xml:space="preserve"> Disasters where states incur costs greater than US$1.39 per capita are generally declared.</w:t>
      </w:r>
      <w:r w:rsidRPr="00E56DEC">
        <w:t xml:space="preserve"> The federal government’s share of costs must be at least 75 per cent, but this can increase once state expenditure has reached a specific threshold, or if the </w:t>
      </w:r>
      <w:r>
        <w:t>P</w:t>
      </w:r>
      <w:r w:rsidRPr="00E56DEC">
        <w:t xml:space="preserve">resident or </w:t>
      </w:r>
      <w:r>
        <w:t>C</w:t>
      </w:r>
      <w:r w:rsidRPr="00E56DEC">
        <w:t>ongress adjust</w:t>
      </w:r>
      <w:r>
        <w:t>s</w:t>
      </w:r>
      <w:r w:rsidRPr="00E56DEC">
        <w:t xml:space="preserve"> the thresholds for particular events.</w:t>
      </w:r>
      <w:r>
        <w:t xml:space="preserve"> Although specific expenditure data are not available, budgetary appropriations to fund these and other disaster</w:t>
      </w:r>
      <w:r>
        <w:noBreakHyphen/>
        <w:t xml:space="preserve">related expenditures averaged around US$12 billion in the ten years to 2014 </w:t>
      </w:r>
      <w:r w:rsidRPr="007010FE">
        <w:rPr>
          <w:szCs w:val="24"/>
        </w:rPr>
        <w:t>(Lindsay 2014)</w:t>
      </w:r>
      <w:r>
        <w:t xml:space="preserve"> (section 8.5).</w:t>
      </w:r>
    </w:p>
    <w:p w14:paraId="3BD75C35" w14:textId="77777777" w:rsidR="00DE1537" w:rsidRPr="00785096"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5D4D020" w14:textId="77777777" w:rsidTr="00343F3E">
        <w:tc>
          <w:tcPr>
            <w:tcW w:w="8771" w:type="dxa"/>
            <w:tcBorders>
              <w:top w:val="single" w:sz="6" w:space="0" w:color="78A22F"/>
              <w:left w:val="nil"/>
              <w:bottom w:val="nil"/>
              <w:right w:val="nil"/>
            </w:tcBorders>
            <w:shd w:val="clear" w:color="auto" w:fill="F2F2F2" w:themeFill="background1" w:themeFillShade="F2"/>
          </w:tcPr>
          <w:p w14:paraId="4FF930E0" w14:textId="77777777" w:rsidR="00DE1537" w:rsidRDefault="00DE1537" w:rsidP="00343F3E">
            <w:pPr>
              <w:pStyle w:val="BoxTitle"/>
            </w:pPr>
            <w:r>
              <w:rPr>
                <w:b w:val="0"/>
              </w:rPr>
              <w:t>Box 8.</w:t>
            </w:r>
            <w:r>
              <w:rPr>
                <w:b w:val="0"/>
                <w:noProof/>
              </w:rPr>
              <w:t>3</w:t>
            </w:r>
            <w:r>
              <w:tab/>
              <w:t>Recovery funding arrangements in the United States</w:t>
            </w:r>
          </w:p>
        </w:tc>
      </w:tr>
      <w:tr w:rsidR="00DE1537" w14:paraId="6BCDAEA2" w14:textId="77777777" w:rsidTr="00343F3E">
        <w:trPr>
          <w:cantSplit/>
        </w:trPr>
        <w:tc>
          <w:tcPr>
            <w:tcW w:w="8771" w:type="dxa"/>
            <w:tcBorders>
              <w:top w:val="nil"/>
              <w:left w:val="nil"/>
              <w:bottom w:val="nil"/>
              <w:right w:val="nil"/>
            </w:tcBorders>
            <w:shd w:val="clear" w:color="auto" w:fill="F2F2F2" w:themeFill="background1" w:themeFillShade="F2"/>
          </w:tcPr>
          <w:p w14:paraId="704131CA" w14:textId="77777777" w:rsidR="00DE1537" w:rsidRDefault="00DE1537" w:rsidP="00343F3E">
            <w:pPr>
              <w:pStyle w:val="Box"/>
            </w:pPr>
            <w:r>
              <w:t>Funding for natural disaster recovery is shared among all levels of government in the United States. The federal government provides funding support to state and local governments after a presidentially declared major disaster or emergency through the Federal Emergency Management Agency (FEMA). This covers:</w:t>
            </w:r>
          </w:p>
          <w:p w14:paraId="10200E3E" w14:textId="77777777" w:rsidR="00DE1537" w:rsidRDefault="00DE1537" w:rsidP="00343F3E">
            <w:pPr>
              <w:pStyle w:val="BoxListBullet"/>
            </w:pPr>
            <w:r>
              <w:t>Public Assistance grants — for the restoration of damaged infrastructure, debris removal and other activities (state governments can apply on behalf of their local governments and some nonprofit organisations)</w:t>
            </w:r>
          </w:p>
          <w:p w14:paraId="38CF1DBE" w14:textId="77777777" w:rsidR="00DE1537" w:rsidRDefault="00DE1537" w:rsidP="00343F3E">
            <w:pPr>
              <w:pStyle w:val="BoxListBullet"/>
            </w:pPr>
            <w:r>
              <w:t xml:space="preserve">Individuals and Households assistance — for the provision of </w:t>
            </w:r>
            <w:r w:rsidRPr="00D9118C">
              <w:t>temporary housing, counselling and unemployment relief</w:t>
            </w:r>
            <w:r>
              <w:t>, and the repair of uninsured housing damaged by a natural disaster (</w:t>
            </w:r>
            <w:r w:rsidRPr="00D9118C">
              <w:t>with grant</w:t>
            </w:r>
            <w:r>
              <w:t>s</w:t>
            </w:r>
            <w:r w:rsidRPr="00D9118C">
              <w:t xml:space="preserve"> to a</w:t>
            </w:r>
            <w:r>
              <w:t xml:space="preserve"> single </w:t>
            </w:r>
            <w:r w:rsidRPr="00D9118C">
              <w:t xml:space="preserve">household </w:t>
            </w:r>
            <w:r>
              <w:t xml:space="preserve">capped at around </w:t>
            </w:r>
            <w:r w:rsidRPr="00D9118C">
              <w:t>US$31</w:t>
            </w:r>
            <w:r>
              <w:t> </w:t>
            </w:r>
            <w:r w:rsidRPr="00D9118C">
              <w:t>400</w:t>
            </w:r>
            <w:r>
              <w:t>).</w:t>
            </w:r>
          </w:p>
          <w:p w14:paraId="7CB4C4DB" w14:textId="77777777" w:rsidR="00DE1537" w:rsidRDefault="00DE1537" w:rsidP="00343F3E">
            <w:pPr>
              <w:pStyle w:val="Box"/>
            </w:pPr>
            <w:r>
              <w:t>Under legislation, the federal government’s share of costs must be at least 75 per cent (except for housing assistance, where it is 100 per cent). The federal share can increase once accumulated damage costs to an individual state reach a specific threshold (US$125 per capita in 2012). Congress and the President have discretion to adjust the cost shares and in some circumstances the federal share can rise as high as 100 per cent.</w:t>
            </w:r>
          </w:p>
          <w:p w14:paraId="3DF106A9" w14:textId="77777777" w:rsidR="00DE1537" w:rsidRDefault="00DE1537" w:rsidP="00343F3E">
            <w:pPr>
              <w:pStyle w:val="Box"/>
            </w:pPr>
            <w:r>
              <w:t>Eligibility for Public Assistance grants is based on a preliminary damage assessment conducted after a disaster occurs. For small projects below a threshold (currently US$68 500), funding is provided in advance based on estimated costs. For larger projects, funding is provided through progress payments as work is completed, based on documented actual costs. (In some situations, FEMA can provide up to 50 per cent of the total estimated federal cost share to a state prior to work commencing.) Funding is provided to:</w:t>
            </w:r>
          </w:p>
          <w:p w14:paraId="62995A08" w14:textId="1529EEA6" w:rsidR="00DE1537" w:rsidRDefault="00DE1537" w:rsidP="00343F3E">
            <w:pPr>
              <w:pStyle w:val="BoxQuote"/>
            </w:pPr>
            <w:r>
              <w:t xml:space="preserve">… </w:t>
            </w:r>
            <w:proofErr w:type="gramStart"/>
            <w:r w:rsidRPr="006F07D7">
              <w:t>restore</w:t>
            </w:r>
            <w:proofErr w:type="gramEnd"/>
            <w:r w:rsidRPr="006F07D7">
              <w:t xml:space="preserve"> an eligible facility to its predisaster design, function, and capacity. As part of the basic restoration, FEMA may also pay for upgrades that are necessary to meet the requirements of reasonable applicable codes and standards and may pay for reasonable and cost</w:t>
            </w:r>
            <w:r>
              <w:noBreakHyphen/>
            </w:r>
            <w:r w:rsidRPr="006F07D7">
              <w:t>effective hazard mitigation measures as part of the repair.</w:t>
            </w:r>
            <w:r>
              <w:t xml:space="preserve"> </w:t>
            </w:r>
            <w:r w:rsidRPr="002111C7">
              <w:rPr>
                <w:rFonts w:cs="Arial"/>
                <w:szCs w:val="24"/>
              </w:rPr>
              <w:t>(FEMA 2010, p. 23)</w:t>
            </w:r>
          </w:p>
          <w:p w14:paraId="301FE08A" w14:textId="77777777" w:rsidR="00DE1537" w:rsidRDefault="00DE1537" w:rsidP="00343F3E">
            <w:pPr>
              <w:pStyle w:val="Box"/>
            </w:pPr>
            <w:r>
              <w:t>In 2013, FEMA introduced the Alternative Procedures Pilot Program to allow greater flexibility in recovery projects. Under this program, grants can be provided upfront based on estimates of repair and reconstruction costs. Costs are estimated either by FEMA or the grant applicant, but usually must be mutually agreed within nine months of the disaster declaration (applicants can request an expert</w:t>
            </w:r>
            <w:r>
              <w:noBreakHyphen/>
              <w:t xml:space="preserve">panel review of estimates where the federal cost share is at least US$5 million). Funding can also be consolidated over multiple recovery projects. The program is intended to give state and local </w:t>
            </w:r>
            <w:proofErr w:type="gramStart"/>
            <w:r>
              <w:t>governments</w:t>
            </w:r>
            <w:proofErr w:type="gramEnd"/>
            <w:r>
              <w:t xml:space="preserve"> greater flexibility in how they undertake recovery, and to provide stronger incentives to rebuild infrastructure cost effectively, including to a more disaster resilient standard.</w:t>
            </w:r>
          </w:p>
          <w:p w14:paraId="51F5DCBB" w14:textId="77777777" w:rsidR="00DE1537" w:rsidRDefault="00DE1537" w:rsidP="00343F3E">
            <w:pPr>
              <w:pStyle w:val="Box"/>
            </w:pPr>
            <w:r>
              <w:t xml:space="preserve">While Public Assistance grant applicants are generally responsible for estimating reconstruction costs, FEMA reviews these estimates to determine whether they are reasonable. It has also produced a framework for estimating reconstruction costs, which includes adjustment factors for the complexity of the project, cost uncertainties, overheads and administrative costs. </w:t>
            </w:r>
          </w:p>
          <w:p w14:paraId="6021E087" w14:textId="77777777" w:rsidR="00DE1537" w:rsidRDefault="00DE1537" w:rsidP="00343F3E">
            <w:pPr>
              <w:pStyle w:val="Box"/>
            </w:pPr>
            <w:r>
              <w:t>Separately, FEMA also assists state and local governments after a natural disaster via:</w:t>
            </w:r>
          </w:p>
          <w:p w14:paraId="0EAF78C8" w14:textId="77777777" w:rsidR="00DE1537" w:rsidRDefault="00DE1537" w:rsidP="00343F3E">
            <w:pPr>
              <w:pStyle w:val="BoxListBullet"/>
              <w:rPr>
                <w:szCs w:val="24"/>
              </w:rPr>
            </w:pPr>
            <w:r>
              <w:t>h</w:t>
            </w:r>
            <w:r w:rsidRPr="00D9118C">
              <w:t xml:space="preserve">azard mitigation grants </w:t>
            </w:r>
            <w:r>
              <w:t>(section 8.2)</w:t>
            </w:r>
          </w:p>
          <w:p w14:paraId="7CB94D0C" w14:textId="77777777" w:rsidR="00DE1537" w:rsidRDefault="00DE1537" w:rsidP="00343F3E">
            <w:pPr>
              <w:pStyle w:val="BoxListBullet"/>
              <w:rPr>
                <w:szCs w:val="24"/>
              </w:rPr>
            </w:pPr>
            <w:proofErr w:type="gramStart"/>
            <w:r>
              <w:t>loans</w:t>
            </w:r>
            <w:proofErr w:type="gramEnd"/>
            <w:r>
              <w:t xml:space="preserve"> for the non</w:t>
            </w:r>
            <w:r>
              <w:noBreakHyphen/>
              <w:t xml:space="preserve">federal portion of recovery expenditures when a state or local government has experienced a substantial loss of tax revenues as a result of a major disaster. </w:t>
            </w:r>
          </w:p>
        </w:tc>
      </w:tr>
      <w:tr w:rsidR="00DE1537" w14:paraId="4B884857" w14:textId="77777777" w:rsidTr="00343F3E">
        <w:trPr>
          <w:cantSplit/>
        </w:trPr>
        <w:tc>
          <w:tcPr>
            <w:tcW w:w="8771" w:type="dxa"/>
            <w:tcBorders>
              <w:top w:val="nil"/>
              <w:left w:val="nil"/>
              <w:bottom w:val="nil"/>
              <w:right w:val="nil"/>
            </w:tcBorders>
            <w:shd w:val="clear" w:color="auto" w:fill="F2F2F2" w:themeFill="background1" w:themeFillShade="F2"/>
          </w:tcPr>
          <w:p w14:paraId="4CB15EA2" w14:textId="40B62A48" w:rsidR="00DE1537" w:rsidRDefault="00DE1537" w:rsidP="00343F3E">
            <w:pPr>
              <w:pStyle w:val="BoxSource"/>
            </w:pPr>
            <w:r>
              <w:rPr>
                <w:i/>
              </w:rPr>
              <w:t>Sources</w:t>
            </w:r>
            <w:r w:rsidRPr="00167F06">
              <w:t xml:space="preserve">: </w:t>
            </w:r>
            <w:r>
              <w:t xml:space="preserve">CFDA </w:t>
            </w:r>
            <w:r w:rsidRPr="007D4933">
              <w:rPr>
                <w:rFonts w:cs="Arial"/>
              </w:rPr>
              <w:t>(nd)</w:t>
            </w:r>
            <w:r>
              <w:t xml:space="preserve">; FEMA </w:t>
            </w:r>
            <w:r w:rsidRPr="00CB3DBE">
              <w:rPr>
                <w:rFonts w:cs="Arial"/>
              </w:rPr>
              <w:t>(2009, 2010, 2013a, 2013e)</w:t>
            </w:r>
            <w:r>
              <w:t xml:space="preserve">; Lindsay </w:t>
            </w:r>
            <w:r w:rsidRPr="000E1964">
              <w:rPr>
                <w:rFonts w:cs="Arial"/>
              </w:rPr>
              <w:t>(2012)</w:t>
            </w:r>
            <w:r>
              <w:t>.</w:t>
            </w:r>
          </w:p>
        </w:tc>
      </w:tr>
      <w:tr w:rsidR="00DE1537" w14:paraId="6D20D470"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64C0321" w14:textId="77777777" w:rsidR="00DE1537" w:rsidRDefault="00DE1537" w:rsidP="00343F3E">
            <w:pPr>
              <w:pStyle w:val="Box"/>
              <w:spacing w:before="0" w:line="120" w:lineRule="exact"/>
            </w:pPr>
          </w:p>
        </w:tc>
      </w:tr>
      <w:tr w:rsidR="00DE1537" w:rsidRPr="000863A5" w14:paraId="7779BE51" w14:textId="77777777" w:rsidTr="00343F3E">
        <w:tc>
          <w:tcPr>
            <w:tcW w:w="8771" w:type="dxa"/>
            <w:tcBorders>
              <w:top w:val="single" w:sz="6" w:space="0" w:color="78A22F"/>
              <w:left w:val="nil"/>
              <w:bottom w:val="nil"/>
              <w:right w:val="nil"/>
            </w:tcBorders>
          </w:tcPr>
          <w:p w14:paraId="1F82C985" w14:textId="77777777" w:rsidR="00DE1537" w:rsidRPr="00785096" w:rsidRDefault="00DE1537" w:rsidP="00343F3E">
            <w:pPr>
              <w:pStyle w:val="BoxSpaceBelow"/>
            </w:pPr>
          </w:p>
        </w:tc>
      </w:tr>
    </w:tbl>
    <w:p w14:paraId="148722D0" w14:textId="1B7DE9B6" w:rsidR="00DE1537" w:rsidRDefault="00DE1537" w:rsidP="00343F3E">
      <w:pPr>
        <w:pStyle w:val="ListBullet"/>
      </w:pPr>
      <w:r w:rsidRPr="00E34C5C">
        <w:lastRenderedPageBreak/>
        <w:t xml:space="preserve">In Canada, the federal government reimburses eligible recovery expenditure by </w:t>
      </w:r>
      <w:r w:rsidRPr="00CC6816">
        <w:t xml:space="preserve">provincial </w:t>
      </w:r>
      <w:r w:rsidRPr="006259BA">
        <w:t xml:space="preserve">and territorial </w:t>
      </w:r>
      <w:r w:rsidRPr="0072604A">
        <w:t xml:space="preserve">governments through the Disaster Financial Assistance Arrangements. </w:t>
      </w:r>
      <w:r w:rsidRPr="002152B6">
        <w:t xml:space="preserve">Support is provided on a progressive scale, </w:t>
      </w:r>
      <w:r>
        <w:t xml:space="preserve">at </w:t>
      </w:r>
      <w:r w:rsidRPr="00BC3BA3">
        <w:t xml:space="preserve">up to 90 per cent for costs above C$5 </w:t>
      </w:r>
      <w:r>
        <w:t>per capita</w:t>
      </w:r>
      <w:r w:rsidRPr="006B3AB9">
        <w:t xml:space="preserve"> </w:t>
      </w:r>
      <w:r w:rsidRPr="006003CB">
        <w:rPr>
          <w:szCs w:val="24"/>
        </w:rPr>
        <w:t>(Public Safety Canada 2014a)</w:t>
      </w:r>
      <w:r w:rsidRPr="00E34C5C">
        <w:t>.</w:t>
      </w:r>
      <w:r>
        <w:t xml:space="preserve"> (This upper threshold ranges from around C$160 000 to C$64 million across provinces and territories.)</w:t>
      </w:r>
      <w:r w:rsidRPr="00E34C5C">
        <w:t xml:space="preserve"> </w:t>
      </w:r>
      <w:r>
        <w:t xml:space="preserve">From </w:t>
      </w:r>
      <w:r w:rsidRPr="00CC6816">
        <w:t>the program’s inception in 1970</w:t>
      </w:r>
      <w:r>
        <w:t xml:space="preserve"> up to 2013</w:t>
      </w:r>
      <w:r w:rsidRPr="006259BA">
        <w:t>, the federal government provide</w:t>
      </w:r>
      <w:r w:rsidRPr="0072604A">
        <w:t>d around C$3.</w:t>
      </w:r>
      <w:r>
        <w:t>6</w:t>
      </w:r>
      <w:r w:rsidRPr="0072604A">
        <w:t> billion</w:t>
      </w:r>
      <w:r>
        <w:t xml:space="preserve"> to the provinces and territories, with these funds covering </w:t>
      </w:r>
      <w:r w:rsidRPr="0072604A">
        <w:t xml:space="preserve">around half of provincial governments’ costs </w:t>
      </w:r>
      <w:r w:rsidRPr="006003CB">
        <w:rPr>
          <w:szCs w:val="24"/>
        </w:rPr>
        <w:t>(Public Safety Canada 2012, 2014b)</w:t>
      </w:r>
      <w:r w:rsidRPr="00613238">
        <w:t>.</w:t>
      </w:r>
      <w:r>
        <w:t xml:space="preserve"> However, funding for events that were approved between April and December 2013 is expected to reach C$3.0 billion, of which around C$2.8 billion relates to severe flooding in Alberta in June 2013 </w:t>
      </w:r>
      <w:r w:rsidRPr="006003CB">
        <w:rPr>
          <w:szCs w:val="24"/>
        </w:rPr>
        <w:t>(Public Safety Canada 2014b)</w:t>
      </w:r>
      <w:r>
        <w:t>.</w:t>
      </w:r>
    </w:p>
    <w:p w14:paraId="1F4F42EE" w14:textId="7CC4B3BD" w:rsidR="00DE1537" w:rsidRDefault="00DE1537" w:rsidP="00343F3E">
      <w:pPr>
        <w:pStyle w:val="ListBullet"/>
      </w:pPr>
      <w:r w:rsidRPr="00E56DEC">
        <w:t xml:space="preserve">In Germany, state governments </w:t>
      </w:r>
      <w:r>
        <w:t xml:space="preserve">have traditionally been </w:t>
      </w:r>
      <w:r w:rsidRPr="00E56DEC">
        <w:t xml:space="preserve">almost entirely responsible for </w:t>
      </w:r>
      <w:r>
        <w:t xml:space="preserve">funding </w:t>
      </w:r>
      <w:r w:rsidRPr="00E56DEC">
        <w:t>disaster recovery, with</w:t>
      </w:r>
      <w:r>
        <w:t xml:space="preserve"> limited federal assistance provided for operational support during emergencies </w:t>
      </w:r>
      <w:r w:rsidRPr="00042C8B">
        <w:rPr>
          <w:szCs w:val="24"/>
        </w:rPr>
        <w:t>(Chakrabarti 2012)</w:t>
      </w:r>
      <w:r>
        <w:t>. However, in 2013, the federal government announced an €8 billion fund for repairing infrastructure damaged by flooding that year, comprising €1.5 billion for repairing federal infrastructure with the remainder provided to the states through a 50–50 cost</w:t>
      </w:r>
      <w:r>
        <w:noBreakHyphen/>
        <w:t xml:space="preserve">sharing arrangement </w:t>
      </w:r>
      <w:r w:rsidRPr="00AF74AB">
        <w:rPr>
          <w:szCs w:val="24"/>
        </w:rPr>
        <w:t>(Reuters 2013)</w:t>
      </w:r>
      <w:r>
        <w:t>.</w:t>
      </w:r>
    </w:p>
    <w:p w14:paraId="3EC7753C" w14:textId="74F07C7F" w:rsidR="00DE1537" w:rsidRDefault="00DE1537" w:rsidP="00343F3E">
      <w:pPr>
        <w:pStyle w:val="BodyText"/>
      </w:pPr>
      <w:r>
        <w:t xml:space="preserve">These arrangements are broadly similar to Australia’s Natural Disaster Relief and Recovery Arrangements, in that federal governments bear a higher proportion of recovery costs as the total amount of expenditure increases. However, the share borne by federal governments does not appear to be clearly related to vertical fiscal imbalances across countries. For example, total transfers from the federal government comprise around </w:t>
      </w:r>
      <w:r w:rsidRPr="00B17C70">
        <w:t xml:space="preserve">14 per cent and 27 per cent of subnational government </w:t>
      </w:r>
      <w:r>
        <w:t>revenues</w:t>
      </w:r>
      <w:r w:rsidRPr="00B17C70">
        <w:t xml:space="preserve"> in Canada and the United States, respectively (Vaillancourt 2012). This is significantly less than the </w:t>
      </w:r>
      <w:r>
        <w:t>44</w:t>
      </w:r>
      <w:r w:rsidRPr="00B17C70">
        <w:t> per cent figure for Australia</w:t>
      </w:r>
      <w:r>
        <w:t xml:space="preserve"> (chapter 2)</w:t>
      </w:r>
      <w:proofErr w:type="gramStart"/>
      <w:r w:rsidRPr="00B17C70">
        <w:t>,</w:t>
      </w:r>
      <w:proofErr w:type="gramEnd"/>
      <w:r w:rsidRPr="00B17C70">
        <w:t xml:space="preserve"> even though it appears that the Canadian and US </w:t>
      </w:r>
      <w:r>
        <w:t>g</w:t>
      </w:r>
      <w:r w:rsidRPr="00B17C70">
        <w:t>overnments provide a greater amount of</w:t>
      </w:r>
      <w:r>
        <w:t xml:space="preserve"> financial</w:t>
      </w:r>
      <w:r w:rsidRPr="00B17C70">
        <w:t xml:space="preserve"> assistance to their provinces and states following a natural disaster.</w:t>
      </w:r>
      <w:r>
        <w:t xml:space="preserve"> By contrast, vertical</w:t>
      </w:r>
      <w:r w:rsidRPr="00B17C70">
        <w:t xml:space="preserve"> fiscal imbalance</w:t>
      </w:r>
      <w:r>
        <w:t xml:space="preserve"> is relatively low</w:t>
      </w:r>
      <w:r w:rsidRPr="00B17C70">
        <w:t xml:space="preserve"> </w:t>
      </w:r>
      <w:r>
        <w:t>in Germany (and</w:t>
      </w:r>
      <w:r w:rsidRPr="00B17C70">
        <w:t xml:space="preserve"> similar to levels in Canada</w:t>
      </w:r>
      <w:r>
        <w:t>)</w:t>
      </w:r>
      <w:r w:rsidRPr="00B17C70">
        <w:t xml:space="preserve"> (Eyraud and Lusinyan 2013)</w:t>
      </w:r>
      <w:r>
        <w:t>, and t</w:t>
      </w:r>
      <w:r w:rsidRPr="00B17C70">
        <w:t xml:space="preserve">he </w:t>
      </w:r>
      <w:r>
        <w:t>German Government</w:t>
      </w:r>
      <w:r w:rsidRPr="00B17C70">
        <w:t xml:space="preserve"> has traditionally not funded the disaster recovery costs of its states.</w:t>
      </w:r>
    </w:p>
    <w:p w14:paraId="04E9514C" w14:textId="77777777" w:rsidR="00DE1537" w:rsidRDefault="00DE1537" w:rsidP="00343F3E">
      <w:pPr>
        <w:pStyle w:val="BodyText"/>
      </w:pPr>
      <w:r>
        <w:t>Other countries also have cost</w:t>
      </w:r>
      <w:r>
        <w:noBreakHyphen/>
        <w:t>sharing arrangements between central and local governments.</w:t>
      </w:r>
    </w:p>
    <w:p w14:paraId="05E08391" w14:textId="72A35192" w:rsidR="00DE1537" w:rsidRDefault="00DE1537" w:rsidP="00343F3E">
      <w:pPr>
        <w:pStyle w:val="ListBullet"/>
      </w:pPr>
      <w:r w:rsidRPr="00E56DEC">
        <w:t>In New Zealand, central government policy is to reimburse 60 per cent of eligible expenditure by local authorities on essential infrastructure repair, provided the local government is able to meet the remaining 40</w:t>
      </w:r>
      <w:r>
        <w:t> </w:t>
      </w:r>
      <w:r w:rsidRPr="00E56DEC">
        <w:t xml:space="preserve">per cent </w:t>
      </w:r>
      <w:r w:rsidRPr="001E336D">
        <w:rPr>
          <w:szCs w:val="24"/>
        </w:rPr>
        <w:t>(NZOAG 2012)</w:t>
      </w:r>
      <w:r w:rsidRPr="00E56DEC">
        <w:t>. The central government is expected to pay around</w:t>
      </w:r>
      <w:r>
        <w:t xml:space="preserve"> 60 per cent of the costs needed to fund infrastructure recovery from </w:t>
      </w:r>
      <w:r w:rsidRPr="00E56DEC">
        <w:t>the 2010</w:t>
      </w:r>
      <w:r w:rsidRPr="00E56DEC">
        <w:noBreakHyphen/>
        <w:t>11 Canterbury Earthquakes</w:t>
      </w:r>
      <w:r>
        <w:t xml:space="preserve"> (NZ$2.9 billion of an estimated NZ$4.8 billion), with the remainder paid by local authorities </w:t>
      </w:r>
      <w:r w:rsidRPr="001E336D">
        <w:rPr>
          <w:szCs w:val="24"/>
        </w:rPr>
        <w:t>(CERA 2013)</w:t>
      </w:r>
      <w:r>
        <w:t>.</w:t>
      </w:r>
    </w:p>
    <w:p w14:paraId="1123F293" w14:textId="23E6139A" w:rsidR="00DE1537" w:rsidRDefault="00DE1537" w:rsidP="00343F3E">
      <w:pPr>
        <w:pStyle w:val="ListBullet"/>
      </w:pPr>
      <w:r w:rsidRPr="00E56DEC">
        <w:t xml:space="preserve">In the United Kingdom, central government departments provide </w:t>
      </w:r>
      <w:r>
        <w:t xml:space="preserve">limited </w:t>
      </w:r>
      <w:r w:rsidRPr="00E56DEC">
        <w:t xml:space="preserve">funding support to local governments following a natural disaster. </w:t>
      </w:r>
      <w:r>
        <w:t xml:space="preserve">Eligible expenditure on disaster response operations (above a threshold of 0.2 per cent of a local government’s annual budget) is reimbursed in full through the Bellwin Scheme </w:t>
      </w:r>
      <w:r w:rsidRPr="00E56DEC">
        <w:rPr>
          <w:szCs w:val="24"/>
        </w:rPr>
        <w:t>(UKDCLG 2013)</w:t>
      </w:r>
      <w:r w:rsidRPr="00E56DEC">
        <w:t xml:space="preserve">. </w:t>
      </w:r>
      <w:r w:rsidRPr="00E56DEC">
        <w:lastRenderedPageBreak/>
        <w:t>Funding for recovery is provided by several central government departments, usually only in</w:t>
      </w:r>
      <w:r>
        <w:t xml:space="preserve"> the event of an</w:t>
      </w:r>
      <w:r w:rsidRPr="00E56DEC">
        <w:t xml:space="preserve"> ‘exceptional’ </w:t>
      </w:r>
      <w:r>
        <w:t>emergency,</w:t>
      </w:r>
      <w:r w:rsidRPr="00E56DEC">
        <w:t xml:space="preserve"> and on a discretionary basis. Central departments do not reimburse costs that are insurable, </w:t>
      </w:r>
      <w:r w:rsidRPr="00EE154A">
        <w:t>with the exception of roads</w:t>
      </w:r>
      <w:r w:rsidRPr="00E56DEC">
        <w:t xml:space="preserve"> </w:t>
      </w:r>
      <w:r w:rsidRPr="00BE3B66">
        <w:rPr>
          <w:szCs w:val="24"/>
        </w:rPr>
        <w:t>(HM Government</w:t>
      </w:r>
      <w:r w:rsidRPr="00023E0D">
        <w:rPr>
          <w:szCs w:val="24"/>
        </w:rPr>
        <w:t> </w:t>
      </w:r>
      <w:r w:rsidRPr="00FB1CF3">
        <w:rPr>
          <w:szCs w:val="24"/>
        </w:rPr>
        <w:t>2013a)</w:t>
      </w:r>
      <w:r>
        <w:t>.</w:t>
      </w:r>
    </w:p>
    <w:p w14:paraId="2B1D9AEA" w14:textId="77777777" w:rsidR="00DE1537" w:rsidRDefault="00DE1537" w:rsidP="00343F3E">
      <w:pPr>
        <w:pStyle w:val="BodyText"/>
      </w:pPr>
      <w:r>
        <w:t>Cost</w:t>
      </w:r>
      <w:r>
        <w:noBreakHyphen/>
        <w:t>sharing arrangements in the above countries (with the exception of Germany and the United Kingdom) generally cover the repair or replacement of essential public infrastructure, disaster recovery operations (such as evacuations) and, in some countries, assistance to households and businesses. In all cases, funding is not provided for losses that are covered by insurance. Further, in Canada, the United Kingdom and New Zealand, funding is only provided for assets that are deemed to be ‘uninsurable’. This may explain why some countries have separate recovery funding arrangements for road infrastructure, which is often considered to be uninsurable (box 8.4).</w:t>
      </w:r>
    </w:p>
    <w:p w14:paraId="29CCCE9D"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15E9108" w14:textId="77777777" w:rsidTr="00343F3E">
        <w:tc>
          <w:tcPr>
            <w:tcW w:w="8771" w:type="dxa"/>
            <w:tcBorders>
              <w:top w:val="single" w:sz="6" w:space="0" w:color="78A22F"/>
              <w:left w:val="nil"/>
              <w:bottom w:val="nil"/>
              <w:right w:val="nil"/>
            </w:tcBorders>
            <w:shd w:val="clear" w:color="auto" w:fill="F2F2F2" w:themeFill="background1" w:themeFillShade="F2"/>
          </w:tcPr>
          <w:p w14:paraId="311F1B14" w14:textId="77777777" w:rsidR="00DE1537" w:rsidRDefault="00DE1537" w:rsidP="00343F3E">
            <w:pPr>
              <w:pStyle w:val="BoxTitle"/>
            </w:pPr>
            <w:r>
              <w:rPr>
                <w:b w:val="0"/>
              </w:rPr>
              <w:t>Box 8.</w:t>
            </w:r>
            <w:r>
              <w:rPr>
                <w:b w:val="0"/>
                <w:noProof/>
              </w:rPr>
              <w:t>4</w:t>
            </w:r>
            <w:r>
              <w:tab/>
              <w:t>Natural disaster funding for road infrastructure</w:t>
            </w:r>
          </w:p>
        </w:tc>
      </w:tr>
      <w:tr w:rsidR="00DE1537" w14:paraId="0F038384" w14:textId="77777777" w:rsidTr="00343F3E">
        <w:trPr>
          <w:cantSplit/>
        </w:trPr>
        <w:tc>
          <w:tcPr>
            <w:tcW w:w="8771" w:type="dxa"/>
            <w:tcBorders>
              <w:top w:val="nil"/>
              <w:left w:val="nil"/>
              <w:bottom w:val="nil"/>
              <w:right w:val="nil"/>
            </w:tcBorders>
            <w:shd w:val="clear" w:color="auto" w:fill="F2F2F2" w:themeFill="background1" w:themeFillShade="F2"/>
          </w:tcPr>
          <w:p w14:paraId="73EE8D4F" w14:textId="77777777" w:rsidR="00DE1537" w:rsidRDefault="00DE1537" w:rsidP="00343F3E">
            <w:pPr>
              <w:pStyle w:val="Box"/>
            </w:pPr>
            <w:r>
              <w:t>Funding arrangements for the restoration of road infrastructure (including bridges and culverts) after a natural disaster differ considerably across countries. For example, the restoration of subnational governments’ road infrastructure is covered under intergovernmental funding arrangements in Canada and the United States, but is treated separately in New Zealand and the United Kingdom.</w:t>
            </w:r>
          </w:p>
          <w:p w14:paraId="21B012C0" w14:textId="00A28CA1" w:rsidR="00DE1537" w:rsidRPr="0022578A" w:rsidRDefault="00DE1537" w:rsidP="00343F3E">
            <w:pPr>
              <w:pStyle w:val="BoxListBullet"/>
            </w:pPr>
            <w:r w:rsidRPr="00613238">
              <w:t xml:space="preserve">In New Zealand, </w:t>
            </w:r>
            <w:r w:rsidRPr="00E34C5C">
              <w:t xml:space="preserve">the repair of local government roads is </w:t>
            </w:r>
            <w:r w:rsidRPr="00CC6816">
              <w:t>funded</w:t>
            </w:r>
            <w:r w:rsidRPr="006259BA">
              <w:t xml:space="preserve"> on a discretionary basis </w:t>
            </w:r>
            <w:r>
              <w:t>by</w:t>
            </w:r>
            <w:r w:rsidRPr="006259BA">
              <w:t xml:space="preserve"> the New Zealand Transport Agency.</w:t>
            </w:r>
            <w:r w:rsidRPr="002152B6">
              <w:t xml:space="preserve"> This </w:t>
            </w:r>
            <w:r>
              <w:t>a</w:t>
            </w:r>
            <w:r w:rsidRPr="002152B6">
              <w:t>gency is also responsible for repairing roads owned by the central government</w:t>
            </w:r>
            <w:r w:rsidRPr="00BC3BA3">
              <w:t xml:space="preserve">. An allocation is set aside each year </w:t>
            </w:r>
            <w:r>
              <w:t xml:space="preserve">(ex ante) </w:t>
            </w:r>
            <w:r w:rsidRPr="00BC3BA3">
              <w:t xml:space="preserve">to cover </w:t>
            </w:r>
            <w:r>
              <w:t xml:space="preserve">any </w:t>
            </w:r>
            <w:r w:rsidRPr="00BC3BA3">
              <w:t>emergency works</w:t>
            </w:r>
            <w:r>
              <w:t xml:space="preserve"> that may be required</w:t>
            </w:r>
            <w:r w:rsidRPr="006B3AB9">
              <w:t xml:space="preserve">, with reimbursement rates for local governments varying depending on the cost of works as a proportion of their rate base </w:t>
            </w:r>
            <w:r w:rsidRPr="0036192E">
              <w:rPr>
                <w:rFonts w:cs="Arial"/>
                <w:szCs w:val="24"/>
              </w:rPr>
              <w:t>(NZTA 2013)</w:t>
            </w:r>
            <w:r w:rsidRPr="00A6320D">
              <w:t>.</w:t>
            </w:r>
          </w:p>
          <w:p w14:paraId="7ACC1DBF" w14:textId="1621E48D" w:rsidR="00DE1537" w:rsidRPr="00D97BB1" w:rsidRDefault="00DE1537" w:rsidP="00343F3E">
            <w:pPr>
              <w:pStyle w:val="BoxListBullet"/>
              <w:rPr>
                <w:szCs w:val="24"/>
              </w:rPr>
            </w:pPr>
            <w:r w:rsidRPr="00501DB4">
              <w:t xml:space="preserve">In the United Kingdom, </w:t>
            </w:r>
            <w:r w:rsidRPr="003C4990">
              <w:t>funding for local authorities to repair roads i</w:t>
            </w:r>
            <w:r w:rsidRPr="00AC4C9F">
              <w:t xml:space="preserve">s generally provided on </w:t>
            </w:r>
            <w:r w:rsidRPr="00C35EE4">
              <w:t xml:space="preserve">a discretionary basis by the Department for Transport after a natural disaster occurs </w:t>
            </w:r>
            <w:r w:rsidRPr="004A739E">
              <w:t>(UK Department for Transport 2014)</w:t>
            </w:r>
            <w:r w:rsidRPr="00C35EE4">
              <w:t>.</w:t>
            </w:r>
          </w:p>
          <w:p w14:paraId="039E2BF7" w14:textId="192D23F7" w:rsidR="00DE1537" w:rsidRPr="00D97BB1" w:rsidRDefault="00DE1537" w:rsidP="00343F3E">
            <w:pPr>
              <w:pStyle w:val="BoxListBullet"/>
              <w:rPr>
                <w:szCs w:val="24"/>
              </w:rPr>
            </w:pPr>
            <w:r w:rsidRPr="00C35EE4">
              <w:t xml:space="preserve">The United States has separate recovery funding arrangements for roads that were constructed with Federal Highway Administration funding. The </w:t>
            </w:r>
            <w:r>
              <w:t>a</w:t>
            </w:r>
            <w:r w:rsidRPr="00C35EE4">
              <w:t>dministration pays 90</w:t>
            </w:r>
            <w:r>
              <w:t> </w:t>
            </w:r>
            <w:r w:rsidRPr="00C35EE4">
              <w:t>per cent of the costs of repairing natural disaster damage to interstate highways, and 80</w:t>
            </w:r>
            <w:r>
              <w:t> </w:t>
            </w:r>
            <w:r w:rsidRPr="00C35EE4">
              <w:t xml:space="preserve">per cent of the repair costs </w:t>
            </w:r>
            <w:r>
              <w:t>of</w:t>
            </w:r>
            <w:r w:rsidRPr="00C35EE4">
              <w:t xml:space="preserve"> other main roads. Emergency repair work can be reimbursed at up to 100 per cent </w:t>
            </w:r>
            <w:r w:rsidRPr="004A739E">
              <w:t>(Federal Highway Administration 2013)</w:t>
            </w:r>
            <w:r w:rsidRPr="00C35EE4">
              <w:t>.</w:t>
            </w:r>
          </w:p>
          <w:p w14:paraId="660954B5" w14:textId="77777777" w:rsidR="00DE1537" w:rsidRDefault="00DE1537" w:rsidP="00343F3E">
            <w:pPr>
              <w:pStyle w:val="Box"/>
              <w:rPr>
                <w:szCs w:val="24"/>
              </w:rPr>
            </w:pPr>
            <w:r>
              <w:t>These separate arrangements for road infrastructure could partly reflect the difficulty in securing commercial insurance for road assets. While governments sometimes insure individual assets (such as large bridges or toll roads), commercial insurance is difficult to obtain for many ordinary roads and road networks. This is usually because of difficulty distinguishing between maintenance and reconstruction expenditure, significant uncertainty about the level of risk and the repeated nature of damage to some roads (supplementary paper 5). The Commission is not aware of any governments outside Australia that have taken out commercial insurance (or reinsurance) for their road networks, with the exception of Mexico (which reinsures roads as part of a broader reinsurance arrangement, discussed in section 8.4).</w:t>
            </w:r>
          </w:p>
        </w:tc>
      </w:tr>
      <w:tr w:rsidR="00DE1537" w14:paraId="676E0E94"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4D917AD" w14:textId="77777777" w:rsidR="00DE1537" w:rsidRDefault="00DE1537" w:rsidP="00343F3E">
            <w:pPr>
              <w:pStyle w:val="Box"/>
              <w:spacing w:before="0" w:line="120" w:lineRule="exact"/>
            </w:pPr>
          </w:p>
        </w:tc>
      </w:tr>
      <w:tr w:rsidR="00DE1537" w:rsidRPr="000863A5" w14:paraId="145875F2" w14:textId="77777777" w:rsidTr="00343F3E">
        <w:tc>
          <w:tcPr>
            <w:tcW w:w="8771" w:type="dxa"/>
            <w:tcBorders>
              <w:top w:val="single" w:sz="6" w:space="0" w:color="78A22F"/>
              <w:left w:val="nil"/>
              <w:bottom w:val="nil"/>
              <w:right w:val="nil"/>
            </w:tcBorders>
          </w:tcPr>
          <w:p w14:paraId="04322F97" w14:textId="77777777" w:rsidR="00DE1537" w:rsidRPr="00626D32" w:rsidRDefault="00DE1537" w:rsidP="00343F3E">
            <w:pPr>
              <w:pStyle w:val="BoxSpaceBelow"/>
            </w:pPr>
          </w:p>
        </w:tc>
      </w:tr>
    </w:tbl>
    <w:p w14:paraId="5495184A" w14:textId="4C29240A" w:rsidR="00DE1537" w:rsidRDefault="00DE1537" w:rsidP="00343F3E">
      <w:pPr>
        <w:pStyle w:val="BodyText"/>
      </w:pPr>
      <w:r>
        <w:t xml:space="preserve">In some countries (such as the United States and Canada), the national government only imposes conditions on the types of projects and expenditures that it will fund. In New </w:t>
      </w:r>
      <w:r>
        <w:lastRenderedPageBreak/>
        <w:t xml:space="preserve">Zealand, the central government imposes additional conditions — it will only provide funding where the local authority can show that the damaged assets had been properly maintained and it can meet its share of the costs, such as through insurance </w:t>
      </w:r>
      <w:r w:rsidRPr="001E4F1A">
        <w:rPr>
          <w:szCs w:val="24"/>
        </w:rPr>
        <w:t>(NZOAG 2013)</w:t>
      </w:r>
      <w:r>
        <w:t>. Nevertheless, there is evidence of significant underinsurance of local government assets in New Zealand (box 8.5).</w:t>
      </w:r>
    </w:p>
    <w:p w14:paraId="76D1BFCC"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5C10174" w14:textId="77777777" w:rsidTr="00343F3E">
        <w:tc>
          <w:tcPr>
            <w:tcW w:w="8771" w:type="dxa"/>
            <w:tcBorders>
              <w:top w:val="single" w:sz="6" w:space="0" w:color="78A22F"/>
              <w:left w:val="nil"/>
              <w:bottom w:val="nil"/>
              <w:right w:val="nil"/>
            </w:tcBorders>
            <w:shd w:val="clear" w:color="auto" w:fill="F2F2F2" w:themeFill="background1" w:themeFillShade="F2"/>
          </w:tcPr>
          <w:p w14:paraId="67B7EB0B" w14:textId="77777777" w:rsidR="00DE1537" w:rsidRDefault="00DE1537" w:rsidP="00343F3E">
            <w:pPr>
              <w:pStyle w:val="BoxTitle"/>
            </w:pPr>
            <w:r>
              <w:rPr>
                <w:b w:val="0"/>
              </w:rPr>
              <w:t>Box 8.</w:t>
            </w:r>
            <w:r>
              <w:rPr>
                <w:b w:val="0"/>
                <w:noProof/>
              </w:rPr>
              <w:t>5</w:t>
            </w:r>
            <w:r>
              <w:tab/>
              <w:t>Insurance of local government assets in New Zealand</w:t>
            </w:r>
          </w:p>
        </w:tc>
      </w:tr>
      <w:tr w:rsidR="00DE1537" w14:paraId="487701E2" w14:textId="77777777" w:rsidTr="00343F3E">
        <w:trPr>
          <w:cantSplit/>
        </w:trPr>
        <w:tc>
          <w:tcPr>
            <w:tcW w:w="8771" w:type="dxa"/>
            <w:tcBorders>
              <w:top w:val="nil"/>
              <w:left w:val="nil"/>
              <w:bottom w:val="nil"/>
              <w:right w:val="nil"/>
            </w:tcBorders>
            <w:shd w:val="clear" w:color="auto" w:fill="F2F2F2" w:themeFill="background1" w:themeFillShade="F2"/>
          </w:tcPr>
          <w:p w14:paraId="28618DAB" w14:textId="77777777" w:rsidR="00DE1537" w:rsidRDefault="00DE1537" w:rsidP="00343F3E">
            <w:pPr>
              <w:pStyle w:val="Box"/>
            </w:pPr>
            <w:r>
              <w:t>The New Zealand Auditor</w:t>
            </w:r>
            <w:r>
              <w:noBreakHyphen/>
              <w:t>General reviewed insurance arrangements for public assets after the 2010</w:t>
            </w:r>
            <w:r>
              <w:noBreakHyphen/>
              <w:t>11 Canterbury earthquakes. The review found that, in aggregate, local authorities had insurance for around 40 per cent of the carrying value of their assets (original cost less depreciation and impairment), with total premiums costing approximately NZ$100 million a year. The highest rates of non</w:t>
            </w:r>
            <w:r>
              <w:noBreakHyphen/>
              <w:t>insurance were for land and transport infrastructure, for which some local authorities had assessed that the cost of insurance would be too high relative to the level of risk, or that commercial insurance could not be obtained.</w:t>
            </w:r>
          </w:p>
          <w:p w14:paraId="41849A62" w14:textId="77777777" w:rsidR="00DE1537" w:rsidRDefault="00DE1537" w:rsidP="00343F3E">
            <w:pPr>
              <w:pStyle w:val="Box"/>
            </w:pPr>
            <w:r>
              <w:t>The report also found that the availability of central government funding leads to local authorities choosing not to insure some assets. Under New Zealand’s intergovernmental funding arrangements, local authorities must be able to finance only 40 per cent of the cost of restoring assets damaged by a natural disaster (such as through insurance or financial reserves) to be eligible for central government funding for the remaining 60 per cent.</w:t>
            </w:r>
          </w:p>
          <w:p w14:paraId="17238376" w14:textId="77777777" w:rsidR="00DE1537" w:rsidRDefault="00DE1537" w:rsidP="00343F3E">
            <w:pPr>
              <w:pStyle w:val="Box"/>
            </w:pPr>
            <w:r>
              <w:t>In addition, there were significant increases in premiums and excesses following the Canterbury earthquakes, with premiums more than doubling in some cases. The New Zealand Local Government Insurance Corporation — a mutual insurer established to provide cover to local governments — faced difficulties securing reinsurance cover following the earthquakes. It also incurred an estimated NZ$800 million in claims, leading to a downgrade in its credit rating and a pre</w:t>
            </w:r>
            <w:r>
              <w:noBreakHyphen/>
              <w:t>tax loss of NZ$1.6 million in 2012. In response, it withdrew cover for material damage of above</w:t>
            </w:r>
            <w:r>
              <w:noBreakHyphen/>
              <w:t>ground property. As a result, local authorities may need to turn to commercial insurers to obtain this cover.</w:t>
            </w:r>
          </w:p>
        </w:tc>
      </w:tr>
      <w:tr w:rsidR="00DE1537" w14:paraId="6D577280" w14:textId="77777777" w:rsidTr="00343F3E">
        <w:trPr>
          <w:cantSplit/>
        </w:trPr>
        <w:tc>
          <w:tcPr>
            <w:tcW w:w="8771" w:type="dxa"/>
            <w:tcBorders>
              <w:top w:val="nil"/>
              <w:left w:val="nil"/>
              <w:bottom w:val="nil"/>
              <w:right w:val="nil"/>
            </w:tcBorders>
            <w:shd w:val="clear" w:color="auto" w:fill="F2F2F2" w:themeFill="background1" w:themeFillShade="F2"/>
          </w:tcPr>
          <w:p w14:paraId="189027E6" w14:textId="0FEED763" w:rsidR="00DE1537" w:rsidRDefault="00DE1537" w:rsidP="00343F3E">
            <w:pPr>
              <w:pStyle w:val="BoxSource"/>
            </w:pPr>
            <w:r>
              <w:rPr>
                <w:i/>
              </w:rPr>
              <w:t>Source</w:t>
            </w:r>
            <w:r w:rsidRPr="00167F06">
              <w:t xml:space="preserve">: </w:t>
            </w:r>
            <w:r>
              <w:t xml:space="preserve">NZOAG </w:t>
            </w:r>
            <w:r w:rsidRPr="00B73911">
              <w:rPr>
                <w:rFonts w:cs="Arial"/>
              </w:rPr>
              <w:t>(2013)</w:t>
            </w:r>
            <w:r>
              <w:t>.</w:t>
            </w:r>
          </w:p>
        </w:tc>
      </w:tr>
      <w:tr w:rsidR="00DE1537" w14:paraId="32682F9C"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4ED0916F" w14:textId="77777777" w:rsidR="00DE1537" w:rsidRDefault="00DE1537" w:rsidP="00343F3E">
            <w:pPr>
              <w:pStyle w:val="Box"/>
              <w:spacing w:before="0" w:line="120" w:lineRule="exact"/>
            </w:pPr>
          </w:p>
        </w:tc>
      </w:tr>
      <w:tr w:rsidR="00DE1537" w:rsidRPr="000863A5" w14:paraId="63FE7372" w14:textId="77777777" w:rsidTr="00343F3E">
        <w:tc>
          <w:tcPr>
            <w:tcW w:w="8771" w:type="dxa"/>
            <w:tcBorders>
              <w:top w:val="single" w:sz="6" w:space="0" w:color="78A22F"/>
              <w:left w:val="nil"/>
              <w:bottom w:val="nil"/>
              <w:right w:val="nil"/>
            </w:tcBorders>
          </w:tcPr>
          <w:p w14:paraId="61F736CE" w14:textId="77777777" w:rsidR="00DE1537" w:rsidRPr="00626D32" w:rsidRDefault="00DE1537" w:rsidP="00343F3E">
            <w:pPr>
              <w:pStyle w:val="BoxSpaceBelow"/>
            </w:pPr>
          </w:p>
        </w:tc>
      </w:tr>
    </w:tbl>
    <w:p w14:paraId="339FCADC" w14:textId="60C1FE9C" w:rsidR="00DE1537" w:rsidRDefault="00DE1537" w:rsidP="00343F3E">
      <w:pPr>
        <w:pStyle w:val="BodyText"/>
      </w:pPr>
      <w:r>
        <w:t xml:space="preserve">Another difference is whether funding is provided upfront or on a reimbursement basis. In both the United States and Canada, arrangements for infrastructure restoration contain provisions for funds to be provided on an advance and interim basis, typically followed by reconciliation once a project is complete. While this allows subnational governments to obtain funding quickly, initial estimates can be wrong and adjustment can take time — this has been the case in the United States, where administrative processes have led to large errors in initial estimates of project costs (an average error of 23 per cent three months after a disaster declaration) </w:t>
      </w:r>
      <w:r w:rsidRPr="00210F7C">
        <w:rPr>
          <w:szCs w:val="24"/>
        </w:rPr>
        <w:t>(USGAO 2008)</w:t>
      </w:r>
      <w:r>
        <w:t>. By contrast, in New Zealand (and Australia), subnational governments are typically paid on a reimbursement basis after they have incurred expenditure, with advance payments generally requiring Ministerial approval.</w:t>
      </w:r>
    </w:p>
    <w:p w14:paraId="143629B9" w14:textId="77777777" w:rsidR="00DE1537" w:rsidRDefault="00DE1537" w:rsidP="00343F3E">
      <w:pPr>
        <w:pStyle w:val="Heading3"/>
      </w:pPr>
      <w:r>
        <w:lastRenderedPageBreak/>
        <w:t>Recovery assistance to households and businesses</w:t>
      </w:r>
    </w:p>
    <w:p w14:paraId="7CEB62D7" w14:textId="77777777" w:rsidR="00DE1537" w:rsidRDefault="00DE1537" w:rsidP="00343F3E">
      <w:pPr>
        <w:pStyle w:val="BodyText"/>
      </w:pPr>
      <w:r>
        <w:t>Several countries provide significant compensation directly to households and businesses for assets damaged by natural disasters.</w:t>
      </w:r>
      <w:r w:rsidRPr="005D4B15">
        <w:t xml:space="preserve"> </w:t>
      </w:r>
      <w:r>
        <w:t>These arrangements are separate to the intergovernmental funding arrangements described above, which in some cases fund subnational governments to provide hardship payments and temporary assistance to households and businesses (for example, in the United States, Canada and New Zealand).</w:t>
      </w:r>
    </w:p>
    <w:p w14:paraId="6D3BBAA1" w14:textId="77777777" w:rsidR="00DE1537" w:rsidRDefault="00DE1537" w:rsidP="00343F3E">
      <w:pPr>
        <w:pStyle w:val="ListBullet"/>
      </w:pPr>
      <w:r>
        <w:t>The US Federal Government assists households and businesses directly through a range of channels. These include subsidised loans and insurance to farmers through the Department of Agriculture and subsidised disaster recovery loans to households and businesses through the Small Business Administration.</w:t>
      </w:r>
    </w:p>
    <w:p w14:paraId="27739B51" w14:textId="7D55A05A" w:rsidR="00DE1537" w:rsidRDefault="00DE1537" w:rsidP="00343F3E">
      <w:pPr>
        <w:pStyle w:val="ListBullet"/>
      </w:pPr>
      <w:r>
        <w:t xml:space="preserve">In the Netherlands, where flood insurance has never been widely available, the government provides compensation for flood damage to private assets under certain conditions </w:t>
      </w:r>
      <w:r w:rsidRPr="00AC4A9A">
        <w:rPr>
          <w:szCs w:val="24"/>
        </w:rPr>
        <w:t>(OECD 2008)</w:t>
      </w:r>
      <w:r>
        <w:t>. A significant portion of losses can be covered by such compensation.</w:t>
      </w:r>
    </w:p>
    <w:p w14:paraId="191A2A66" w14:textId="29BC7679" w:rsidR="00DE1537" w:rsidRDefault="00DE1537" w:rsidP="00343F3E">
      <w:pPr>
        <w:pStyle w:val="BodyText"/>
      </w:pPr>
      <w:r>
        <w:t>By contrast, national governments in other countries do not provide significant compensation for private assets damaged by natural disasters. Examples include Canada, Japan and the United Kingdom. However, most countries provide some degree of welfare support to their citizens, such as through general hardship or crisis payments. In New Zealand, for example, there is a dedicated Civil Defence Payment that provides modest and short</w:t>
      </w:r>
      <w:r>
        <w:noBreakHyphen/>
        <w:t xml:space="preserve">term support to households that have been evacuated, cannot return to their house or cannot work due to a declared emergency </w:t>
      </w:r>
      <w:r w:rsidRPr="00365E58">
        <w:rPr>
          <w:szCs w:val="24"/>
        </w:rPr>
        <w:t>(New Zealand Government 2014)</w:t>
      </w:r>
      <w:r>
        <w:t>. In all countries, charities and nonprofit organisations also play a significant role in assisting households during the response and recovery stages of a natural disaster.</w:t>
      </w:r>
    </w:p>
    <w:p w14:paraId="1BD958D5" w14:textId="77777777" w:rsidR="00DE1537" w:rsidRPr="00AE1E10" w:rsidRDefault="00DE1537" w:rsidP="00343F3E">
      <w:pPr>
        <w:pStyle w:val="Heading3"/>
      </w:pPr>
      <w:r w:rsidRPr="00172607">
        <w:t>The balance between mitigation and recover</w:t>
      </w:r>
      <w:r>
        <w:t>y expenditure</w:t>
      </w:r>
    </w:p>
    <w:p w14:paraId="7C31ABAE" w14:textId="39C80493" w:rsidR="00DE1537" w:rsidRDefault="00DE1537" w:rsidP="00343F3E">
      <w:pPr>
        <w:pStyle w:val="BodyText"/>
      </w:pPr>
      <w:r>
        <w:t xml:space="preserve">Expenditures on natural disaster mitigation tend to be significantly less than those on relief and recovery </w:t>
      </w:r>
      <w:r w:rsidRPr="00DA3294">
        <w:rPr>
          <w:szCs w:val="24"/>
        </w:rPr>
        <w:t>(UNISDR 2013)</w:t>
      </w:r>
      <w:r>
        <w:t xml:space="preserve">. In the United States, for example, Federal Government expenditure on disaster recovery exceeded that on mitigation by a factor of around 10 in 2013 (table 8.2). Weiss and Weidman </w:t>
      </w:r>
      <w:r w:rsidRPr="008634CE">
        <w:t>(2012)</w:t>
      </w:r>
      <w:r>
        <w:t xml:space="preserve"> have noted that federal mitigation expenditure in the United States has decreased as recovery spending has increased.</w:t>
      </w:r>
    </w:p>
    <w:p w14:paraId="18943D48" w14:textId="05DB166B" w:rsidR="00DE1537" w:rsidRDefault="00DE1537" w:rsidP="00343F3E">
      <w:pPr>
        <w:pStyle w:val="BodyText"/>
      </w:pPr>
      <w:r>
        <w:t xml:space="preserve">There is also evidence that governments spend more on recovery than mitigation in developing countries, including Mexico and Indonesia </w:t>
      </w:r>
      <w:r w:rsidRPr="00DA3294">
        <w:rPr>
          <w:szCs w:val="24"/>
        </w:rPr>
        <w:t>(de la Fuente 2010)</w:t>
      </w:r>
      <w:r>
        <w:t xml:space="preserve">. Many countries have identified a need to undertake more mitigation to reduce the costs of natural disasters </w:t>
      </w:r>
      <w:r w:rsidRPr="00DA3294">
        <w:rPr>
          <w:szCs w:val="24"/>
        </w:rPr>
        <w:t>(UNISDR 2007)</w:t>
      </w:r>
      <w:r>
        <w:t xml:space="preserve">. </w:t>
      </w:r>
    </w:p>
    <w:p w14:paraId="09FFAB6E" w14:textId="1BF8BCA5" w:rsidR="00DE1537" w:rsidRDefault="00DE1537" w:rsidP="00343F3E">
      <w:pPr>
        <w:pStyle w:val="BodyText"/>
      </w:pPr>
      <w:r>
        <w:t xml:space="preserve">Several factors that could lead to national governments choosing to overinvest in recovery relative to mitigation have been identified. There could be low public awareness of risks or uncertainty about the benefits of mitigation </w:t>
      </w:r>
      <w:r w:rsidRPr="00716E00">
        <w:rPr>
          <w:szCs w:val="24"/>
        </w:rPr>
        <w:t>(Surowiecki 2012; USGAO 2007)</w:t>
      </w:r>
      <w:r>
        <w:t xml:space="preserve">. In federations, vertical fiscal imbalance and the availability of federal government funding for recovery can discourage subnational governments from undertaking mitigation </w:t>
      </w:r>
      <w:r w:rsidRPr="00F528F5">
        <w:rPr>
          <w:szCs w:val="24"/>
        </w:rPr>
        <w:lastRenderedPageBreak/>
        <w:t>(Chakrabarti 2012; Wildasin 2007)</w:t>
      </w:r>
      <w:r>
        <w:t xml:space="preserve">. For example, Public Safety Canada </w:t>
      </w:r>
      <w:r w:rsidRPr="007F4849">
        <w:t>(2012)</w:t>
      </w:r>
      <w:r>
        <w:t xml:space="preserve"> has acknowledged concerns that the lower level of federal reimbursement for post</w:t>
      </w:r>
      <w:r>
        <w:noBreakHyphen/>
        <w:t>disaster mitigation projects relative to recovery spending may discourage uptake of the mitigation funding provisions in the Disaster Financial Assistance Arrangements.</w:t>
      </w:r>
    </w:p>
    <w:p w14:paraId="30605E3F" w14:textId="77777777" w:rsidR="00DE1537" w:rsidRDefault="00DE1537" w:rsidP="00343F3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E1537" w14:paraId="238C5E93" w14:textId="77777777" w:rsidTr="00343F3E">
        <w:tc>
          <w:tcPr>
            <w:tcW w:w="8771" w:type="dxa"/>
            <w:tcBorders>
              <w:top w:val="single" w:sz="6" w:space="0" w:color="78A22F"/>
              <w:left w:val="nil"/>
              <w:bottom w:val="nil"/>
              <w:right w:val="nil"/>
            </w:tcBorders>
            <w:shd w:val="clear" w:color="auto" w:fill="auto"/>
          </w:tcPr>
          <w:p w14:paraId="7C0C7511" w14:textId="77777777" w:rsidR="00DE1537" w:rsidRPr="004A739E" w:rsidRDefault="00DE1537" w:rsidP="00343F3E">
            <w:pPr>
              <w:pStyle w:val="TableTitle"/>
              <w:rPr>
                <w:rStyle w:val="NoteLabel"/>
              </w:rPr>
            </w:pPr>
            <w:r>
              <w:rPr>
                <w:b w:val="0"/>
              </w:rPr>
              <w:t>Table 8.</w:t>
            </w:r>
            <w:r>
              <w:rPr>
                <w:b w:val="0"/>
                <w:noProof/>
              </w:rPr>
              <w:t>2</w:t>
            </w:r>
            <w:r>
              <w:tab/>
              <w:t>US Government expenditure on natural disaster mitigation and recovery</w:t>
            </w:r>
            <w:r w:rsidRPr="005D6A8B">
              <w:rPr>
                <w:rStyle w:val="NoteLabel"/>
                <w:b/>
              </w:rPr>
              <w:t>a</w:t>
            </w:r>
          </w:p>
          <w:p w14:paraId="04F419BF" w14:textId="77777777" w:rsidR="00DE1537" w:rsidRPr="00784A05" w:rsidRDefault="00DE1537" w:rsidP="00343F3E">
            <w:pPr>
              <w:pStyle w:val="TableBodyText"/>
              <w:spacing w:after="80" w:line="200" w:lineRule="exact"/>
              <w:ind w:left="1474" w:right="0"/>
              <w:jc w:val="left"/>
            </w:pPr>
            <w:r>
              <w:t>Selected programs, fiscal year 2013</w:t>
            </w:r>
          </w:p>
        </w:tc>
      </w:tr>
      <w:tr w:rsidR="00DE1537" w14:paraId="4876C2B0" w14:textId="77777777" w:rsidTr="00343F3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491"/>
              <w:gridCol w:w="996"/>
            </w:tblGrid>
            <w:tr w:rsidR="00DE1537" w14:paraId="174011C7" w14:textId="77777777" w:rsidTr="00343F3E">
              <w:tc>
                <w:tcPr>
                  <w:tcW w:w="4413" w:type="pct"/>
                  <w:tcBorders>
                    <w:top w:val="single" w:sz="6" w:space="0" w:color="BFBFBF" w:themeColor="background2"/>
                    <w:bottom w:val="single" w:sz="6" w:space="0" w:color="BFBFBF" w:themeColor="background2"/>
                  </w:tcBorders>
                  <w:shd w:val="clear" w:color="auto" w:fill="auto"/>
                  <w:tcMar>
                    <w:top w:w="28" w:type="dxa"/>
                  </w:tcMar>
                </w:tcPr>
                <w:p w14:paraId="5B14EAFE" w14:textId="77777777" w:rsidR="00DE1537" w:rsidRDefault="00DE1537" w:rsidP="00343F3E">
                  <w:pPr>
                    <w:pStyle w:val="TableColumnHeading"/>
                    <w:jc w:val="left"/>
                  </w:pPr>
                  <w:r>
                    <w:t>Program</w:t>
                  </w:r>
                </w:p>
              </w:tc>
              <w:tc>
                <w:tcPr>
                  <w:tcW w:w="587" w:type="pct"/>
                  <w:tcBorders>
                    <w:top w:val="single" w:sz="6" w:space="0" w:color="BFBFBF" w:themeColor="background2"/>
                    <w:bottom w:val="single" w:sz="6" w:space="0" w:color="BFBFBF" w:themeColor="background2"/>
                  </w:tcBorders>
                  <w:shd w:val="clear" w:color="auto" w:fill="auto"/>
                  <w:tcMar>
                    <w:top w:w="28" w:type="dxa"/>
                  </w:tcMar>
                </w:tcPr>
                <w:p w14:paraId="4C87F7F3" w14:textId="77777777" w:rsidR="00DE1537" w:rsidRDefault="00DE1537" w:rsidP="00343F3E">
                  <w:pPr>
                    <w:pStyle w:val="TableColumnHeading"/>
                    <w:ind w:right="28"/>
                  </w:pPr>
                  <w:r>
                    <w:t>US$m</w:t>
                  </w:r>
                </w:p>
              </w:tc>
            </w:tr>
            <w:tr w:rsidR="00DE1537" w:rsidRPr="004E7643" w14:paraId="2CB0A9AD" w14:textId="77777777" w:rsidTr="00343F3E">
              <w:tc>
                <w:tcPr>
                  <w:tcW w:w="4413" w:type="pct"/>
                </w:tcPr>
                <w:p w14:paraId="0FF6B35F" w14:textId="77777777" w:rsidR="00DE1537" w:rsidRPr="004A739E" w:rsidRDefault="00DE1537" w:rsidP="00343F3E">
                  <w:pPr>
                    <w:pStyle w:val="TableBodyText"/>
                    <w:spacing w:before="40"/>
                    <w:jc w:val="left"/>
                    <w:rPr>
                      <w:i/>
                    </w:rPr>
                  </w:pPr>
                  <w:r w:rsidRPr="004A739E">
                    <w:rPr>
                      <w:i/>
                    </w:rPr>
                    <w:t>Mitigation</w:t>
                  </w:r>
                </w:p>
              </w:tc>
              <w:tc>
                <w:tcPr>
                  <w:tcW w:w="587" w:type="pct"/>
                </w:tcPr>
                <w:p w14:paraId="064C0035" w14:textId="77777777" w:rsidR="00DE1537" w:rsidRPr="004A739E" w:rsidRDefault="00DE1537" w:rsidP="00343F3E">
                  <w:pPr>
                    <w:pStyle w:val="TableBodyText"/>
                    <w:spacing w:before="40"/>
                    <w:ind w:right="28"/>
                    <w:rPr>
                      <w:i/>
                    </w:rPr>
                  </w:pPr>
                </w:p>
              </w:tc>
            </w:tr>
            <w:tr w:rsidR="00DE1537" w14:paraId="1A2038A3" w14:textId="77777777" w:rsidTr="00343F3E">
              <w:tc>
                <w:tcPr>
                  <w:tcW w:w="4413" w:type="pct"/>
                  <w:shd w:val="clear" w:color="auto" w:fill="auto"/>
                </w:tcPr>
                <w:p w14:paraId="106A2313" w14:textId="77777777" w:rsidR="00DE1537" w:rsidRDefault="00DE1537" w:rsidP="00343F3E">
                  <w:pPr>
                    <w:pStyle w:val="TableBodyText"/>
                    <w:jc w:val="left"/>
                  </w:pPr>
                  <w:r>
                    <w:t>Pre</w:t>
                  </w:r>
                  <w:r>
                    <w:noBreakHyphen/>
                    <w:t>disaster Mitigation Fund (FEMA)</w:t>
                  </w:r>
                </w:p>
              </w:tc>
              <w:tc>
                <w:tcPr>
                  <w:tcW w:w="587" w:type="pct"/>
                  <w:shd w:val="clear" w:color="auto" w:fill="auto"/>
                </w:tcPr>
                <w:p w14:paraId="52D03F7B" w14:textId="77777777" w:rsidR="00DE1537" w:rsidRDefault="00DE1537" w:rsidP="00343F3E">
                  <w:pPr>
                    <w:pStyle w:val="TableBodyText"/>
                    <w:ind w:right="28"/>
                  </w:pPr>
                  <w:r>
                    <w:t>33</w:t>
                  </w:r>
                </w:p>
              </w:tc>
            </w:tr>
            <w:tr w:rsidR="00DE1537" w14:paraId="636B98B3" w14:textId="77777777" w:rsidTr="00343F3E">
              <w:tc>
                <w:tcPr>
                  <w:tcW w:w="4413" w:type="pct"/>
                  <w:shd w:val="clear" w:color="auto" w:fill="auto"/>
                </w:tcPr>
                <w:p w14:paraId="61298EB8" w14:textId="77777777" w:rsidR="00DE1537" w:rsidRDefault="00DE1537" w:rsidP="00343F3E">
                  <w:pPr>
                    <w:pStyle w:val="TableBodyText"/>
                    <w:jc w:val="left"/>
                  </w:pPr>
                  <w:r>
                    <w:t>Flood mitigation grants (FEMA)</w:t>
                  </w:r>
                </w:p>
              </w:tc>
              <w:tc>
                <w:tcPr>
                  <w:tcW w:w="587" w:type="pct"/>
                  <w:shd w:val="clear" w:color="auto" w:fill="auto"/>
                </w:tcPr>
                <w:p w14:paraId="125509F4" w14:textId="77777777" w:rsidR="00DE1537" w:rsidRDefault="00DE1537" w:rsidP="00343F3E">
                  <w:pPr>
                    <w:pStyle w:val="TableBodyText"/>
                    <w:ind w:right="28"/>
                  </w:pPr>
                  <w:r>
                    <w:t>22</w:t>
                  </w:r>
                </w:p>
              </w:tc>
            </w:tr>
            <w:tr w:rsidR="00DE1537" w14:paraId="6421835C" w14:textId="77777777" w:rsidTr="00343F3E">
              <w:tc>
                <w:tcPr>
                  <w:tcW w:w="4413" w:type="pct"/>
                  <w:shd w:val="clear" w:color="auto" w:fill="auto"/>
                </w:tcPr>
                <w:p w14:paraId="31CDFAAC" w14:textId="77777777" w:rsidR="00DE1537" w:rsidRDefault="00DE1537" w:rsidP="00343F3E">
                  <w:pPr>
                    <w:pStyle w:val="TableBodyText"/>
                    <w:jc w:val="left"/>
                  </w:pPr>
                  <w:r>
                    <w:t>Construction of locks, dams and flood control (US Army Corps of Engineers)</w:t>
                  </w:r>
                </w:p>
              </w:tc>
              <w:tc>
                <w:tcPr>
                  <w:tcW w:w="587" w:type="pct"/>
                  <w:shd w:val="clear" w:color="auto" w:fill="auto"/>
                </w:tcPr>
                <w:p w14:paraId="461664B0" w14:textId="77777777" w:rsidR="00DE1537" w:rsidRDefault="00DE1537" w:rsidP="00343F3E">
                  <w:pPr>
                    <w:pStyle w:val="TableBodyText"/>
                    <w:ind w:right="28"/>
                  </w:pPr>
                  <w:r>
                    <w:t>873</w:t>
                  </w:r>
                </w:p>
              </w:tc>
            </w:tr>
            <w:tr w:rsidR="00DE1537" w14:paraId="662DEC4D" w14:textId="77777777" w:rsidTr="00343F3E">
              <w:tc>
                <w:tcPr>
                  <w:tcW w:w="4413" w:type="pct"/>
                  <w:shd w:val="clear" w:color="auto" w:fill="auto"/>
                </w:tcPr>
                <w:p w14:paraId="74B94EF0" w14:textId="77777777" w:rsidR="00DE1537" w:rsidRDefault="00DE1537" w:rsidP="00343F3E">
                  <w:pPr>
                    <w:pStyle w:val="TableBodyText"/>
                    <w:jc w:val="left"/>
                  </w:pPr>
                  <w:r>
                    <w:t>Operation and maintenance of locks and dams (US Army Corps of Engineers)</w:t>
                  </w:r>
                </w:p>
              </w:tc>
              <w:tc>
                <w:tcPr>
                  <w:tcW w:w="587" w:type="pct"/>
                  <w:shd w:val="clear" w:color="auto" w:fill="auto"/>
                </w:tcPr>
                <w:p w14:paraId="04164A52" w14:textId="77777777" w:rsidR="00DE1537" w:rsidRDefault="00DE1537" w:rsidP="00343F3E">
                  <w:pPr>
                    <w:pStyle w:val="TableBodyText"/>
                    <w:ind w:right="28"/>
                  </w:pPr>
                  <w:r>
                    <w:t>444</w:t>
                  </w:r>
                </w:p>
              </w:tc>
            </w:tr>
            <w:tr w:rsidR="00DE1537" w14:paraId="1E6A3B36" w14:textId="77777777" w:rsidTr="00343F3E">
              <w:tc>
                <w:tcPr>
                  <w:tcW w:w="4413" w:type="pct"/>
                  <w:shd w:val="clear" w:color="auto" w:fill="auto"/>
                </w:tcPr>
                <w:p w14:paraId="0ACF2EE0" w14:textId="77777777" w:rsidR="00DE1537" w:rsidRDefault="00DE1537" w:rsidP="00343F3E">
                  <w:pPr>
                    <w:pStyle w:val="TableBodyText"/>
                    <w:jc w:val="left"/>
                  </w:pPr>
                  <w:r>
                    <w:t>Flood control and coastal emergencies — rehabilitation (US Army Corps of Engineers)</w:t>
                  </w:r>
                </w:p>
              </w:tc>
              <w:tc>
                <w:tcPr>
                  <w:tcW w:w="587" w:type="pct"/>
                  <w:shd w:val="clear" w:color="auto" w:fill="auto"/>
                </w:tcPr>
                <w:p w14:paraId="4946063D" w14:textId="77777777" w:rsidR="00DE1537" w:rsidRDefault="00DE1537" w:rsidP="00343F3E">
                  <w:pPr>
                    <w:pStyle w:val="TableBodyText"/>
                    <w:ind w:right="28"/>
                  </w:pPr>
                  <w:r>
                    <w:t>707</w:t>
                  </w:r>
                </w:p>
              </w:tc>
            </w:tr>
            <w:tr w:rsidR="00DE1537" w14:paraId="4223B0C3" w14:textId="77777777" w:rsidTr="00343F3E">
              <w:tc>
                <w:tcPr>
                  <w:tcW w:w="4413" w:type="pct"/>
                  <w:shd w:val="clear" w:color="auto" w:fill="auto"/>
                </w:tcPr>
                <w:p w14:paraId="6C6E536B" w14:textId="77777777" w:rsidR="00DE1537" w:rsidRDefault="00DE1537" w:rsidP="00343F3E">
                  <w:pPr>
                    <w:pStyle w:val="TableBodyText"/>
                    <w:jc w:val="left"/>
                  </w:pPr>
                  <w:r>
                    <w:t>Flood damage reduction for Mississippi River and Tributaries (US Army Corps of Engineers)</w:t>
                  </w:r>
                </w:p>
              </w:tc>
              <w:tc>
                <w:tcPr>
                  <w:tcW w:w="587" w:type="pct"/>
                  <w:shd w:val="clear" w:color="auto" w:fill="auto"/>
                </w:tcPr>
                <w:p w14:paraId="5F8310AD" w14:textId="77777777" w:rsidR="00DE1537" w:rsidRDefault="00DE1537" w:rsidP="00343F3E">
                  <w:pPr>
                    <w:pStyle w:val="TableBodyText"/>
                    <w:ind w:right="28"/>
                  </w:pPr>
                  <w:r>
                    <w:t>542</w:t>
                  </w:r>
                </w:p>
              </w:tc>
            </w:tr>
            <w:tr w:rsidR="00DE1537" w14:paraId="5D65B3AC" w14:textId="77777777" w:rsidTr="00343F3E">
              <w:tc>
                <w:tcPr>
                  <w:tcW w:w="4413" w:type="pct"/>
                  <w:shd w:val="clear" w:color="auto" w:fill="auto"/>
                </w:tcPr>
                <w:p w14:paraId="6E41029A" w14:textId="77777777" w:rsidR="00DE1537" w:rsidRDefault="00DE1537" w:rsidP="00343F3E">
                  <w:pPr>
                    <w:pStyle w:val="TableBodyText"/>
                    <w:jc w:val="left"/>
                  </w:pPr>
                  <w:r>
                    <w:t>Mitigation related to Superstorm Sandy (Department of Transportation)</w:t>
                  </w:r>
                </w:p>
              </w:tc>
              <w:tc>
                <w:tcPr>
                  <w:tcW w:w="587" w:type="pct"/>
                  <w:shd w:val="clear" w:color="auto" w:fill="auto"/>
                </w:tcPr>
                <w:p w14:paraId="4F0DBF03" w14:textId="77777777" w:rsidR="00DE1537" w:rsidRDefault="00DE1537" w:rsidP="00343F3E">
                  <w:pPr>
                    <w:pStyle w:val="TableBodyText"/>
                    <w:ind w:right="28"/>
                  </w:pPr>
                  <w:r>
                    <w:t>266</w:t>
                  </w:r>
                </w:p>
              </w:tc>
            </w:tr>
            <w:tr w:rsidR="00DE1537" w14:paraId="68AD4562" w14:textId="77777777" w:rsidTr="00343F3E">
              <w:tc>
                <w:tcPr>
                  <w:tcW w:w="4413" w:type="pct"/>
                  <w:tcBorders>
                    <w:bottom w:val="single" w:sz="6" w:space="0" w:color="BFBFBF" w:themeColor="background2"/>
                  </w:tcBorders>
                  <w:shd w:val="clear" w:color="auto" w:fill="auto"/>
                </w:tcPr>
                <w:p w14:paraId="21AAC8AB" w14:textId="77777777" w:rsidR="00DE1537" w:rsidRPr="004A739E" w:rsidRDefault="00DE1537" w:rsidP="00343F3E">
                  <w:pPr>
                    <w:pStyle w:val="TableBodyText"/>
                    <w:spacing w:before="80"/>
                    <w:jc w:val="left"/>
                    <w:rPr>
                      <w:b/>
                    </w:rPr>
                  </w:pPr>
                  <w:r w:rsidRPr="004A739E">
                    <w:rPr>
                      <w:b/>
                    </w:rPr>
                    <w:t>Total</w:t>
                  </w:r>
                  <w:r>
                    <w:rPr>
                      <w:b/>
                    </w:rPr>
                    <w:t xml:space="preserve"> mitigation</w:t>
                  </w:r>
                </w:p>
              </w:tc>
              <w:tc>
                <w:tcPr>
                  <w:tcW w:w="587" w:type="pct"/>
                  <w:tcBorders>
                    <w:bottom w:val="single" w:sz="6" w:space="0" w:color="BFBFBF" w:themeColor="background2"/>
                  </w:tcBorders>
                  <w:shd w:val="clear" w:color="auto" w:fill="auto"/>
                </w:tcPr>
                <w:p w14:paraId="2FE11347" w14:textId="77777777" w:rsidR="00DE1537" w:rsidRPr="004A739E" w:rsidRDefault="00DE1537" w:rsidP="00343F3E">
                  <w:pPr>
                    <w:pStyle w:val="TableBodyText"/>
                    <w:spacing w:before="80"/>
                    <w:ind w:right="28"/>
                    <w:rPr>
                      <w:b/>
                    </w:rPr>
                  </w:pPr>
                  <w:r w:rsidRPr="004A739E">
                    <w:rPr>
                      <w:b/>
                    </w:rPr>
                    <w:t>2</w:t>
                  </w:r>
                  <w:r>
                    <w:rPr>
                      <w:b/>
                    </w:rPr>
                    <w:t xml:space="preserve"> </w:t>
                  </w:r>
                  <w:r w:rsidRPr="004A739E">
                    <w:rPr>
                      <w:b/>
                    </w:rPr>
                    <w:t>887</w:t>
                  </w:r>
                </w:p>
              </w:tc>
            </w:tr>
            <w:tr w:rsidR="00DE1537" w:rsidRPr="0018277C" w14:paraId="02661E37" w14:textId="77777777" w:rsidTr="00343F3E">
              <w:tc>
                <w:tcPr>
                  <w:tcW w:w="4413" w:type="pct"/>
                  <w:tcBorders>
                    <w:top w:val="single" w:sz="6" w:space="0" w:color="BFBFBF" w:themeColor="background2"/>
                    <w:bottom w:val="single" w:sz="6" w:space="0" w:color="BFBFBF" w:themeColor="background2"/>
                  </w:tcBorders>
                  <w:shd w:val="clear" w:color="auto" w:fill="auto"/>
                </w:tcPr>
                <w:p w14:paraId="5A4BC273" w14:textId="77777777" w:rsidR="00DE1537" w:rsidRPr="004A739E" w:rsidRDefault="00DE1537" w:rsidP="00343F3E">
                  <w:pPr>
                    <w:pStyle w:val="TableBodyText"/>
                    <w:spacing w:before="160"/>
                    <w:jc w:val="left"/>
                    <w:rPr>
                      <w:i/>
                    </w:rPr>
                  </w:pPr>
                  <w:r>
                    <w:rPr>
                      <w:i/>
                    </w:rPr>
                    <w:t>Recovery</w:t>
                  </w:r>
                </w:p>
              </w:tc>
              <w:tc>
                <w:tcPr>
                  <w:tcW w:w="587" w:type="pct"/>
                  <w:tcBorders>
                    <w:top w:val="single" w:sz="6" w:space="0" w:color="BFBFBF" w:themeColor="background2"/>
                    <w:bottom w:val="single" w:sz="6" w:space="0" w:color="BFBFBF" w:themeColor="background2"/>
                  </w:tcBorders>
                  <w:shd w:val="clear" w:color="auto" w:fill="auto"/>
                </w:tcPr>
                <w:p w14:paraId="276FADAA" w14:textId="77777777" w:rsidR="00DE1537" w:rsidRPr="004A739E" w:rsidRDefault="00DE1537" w:rsidP="00343F3E">
                  <w:pPr>
                    <w:pStyle w:val="TableBodyText"/>
                    <w:spacing w:before="160"/>
                    <w:jc w:val="left"/>
                    <w:rPr>
                      <w:i/>
                    </w:rPr>
                  </w:pPr>
                </w:p>
              </w:tc>
            </w:tr>
            <w:tr w:rsidR="00DE1537" w14:paraId="29E292A9" w14:textId="77777777" w:rsidTr="00343F3E">
              <w:tc>
                <w:tcPr>
                  <w:tcW w:w="4413" w:type="pct"/>
                  <w:tcBorders>
                    <w:top w:val="single" w:sz="6" w:space="0" w:color="BFBFBF" w:themeColor="background2"/>
                  </w:tcBorders>
                  <w:shd w:val="clear" w:color="auto" w:fill="auto"/>
                </w:tcPr>
                <w:p w14:paraId="22A1D416" w14:textId="77777777" w:rsidR="00DE1537" w:rsidRPr="004A739E" w:rsidRDefault="00DE1537" w:rsidP="00343F3E">
                  <w:pPr>
                    <w:pStyle w:val="TableBodyText"/>
                    <w:jc w:val="left"/>
                    <w:rPr>
                      <w:rStyle w:val="NoteLabel"/>
                    </w:rPr>
                  </w:pPr>
                  <w:r>
                    <w:t>Disaster Relief Fund (FEMA)</w:t>
                  </w:r>
                  <w:r>
                    <w:rPr>
                      <w:rStyle w:val="NoteLabel"/>
                    </w:rPr>
                    <w:t>b</w:t>
                  </w:r>
                </w:p>
              </w:tc>
              <w:tc>
                <w:tcPr>
                  <w:tcW w:w="587" w:type="pct"/>
                  <w:tcBorders>
                    <w:top w:val="single" w:sz="6" w:space="0" w:color="BFBFBF" w:themeColor="background2"/>
                  </w:tcBorders>
                  <w:shd w:val="clear" w:color="auto" w:fill="auto"/>
                </w:tcPr>
                <w:p w14:paraId="35521B00" w14:textId="77777777" w:rsidR="00DE1537" w:rsidRDefault="00DE1537" w:rsidP="00343F3E">
                  <w:pPr>
                    <w:pStyle w:val="TableBodyText"/>
                    <w:ind w:right="28"/>
                  </w:pPr>
                  <w:r>
                    <w:t>10 448</w:t>
                  </w:r>
                </w:p>
              </w:tc>
            </w:tr>
            <w:tr w:rsidR="00DE1537" w14:paraId="287AC3DB" w14:textId="77777777" w:rsidTr="00343F3E">
              <w:tc>
                <w:tcPr>
                  <w:tcW w:w="4413" w:type="pct"/>
                  <w:shd w:val="clear" w:color="auto" w:fill="auto"/>
                </w:tcPr>
                <w:p w14:paraId="7421380E" w14:textId="77777777" w:rsidR="00DE1537" w:rsidRDefault="00DE1537" w:rsidP="00343F3E">
                  <w:pPr>
                    <w:pStyle w:val="TableBodyText"/>
                    <w:jc w:val="left"/>
                  </w:pPr>
                  <w:r>
                    <w:t>National Flood Insurance Fund mandatory insurance (FEMA)</w:t>
                  </w:r>
                </w:p>
              </w:tc>
              <w:tc>
                <w:tcPr>
                  <w:tcW w:w="587" w:type="pct"/>
                  <w:shd w:val="clear" w:color="auto" w:fill="auto"/>
                </w:tcPr>
                <w:p w14:paraId="3970690C" w14:textId="77777777" w:rsidR="00DE1537" w:rsidRDefault="00DE1537" w:rsidP="00343F3E">
                  <w:pPr>
                    <w:pStyle w:val="TableBodyText"/>
                    <w:ind w:right="28"/>
                  </w:pPr>
                  <w:r>
                    <w:t>10 427</w:t>
                  </w:r>
                </w:p>
              </w:tc>
            </w:tr>
            <w:tr w:rsidR="00DE1537" w14:paraId="2B2557BA" w14:textId="77777777" w:rsidTr="00343F3E">
              <w:tc>
                <w:tcPr>
                  <w:tcW w:w="4413" w:type="pct"/>
                  <w:shd w:val="clear" w:color="auto" w:fill="auto"/>
                </w:tcPr>
                <w:p w14:paraId="08B881E0" w14:textId="77777777" w:rsidR="00DE1537" w:rsidRDefault="00DE1537" w:rsidP="00343F3E">
                  <w:pPr>
                    <w:pStyle w:val="TableBodyText"/>
                    <w:jc w:val="left"/>
                  </w:pPr>
                  <w:r>
                    <w:t>Disaster Assistance Direct Loan Program (FEMA)</w:t>
                  </w:r>
                </w:p>
              </w:tc>
              <w:tc>
                <w:tcPr>
                  <w:tcW w:w="587" w:type="pct"/>
                  <w:shd w:val="clear" w:color="auto" w:fill="auto"/>
                </w:tcPr>
                <w:p w14:paraId="295B35A2" w14:textId="77777777" w:rsidR="00DE1537" w:rsidRDefault="00DE1537" w:rsidP="00343F3E">
                  <w:pPr>
                    <w:pStyle w:val="TableBodyText"/>
                    <w:ind w:right="28"/>
                  </w:pPr>
                  <w:r>
                    <w:t>479</w:t>
                  </w:r>
                </w:p>
              </w:tc>
            </w:tr>
            <w:tr w:rsidR="00DE1537" w14:paraId="7C77C116" w14:textId="77777777" w:rsidTr="00343F3E">
              <w:tc>
                <w:tcPr>
                  <w:tcW w:w="4413" w:type="pct"/>
                  <w:shd w:val="clear" w:color="auto" w:fill="auto"/>
                </w:tcPr>
                <w:p w14:paraId="52A3462C" w14:textId="77777777" w:rsidR="00DE1537" w:rsidRDefault="00DE1537" w:rsidP="00343F3E">
                  <w:pPr>
                    <w:pStyle w:val="TableBodyText"/>
                    <w:jc w:val="left"/>
                  </w:pPr>
                  <w:r>
                    <w:t>Disaster loans (Small Business Administration)</w:t>
                  </w:r>
                </w:p>
              </w:tc>
              <w:tc>
                <w:tcPr>
                  <w:tcW w:w="587" w:type="pct"/>
                  <w:shd w:val="clear" w:color="auto" w:fill="auto"/>
                </w:tcPr>
                <w:p w14:paraId="5CC7EA63" w14:textId="77777777" w:rsidR="00DE1537" w:rsidRDefault="00DE1537" w:rsidP="00343F3E">
                  <w:pPr>
                    <w:pStyle w:val="TableBodyText"/>
                    <w:ind w:right="28"/>
                  </w:pPr>
                  <w:r>
                    <w:t>2 259</w:t>
                  </w:r>
                </w:p>
              </w:tc>
            </w:tr>
            <w:tr w:rsidR="00DE1537" w14:paraId="1D068DFE" w14:textId="77777777" w:rsidTr="00343F3E">
              <w:tc>
                <w:tcPr>
                  <w:tcW w:w="4413" w:type="pct"/>
                  <w:shd w:val="clear" w:color="auto" w:fill="auto"/>
                </w:tcPr>
                <w:p w14:paraId="19376321" w14:textId="77777777" w:rsidR="00DE1537" w:rsidRDefault="00DE1537" w:rsidP="00343F3E">
                  <w:pPr>
                    <w:pStyle w:val="TableBodyText"/>
                    <w:jc w:val="left"/>
                  </w:pPr>
                  <w:r>
                    <w:t>Emergency Relief Program (Federal Highway Administration)</w:t>
                  </w:r>
                </w:p>
              </w:tc>
              <w:tc>
                <w:tcPr>
                  <w:tcW w:w="587" w:type="pct"/>
                  <w:shd w:val="clear" w:color="auto" w:fill="auto"/>
                </w:tcPr>
                <w:p w14:paraId="7CE29F4F" w14:textId="77777777" w:rsidR="00DE1537" w:rsidRDefault="00DE1537" w:rsidP="00343F3E">
                  <w:pPr>
                    <w:pStyle w:val="TableBodyText"/>
                    <w:ind w:right="28"/>
                  </w:pPr>
                  <w:r>
                    <w:t>1 075</w:t>
                  </w:r>
                </w:p>
              </w:tc>
            </w:tr>
            <w:tr w:rsidR="00DE1537" w14:paraId="3089E4E0" w14:textId="77777777" w:rsidTr="00343F3E">
              <w:tc>
                <w:tcPr>
                  <w:tcW w:w="4413" w:type="pct"/>
                  <w:shd w:val="clear" w:color="auto" w:fill="auto"/>
                </w:tcPr>
                <w:p w14:paraId="1F81F928" w14:textId="77777777" w:rsidR="00DE1537" w:rsidRDefault="00DE1537" w:rsidP="00343F3E">
                  <w:pPr>
                    <w:pStyle w:val="TableBodyText"/>
                    <w:jc w:val="left"/>
                  </w:pPr>
                  <w:r>
                    <w:t>R</w:t>
                  </w:r>
                  <w:r w:rsidRPr="00C953E9">
                    <w:t>epair work related to Superstorm Sandy</w:t>
                  </w:r>
                  <w:r>
                    <w:t xml:space="preserve"> (</w:t>
                  </w:r>
                  <w:r w:rsidRPr="00C953E9">
                    <w:t>Federal Railroad Administration</w:t>
                  </w:r>
                  <w:r>
                    <w:t>)</w:t>
                  </w:r>
                </w:p>
              </w:tc>
              <w:tc>
                <w:tcPr>
                  <w:tcW w:w="587" w:type="pct"/>
                  <w:shd w:val="clear" w:color="auto" w:fill="auto"/>
                </w:tcPr>
                <w:p w14:paraId="584029A1" w14:textId="77777777" w:rsidR="00DE1537" w:rsidRDefault="00DE1537" w:rsidP="00343F3E">
                  <w:pPr>
                    <w:pStyle w:val="TableBodyText"/>
                    <w:ind w:right="28"/>
                  </w:pPr>
                  <w:r>
                    <w:t>30</w:t>
                  </w:r>
                </w:p>
              </w:tc>
            </w:tr>
            <w:tr w:rsidR="00DE1537" w14:paraId="75A3673E" w14:textId="77777777" w:rsidTr="00343F3E">
              <w:tc>
                <w:tcPr>
                  <w:tcW w:w="4413" w:type="pct"/>
                  <w:shd w:val="clear" w:color="auto" w:fill="auto"/>
                </w:tcPr>
                <w:p w14:paraId="351E219E" w14:textId="77777777" w:rsidR="00DE1537" w:rsidRDefault="00DE1537" w:rsidP="00343F3E">
                  <w:pPr>
                    <w:pStyle w:val="TableBodyText"/>
                    <w:jc w:val="left"/>
                  </w:pPr>
                  <w:r w:rsidRPr="00C953E9">
                    <w:t>Public Transportation Emergency Relief Program</w:t>
                  </w:r>
                  <w:r>
                    <w:t xml:space="preserve"> (</w:t>
                  </w:r>
                  <w:r w:rsidRPr="00C953E9">
                    <w:t>Federal Transit Administration</w:t>
                  </w:r>
                  <w:r>
                    <w:t>)</w:t>
                  </w:r>
                </w:p>
              </w:tc>
              <w:tc>
                <w:tcPr>
                  <w:tcW w:w="587" w:type="pct"/>
                  <w:shd w:val="clear" w:color="auto" w:fill="auto"/>
                </w:tcPr>
                <w:p w14:paraId="5FFC85BC" w14:textId="77777777" w:rsidR="00DE1537" w:rsidRDefault="00DE1537" w:rsidP="00343F3E">
                  <w:pPr>
                    <w:pStyle w:val="TableBodyText"/>
                    <w:ind w:right="28"/>
                  </w:pPr>
                  <w:r>
                    <w:t>586</w:t>
                  </w:r>
                </w:p>
              </w:tc>
            </w:tr>
            <w:tr w:rsidR="00DE1537" w14:paraId="796482BF" w14:textId="77777777" w:rsidTr="00343F3E">
              <w:tc>
                <w:tcPr>
                  <w:tcW w:w="4413" w:type="pct"/>
                  <w:shd w:val="clear" w:color="auto" w:fill="auto"/>
                </w:tcPr>
                <w:p w14:paraId="18BCAF96" w14:textId="77777777" w:rsidR="00DE1537" w:rsidRDefault="00DE1537" w:rsidP="00343F3E">
                  <w:pPr>
                    <w:pStyle w:val="TableBodyText"/>
                    <w:jc w:val="left"/>
                  </w:pPr>
                  <w:r>
                    <w:t>Public Housing Capital Fund emergency/disaster reserve (Department of Housing and Urban Development)</w:t>
                  </w:r>
                </w:p>
              </w:tc>
              <w:tc>
                <w:tcPr>
                  <w:tcW w:w="587" w:type="pct"/>
                  <w:shd w:val="clear" w:color="auto" w:fill="auto"/>
                </w:tcPr>
                <w:p w14:paraId="19A8BCED" w14:textId="77777777" w:rsidR="00DE1537" w:rsidRDefault="00DE1537" w:rsidP="00343F3E">
                  <w:pPr>
                    <w:pStyle w:val="TableBodyText"/>
                    <w:ind w:right="28"/>
                  </w:pPr>
                  <w:r>
                    <w:t>27</w:t>
                  </w:r>
                </w:p>
              </w:tc>
            </w:tr>
            <w:tr w:rsidR="00DE1537" w14:paraId="6DD3131C" w14:textId="77777777" w:rsidTr="00343F3E">
              <w:tc>
                <w:tcPr>
                  <w:tcW w:w="4413" w:type="pct"/>
                  <w:shd w:val="clear" w:color="auto" w:fill="auto"/>
                </w:tcPr>
                <w:p w14:paraId="1FF8D180" w14:textId="77777777" w:rsidR="00DE1537" w:rsidRDefault="00DE1537" w:rsidP="00343F3E">
                  <w:pPr>
                    <w:pStyle w:val="TableBodyText"/>
                    <w:jc w:val="left"/>
                  </w:pPr>
                  <w:r>
                    <w:t>Disaster assistance (Department of Housing and Urban Development)</w:t>
                  </w:r>
                </w:p>
              </w:tc>
              <w:tc>
                <w:tcPr>
                  <w:tcW w:w="587" w:type="pct"/>
                  <w:shd w:val="clear" w:color="auto" w:fill="auto"/>
                </w:tcPr>
                <w:p w14:paraId="2789D592" w14:textId="77777777" w:rsidR="00DE1537" w:rsidRDefault="00DE1537" w:rsidP="00343F3E">
                  <w:pPr>
                    <w:pStyle w:val="TableBodyText"/>
                    <w:ind w:right="28"/>
                  </w:pPr>
                  <w:r>
                    <w:t>2 209</w:t>
                  </w:r>
                </w:p>
              </w:tc>
            </w:tr>
            <w:tr w:rsidR="00DE1537" w14:paraId="6DA9C724" w14:textId="77777777" w:rsidTr="00343F3E">
              <w:tc>
                <w:tcPr>
                  <w:tcW w:w="4413" w:type="pct"/>
                  <w:shd w:val="clear" w:color="auto" w:fill="auto"/>
                </w:tcPr>
                <w:p w14:paraId="5591078A" w14:textId="77777777" w:rsidR="00DE1537" w:rsidRDefault="00DE1537" w:rsidP="00343F3E">
                  <w:pPr>
                    <w:pStyle w:val="TableBodyText"/>
                    <w:jc w:val="left"/>
                  </w:pPr>
                  <w:r>
                    <w:t>Disaster recovery programs (Department of Commerce)</w:t>
                  </w:r>
                </w:p>
              </w:tc>
              <w:tc>
                <w:tcPr>
                  <w:tcW w:w="587" w:type="pct"/>
                  <w:shd w:val="clear" w:color="auto" w:fill="auto"/>
                </w:tcPr>
                <w:p w14:paraId="37DB2867" w14:textId="77777777" w:rsidR="00DE1537" w:rsidRDefault="00DE1537" w:rsidP="00343F3E">
                  <w:pPr>
                    <w:pStyle w:val="TableBodyText"/>
                    <w:ind w:right="28"/>
                  </w:pPr>
                  <w:r>
                    <w:t>154</w:t>
                  </w:r>
                </w:p>
              </w:tc>
            </w:tr>
            <w:tr w:rsidR="00DE1537" w14:paraId="7A247662" w14:textId="77777777" w:rsidTr="00343F3E">
              <w:tc>
                <w:tcPr>
                  <w:tcW w:w="4413" w:type="pct"/>
                  <w:shd w:val="clear" w:color="auto" w:fill="auto"/>
                </w:tcPr>
                <w:p w14:paraId="2549941C" w14:textId="77777777" w:rsidR="00DE1537" w:rsidRPr="004A739E" w:rsidRDefault="00DE1537" w:rsidP="00343F3E">
                  <w:pPr>
                    <w:pStyle w:val="TableBodyText"/>
                    <w:jc w:val="left"/>
                    <w:rPr>
                      <w:rStyle w:val="NoteLabel"/>
                    </w:rPr>
                  </w:pPr>
                  <w:r>
                    <w:t>Agricultural Disaster Relief Fund (Department of Agriculture)</w:t>
                  </w:r>
                  <w:r>
                    <w:rPr>
                      <w:rStyle w:val="NoteLabel"/>
                    </w:rPr>
                    <w:t>c</w:t>
                  </w:r>
                </w:p>
              </w:tc>
              <w:tc>
                <w:tcPr>
                  <w:tcW w:w="587" w:type="pct"/>
                  <w:shd w:val="clear" w:color="auto" w:fill="auto"/>
                </w:tcPr>
                <w:p w14:paraId="12C3BC88" w14:textId="77777777" w:rsidR="00DE1537" w:rsidRDefault="00DE1537" w:rsidP="00343F3E">
                  <w:pPr>
                    <w:pStyle w:val="TableBodyText"/>
                    <w:ind w:right="28"/>
                  </w:pPr>
                  <w:r>
                    <w:t>1 772</w:t>
                  </w:r>
                </w:p>
              </w:tc>
            </w:tr>
            <w:tr w:rsidR="00DE1537" w14:paraId="496A7A14" w14:textId="77777777" w:rsidTr="00343F3E">
              <w:tc>
                <w:tcPr>
                  <w:tcW w:w="4413" w:type="pct"/>
                  <w:shd w:val="clear" w:color="auto" w:fill="auto"/>
                </w:tcPr>
                <w:p w14:paraId="63DE8AA8" w14:textId="77777777" w:rsidR="00DE1537" w:rsidRDefault="00DE1537" w:rsidP="00343F3E">
                  <w:pPr>
                    <w:pStyle w:val="TableBodyText"/>
                    <w:jc w:val="left"/>
                  </w:pPr>
                  <w:r>
                    <w:t>Disaster unemployment assistance (Department of Labor)</w:t>
                  </w:r>
                </w:p>
              </w:tc>
              <w:tc>
                <w:tcPr>
                  <w:tcW w:w="587" w:type="pct"/>
                  <w:shd w:val="clear" w:color="auto" w:fill="auto"/>
                </w:tcPr>
                <w:p w14:paraId="6B7A2F03" w14:textId="77777777" w:rsidR="00DE1537" w:rsidRDefault="00DE1537" w:rsidP="00343F3E">
                  <w:pPr>
                    <w:pStyle w:val="TableBodyText"/>
                    <w:ind w:right="28"/>
                  </w:pPr>
                  <w:r>
                    <w:t>28</w:t>
                  </w:r>
                </w:p>
              </w:tc>
            </w:tr>
            <w:tr w:rsidR="00DE1537" w14:paraId="18666204" w14:textId="77777777" w:rsidTr="00343F3E">
              <w:tc>
                <w:tcPr>
                  <w:tcW w:w="4413" w:type="pct"/>
                  <w:tcBorders>
                    <w:bottom w:val="single" w:sz="6" w:space="0" w:color="BFBFBF" w:themeColor="background2"/>
                  </w:tcBorders>
                  <w:shd w:val="clear" w:color="auto" w:fill="auto"/>
                </w:tcPr>
                <w:p w14:paraId="14DA3200" w14:textId="77777777" w:rsidR="00DE1537" w:rsidRPr="004A739E" w:rsidRDefault="00DE1537" w:rsidP="00343F3E">
                  <w:pPr>
                    <w:pStyle w:val="TableBodyText"/>
                    <w:spacing w:before="80"/>
                    <w:jc w:val="left"/>
                    <w:rPr>
                      <w:b/>
                    </w:rPr>
                  </w:pPr>
                  <w:r>
                    <w:rPr>
                      <w:b/>
                    </w:rPr>
                    <w:t>Total recovery</w:t>
                  </w:r>
                </w:p>
              </w:tc>
              <w:tc>
                <w:tcPr>
                  <w:tcW w:w="587" w:type="pct"/>
                  <w:tcBorders>
                    <w:bottom w:val="single" w:sz="6" w:space="0" w:color="BFBFBF" w:themeColor="background2"/>
                  </w:tcBorders>
                  <w:shd w:val="clear" w:color="auto" w:fill="auto"/>
                </w:tcPr>
                <w:p w14:paraId="11BCF096" w14:textId="77777777" w:rsidR="00DE1537" w:rsidRPr="004A739E" w:rsidRDefault="00DE1537" w:rsidP="00343F3E">
                  <w:pPr>
                    <w:pStyle w:val="TableBodyText"/>
                    <w:spacing w:before="80"/>
                    <w:ind w:right="28"/>
                    <w:rPr>
                      <w:b/>
                    </w:rPr>
                  </w:pPr>
                  <w:r>
                    <w:rPr>
                      <w:b/>
                    </w:rPr>
                    <w:t>29 494</w:t>
                  </w:r>
                </w:p>
              </w:tc>
            </w:tr>
          </w:tbl>
          <w:p w14:paraId="2ACAFDC9" w14:textId="77777777" w:rsidR="00DE1537" w:rsidRDefault="00DE1537" w:rsidP="00343F3E">
            <w:pPr>
              <w:pStyle w:val="Box"/>
            </w:pPr>
          </w:p>
        </w:tc>
      </w:tr>
      <w:tr w:rsidR="00DE1537" w14:paraId="1CA33C18" w14:textId="77777777" w:rsidTr="00343F3E">
        <w:trPr>
          <w:cantSplit/>
        </w:trPr>
        <w:tc>
          <w:tcPr>
            <w:tcW w:w="8771" w:type="dxa"/>
            <w:tcBorders>
              <w:top w:val="nil"/>
              <w:left w:val="nil"/>
              <w:bottom w:val="nil"/>
              <w:right w:val="nil"/>
            </w:tcBorders>
            <w:shd w:val="clear" w:color="auto" w:fill="auto"/>
          </w:tcPr>
          <w:p w14:paraId="0F17BC66" w14:textId="77777777" w:rsidR="00DE1537" w:rsidRDefault="00DE1537" w:rsidP="00343F3E">
            <w:pPr>
              <w:pStyle w:val="Note"/>
              <w:rPr>
                <w:i/>
              </w:rPr>
            </w:pPr>
            <w:proofErr w:type="gramStart"/>
            <w:r w:rsidRPr="008E77FE">
              <w:rPr>
                <w:rStyle w:val="NoteLabel"/>
              </w:rPr>
              <w:t>a</w:t>
            </w:r>
            <w:proofErr w:type="gramEnd"/>
            <w:r>
              <w:t xml:space="preserve"> Budgetary appropriations only. Some programs may involve activities outside the scope of natural disaster mitigation or recovery. </w:t>
            </w:r>
            <w:r>
              <w:rPr>
                <w:rStyle w:val="NoteLabel"/>
              </w:rPr>
              <w:t>b</w:t>
            </w:r>
            <w:r>
              <w:t xml:space="preserve"> Includes funding for Public Assistance grants to state and local governments, the Hazard Mitigation Grant Program and the Individuals and Households Program (separate figures are not available).</w:t>
            </w:r>
            <w:r>
              <w:rPr>
                <w:rStyle w:val="NoteLabel"/>
              </w:rPr>
              <w:t xml:space="preserve"> </w:t>
            </w:r>
            <w:proofErr w:type="gramStart"/>
            <w:r>
              <w:rPr>
                <w:rStyle w:val="NoteLabel"/>
              </w:rPr>
              <w:t>c</w:t>
            </w:r>
            <w:proofErr w:type="gramEnd"/>
            <w:r>
              <w:t xml:space="preserve"> Includes assistance relating to drought.</w:t>
            </w:r>
          </w:p>
        </w:tc>
      </w:tr>
      <w:tr w:rsidR="00DE1537" w14:paraId="22643DCF" w14:textId="77777777" w:rsidTr="00343F3E">
        <w:trPr>
          <w:cantSplit/>
        </w:trPr>
        <w:tc>
          <w:tcPr>
            <w:tcW w:w="8771" w:type="dxa"/>
            <w:tcBorders>
              <w:top w:val="nil"/>
              <w:left w:val="nil"/>
              <w:bottom w:val="nil"/>
              <w:right w:val="nil"/>
            </w:tcBorders>
            <w:shd w:val="clear" w:color="auto" w:fill="auto"/>
          </w:tcPr>
          <w:p w14:paraId="3D45308C" w14:textId="675A290B" w:rsidR="00DE1537" w:rsidRDefault="00DE1537" w:rsidP="00343F3E">
            <w:pPr>
              <w:pStyle w:val="Source"/>
            </w:pPr>
            <w:r>
              <w:rPr>
                <w:i/>
              </w:rPr>
              <w:t>Source</w:t>
            </w:r>
            <w:r w:rsidRPr="00167F06">
              <w:t xml:space="preserve">: </w:t>
            </w:r>
            <w:r>
              <w:t xml:space="preserve">OMB </w:t>
            </w:r>
            <w:r w:rsidRPr="006B3AB9">
              <w:rPr>
                <w:rFonts w:cs="Arial"/>
              </w:rPr>
              <w:t>(2014b)</w:t>
            </w:r>
            <w:r>
              <w:t>.</w:t>
            </w:r>
          </w:p>
        </w:tc>
      </w:tr>
      <w:tr w:rsidR="00DE1537" w14:paraId="7C859679" w14:textId="77777777" w:rsidTr="00343F3E">
        <w:trPr>
          <w:cantSplit/>
        </w:trPr>
        <w:tc>
          <w:tcPr>
            <w:tcW w:w="8771" w:type="dxa"/>
            <w:tcBorders>
              <w:top w:val="nil"/>
              <w:left w:val="nil"/>
              <w:bottom w:val="single" w:sz="6" w:space="0" w:color="78A22F"/>
              <w:right w:val="nil"/>
            </w:tcBorders>
            <w:shd w:val="clear" w:color="auto" w:fill="auto"/>
          </w:tcPr>
          <w:p w14:paraId="7AA3E498" w14:textId="77777777" w:rsidR="00DE1537" w:rsidRDefault="00DE1537" w:rsidP="00343F3E">
            <w:pPr>
              <w:pStyle w:val="Box"/>
              <w:spacing w:before="0" w:line="120" w:lineRule="exact"/>
            </w:pPr>
          </w:p>
        </w:tc>
      </w:tr>
      <w:tr w:rsidR="00DE1537" w:rsidRPr="000863A5" w14:paraId="61E9E3D5" w14:textId="77777777" w:rsidTr="00343F3E">
        <w:tc>
          <w:tcPr>
            <w:tcW w:w="8771" w:type="dxa"/>
            <w:tcBorders>
              <w:top w:val="single" w:sz="6" w:space="0" w:color="78A22F"/>
              <w:left w:val="nil"/>
              <w:bottom w:val="nil"/>
              <w:right w:val="nil"/>
            </w:tcBorders>
          </w:tcPr>
          <w:p w14:paraId="2BEA9885" w14:textId="77777777" w:rsidR="00DE1537" w:rsidRPr="00626D32" w:rsidRDefault="00DE1537" w:rsidP="00343F3E">
            <w:pPr>
              <w:pStyle w:val="BoxSpaceBelow"/>
            </w:pPr>
          </w:p>
        </w:tc>
      </w:tr>
    </w:tbl>
    <w:p w14:paraId="64D64116" w14:textId="2D50FEA4" w:rsidR="00DE1537" w:rsidRDefault="00DE1537" w:rsidP="00343F3E">
      <w:pPr>
        <w:pStyle w:val="BodyText"/>
      </w:pPr>
      <w:r>
        <w:t xml:space="preserve">Mitigation expenditure can also have less political salience due to the way voters perceive it relative to recovery expenditure. Healy and Malhotra </w:t>
      </w:r>
      <w:r w:rsidRPr="003039E4">
        <w:t>(2009)</w:t>
      </w:r>
      <w:r>
        <w:t xml:space="preserve"> analysed how voters responded to expenditure on disaster preparedness and response in the United States. They found that voters significantly reward disaster relief and recovery spending, but are not as responsive to mitigation or preparedness spending. They </w:t>
      </w:r>
      <w:r w:rsidRPr="00573F28">
        <w:t xml:space="preserve">noted that a catastrophic natural </w:t>
      </w:r>
      <w:proofErr w:type="gramStart"/>
      <w:r w:rsidRPr="00573F28">
        <w:lastRenderedPageBreak/>
        <w:t>disaster,</w:t>
      </w:r>
      <w:proofErr w:type="gramEnd"/>
      <w:r w:rsidRPr="00573F28">
        <w:t xml:space="preserve"> such as Hurricane Katrina</w:t>
      </w:r>
      <w:r>
        <w:t xml:space="preserve"> in 2005</w:t>
      </w:r>
      <w:r w:rsidRPr="00573F28">
        <w:t>, can make the public more receptive to pre</w:t>
      </w:r>
      <w:r w:rsidRPr="00573F28">
        <w:noBreakHyphen/>
        <w:t>disaster expenditure, but the effect is often temporary and fades over time.</w:t>
      </w:r>
      <w:r w:rsidRPr="004A739E" w:rsidDel="00005AEB">
        <w:t xml:space="preserve"> </w:t>
      </w:r>
    </w:p>
    <w:p w14:paraId="0A8BD99D" w14:textId="3A530F71" w:rsidR="00DE1537" w:rsidRDefault="00DE1537" w:rsidP="00343F3E">
      <w:pPr>
        <w:pStyle w:val="BodyText"/>
      </w:pPr>
      <w:r>
        <w:t xml:space="preserve">In addition, there is evidence that recovery assistance (to households, businesses and subnational governments) can elevate </w:t>
      </w:r>
      <w:r w:rsidRPr="009F0271">
        <w:t xml:space="preserve">expectations of the role of </w:t>
      </w:r>
      <w:r>
        <w:t xml:space="preserve">the national </w:t>
      </w:r>
      <w:r w:rsidRPr="009F0271">
        <w:t xml:space="preserve">government. </w:t>
      </w:r>
      <w:r>
        <w:t xml:space="preserve">Assistance in some countries has tended to be fairly discretionary, for example in terms of cost sharing with local governments or the level of support provided to households following a natural disaster. </w:t>
      </w:r>
      <w:r w:rsidRPr="009F0271">
        <w:t xml:space="preserve">In the United States, for example, the </w:t>
      </w:r>
      <w:r>
        <w:t>F</w:t>
      </w:r>
      <w:r w:rsidRPr="009F0271">
        <w:t xml:space="preserve">ederal </w:t>
      </w:r>
      <w:r>
        <w:t>G</w:t>
      </w:r>
      <w:r w:rsidRPr="009F0271">
        <w:t xml:space="preserve">overnment’s share of disaster recovery costs has increased significantly over time, from very low levels in the first half of the twentieth century to over half the total costs in the 1990s (Moss 2002). </w:t>
      </w:r>
      <w:r>
        <w:t>Moreover</w:t>
      </w:r>
      <w:r w:rsidRPr="009F0271">
        <w:t>, the number of presidentially declared disasters has been increasing in recent years (Lindsay 2014). Legislative responses intended to deal only with the catastrophic impacts of Hurricane Katrina have been used as a rationale for suggesting similar treatment for subsequent but less devastating disasters (McCarthy 2010). Other evidence suggests that US states with greater political influence are subject to a higher rate of presidential disaster declarations (Garrett and Sobel 2003).</w:t>
      </w:r>
    </w:p>
    <w:p w14:paraId="32280FBD" w14:textId="77777777" w:rsidR="00DE1537" w:rsidRDefault="00DE1537" w:rsidP="00343F3E">
      <w:pPr>
        <w:pStyle w:val="Heading2"/>
      </w:pPr>
      <w:bookmarkStart w:id="90" w:name="_Toc406424359"/>
      <w:r>
        <w:t>8.</w:t>
      </w:r>
      <w:r>
        <w:rPr>
          <w:noProof/>
        </w:rPr>
        <w:t>4</w:t>
      </w:r>
      <w:r>
        <w:tab/>
        <w:t>Government</w:t>
      </w:r>
      <w:r>
        <w:noBreakHyphen/>
        <w:t>backed insurance schemes</w:t>
      </w:r>
      <w:bookmarkEnd w:id="90"/>
    </w:p>
    <w:p w14:paraId="45F085E0" w14:textId="77777777" w:rsidR="00DE1537" w:rsidRDefault="00DE1537" w:rsidP="00343F3E">
      <w:pPr>
        <w:pStyle w:val="BodyText"/>
      </w:pPr>
      <w:r w:rsidRPr="00573F28">
        <w:t xml:space="preserve">Some governments also support natural disaster risk management by </w:t>
      </w:r>
      <w:r>
        <w:t>households</w:t>
      </w:r>
      <w:r w:rsidRPr="00573F28">
        <w:t xml:space="preserve"> and/or businesses through direct involvement in insurance markets. </w:t>
      </w:r>
      <w:r>
        <w:t>This is the case in the United States, New Zealand, Japan, France and, in future, the United Kingdom (t</w:t>
      </w:r>
      <w:r w:rsidRPr="00573F28">
        <w:t>able </w:t>
      </w:r>
      <w:r>
        <w:t>8.3), but not in the Netherlands, Germany or Canada. Government insurance</w:t>
      </w:r>
      <w:r w:rsidRPr="00573F28">
        <w:t xml:space="preserve"> schemes </w:t>
      </w:r>
      <w:r>
        <w:t>have been</w:t>
      </w:r>
      <w:r w:rsidRPr="00573F28">
        <w:t xml:space="preserve"> introduced to meet objectives such as provid</w:t>
      </w:r>
      <w:r>
        <w:t>ing</w:t>
      </w:r>
      <w:r w:rsidRPr="00573F28">
        <w:t xml:space="preserve"> insurance for events the private market was not willing to insure, </w:t>
      </w:r>
      <w:r>
        <w:t xml:space="preserve">increasing insurance uptake </w:t>
      </w:r>
      <w:r w:rsidRPr="00573F28">
        <w:t>and reduc</w:t>
      </w:r>
      <w:r>
        <w:t>ing</w:t>
      </w:r>
      <w:r w:rsidRPr="00573F28">
        <w:t xml:space="preserve"> calls on governments to provide compensation following a natural disaster.</w:t>
      </w:r>
    </w:p>
    <w:p w14:paraId="374CAF67" w14:textId="77777777" w:rsidR="00DE1537" w:rsidRDefault="00DE1537" w:rsidP="00343F3E">
      <w:pPr>
        <w:pStyle w:val="BodyText"/>
        <w:sectPr w:rsidR="00DE1537" w:rsidSect="00DE1537">
          <w:headerReference w:type="even" r:id="rId101"/>
          <w:headerReference w:type="default" r:id="rId102"/>
          <w:footerReference w:type="even" r:id="rId103"/>
          <w:footerReference w:type="default" r:id="rId104"/>
          <w:type w:val="oddPage"/>
          <w:pgSz w:w="11907" w:h="16840" w:code="9"/>
          <w:pgMar w:top="1985" w:right="1304" w:bottom="1247" w:left="1814" w:header="1701" w:footer="397" w:gutter="0"/>
          <w:pgNumType w:chapSep="period"/>
          <w:cols w:space="720"/>
          <w:docGrid w:linePitch="326"/>
        </w:sectPr>
      </w:pPr>
      <w:r>
        <w:br w:type="page"/>
      </w:r>
    </w:p>
    <w:p w14:paraId="13F1D1C5" w14:textId="77777777" w:rsidR="00DE1537" w:rsidRDefault="00DE1537" w:rsidP="00343F3E">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DE1537" w14:paraId="5F134E00" w14:textId="77777777" w:rsidTr="00343F3E">
        <w:tc>
          <w:tcPr>
            <w:tcW w:w="5000" w:type="pct"/>
            <w:tcBorders>
              <w:top w:val="single" w:sz="6" w:space="0" w:color="78A22F"/>
              <w:left w:val="nil"/>
              <w:bottom w:val="nil"/>
              <w:right w:val="nil"/>
            </w:tcBorders>
            <w:shd w:val="clear" w:color="auto" w:fill="auto"/>
          </w:tcPr>
          <w:p w14:paraId="3F0933C1" w14:textId="77777777" w:rsidR="00DE1537" w:rsidRPr="00784A05" w:rsidRDefault="00DE1537" w:rsidP="00343F3E">
            <w:pPr>
              <w:pStyle w:val="TableTitle"/>
            </w:pPr>
            <w:r>
              <w:rPr>
                <w:b w:val="0"/>
              </w:rPr>
              <w:t>Table 8.</w:t>
            </w:r>
            <w:r>
              <w:rPr>
                <w:b w:val="0"/>
                <w:noProof/>
              </w:rPr>
              <w:t>3</w:t>
            </w:r>
            <w:r>
              <w:tab/>
              <w:t>Government</w:t>
            </w:r>
            <w:r>
              <w:noBreakHyphen/>
              <w:t>backed insurance schemes for natural disasters — selected examples</w:t>
            </w:r>
          </w:p>
        </w:tc>
      </w:tr>
      <w:tr w:rsidR="00DE1537" w14:paraId="3E788848" w14:textId="77777777" w:rsidTr="00343F3E">
        <w:trPr>
          <w:cantSplit/>
        </w:trPr>
        <w:tc>
          <w:tcPr>
            <w:tcW w:w="5000" w:type="pct"/>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135"/>
              <w:gridCol w:w="1135"/>
              <w:gridCol w:w="1420"/>
              <w:gridCol w:w="3402"/>
              <w:gridCol w:w="3824"/>
              <w:gridCol w:w="2521"/>
            </w:tblGrid>
            <w:tr w:rsidR="00DE1537" w14:paraId="35581C64" w14:textId="77777777" w:rsidTr="00343F3E">
              <w:tc>
                <w:tcPr>
                  <w:tcW w:w="422" w:type="pct"/>
                  <w:tcBorders>
                    <w:top w:val="single" w:sz="6" w:space="0" w:color="BFBFBF" w:themeColor="background2"/>
                    <w:bottom w:val="single" w:sz="6" w:space="0" w:color="BFBFBF" w:themeColor="background2"/>
                  </w:tcBorders>
                  <w:shd w:val="clear" w:color="auto" w:fill="auto"/>
                  <w:tcMar>
                    <w:top w:w="28" w:type="dxa"/>
                  </w:tcMar>
                </w:tcPr>
                <w:p w14:paraId="02A43C82" w14:textId="77777777" w:rsidR="00DE1537" w:rsidRDefault="00DE1537" w:rsidP="00343F3E">
                  <w:pPr>
                    <w:pStyle w:val="TableColumnHeading"/>
                    <w:jc w:val="left"/>
                  </w:pPr>
                  <w:r>
                    <w:t>Country</w:t>
                  </w:r>
                </w:p>
              </w:tc>
              <w:tc>
                <w:tcPr>
                  <w:tcW w:w="422" w:type="pct"/>
                  <w:tcBorders>
                    <w:top w:val="single" w:sz="6" w:space="0" w:color="BFBFBF" w:themeColor="background2"/>
                    <w:bottom w:val="single" w:sz="6" w:space="0" w:color="BFBFBF" w:themeColor="background2"/>
                  </w:tcBorders>
                </w:tcPr>
                <w:p w14:paraId="71B1E6EB" w14:textId="77777777" w:rsidR="00DE1537" w:rsidRDefault="00DE1537" w:rsidP="00343F3E">
                  <w:pPr>
                    <w:pStyle w:val="TableColumnHeading"/>
                    <w:jc w:val="left"/>
                  </w:pPr>
                  <w:r>
                    <w:t>Scheme</w:t>
                  </w:r>
                </w:p>
              </w:tc>
              <w:tc>
                <w:tcPr>
                  <w:tcW w:w="528" w:type="pct"/>
                  <w:tcBorders>
                    <w:top w:val="single" w:sz="6" w:space="0" w:color="BFBFBF" w:themeColor="background2"/>
                    <w:bottom w:val="single" w:sz="6" w:space="0" w:color="BFBFBF" w:themeColor="background2"/>
                  </w:tcBorders>
                </w:tcPr>
                <w:p w14:paraId="50F4BF35" w14:textId="77777777" w:rsidR="00DE1537" w:rsidRDefault="00DE1537" w:rsidP="00343F3E">
                  <w:pPr>
                    <w:pStyle w:val="TableColumnHeading"/>
                    <w:jc w:val="left"/>
                  </w:pPr>
                  <w:r>
                    <w:t>Hazards</w:t>
                  </w:r>
                </w:p>
              </w:tc>
              <w:tc>
                <w:tcPr>
                  <w:tcW w:w="1266" w:type="pct"/>
                  <w:tcBorders>
                    <w:top w:val="single" w:sz="6" w:space="0" w:color="BFBFBF" w:themeColor="background2"/>
                    <w:bottom w:val="single" w:sz="6" w:space="0" w:color="BFBFBF" w:themeColor="background2"/>
                  </w:tcBorders>
                  <w:shd w:val="clear" w:color="auto" w:fill="auto"/>
                  <w:tcMar>
                    <w:top w:w="28" w:type="dxa"/>
                  </w:tcMar>
                </w:tcPr>
                <w:p w14:paraId="58582BFE" w14:textId="77777777" w:rsidR="00DE1537" w:rsidRDefault="00DE1537" w:rsidP="00343F3E">
                  <w:pPr>
                    <w:pStyle w:val="TableColumnHeading"/>
                    <w:jc w:val="left"/>
                  </w:pPr>
                  <w:r>
                    <w:t>Government involvement</w:t>
                  </w:r>
                </w:p>
              </w:tc>
              <w:tc>
                <w:tcPr>
                  <w:tcW w:w="1423" w:type="pct"/>
                  <w:tcBorders>
                    <w:top w:val="single" w:sz="6" w:space="0" w:color="BFBFBF" w:themeColor="background2"/>
                    <w:bottom w:val="single" w:sz="6" w:space="0" w:color="BFBFBF" w:themeColor="background2"/>
                  </w:tcBorders>
                </w:tcPr>
                <w:p w14:paraId="499CA403" w14:textId="77777777" w:rsidR="00DE1537" w:rsidRDefault="00DE1537" w:rsidP="00343F3E">
                  <w:pPr>
                    <w:pStyle w:val="TableColumnHeading"/>
                    <w:ind w:right="28"/>
                    <w:jc w:val="left"/>
                  </w:pPr>
                  <w:r>
                    <w:t>Coverage</w:t>
                  </w:r>
                </w:p>
              </w:tc>
              <w:tc>
                <w:tcPr>
                  <w:tcW w:w="938" w:type="pct"/>
                  <w:tcBorders>
                    <w:top w:val="single" w:sz="6" w:space="0" w:color="BFBFBF" w:themeColor="background2"/>
                    <w:bottom w:val="single" w:sz="6" w:space="0" w:color="BFBFBF" w:themeColor="background2"/>
                  </w:tcBorders>
                  <w:shd w:val="clear" w:color="auto" w:fill="auto"/>
                  <w:tcMar>
                    <w:top w:w="28" w:type="dxa"/>
                  </w:tcMar>
                </w:tcPr>
                <w:p w14:paraId="194CE0C8" w14:textId="77777777" w:rsidR="00DE1537" w:rsidRDefault="00DE1537" w:rsidP="00343F3E">
                  <w:pPr>
                    <w:pStyle w:val="TableColumnHeading"/>
                    <w:ind w:right="28"/>
                    <w:jc w:val="left"/>
                  </w:pPr>
                  <w:r>
                    <w:t>Pricing</w:t>
                  </w:r>
                </w:p>
              </w:tc>
            </w:tr>
            <w:tr w:rsidR="00DE1537" w14:paraId="09341E62" w14:textId="77777777" w:rsidTr="00343F3E">
              <w:tc>
                <w:tcPr>
                  <w:tcW w:w="422" w:type="pct"/>
                  <w:tcBorders>
                    <w:top w:val="single" w:sz="6" w:space="0" w:color="BFBFBF" w:themeColor="background2"/>
                  </w:tcBorders>
                  <w:shd w:val="clear" w:color="auto" w:fill="F2F2F2" w:themeFill="background1" w:themeFillShade="F2"/>
                </w:tcPr>
                <w:p w14:paraId="104609F7" w14:textId="77777777" w:rsidR="00DE1537" w:rsidRDefault="00DE1537" w:rsidP="00343F3E">
                  <w:pPr>
                    <w:pStyle w:val="TableBodyText"/>
                    <w:spacing w:before="40"/>
                    <w:jc w:val="left"/>
                  </w:pPr>
                  <w:r>
                    <w:t>New Zealand</w:t>
                  </w:r>
                </w:p>
              </w:tc>
              <w:tc>
                <w:tcPr>
                  <w:tcW w:w="422" w:type="pct"/>
                  <w:tcBorders>
                    <w:top w:val="single" w:sz="6" w:space="0" w:color="BFBFBF" w:themeColor="background2"/>
                  </w:tcBorders>
                  <w:shd w:val="clear" w:color="auto" w:fill="F2F2F2" w:themeFill="background1" w:themeFillShade="F2"/>
                </w:tcPr>
                <w:p w14:paraId="69F8EFD7" w14:textId="77777777" w:rsidR="00DE1537" w:rsidRDefault="00DE1537" w:rsidP="00343F3E">
                  <w:pPr>
                    <w:pStyle w:val="TableBodyText"/>
                    <w:spacing w:before="40"/>
                    <w:jc w:val="left"/>
                  </w:pPr>
                  <w:r>
                    <w:t>Earthquake Commission</w:t>
                  </w:r>
                </w:p>
              </w:tc>
              <w:tc>
                <w:tcPr>
                  <w:tcW w:w="528" w:type="pct"/>
                  <w:tcBorders>
                    <w:top w:val="single" w:sz="6" w:space="0" w:color="BFBFBF" w:themeColor="background2"/>
                  </w:tcBorders>
                  <w:shd w:val="clear" w:color="auto" w:fill="F2F2F2" w:themeFill="background1" w:themeFillShade="F2"/>
                </w:tcPr>
                <w:p w14:paraId="0E160445" w14:textId="77777777" w:rsidR="00DE1537" w:rsidRDefault="00DE1537" w:rsidP="00343F3E">
                  <w:pPr>
                    <w:pStyle w:val="TableBodyText"/>
                    <w:spacing w:before="40"/>
                    <w:jc w:val="left"/>
                  </w:pPr>
                  <w:r>
                    <w:t>Earthquake and other seismic hazards</w:t>
                  </w:r>
                </w:p>
              </w:tc>
              <w:tc>
                <w:tcPr>
                  <w:tcW w:w="1266" w:type="pct"/>
                  <w:tcBorders>
                    <w:top w:val="single" w:sz="6" w:space="0" w:color="BFBFBF" w:themeColor="background2"/>
                  </w:tcBorders>
                  <w:shd w:val="clear" w:color="auto" w:fill="F2F2F2" w:themeFill="background1" w:themeFillShade="F2"/>
                </w:tcPr>
                <w:p w14:paraId="7DAE7386" w14:textId="77777777" w:rsidR="00DE1537" w:rsidRDefault="00DE1537" w:rsidP="00343F3E">
                  <w:pPr>
                    <w:pStyle w:val="TableBodyText"/>
                    <w:spacing w:before="40"/>
                    <w:jc w:val="left"/>
                  </w:pPr>
                  <w:r>
                    <w:t>The commission provides insurance to households. It obtains reinsurance on the global market. The NZ Government provides an unlimited guarantee for any claims unable to be met by the commission.</w:t>
                  </w:r>
                </w:p>
              </w:tc>
              <w:tc>
                <w:tcPr>
                  <w:tcW w:w="1423" w:type="pct"/>
                  <w:tcBorders>
                    <w:top w:val="single" w:sz="6" w:space="0" w:color="BFBFBF" w:themeColor="background2"/>
                  </w:tcBorders>
                  <w:shd w:val="clear" w:color="auto" w:fill="F2F2F2" w:themeFill="background1" w:themeFillShade="F2"/>
                </w:tcPr>
                <w:p w14:paraId="2892DF2E" w14:textId="77777777" w:rsidR="00DE1537" w:rsidRDefault="00DE1537" w:rsidP="00343F3E">
                  <w:pPr>
                    <w:pStyle w:val="TableBodyText"/>
                    <w:spacing w:before="40"/>
                    <w:ind w:right="28"/>
                    <w:jc w:val="left"/>
                  </w:pPr>
                  <w:r>
                    <w:t>Compulsory for households that have building or contents insurance policies covering fire. Maximum sum insured value of NZ$100 000 for buildings and NZ$20 000 for contents. Unlimited cover for land damage.</w:t>
                  </w:r>
                </w:p>
              </w:tc>
              <w:tc>
                <w:tcPr>
                  <w:tcW w:w="938" w:type="pct"/>
                  <w:tcBorders>
                    <w:top w:val="single" w:sz="6" w:space="0" w:color="BFBFBF" w:themeColor="background2"/>
                  </w:tcBorders>
                  <w:shd w:val="clear" w:color="auto" w:fill="F2F2F2" w:themeFill="background1" w:themeFillShade="F2"/>
                </w:tcPr>
                <w:p w14:paraId="2588B929" w14:textId="77777777" w:rsidR="00DE1537" w:rsidRDefault="00DE1537" w:rsidP="00343F3E">
                  <w:pPr>
                    <w:pStyle w:val="TableBodyText"/>
                    <w:spacing w:before="40"/>
                    <w:ind w:right="28"/>
                    <w:jc w:val="left"/>
                  </w:pPr>
                  <w:r>
                    <w:t>Flat premium of NZ15 cents per NZ$100 of the sum insured value.</w:t>
                  </w:r>
                </w:p>
              </w:tc>
            </w:tr>
            <w:tr w:rsidR="00DE1537" w14:paraId="20BBECBF" w14:textId="77777777" w:rsidTr="00343F3E">
              <w:tc>
                <w:tcPr>
                  <w:tcW w:w="422" w:type="pct"/>
                  <w:shd w:val="clear" w:color="auto" w:fill="auto"/>
                </w:tcPr>
                <w:p w14:paraId="2F7E49D4" w14:textId="77777777" w:rsidR="00DE1537" w:rsidRDefault="00DE1537" w:rsidP="00343F3E">
                  <w:pPr>
                    <w:pStyle w:val="TableBodyText"/>
                    <w:jc w:val="left"/>
                  </w:pPr>
                  <w:r>
                    <w:t>United States (national)</w:t>
                  </w:r>
                </w:p>
              </w:tc>
              <w:tc>
                <w:tcPr>
                  <w:tcW w:w="422" w:type="pct"/>
                </w:tcPr>
                <w:p w14:paraId="1AE314A6" w14:textId="77777777" w:rsidR="00DE1537" w:rsidRDefault="00DE1537" w:rsidP="00343F3E">
                  <w:pPr>
                    <w:pStyle w:val="TableBodyText"/>
                    <w:jc w:val="left"/>
                  </w:pPr>
                  <w:r>
                    <w:t>National Flood Insurance Program</w:t>
                  </w:r>
                </w:p>
              </w:tc>
              <w:tc>
                <w:tcPr>
                  <w:tcW w:w="528" w:type="pct"/>
                </w:tcPr>
                <w:p w14:paraId="149BD47D" w14:textId="77777777" w:rsidR="00DE1537" w:rsidRDefault="00DE1537" w:rsidP="00343F3E">
                  <w:pPr>
                    <w:pStyle w:val="TableBodyText"/>
                    <w:jc w:val="left"/>
                  </w:pPr>
                  <w:r>
                    <w:t>Flood</w:t>
                  </w:r>
                </w:p>
              </w:tc>
              <w:tc>
                <w:tcPr>
                  <w:tcW w:w="1266" w:type="pct"/>
                  <w:shd w:val="clear" w:color="auto" w:fill="auto"/>
                </w:tcPr>
                <w:p w14:paraId="39336B05" w14:textId="77777777" w:rsidR="00DE1537" w:rsidRDefault="00DE1537" w:rsidP="00343F3E">
                  <w:pPr>
                    <w:pStyle w:val="TableBodyText"/>
                    <w:jc w:val="left"/>
                  </w:pPr>
                  <w:r>
                    <w:t>Provision of flood and storm surge insurance policies at subsidised rates. The federal government guarantees the program by providing loans from Treasury, but these must be repaid.</w:t>
                  </w:r>
                </w:p>
              </w:tc>
              <w:tc>
                <w:tcPr>
                  <w:tcW w:w="1423" w:type="pct"/>
                </w:tcPr>
                <w:p w14:paraId="049D6DB8" w14:textId="77777777" w:rsidR="00DE1537" w:rsidRDefault="00DE1537" w:rsidP="00343F3E">
                  <w:pPr>
                    <w:pStyle w:val="TableBodyText"/>
                    <w:ind w:right="28"/>
                    <w:jc w:val="left"/>
                  </w:pPr>
                  <w:r w:rsidRPr="009273B0">
                    <w:t xml:space="preserve">Local districts must have minimum </w:t>
                  </w:r>
                  <w:r>
                    <w:t>planning and building regulations</w:t>
                  </w:r>
                  <w:r w:rsidRPr="009273B0">
                    <w:t xml:space="preserve"> in place in high</w:t>
                  </w:r>
                  <w:r w:rsidRPr="009273B0">
                    <w:noBreakHyphen/>
                    <w:t xml:space="preserve">risk areas to participate in the scheme. Flood insurance is mandatory for properties with a mortgage </w:t>
                  </w:r>
                  <w:r>
                    <w:t xml:space="preserve">from </w:t>
                  </w:r>
                  <w:r w:rsidRPr="009273B0">
                    <w:t>a federally regulated or insured le</w:t>
                  </w:r>
                  <w:r>
                    <w:t>nder, and in areas subject to 1</w:t>
                  </w:r>
                  <w:r>
                    <w:noBreakHyphen/>
                    <w:t>in</w:t>
                  </w:r>
                  <w:r>
                    <w:noBreakHyphen/>
                  </w:r>
                  <w:r w:rsidRPr="009273B0">
                    <w:t>100 year flood risk or greater.</w:t>
                  </w:r>
                </w:p>
              </w:tc>
              <w:tc>
                <w:tcPr>
                  <w:tcW w:w="938" w:type="pct"/>
                  <w:shd w:val="clear" w:color="auto" w:fill="auto"/>
                </w:tcPr>
                <w:p w14:paraId="2686E996" w14:textId="77777777" w:rsidR="00DE1537" w:rsidRDefault="00DE1537" w:rsidP="00343F3E">
                  <w:pPr>
                    <w:pStyle w:val="TableBodyText"/>
                    <w:jc w:val="left"/>
                  </w:pPr>
                  <w:r w:rsidRPr="009273B0">
                    <w:t>Premiums are discounted in areas where mitigation has occurred, and have been subsidised for houses built prior to flood mapping or scheme participation.</w:t>
                  </w:r>
                </w:p>
              </w:tc>
            </w:tr>
            <w:tr w:rsidR="00DE1537" w14:paraId="1083614D" w14:textId="77777777" w:rsidTr="00343F3E">
              <w:tc>
                <w:tcPr>
                  <w:tcW w:w="422" w:type="pct"/>
                  <w:shd w:val="clear" w:color="auto" w:fill="F2F2F2" w:themeFill="background1" w:themeFillShade="F2"/>
                </w:tcPr>
                <w:p w14:paraId="64761947" w14:textId="77777777" w:rsidR="00DE1537" w:rsidRDefault="00DE1537" w:rsidP="00343F3E">
                  <w:pPr>
                    <w:pStyle w:val="TableBodyText"/>
                    <w:jc w:val="left"/>
                  </w:pPr>
                  <w:r>
                    <w:t>United States (California)</w:t>
                  </w:r>
                </w:p>
              </w:tc>
              <w:tc>
                <w:tcPr>
                  <w:tcW w:w="422" w:type="pct"/>
                  <w:shd w:val="clear" w:color="auto" w:fill="F2F2F2" w:themeFill="background1" w:themeFillShade="F2"/>
                </w:tcPr>
                <w:p w14:paraId="21B493FC" w14:textId="77777777" w:rsidR="00DE1537" w:rsidRDefault="00DE1537" w:rsidP="00343F3E">
                  <w:pPr>
                    <w:pStyle w:val="TableBodyText"/>
                    <w:jc w:val="left"/>
                  </w:pPr>
                  <w:r>
                    <w:t>California Earthquake Authority</w:t>
                  </w:r>
                </w:p>
              </w:tc>
              <w:tc>
                <w:tcPr>
                  <w:tcW w:w="528" w:type="pct"/>
                  <w:shd w:val="clear" w:color="auto" w:fill="F2F2F2" w:themeFill="background1" w:themeFillShade="F2"/>
                </w:tcPr>
                <w:p w14:paraId="279DE033" w14:textId="77777777" w:rsidR="00DE1537" w:rsidRDefault="00DE1537" w:rsidP="00343F3E">
                  <w:pPr>
                    <w:pStyle w:val="TableBodyText"/>
                    <w:jc w:val="left"/>
                  </w:pPr>
                  <w:r>
                    <w:t>Earthquake</w:t>
                  </w:r>
                </w:p>
              </w:tc>
              <w:tc>
                <w:tcPr>
                  <w:tcW w:w="1266" w:type="pct"/>
                  <w:shd w:val="clear" w:color="auto" w:fill="F2F2F2" w:themeFill="background1" w:themeFillShade="F2"/>
                </w:tcPr>
                <w:p w14:paraId="6EAEBA19" w14:textId="77777777" w:rsidR="00DE1537" w:rsidRDefault="00DE1537" w:rsidP="00343F3E">
                  <w:pPr>
                    <w:pStyle w:val="TableBodyText"/>
                    <w:jc w:val="left"/>
                  </w:pPr>
                  <w:r>
                    <w:t>Insurers can choose to offer earthquake cover underwritten by the authority. Claims exceeding available funds are to be reduced proportionately. No government guarantee.</w:t>
                  </w:r>
                </w:p>
              </w:tc>
              <w:tc>
                <w:tcPr>
                  <w:tcW w:w="1423" w:type="pct"/>
                  <w:shd w:val="clear" w:color="auto" w:fill="F2F2F2" w:themeFill="background1" w:themeFillShade="F2"/>
                </w:tcPr>
                <w:p w14:paraId="40264C6A" w14:textId="77777777" w:rsidR="00DE1537" w:rsidRDefault="00DE1537" w:rsidP="00343F3E">
                  <w:pPr>
                    <w:pStyle w:val="TableBodyText"/>
                    <w:ind w:right="28"/>
                    <w:jc w:val="left"/>
                  </w:pPr>
                  <w:r>
                    <w:t>Insurers are required to offer earthquake insurance to residential properties, but take</w:t>
                  </w:r>
                  <w:r>
                    <w:noBreakHyphen/>
                    <w:t xml:space="preserve">up is optional for households. </w:t>
                  </w:r>
                </w:p>
              </w:tc>
              <w:tc>
                <w:tcPr>
                  <w:tcW w:w="938" w:type="pct"/>
                  <w:shd w:val="clear" w:color="auto" w:fill="F2F2F2" w:themeFill="background1" w:themeFillShade="F2"/>
                </w:tcPr>
                <w:p w14:paraId="184E579A" w14:textId="77777777" w:rsidR="00DE1537" w:rsidRDefault="00DE1537" w:rsidP="00343F3E">
                  <w:pPr>
                    <w:pStyle w:val="TableBodyText"/>
                    <w:ind w:right="28"/>
                    <w:jc w:val="left"/>
                  </w:pPr>
                  <w:r>
                    <w:t>Premiums are generally risk based.</w:t>
                  </w:r>
                </w:p>
              </w:tc>
            </w:tr>
            <w:tr w:rsidR="00DE1537" w14:paraId="5C2B726B" w14:textId="77777777" w:rsidTr="00343F3E">
              <w:tc>
                <w:tcPr>
                  <w:tcW w:w="422" w:type="pct"/>
                  <w:tcBorders>
                    <w:bottom w:val="single" w:sz="6" w:space="0" w:color="BFBFBF" w:themeColor="background2"/>
                  </w:tcBorders>
                  <w:shd w:val="clear" w:color="auto" w:fill="auto"/>
                </w:tcPr>
                <w:p w14:paraId="1B387CD9" w14:textId="77777777" w:rsidR="00DE1537" w:rsidRDefault="00DE1537" w:rsidP="00343F3E">
                  <w:pPr>
                    <w:pStyle w:val="TableBodyText"/>
                    <w:jc w:val="left"/>
                  </w:pPr>
                  <w:r>
                    <w:t>Japan</w:t>
                  </w:r>
                </w:p>
              </w:tc>
              <w:tc>
                <w:tcPr>
                  <w:tcW w:w="422" w:type="pct"/>
                  <w:tcBorders>
                    <w:bottom w:val="single" w:sz="6" w:space="0" w:color="BFBFBF" w:themeColor="background2"/>
                  </w:tcBorders>
                </w:tcPr>
                <w:p w14:paraId="611A5B4F" w14:textId="77777777" w:rsidR="00DE1537" w:rsidRDefault="00DE1537" w:rsidP="00343F3E">
                  <w:pPr>
                    <w:pStyle w:val="TableBodyText"/>
                    <w:jc w:val="left"/>
                  </w:pPr>
                  <w:r>
                    <w:t>Japanese Earthquake Reinsurance Company</w:t>
                  </w:r>
                </w:p>
              </w:tc>
              <w:tc>
                <w:tcPr>
                  <w:tcW w:w="528" w:type="pct"/>
                  <w:tcBorders>
                    <w:bottom w:val="single" w:sz="6" w:space="0" w:color="BFBFBF" w:themeColor="background2"/>
                  </w:tcBorders>
                </w:tcPr>
                <w:p w14:paraId="4B2DD4AB" w14:textId="77777777" w:rsidR="00DE1537" w:rsidRDefault="00DE1537" w:rsidP="00343F3E">
                  <w:pPr>
                    <w:pStyle w:val="TableBodyText"/>
                    <w:jc w:val="left"/>
                  </w:pPr>
                  <w:r>
                    <w:t>Earthquake and other seismic hazards</w:t>
                  </w:r>
                </w:p>
              </w:tc>
              <w:tc>
                <w:tcPr>
                  <w:tcW w:w="1266" w:type="pct"/>
                  <w:tcBorders>
                    <w:bottom w:val="single" w:sz="6" w:space="0" w:color="BFBFBF" w:themeColor="background2"/>
                  </w:tcBorders>
                  <w:shd w:val="clear" w:color="auto" w:fill="auto"/>
                </w:tcPr>
                <w:p w14:paraId="38447E56" w14:textId="77777777" w:rsidR="00DE1537" w:rsidRDefault="00DE1537" w:rsidP="00343F3E">
                  <w:pPr>
                    <w:pStyle w:val="TableBodyText"/>
                    <w:jc w:val="left"/>
                  </w:pPr>
                  <w:r>
                    <w:t xml:space="preserve">Scheme was established by 20 insurance companies. Liabilities are shared between the scheme, insurers and Government of Japan. The government is liable for a portion of claims between </w:t>
                  </w:r>
                  <w:r>
                    <w:rPr>
                      <w:rFonts w:cs="Arial"/>
                    </w:rPr>
                    <w:t>¥</w:t>
                  </w:r>
                  <w:r>
                    <w:t xml:space="preserve">115 billion and </w:t>
                  </w:r>
                  <w:r>
                    <w:rPr>
                      <w:rFonts w:cs="Arial"/>
                    </w:rPr>
                    <w:t>¥5.5 trillion, with total liability capped around ¥4.8 trillion. Claims above ¥5.5 trillion are to be reduced proportionately.</w:t>
                  </w:r>
                </w:p>
              </w:tc>
              <w:tc>
                <w:tcPr>
                  <w:tcW w:w="1423" w:type="pct"/>
                  <w:tcBorders>
                    <w:bottom w:val="single" w:sz="6" w:space="0" w:color="BFBFBF" w:themeColor="background2"/>
                  </w:tcBorders>
                </w:tcPr>
                <w:p w14:paraId="36AF7765" w14:textId="77777777" w:rsidR="00DE1537" w:rsidRDefault="00DE1537" w:rsidP="00343F3E">
                  <w:pPr>
                    <w:pStyle w:val="TableBodyText"/>
                    <w:ind w:right="28"/>
                    <w:jc w:val="left"/>
                  </w:pPr>
                  <w:r>
                    <w:t>Earthquake cover is added to fire insurance policies for residential buildings, but households can opt out. Cover is limited to ¥50 million for residential buildings and ¥10 million for contents.</w:t>
                  </w:r>
                </w:p>
              </w:tc>
              <w:tc>
                <w:tcPr>
                  <w:tcW w:w="938" w:type="pct"/>
                  <w:tcBorders>
                    <w:bottom w:val="single" w:sz="6" w:space="0" w:color="BFBFBF" w:themeColor="background2"/>
                  </w:tcBorders>
                  <w:shd w:val="clear" w:color="auto" w:fill="auto"/>
                </w:tcPr>
                <w:p w14:paraId="0484227B" w14:textId="77777777" w:rsidR="00DE1537" w:rsidRDefault="00DE1537" w:rsidP="00343F3E">
                  <w:pPr>
                    <w:pStyle w:val="TableBodyText"/>
                    <w:ind w:right="28"/>
                    <w:jc w:val="left"/>
                  </w:pPr>
                  <w:r>
                    <w:t>Premiums differ based on building material, date of construction and location. Excesses tend to be large. Discounts are offered for insurance purchased for</w:t>
                  </w:r>
                  <w:r>
                    <w:br/>
                    <w:t>2–5 year periods.</w:t>
                  </w:r>
                </w:p>
              </w:tc>
            </w:tr>
          </w:tbl>
          <w:p w14:paraId="09D15362" w14:textId="77777777" w:rsidR="00DE1537" w:rsidRDefault="00DE1537" w:rsidP="00343F3E">
            <w:pPr>
              <w:pStyle w:val="Box"/>
            </w:pPr>
          </w:p>
        </w:tc>
      </w:tr>
      <w:tr w:rsidR="00DE1537" w14:paraId="72BBCD33" w14:textId="77777777" w:rsidTr="00343F3E">
        <w:trPr>
          <w:cantSplit/>
        </w:trPr>
        <w:tc>
          <w:tcPr>
            <w:tcW w:w="5000" w:type="pct"/>
            <w:tcBorders>
              <w:top w:val="nil"/>
              <w:left w:val="nil"/>
              <w:bottom w:val="nil"/>
              <w:right w:val="nil"/>
            </w:tcBorders>
            <w:shd w:val="clear" w:color="auto" w:fill="auto"/>
          </w:tcPr>
          <w:p w14:paraId="3110F60B" w14:textId="77777777" w:rsidR="00DE1537" w:rsidRDefault="00DE1537" w:rsidP="00343F3E">
            <w:pPr>
              <w:pStyle w:val="Continued"/>
            </w:pPr>
            <w:r>
              <w:t>(continued next page)</w:t>
            </w:r>
          </w:p>
        </w:tc>
      </w:tr>
      <w:tr w:rsidR="00DE1537" w14:paraId="2DB6E42C" w14:textId="77777777" w:rsidTr="00343F3E">
        <w:trPr>
          <w:cantSplit/>
        </w:trPr>
        <w:tc>
          <w:tcPr>
            <w:tcW w:w="5000" w:type="pct"/>
            <w:tcBorders>
              <w:top w:val="nil"/>
              <w:left w:val="nil"/>
              <w:bottom w:val="single" w:sz="6" w:space="0" w:color="78A22F"/>
              <w:right w:val="nil"/>
            </w:tcBorders>
            <w:shd w:val="clear" w:color="auto" w:fill="auto"/>
          </w:tcPr>
          <w:p w14:paraId="29BC0920" w14:textId="77777777" w:rsidR="00DE1537" w:rsidRDefault="00DE1537" w:rsidP="00343F3E">
            <w:pPr>
              <w:pStyle w:val="Box"/>
              <w:spacing w:before="0" w:line="120" w:lineRule="exact"/>
            </w:pPr>
          </w:p>
        </w:tc>
      </w:tr>
      <w:tr w:rsidR="00DE1537" w:rsidRPr="000863A5" w14:paraId="583AC07E" w14:textId="77777777" w:rsidTr="00343F3E">
        <w:tc>
          <w:tcPr>
            <w:tcW w:w="5000" w:type="pct"/>
            <w:tcBorders>
              <w:top w:val="single" w:sz="6" w:space="0" w:color="78A22F"/>
              <w:left w:val="nil"/>
              <w:bottom w:val="nil"/>
              <w:right w:val="nil"/>
            </w:tcBorders>
          </w:tcPr>
          <w:p w14:paraId="5C5C33C4" w14:textId="77777777" w:rsidR="00DE1537" w:rsidRPr="00626D32" w:rsidRDefault="00DE1537" w:rsidP="00343F3E">
            <w:pPr>
              <w:pStyle w:val="BoxSpaceBelow"/>
            </w:pPr>
          </w:p>
        </w:tc>
      </w:tr>
    </w:tbl>
    <w:p w14:paraId="60F776E4" w14:textId="77777777" w:rsidR="00DE1537" w:rsidRDefault="00DE1537" w:rsidP="00343F3E">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DE1537" w14:paraId="56367508" w14:textId="77777777" w:rsidTr="00343F3E">
        <w:tc>
          <w:tcPr>
            <w:tcW w:w="5000" w:type="pct"/>
            <w:tcBorders>
              <w:top w:val="single" w:sz="6" w:space="0" w:color="78A22F"/>
              <w:left w:val="nil"/>
              <w:bottom w:val="nil"/>
              <w:right w:val="nil"/>
            </w:tcBorders>
            <w:shd w:val="clear" w:color="auto" w:fill="auto"/>
          </w:tcPr>
          <w:p w14:paraId="1098EFDC" w14:textId="77777777" w:rsidR="00DE1537" w:rsidRPr="00784A05" w:rsidRDefault="00DE1537" w:rsidP="00343F3E">
            <w:pPr>
              <w:pStyle w:val="TableTitle"/>
            </w:pPr>
            <w:r w:rsidRPr="00F527D6">
              <w:rPr>
                <w:b w:val="0"/>
              </w:rPr>
              <w:t xml:space="preserve">Table </w:t>
            </w:r>
            <w:r>
              <w:rPr>
                <w:b w:val="0"/>
              </w:rPr>
              <w:t>8</w:t>
            </w:r>
            <w:r w:rsidRPr="00D93CA9">
              <w:rPr>
                <w:b w:val="0"/>
              </w:rPr>
              <w:t>.3</w:t>
            </w:r>
            <w:r w:rsidRPr="00D93CA9">
              <w:rPr>
                <w:b w:val="0"/>
              </w:rPr>
              <w:tab/>
            </w:r>
            <w:r w:rsidRPr="002138EA">
              <w:rPr>
                <w:b w:val="0"/>
                <w:sz w:val="18"/>
                <w:szCs w:val="18"/>
              </w:rPr>
              <w:t>(continued)</w:t>
            </w:r>
          </w:p>
        </w:tc>
      </w:tr>
      <w:tr w:rsidR="00DE1537" w14:paraId="098C1685" w14:textId="77777777" w:rsidTr="00343F3E">
        <w:trPr>
          <w:cantSplit/>
        </w:trPr>
        <w:tc>
          <w:tcPr>
            <w:tcW w:w="5000" w:type="pct"/>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995"/>
              <w:gridCol w:w="1416"/>
              <w:gridCol w:w="1279"/>
              <w:gridCol w:w="3542"/>
              <w:gridCol w:w="3687"/>
              <w:gridCol w:w="2518"/>
            </w:tblGrid>
            <w:tr w:rsidR="00DE1537" w14:paraId="028D2E87" w14:textId="77777777" w:rsidTr="00343F3E">
              <w:tc>
                <w:tcPr>
                  <w:tcW w:w="370" w:type="pct"/>
                  <w:tcBorders>
                    <w:top w:val="single" w:sz="6" w:space="0" w:color="BFBFBF" w:themeColor="background2"/>
                    <w:bottom w:val="single" w:sz="6" w:space="0" w:color="BFBFBF" w:themeColor="background2"/>
                  </w:tcBorders>
                  <w:shd w:val="clear" w:color="auto" w:fill="auto"/>
                  <w:tcMar>
                    <w:top w:w="28" w:type="dxa"/>
                  </w:tcMar>
                </w:tcPr>
                <w:p w14:paraId="023490E5" w14:textId="77777777" w:rsidR="00DE1537" w:rsidRDefault="00DE1537" w:rsidP="00343F3E">
                  <w:pPr>
                    <w:pStyle w:val="TableColumnHeading"/>
                    <w:jc w:val="left"/>
                  </w:pPr>
                  <w:r>
                    <w:t>Country</w:t>
                  </w:r>
                </w:p>
              </w:tc>
              <w:tc>
                <w:tcPr>
                  <w:tcW w:w="527" w:type="pct"/>
                  <w:tcBorders>
                    <w:top w:val="single" w:sz="6" w:space="0" w:color="BFBFBF" w:themeColor="background2"/>
                    <w:bottom w:val="single" w:sz="6" w:space="0" w:color="BFBFBF" w:themeColor="background2"/>
                  </w:tcBorders>
                </w:tcPr>
                <w:p w14:paraId="35A764A1" w14:textId="77777777" w:rsidR="00DE1537" w:rsidRDefault="00DE1537" w:rsidP="00343F3E">
                  <w:pPr>
                    <w:pStyle w:val="TableColumnHeading"/>
                    <w:jc w:val="left"/>
                  </w:pPr>
                  <w:r>
                    <w:t>Scheme</w:t>
                  </w:r>
                </w:p>
              </w:tc>
              <w:tc>
                <w:tcPr>
                  <w:tcW w:w="476" w:type="pct"/>
                  <w:tcBorders>
                    <w:top w:val="single" w:sz="6" w:space="0" w:color="BFBFBF" w:themeColor="background2"/>
                    <w:bottom w:val="single" w:sz="6" w:space="0" w:color="BFBFBF" w:themeColor="background2"/>
                  </w:tcBorders>
                </w:tcPr>
                <w:p w14:paraId="71CC3A3F" w14:textId="77777777" w:rsidR="00DE1537" w:rsidRDefault="00DE1537" w:rsidP="00343F3E">
                  <w:pPr>
                    <w:pStyle w:val="TableColumnHeading"/>
                    <w:jc w:val="left"/>
                  </w:pPr>
                  <w:r>
                    <w:t>Hazards</w:t>
                  </w:r>
                </w:p>
              </w:tc>
              <w:tc>
                <w:tcPr>
                  <w:tcW w:w="1318" w:type="pct"/>
                  <w:tcBorders>
                    <w:top w:val="single" w:sz="6" w:space="0" w:color="BFBFBF" w:themeColor="background2"/>
                    <w:bottom w:val="single" w:sz="6" w:space="0" w:color="BFBFBF" w:themeColor="background2"/>
                  </w:tcBorders>
                  <w:shd w:val="clear" w:color="auto" w:fill="auto"/>
                  <w:tcMar>
                    <w:top w:w="28" w:type="dxa"/>
                  </w:tcMar>
                </w:tcPr>
                <w:p w14:paraId="42E377DA" w14:textId="77777777" w:rsidR="00DE1537" w:rsidRDefault="00DE1537" w:rsidP="00343F3E">
                  <w:pPr>
                    <w:pStyle w:val="TableColumnHeading"/>
                    <w:jc w:val="left"/>
                  </w:pPr>
                  <w:r>
                    <w:t>Government involvement</w:t>
                  </w:r>
                </w:p>
              </w:tc>
              <w:tc>
                <w:tcPr>
                  <w:tcW w:w="1372" w:type="pct"/>
                  <w:tcBorders>
                    <w:top w:val="single" w:sz="6" w:space="0" w:color="BFBFBF" w:themeColor="background2"/>
                    <w:bottom w:val="single" w:sz="6" w:space="0" w:color="BFBFBF" w:themeColor="background2"/>
                  </w:tcBorders>
                </w:tcPr>
                <w:p w14:paraId="2B79AE81" w14:textId="77777777" w:rsidR="00DE1537" w:rsidRDefault="00DE1537" w:rsidP="00343F3E">
                  <w:pPr>
                    <w:pStyle w:val="TableColumnHeading"/>
                    <w:ind w:right="28"/>
                    <w:jc w:val="left"/>
                  </w:pPr>
                  <w:r>
                    <w:t>Coverage</w:t>
                  </w:r>
                </w:p>
              </w:tc>
              <w:tc>
                <w:tcPr>
                  <w:tcW w:w="938" w:type="pct"/>
                  <w:tcBorders>
                    <w:top w:val="single" w:sz="6" w:space="0" w:color="BFBFBF" w:themeColor="background2"/>
                    <w:bottom w:val="single" w:sz="6" w:space="0" w:color="BFBFBF" w:themeColor="background2"/>
                  </w:tcBorders>
                  <w:shd w:val="clear" w:color="auto" w:fill="auto"/>
                  <w:tcMar>
                    <w:top w:w="28" w:type="dxa"/>
                  </w:tcMar>
                </w:tcPr>
                <w:p w14:paraId="76284933" w14:textId="77777777" w:rsidR="00DE1537" w:rsidRDefault="00DE1537" w:rsidP="00343F3E">
                  <w:pPr>
                    <w:pStyle w:val="TableColumnHeading"/>
                    <w:ind w:right="28"/>
                    <w:jc w:val="left"/>
                  </w:pPr>
                  <w:r>
                    <w:t>Pricing</w:t>
                  </w:r>
                </w:p>
              </w:tc>
            </w:tr>
            <w:tr w:rsidR="00DE1537" w14:paraId="378FE463" w14:textId="77777777" w:rsidTr="00343F3E">
              <w:tc>
                <w:tcPr>
                  <w:tcW w:w="370" w:type="pct"/>
                  <w:tcBorders>
                    <w:top w:val="single" w:sz="6" w:space="0" w:color="BFBFBF" w:themeColor="background2"/>
                  </w:tcBorders>
                  <w:shd w:val="clear" w:color="auto" w:fill="F2F2F2" w:themeFill="background1" w:themeFillShade="F2"/>
                </w:tcPr>
                <w:p w14:paraId="7D3EB466" w14:textId="77777777" w:rsidR="00DE1537" w:rsidRDefault="00DE1537" w:rsidP="00343F3E">
                  <w:pPr>
                    <w:pStyle w:val="TableBodyText"/>
                    <w:spacing w:before="40"/>
                    <w:jc w:val="left"/>
                  </w:pPr>
                  <w:r>
                    <w:t>France</w:t>
                  </w:r>
                </w:p>
              </w:tc>
              <w:tc>
                <w:tcPr>
                  <w:tcW w:w="527" w:type="pct"/>
                  <w:tcBorders>
                    <w:top w:val="single" w:sz="6" w:space="0" w:color="BFBFBF" w:themeColor="background2"/>
                  </w:tcBorders>
                  <w:shd w:val="clear" w:color="auto" w:fill="F2F2F2" w:themeFill="background1" w:themeFillShade="F2"/>
                </w:tcPr>
                <w:p w14:paraId="699BB892" w14:textId="77777777" w:rsidR="00DE1537" w:rsidRDefault="00DE1537" w:rsidP="00343F3E">
                  <w:pPr>
                    <w:pStyle w:val="TableBodyText"/>
                    <w:spacing w:before="40"/>
                    <w:jc w:val="left"/>
                  </w:pPr>
                  <w:r w:rsidRPr="00B33723">
                    <w:t>Caisse Centrale de Réassurance</w:t>
                  </w:r>
                </w:p>
              </w:tc>
              <w:tc>
                <w:tcPr>
                  <w:tcW w:w="476" w:type="pct"/>
                  <w:tcBorders>
                    <w:top w:val="single" w:sz="6" w:space="0" w:color="BFBFBF" w:themeColor="background2"/>
                  </w:tcBorders>
                  <w:shd w:val="clear" w:color="auto" w:fill="F2F2F2" w:themeFill="background1" w:themeFillShade="F2"/>
                </w:tcPr>
                <w:p w14:paraId="1604B20D" w14:textId="77777777" w:rsidR="00DE1537" w:rsidRDefault="00DE1537" w:rsidP="00343F3E">
                  <w:pPr>
                    <w:pStyle w:val="TableBodyText"/>
                    <w:spacing w:before="40"/>
                    <w:jc w:val="left"/>
                  </w:pPr>
                  <w:r>
                    <w:t>‘Uninsurable’ catastrophes</w:t>
                  </w:r>
                  <w:r>
                    <w:rPr>
                      <w:rStyle w:val="NoteLabel"/>
                    </w:rPr>
                    <w:t>a</w:t>
                  </w:r>
                </w:p>
              </w:tc>
              <w:tc>
                <w:tcPr>
                  <w:tcW w:w="1318" w:type="pct"/>
                  <w:tcBorders>
                    <w:top w:val="single" w:sz="6" w:space="0" w:color="BFBFBF" w:themeColor="background2"/>
                  </w:tcBorders>
                  <w:shd w:val="clear" w:color="auto" w:fill="F2F2F2" w:themeFill="background1" w:themeFillShade="F2"/>
                </w:tcPr>
                <w:p w14:paraId="4D2F5D9C" w14:textId="77777777" w:rsidR="00DE1537" w:rsidRDefault="00DE1537" w:rsidP="00343F3E">
                  <w:pPr>
                    <w:pStyle w:val="TableBodyText"/>
                    <w:spacing w:before="40"/>
                    <w:jc w:val="left"/>
                  </w:pPr>
                  <w:r>
                    <w:t>Government reinsurance company that offers unlimited cover to insurers for catastrophic events, backed by unlimited government guarantee. Insurers are not required to use the scheme (and can instead opt for commercial reinsurance).</w:t>
                  </w:r>
                </w:p>
              </w:tc>
              <w:tc>
                <w:tcPr>
                  <w:tcW w:w="1372" w:type="pct"/>
                  <w:tcBorders>
                    <w:top w:val="single" w:sz="6" w:space="0" w:color="BFBFBF" w:themeColor="background2"/>
                  </w:tcBorders>
                  <w:shd w:val="clear" w:color="auto" w:fill="F2F2F2" w:themeFill="background1" w:themeFillShade="F2"/>
                </w:tcPr>
                <w:p w14:paraId="2D270F0D" w14:textId="77777777" w:rsidR="00DE1537" w:rsidRDefault="00DE1537" w:rsidP="00343F3E">
                  <w:pPr>
                    <w:pStyle w:val="TableBodyText"/>
                    <w:spacing w:before="40"/>
                    <w:jc w:val="left"/>
                  </w:pPr>
                  <w:r>
                    <w:t>Under the ‘Cat Nat’ law, insurers must cover natural catastrophes as part of property insurance contracts. This covers</w:t>
                  </w:r>
                </w:p>
                <w:p w14:paraId="4E793658" w14:textId="77777777" w:rsidR="00DE1537" w:rsidRDefault="00DE1537" w:rsidP="00343F3E">
                  <w:pPr>
                    <w:pStyle w:val="TableBodyText"/>
                    <w:spacing w:before="40"/>
                    <w:jc w:val="left"/>
                  </w:pPr>
                  <w:r>
                    <w:t>‘</w:t>
                  </w:r>
                  <w:proofErr w:type="gramStart"/>
                  <w:r>
                    <w:t>uninsurable</w:t>
                  </w:r>
                  <w:proofErr w:type="gramEnd"/>
                  <w:r>
                    <w:t xml:space="preserve"> damage’ to household or commercial property, plus business interruption. Local authorities that purchase insurance are also covered (excluding road infrastructure).</w:t>
                  </w:r>
                </w:p>
              </w:tc>
              <w:tc>
                <w:tcPr>
                  <w:tcW w:w="938" w:type="pct"/>
                  <w:tcBorders>
                    <w:top w:val="single" w:sz="6" w:space="0" w:color="BFBFBF" w:themeColor="background2"/>
                  </w:tcBorders>
                  <w:shd w:val="clear" w:color="auto" w:fill="F2F2F2" w:themeFill="background1" w:themeFillShade="F2"/>
                </w:tcPr>
                <w:p w14:paraId="1B26B8E5" w14:textId="77777777" w:rsidR="00DE1537" w:rsidRDefault="00DE1537" w:rsidP="00343F3E">
                  <w:pPr>
                    <w:pStyle w:val="TableBodyText"/>
                    <w:spacing w:before="40"/>
                    <w:ind w:right="28"/>
                    <w:jc w:val="left"/>
                  </w:pPr>
                  <w:r>
                    <w:t>Under the ‘Cat Nat’ law, catastrophe premiums must be set at 12 per cent of the base premium for buildings and contents. Higher excesses in risky areas where prevention policies are not in place.</w:t>
                  </w:r>
                </w:p>
              </w:tc>
            </w:tr>
            <w:tr w:rsidR="00DE1537" w14:paraId="39A77F76" w14:textId="77777777" w:rsidTr="00343F3E">
              <w:tc>
                <w:tcPr>
                  <w:tcW w:w="370" w:type="pct"/>
                  <w:shd w:val="clear" w:color="auto" w:fill="auto"/>
                </w:tcPr>
                <w:p w14:paraId="26397079" w14:textId="77777777" w:rsidR="00DE1537" w:rsidRDefault="00DE1537" w:rsidP="00343F3E">
                  <w:pPr>
                    <w:pStyle w:val="TableBodyText"/>
                    <w:jc w:val="left"/>
                  </w:pPr>
                  <w:r>
                    <w:t xml:space="preserve">Spain </w:t>
                  </w:r>
                </w:p>
              </w:tc>
              <w:tc>
                <w:tcPr>
                  <w:tcW w:w="527" w:type="pct"/>
                </w:tcPr>
                <w:p w14:paraId="049CA8E1" w14:textId="77777777" w:rsidR="00DE1537" w:rsidRDefault="00DE1537" w:rsidP="00343F3E">
                  <w:pPr>
                    <w:pStyle w:val="TableBodyText"/>
                    <w:jc w:val="left"/>
                  </w:pPr>
                  <w:r>
                    <w:t>Consorcio de Compensaci</w:t>
                  </w:r>
                  <w:r>
                    <w:rPr>
                      <w:rFonts w:cs="Arial"/>
                    </w:rPr>
                    <w:t>ó</w:t>
                  </w:r>
                  <w:r>
                    <w:t>n de Seguros</w:t>
                  </w:r>
                </w:p>
              </w:tc>
              <w:tc>
                <w:tcPr>
                  <w:tcW w:w="476" w:type="pct"/>
                </w:tcPr>
                <w:p w14:paraId="090767D4" w14:textId="77777777" w:rsidR="00DE1537" w:rsidRDefault="00DE1537" w:rsidP="00343F3E">
                  <w:pPr>
                    <w:pStyle w:val="TableBodyText"/>
                    <w:jc w:val="left"/>
                  </w:pPr>
                  <w:r>
                    <w:t>‘Extraordinary’ events</w:t>
                  </w:r>
                  <w:r>
                    <w:rPr>
                      <w:rStyle w:val="NoteLabel"/>
                    </w:rPr>
                    <w:t>b</w:t>
                  </w:r>
                </w:p>
              </w:tc>
              <w:tc>
                <w:tcPr>
                  <w:tcW w:w="1318" w:type="pct"/>
                  <w:shd w:val="clear" w:color="auto" w:fill="auto"/>
                </w:tcPr>
                <w:p w14:paraId="7C26EA4E" w14:textId="77777777" w:rsidR="00DE1537" w:rsidRDefault="00DE1537" w:rsidP="00343F3E">
                  <w:pPr>
                    <w:pStyle w:val="TableBodyText"/>
                    <w:jc w:val="left"/>
                  </w:pPr>
                  <w:r>
                    <w:t>Commercial insurers provide cover and pass the premium on to the scheme. It does not take out reinsurance but is backed by an unlimited government guarantee. It is subject to the same prudential regulation as commercial insurers.</w:t>
                  </w:r>
                </w:p>
              </w:tc>
              <w:tc>
                <w:tcPr>
                  <w:tcW w:w="1372" w:type="pct"/>
                </w:tcPr>
                <w:p w14:paraId="7BF7BEAC" w14:textId="77777777" w:rsidR="00DE1537" w:rsidRDefault="00DE1537" w:rsidP="00343F3E">
                  <w:pPr>
                    <w:pStyle w:val="TableBodyText"/>
                    <w:ind w:right="28"/>
                    <w:jc w:val="left"/>
                  </w:pPr>
                  <w:r>
                    <w:t>Residential and commercial property, business interruption, personal injury and death. Insurance for natural disasters is compulsory in these types of insurance contracts.</w:t>
                  </w:r>
                </w:p>
              </w:tc>
              <w:tc>
                <w:tcPr>
                  <w:tcW w:w="938" w:type="pct"/>
                  <w:shd w:val="clear" w:color="auto" w:fill="auto"/>
                </w:tcPr>
                <w:p w14:paraId="6A5AD4ED" w14:textId="77777777" w:rsidR="00DE1537" w:rsidRDefault="00DE1537" w:rsidP="00343F3E">
                  <w:pPr>
                    <w:pStyle w:val="TableBodyText"/>
                    <w:jc w:val="left"/>
                  </w:pPr>
                  <w:r>
                    <w:t>Premiums set as a percentage of the sum insured value for property and business interruption cover. There are no excesses for buildings or personal injury and death.</w:t>
                  </w:r>
                </w:p>
              </w:tc>
            </w:tr>
            <w:tr w:rsidR="00DE1537" w14:paraId="2A0469CC" w14:textId="77777777" w:rsidTr="00343F3E">
              <w:tc>
                <w:tcPr>
                  <w:tcW w:w="370" w:type="pct"/>
                  <w:shd w:val="clear" w:color="auto" w:fill="F2F2F2" w:themeFill="background1" w:themeFillShade="F2"/>
                </w:tcPr>
                <w:p w14:paraId="69D192E7" w14:textId="77777777" w:rsidR="00DE1537" w:rsidRDefault="00DE1537" w:rsidP="00343F3E">
                  <w:pPr>
                    <w:pStyle w:val="TableBodyText"/>
                    <w:jc w:val="left"/>
                  </w:pPr>
                  <w:r>
                    <w:t>Turkey</w:t>
                  </w:r>
                </w:p>
              </w:tc>
              <w:tc>
                <w:tcPr>
                  <w:tcW w:w="527" w:type="pct"/>
                  <w:shd w:val="clear" w:color="auto" w:fill="F2F2F2" w:themeFill="background1" w:themeFillShade="F2"/>
                </w:tcPr>
                <w:p w14:paraId="27FD9B3C" w14:textId="77777777" w:rsidR="00DE1537" w:rsidRDefault="00DE1537" w:rsidP="00343F3E">
                  <w:pPr>
                    <w:pStyle w:val="TableBodyText"/>
                    <w:jc w:val="left"/>
                  </w:pPr>
                  <w:r>
                    <w:t>Turkish Catastrophe Insurance Pool</w:t>
                  </w:r>
                </w:p>
              </w:tc>
              <w:tc>
                <w:tcPr>
                  <w:tcW w:w="476" w:type="pct"/>
                  <w:shd w:val="clear" w:color="auto" w:fill="F2F2F2" w:themeFill="background1" w:themeFillShade="F2"/>
                </w:tcPr>
                <w:p w14:paraId="4739152D" w14:textId="77777777" w:rsidR="00DE1537" w:rsidRDefault="00DE1537" w:rsidP="00343F3E">
                  <w:pPr>
                    <w:pStyle w:val="TableBodyText"/>
                    <w:jc w:val="left"/>
                  </w:pPr>
                  <w:r>
                    <w:t>Earthquake</w:t>
                  </w:r>
                </w:p>
              </w:tc>
              <w:tc>
                <w:tcPr>
                  <w:tcW w:w="1318" w:type="pct"/>
                  <w:shd w:val="clear" w:color="auto" w:fill="F2F2F2" w:themeFill="background1" w:themeFillShade="F2"/>
                </w:tcPr>
                <w:p w14:paraId="73EE4B04" w14:textId="77777777" w:rsidR="00DE1537" w:rsidRDefault="00DE1537" w:rsidP="00343F3E">
                  <w:pPr>
                    <w:pStyle w:val="TableBodyText"/>
                    <w:jc w:val="left"/>
                  </w:pPr>
                  <w:r>
                    <w:t>Commercial insurers provide cover to households, and pass the premium on to the Pool. Some risk is ceded to the international reinsurance market.</w:t>
                  </w:r>
                </w:p>
              </w:tc>
              <w:tc>
                <w:tcPr>
                  <w:tcW w:w="1372" w:type="pct"/>
                  <w:shd w:val="clear" w:color="auto" w:fill="F2F2F2" w:themeFill="background1" w:themeFillShade="F2"/>
                </w:tcPr>
                <w:p w14:paraId="17C0D955" w14:textId="77777777" w:rsidR="00DE1537" w:rsidRDefault="00DE1537" w:rsidP="00343F3E">
                  <w:pPr>
                    <w:pStyle w:val="TableBodyText"/>
                    <w:ind w:right="28"/>
                    <w:jc w:val="left"/>
                  </w:pPr>
                  <w:r>
                    <w:t>Earthquake insurance is compulsory for all residential buildings within municipal boundaries, and voluntary for residents of small villages and the commercial sector. Cover is provided up to a cap on the sum insured value.</w:t>
                  </w:r>
                </w:p>
              </w:tc>
              <w:tc>
                <w:tcPr>
                  <w:tcW w:w="938" w:type="pct"/>
                  <w:shd w:val="clear" w:color="auto" w:fill="F2F2F2" w:themeFill="background1" w:themeFillShade="F2"/>
                </w:tcPr>
                <w:p w14:paraId="5C5E558A" w14:textId="77777777" w:rsidR="00DE1537" w:rsidRDefault="00DE1537" w:rsidP="00343F3E">
                  <w:pPr>
                    <w:pStyle w:val="TableBodyText"/>
                    <w:ind w:right="28"/>
                    <w:jc w:val="left"/>
                  </w:pPr>
                  <w:r>
                    <w:t>Premiums vary based on the amount of seismic risk, type of construction and building size.</w:t>
                  </w:r>
                </w:p>
              </w:tc>
            </w:tr>
            <w:tr w:rsidR="00DE1537" w14:paraId="163CA205" w14:textId="77777777" w:rsidTr="00343F3E">
              <w:tc>
                <w:tcPr>
                  <w:tcW w:w="370" w:type="pct"/>
                  <w:tcBorders>
                    <w:bottom w:val="single" w:sz="6" w:space="0" w:color="BFBFBF" w:themeColor="background2"/>
                  </w:tcBorders>
                  <w:shd w:val="clear" w:color="auto" w:fill="auto"/>
                </w:tcPr>
                <w:p w14:paraId="065B88B6" w14:textId="77777777" w:rsidR="00DE1537" w:rsidRDefault="00DE1537" w:rsidP="00343F3E">
                  <w:pPr>
                    <w:pStyle w:val="TableBodyText"/>
                    <w:jc w:val="left"/>
                  </w:pPr>
                  <w:r>
                    <w:t>United Kingdom</w:t>
                  </w:r>
                </w:p>
              </w:tc>
              <w:tc>
                <w:tcPr>
                  <w:tcW w:w="527" w:type="pct"/>
                  <w:tcBorders>
                    <w:bottom w:val="single" w:sz="6" w:space="0" w:color="BFBFBF" w:themeColor="background2"/>
                  </w:tcBorders>
                </w:tcPr>
                <w:p w14:paraId="00985A2E" w14:textId="77777777" w:rsidR="00DE1537" w:rsidRDefault="00DE1537" w:rsidP="00343F3E">
                  <w:pPr>
                    <w:pStyle w:val="TableBodyText"/>
                    <w:jc w:val="left"/>
                  </w:pPr>
                  <w:r>
                    <w:t>Flood Re</w:t>
                  </w:r>
                  <w:r>
                    <w:rPr>
                      <w:rStyle w:val="NoteLabel"/>
                    </w:rPr>
                    <w:t>c</w:t>
                  </w:r>
                </w:p>
              </w:tc>
              <w:tc>
                <w:tcPr>
                  <w:tcW w:w="476" w:type="pct"/>
                  <w:tcBorders>
                    <w:bottom w:val="single" w:sz="6" w:space="0" w:color="BFBFBF" w:themeColor="background2"/>
                  </w:tcBorders>
                </w:tcPr>
                <w:p w14:paraId="6FC842B1" w14:textId="77777777" w:rsidR="00DE1537" w:rsidRDefault="00DE1537" w:rsidP="00343F3E">
                  <w:pPr>
                    <w:pStyle w:val="TableBodyText"/>
                    <w:jc w:val="left"/>
                  </w:pPr>
                  <w:r>
                    <w:t>Flood</w:t>
                  </w:r>
                </w:p>
              </w:tc>
              <w:tc>
                <w:tcPr>
                  <w:tcW w:w="1318" w:type="pct"/>
                  <w:tcBorders>
                    <w:bottom w:val="single" w:sz="6" w:space="0" w:color="BFBFBF" w:themeColor="background2"/>
                  </w:tcBorders>
                  <w:shd w:val="clear" w:color="auto" w:fill="auto"/>
                </w:tcPr>
                <w:p w14:paraId="70B3720A" w14:textId="77777777" w:rsidR="00DE1537" w:rsidRDefault="00DE1537" w:rsidP="00343F3E">
                  <w:pPr>
                    <w:pStyle w:val="TableBodyText"/>
                    <w:jc w:val="left"/>
                  </w:pPr>
                  <w:r>
                    <w:t>The UK Government will require all commercial insurers to pay a levy, which will be pooled to provide capped premiums to households in high</w:t>
                  </w:r>
                  <w:r>
                    <w:noBreakHyphen/>
                    <w:t>risk areas.</w:t>
                  </w:r>
                </w:p>
              </w:tc>
              <w:tc>
                <w:tcPr>
                  <w:tcW w:w="1372" w:type="pct"/>
                  <w:tcBorders>
                    <w:bottom w:val="single" w:sz="6" w:space="0" w:color="BFBFBF" w:themeColor="background2"/>
                  </w:tcBorders>
                </w:tcPr>
                <w:p w14:paraId="2F2AEB09" w14:textId="77777777" w:rsidR="00DE1537" w:rsidRDefault="00DE1537" w:rsidP="00343F3E">
                  <w:pPr>
                    <w:pStyle w:val="TableBodyText"/>
                    <w:ind w:right="28"/>
                    <w:jc w:val="left"/>
                  </w:pPr>
                  <w:r>
                    <w:t>Houses built before 2009.</w:t>
                  </w:r>
                </w:p>
              </w:tc>
              <w:tc>
                <w:tcPr>
                  <w:tcW w:w="938" w:type="pct"/>
                  <w:tcBorders>
                    <w:bottom w:val="single" w:sz="6" w:space="0" w:color="BFBFBF" w:themeColor="background2"/>
                  </w:tcBorders>
                  <w:shd w:val="clear" w:color="auto" w:fill="auto"/>
                </w:tcPr>
                <w:p w14:paraId="1C87866C" w14:textId="77777777" w:rsidR="00DE1537" w:rsidRDefault="00DE1537" w:rsidP="00343F3E">
                  <w:pPr>
                    <w:pStyle w:val="TableBodyText"/>
                    <w:ind w:right="28"/>
                    <w:jc w:val="left"/>
                  </w:pPr>
                  <w:r>
                    <w:t>Funded by a levy on insurers. Premiums capped according to the council tax band of a property.</w:t>
                  </w:r>
                </w:p>
              </w:tc>
            </w:tr>
          </w:tbl>
          <w:p w14:paraId="2F2069EB" w14:textId="77777777" w:rsidR="00DE1537" w:rsidRDefault="00DE1537" w:rsidP="00343F3E">
            <w:pPr>
              <w:pStyle w:val="Box"/>
            </w:pPr>
          </w:p>
        </w:tc>
      </w:tr>
      <w:tr w:rsidR="00DE1537" w14:paraId="22E20386" w14:textId="77777777" w:rsidTr="00343F3E">
        <w:trPr>
          <w:cantSplit/>
        </w:trPr>
        <w:tc>
          <w:tcPr>
            <w:tcW w:w="5000" w:type="pct"/>
            <w:tcBorders>
              <w:top w:val="nil"/>
              <w:left w:val="nil"/>
              <w:bottom w:val="nil"/>
              <w:right w:val="nil"/>
            </w:tcBorders>
            <w:shd w:val="clear" w:color="auto" w:fill="auto"/>
          </w:tcPr>
          <w:p w14:paraId="5E489DFE" w14:textId="77777777" w:rsidR="00DE1537" w:rsidRDefault="00DE1537" w:rsidP="00343F3E">
            <w:pPr>
              <w:pStyle w:val="Note"/>
              <w:rPr>
                <w:i/>
              </w:rPr>
            </w:pPr>
            <w:proofErr w:type="gramStart"/>
            <w:r>
              <w:rPr>
                <w:rStyle w:val="NoteLabel"/>
              </w:rPr>
              <w:t>a</w:t>
            </w:r>
            <w:proofErr w:type="gramEnd"/>
            <w:r>
              <w:t xml:space="preserve"> </w:t>
            </w:r>
            <w:r w:rsidRPr="008D698E">
              <w:t xml:space="preserve">The reinsurance scheme was established in 1982 to cover all </w:t>
            </w:r>
            <w:r>
              <w:t>‘</w:t>
            </w:r>
            <w:r w:rsidRPr="008D698E">
              <w:t>uninsurable damage</w:t>
            </w:r>
            <w:r>
              <w:t>’</w:t>
            </w:r>
            <w:r w:rsidRPr="008D698E">
              <w:t xml:space="preserve"> from natural catastrophes. In practice, this includes floods, earthquakes, landslides and tsunami</w:t>
            </w:r>
            <w:r>
              <w:t>s</w:t>
            </w:r>
            <w:r w:rsidRPr="008D698E">
              <w:t>.</w:t>
            </w:r>
            <w:r>
              <w:t xml:space="preserve"> </w:t>
            </w:r>
            <w:proofErr w:type="gramStart"/>
            <w:r>
              <w:rPr>
                <w:rStyle w:val="NoteLabel"/>
              </w:rPr>
              <w:t>b</w:t>
            </w:r>
            <w:proofErr w:type="gramEnd"/>
            <w:r>
              <w:rPr>
                <w:rStyle w:val="NoteLabel"/>
              </w:rPr>
              <w:t xml:space="preserve"> </w:t>
            </w:r>
            <w:r>
              <w:t xml:space="preserve">Defined as risks not specifically and explicitly covered by another insurance policy, or covered by another insurance policy but where the insurance company cannot meet its obligations. </w:t>
            </w:r>
            <w:proofErr w:type="gramStart"/>
            <w:r>
              <w:rPr>
                <w:rStyle w:val="NoteLabel"/>
              </w:rPr>
              <w:t>c</w:t>
            </w:r>
            <w:proofErr w:type="gramEnd"/>
            <w:r>
              <w:t xml:space="preserve"> Announced June 2013 and scheduled for introduction in 2015.</w:t>
            </w:r>
          </w:p>
        </w:tc>
      </w:tr>
      <w:tr w:rsidR="00DE1537" w14:paraId="53986DB3" w14:textId="77777777" w:rsidTr="00343F3E">
        <w:trPr>
          <w:cantSplit/>
        </w:trPr>
        <w:tc>
          <w:tcPr>
            <w:tcW w:w="5000" w:type="pct"/>
            <w:tcBorders>
              <w:top w:val="nil"/>
              <w:left w:val="nil"/>
              <w:bottom w:val="nil"/>
              <w:right w:val="nil"/>
            </w:tcBorders>
            <w:shd w:val="clear" w:color="auto" w:fill="auto"/>
          </w:tcPr>
          <w:p w14:paraId="53ADF4E2" w14:textId="01C9F7D1" w:rsidR="00DE1537" w:rsidRDefault="00DE1537" w:rsidP="00343F3E">
            <w:pPr>
              <w:pStyle w:val="Source"/>
            </w:pPr>
            <w:r>
              <w:rPr>
                <w:i/>
              </w:rPr>
              <w:t>Sources</w:t>
            </w:r>
            <w:r>
              <w:t>: Adaptation Sub</w:t>
            </w:r>
            <w:r>
              <w:noBreakHyphen/>
              <w:t xml:space="preserve">Committee </w:t>
            </w:r>
            <w:r w:rsidRPr="00F4116B">
              <w:rPr>
                <w:rFonts w:cs="Arial"/>
              </w:rPr>
              <w:t>(2014)</w:t>
            </w:r>
            <w:r>
              <w:t xml:space="preserve">; Catastrophes Naturelle en France (pers. comm., 11 September 2014); EQC </w:t>
            </w:r>
            <w:r w:rsidRPr="0066097D">
              <w:rPr>
                <w:rFonts w:cs="Arial"/>
              </w:rPr>
              <w:t>(2013b)</w:t>
            </w:r>
            <w:r>
              <w:t xml:space="preserve">; Government of France </w:t>
            </w:r>
            <w:r w:rsidRPr="003525E9">
              <w:rPr>
                <w:rFonts w:cs="Arial"/>
              </w:rPr>
              <w:t>(2012)</w:t>
            </w:r>
            <w:r>
              <w:t xml:space="preserve">; </w:t>
            </w:r>
            <w:r w:rsidRPr="00097DD1">
              <w:t>Japan Earthquake Reinsurance Co Ltd</w:t>
            </w:r>
            <w:r>
              <w:t xml:space="preserve"> </w:t>
            </w:r>
            <w:r w:rsidRPr="00097DD1">
              <w:rPr>
                <w:rFonts w:cs="Arial"/>
              </w:rPr>
              <w:t>(2013)</w:t>
            </w:r>
            <w:r>
              <w:t xml:space="preserve">; King </w:t>
            </w:r>
            <w:r w:rsidRPr="00005995">
              <w:rPr>
                <w:rFonts w:cs="Arial"/>
              </w:rPr>
              <w:t>(2012)</w:t>
            </w:r>
            <w:r>
              <w:t xml:space="preserve">; OECD </w:t>
            </w:r>
            <w:r w:rsidRPr="0004049F">
              <w:rPr>
                <w:rFonts w:cs="Arial"/>
              </w:rPr>
              <w:t>(2008, 2012)</w:t>
            </w:r>
            <w:r>
              <w:t xml:space="preserve">; Phaup and Kirschner </w:t>
            </w:r>
            <w:r w:rsidRPr="005F3695">
              <w:rPr>
                <w:rFonts w:cs="Arial"/>
              </w:rPr>
              <w:t>(2010)</w:t>
            </w:r>
            <w:r>
              <w:t xml:space="preserve">; UNISDR </w:t>
            </w:r>
            <w:r w:rsidRPr="00600609">
              <w:rPr>
                <w:rFonts w:cs="Arial"/>
              </w:rPr>
              <w:t>(2013)</w:t>
            </w:r>
            <w:r>
              <w:t>.</w:t>
            </w:r>
          </w:p>
        </w:tc>
      </w:tr>
      <w:tr w:rsidR="00DE1537" w14:paraId="5954B22F" w14:textId="77777777" w:rsidTr="00343F3E">
        <w:trPr>
          <w:cantSplit/>
        </w:trPr>
        <w:tc>
          <w:tcPr>
            <w:tcW w:w="5000" w:type="pct"/>
            <w:tcBorders>
              <w:top w:val="nil"/>
              <w:left w:val="nil"/>
              <w:bottom w:val="single" w:sz="6" w:space="0" w:color="78A22F"/>
              <w:right w:val="nil"/>
            </w:tcBorders>
            <w:shd w:val="clear" w:color="auto" w:fill="auto"/>
          </w:tcPr>
          <w:p w14:paraId="19B53F93" w14:textId="77777777" w:rsidR="00DE1537" w:rsidRDefault="00DE1537" w:rsidP="00343F3E">
            <w:pPr>
              <w:pStyle w:val="Box"/>
              <w:spacing w:before="0" w:line="120" w:lineRule="exact"/>
            </w:pPr>
          </w:p>
        </w:tc>
      </w:tr>
      <w:tr w:rsidR="00DE1537" w:rsidRPr="000863A5" w14:paraId="5E3CB7E7" w14:textId="77777777" w:rsidTr="00343F3E">
        <w:tc>
          <w:tcPr>
            <w:tcW w:w="5000" w:type="pct"/>
            <w:tcBorders>
              <w:top w:val="single" w:sz="6" w:space="0" w:color="78A22F"/>
              <w:left w:val="nil"/>
              <w:bottom w:val="nil"/>
              <w:right w:val="nil"/>
            </w:tcBorders>
          </w:tcPr>
          <w:p w14:paraId="21448F5D" w14:textId="77777777" w:rsidR="00DE1537" w:rsidRPr="00626D32" w:rsidRDefault="00DE1537" w:rsidP="00343F3E">
            <w:pPr>
              <w:pStyle w:val="BoxSpaceBelow"/>
            </w:pPr>
          </w:p>
        </w:tc>
      </w:tr>
    </w:tbl>
    <w:p w14:paraId="5A67FFF1" w14:textId="77777777" w:rsidR="00DE1537" w:rsidRDefault="00DE1537" w:rsidP="00343F3E">
      <w:pPr>
        <w:pStyle w:val="BodyText"/>
        <w:sectPr w:rsidR="00DE1537" w:rsidSect="00DE1537">
          <w:headerReference w:type="even" r:id="rId105"/>
          <w:headerReference w:type="default" r:id="rId106"/>
          <w:footerReference w:type="even" r:id="rId107"/>
          <w:footerReference w:type="default" r:id="rId108"/>
          <w:pgSz w:w="16840" w:h="11907" w:orient="landscape" w:code="9"/>
          <w:pgMar w:top="1814" w:right="1985" w:bottom="1304" w:left="1418" w:header="1701" w:footer="567" w:gutter="0"/>
          <w:pgNumType w:chapSep="period"/>
          <w:cols w:space="720"/>
          <w:docGrid w:linePitch="326"/>
        </w:sectPr>
      </w:pPr>
    </w:p>
    <w:p w14:paraId="62D2B763" w14:textId="77777777" w:rsidR="00DE1537" w:rsidRDefault="00DE1537" w:rsidP="00343F3E">
      <w:pPr>
        <w:pStyle w:val="Heading3"/>
        <w:spacing w:before="0"/>
      </w:pPr>
      <w:r>
        <w:lastRenderedPageBreak/>
        <w:t>Challenges with government</w:t>
      </w:r>
      <w:r>
        <w:noBreakHyphen/>
        <w:t>backed insurance schemes</w:t>
      </w:r>
    </w:p>
    <w:p w14:paraId="48D22DF3" w14:textId="77777777" w:rsidR="00DE1537" w:rsidRPr="002152B6" w:rsidRDefault="00DE1537" w:rsidP="00343F3E">
      <w:pPr>
        <w:pStyle w:val="BodyText"/>
      </w:pPr>
      <w:r>
        <w:t>Many of the government</w:t>
      </w:r>
      <w:r>
        <w:noBreakHyphen/>
        <w:t>backed insurance schemes around the world have been in place for several decades (with the exception of the recently announced flood reinsurance scheme in the United Kingdom). Several challenges have arisen over this time.</w:t>
      </w:r>
    </w:p>
    <w:p w14:paraId="4239AD14" w14:textId="77777777" w:rsidR="00DE1537" w:rsidRPr="006B3AB9" w:rsidRDefault="00DE1537" w:rsidP="00343F3E">
      <w:pPr>
        <w:pStyle w:val="Heading4"/>
      </w:pPr>
      <w:r w:rsidRPr="002152B6">
        <w:t>Inadequate reserves</w:t>
      </w:r>
    </w:p>
    <w:p w14:paraId="39B19E06" w14:textId="77777777" w:rsidR="00DE1537" w:rsidRDefault="00DE1537" w:rsidP="00343F3E">
      <w:pPr>
        <w:pStyle w:val="BodyText"/>
      </w:pPr>
      <w:r>
        <w:t>Some governments have had to inject capital into their schemes, often following a catastrophic natural disaster.</w:t>
      </w:r>
    </w:p>
    <w:p w14:paraId="6E082A23" w14:textId="39383AAA" w:rsidR="00DE1537" w:rsidRDefault="00DE1537" w:rsidP="00343F3E">
      <w:pPr>
        <w:pStyle w:val="ListBullet"/>
      </w:pPr>
      <w:r>
        <w:t xml:space="preserve">The premiums and accumulated reserves of the United States’ National Flood Insurance Program (NFIP) have been insufficient to meet the cost of claims in some years (figure 8.1). The scheme has had to borrow from the US Treasury to remain solvent — for example, US$20.8 billion was borrowed to meet claims arising from Hurricane Katrina in 2005 </w:t>
      </w:r>
      <w:r w:rsidRPr="00CA19F6">
        <w:rPr>
          <w:szCs w:val="24"/>
        </w:rPr>
        <w:t>(Cummins, Suher and Zanjani 2010)</w:t>
      </w:r>
      <w:r>
        <w:t>.</w:t>
      </w:r>
    </w:p>
    <w:p w14:paraId="4A457860" w14:textId="77777777" w:rsidR="00DE1537" w:rsidRDefault="00DE1537" w:rsidP="00343F3E">
      <w:pPr>
        <w:pStyle w:val="ListBullet"/>
      </w:pPr>
      <w:r>
        <w:t>In New Zealand, the Earthquake Commission depleted its fund of accumulated premiums following the 2010</w:t>
      </w:r>
      <w:r>
        <w:noBreakHyphen/>
        <w:t>11 Canterbury earthquakes, and is likely to call on its government guarantee to meet unfunded liabilities of NZ$1.1 billion (box 8.6).</w:t>
      </w:r>
    </w:p>
    <w:p w14:paraId="6627D7DC" w14:textId="46661B30" w:rsidR="00DE1537" w:rsidRDefault="00DE1537" w:rsidP="00343F3E">
      <w:pPr>
        <w:pStyle w:val="ListBullet"/>
      </w:pPr>
      <w:r>
        <w:t xml:space="preserve">In France, the government injected 3 billion Francs (€457 million) to the </w:t>
      </w:r>
      <w:r w:rsidRPr="002C5323">
        <w:t xml:space="preserve">Caisse Centrale de Réassurance </w:t>
      </w:r>
      <w:r>
        <w:t xml:space="preserve">in 1999 to avert the scheme’s bankruptcy </w:t>
      </w:r>
      <w:r w:rsidRPr="00FC1817">
        <w:rPr>
          <w:szCs w:val="24"/>
        </w:rPr>
        <w:t>(Bruggeman 2010)</w:t>
      </w:r>
      <w:r>
        <w:t xml:space="preserve">. This followed losses over most of the past decade and two significant flood events that </w:t>
      </w:r>
      <w:r w:rsidRPr="002152B6">
        <w:t xml:space="preserve">year </w:t>
      </w:r>
      <w:r w:rsidRPr="004A739E">
        <w:t>(OECD 2005)</w:t>
      </w:r>
      <w:r>
        <w:t>.</w:t>
      </w:r>
    </w:p>
    <w:p w14:paraId="2190FCB9" w14:textId="2C2287F6" w:rsidR="00DE1537" w:rsidRDefault="00DE1537" w:rsidP="00343F3E">
      <w:pPr>
        <w:pStyle w:val="ListBullet"/>
      </w:pPr>
      <w:r>
        <w:t>The Government of Japan paid out around 45 per cent of the approximately ¥1.2 trillion in insurance claims following the 2011 Tohoku earthquake and tsunami, under established cost</w:t>
      </w:r>
      <w:r>
        <w:noBreakHyphen/>
        <w:t xml:space="preserve">sharing arrangements </w:t>
      </w:r>
      <w:r w:rsidRPr="00097DD1">
        <w:rPr>
          <w:szCs w:val="24"/>
        </w:rPr>
        <w:t>(Japan Earthquake Reinsurance Co Ltd 2013)</w:t>
      </w:r>
      <w:r>
        <w:t>. (These figures exclude liabilities relating to the Fukushima nuclear incident.)</w:t>
      </w:r>
    </w:p>
    <w:p w14:paraId="523C0AF7" w14:textId="6E3A3722" w:rsidR="00DE1537" w:rsidRDefault="00DE1537" w:rsidP="00343F3E">
      <w:pPr>
        <w:pStyle w:val="BodyText"/>
      </w:pPr>
      <w:r>
        <w:t xml:space="preserve">In the case of the United Kingdom, the forthcoming Flood Re scheme is to be funded through a levy on commercial insurers (and therefore costs will ultimately be paid by policyholders). A regulatory impact assessment of the scheme </w:t>
      </w:r>
      <w:r w:rsidRPr="00F47C57">
        <w:t xml:space="preserve">estimated a total net present value of </w:t>
      </w:r>
      <w:r>
        <w:t xml:space="preserve">negative </w:t>
      </w:r>
      <w:r w:rsidRPr="00F47C57">
        <w:t>£194</w:t>
      </w:r>
      <w:r>
        <w:t> million</w:t>
      </w:r>
      <w:r w:rsidRPr="00F47C57">
        <w:t>, relative to a base</w:t>
      </w:r>
      <w:r>
        <w:noBreakHyphen/>
      </w:r>
      <w:r w:rsidRPr="00F47C57">
        <w:t>case of commercial insurers offering risk</w:t>
      </w:r>
      <w:r>
        <w:noBreakHyphen/>
      </w:r>
      <w:r w:rsidRPr="00F47C57">
        <w:t xml:space="preserve">reflective premiums. </w:t>
      </w:r>
      <w:r>
        <w:t>The assessment</w:t>
      </w:r>
      <w:r w:rsidRPr="00F47C57">
        <w:t xml:space="preserve"> justifie</w:t>
      </w:r>
      <w:r>
        <w:t>d</w:t>
      </w:r>
      <w:r w:rsidRPr="00F47C57">
        <w:t xml:space="preserve"> the scheme on the basis of </w:t>
      </w:r>
      <w:r>
        <w:t>‘</w:t>
      </w:r>
      <w:r w:rsidRPr="00F47C57">
        <w:t>wider so</w:t>
      </w:r>
      <w:r>
        <w:t>cio</w:t>
      </w:r>
      <w:r>
        <w:noBreakHyphen/>
        <w:t xml:space="preserve">economic and equity reasons’ </w:t>
      </w:r>
      <w:r w:rsidRPr="00716E00">
        <w:rPr>
          <w:szCs w:val="24"/>
        </w:rPr>
        <w:t>(UKDEFRA 2014, p. i)</w:t>
      </w:r>
      <w:r w:rsidRPr="00F47C57">
        <w:t>.</w:t>
      </w:r>
    </w:p>
    <w:p w14:paraId="647D83B0"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C9B407F" w14:textId="77777777" w:rsidTr="00343F3E">
        <w:tc>
          <w:tcPr>
            <w:tcW w:w="8771" w:type="dxa"/>
            <w:tcBorders>
              <w:top w:val="single" w:sz="6" w:space="0" w:color="78A22F"/>
              <w:left w:val="nil"/>
              <w:bottom w:val="nil"/>
              <w:right w:val="nil"/>
            </w:tcBorders>
            <w:shd w:val="clear" w:color="auto" w:fill="auto"/>
          </w:tcPr>
          <w:p w14:paraId="3E31EE99" w14:textId="77777777" w:rsidR="00DE1537" w:rsidRPr="00176D3F" w:rsidRDefault="00DE1537" w:rsidP="00343F3E">
            <w:pPr>
              <w:pStyle w:val="FigureTitle"/>
            </w:pPr>
            <w:r w:rsidRPr="00784A05">
              <w:rPr>
                <w:b w:val="0"/>
              </w:rPr>
              <w:t xml:space="preserve">Figure </w:t>
            </w:r>
            <w:r>
              <w:rPr>
                <w:b w:val="0"/>
              </w:rPr>
              <w:t>8.</w:t>
            </w:r>
            <w:r>
              <w:rPr>
                <w:b w:val="0"/>
                <w:noProof/>
              </w:rPr>
              <w:t>1</w:t>
            </w:r>
            <w:r>
              <w:tab/>
              <w:t>US National Flood Insurance Program premiums and claims</w:t>
            </w:r>
          </w:p>
        </w:tc>
      </w:tr>
      <w:tr w:rsidR="00DE1537" w14:paraId="040A6601" w14:textId="77777777" w:rsidTr="00343F3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E1537" w14:paraId="00EB7831" w14:textId="77777777" w:rsidTr="00343F3E">
              <w:tc>
                <w:tcPr>
                  <w:tcW w:w="5000" w:type="pct"/>
                  <w:tcBorders>
                    <w:top w:val="nil"/>
                    <w:bottom w:val="nil"/>
                  </w:tcBorders>
                </w:tcPr>
                <w:p w14:paraId="0B06049B" w14:textId="77777777" w:rsidR="00DE1537" w:rsidRDefault="00DE1537" w:rsidP="00343F3E">
                  <w:pPr>
                    <w:pStyle w:val="Figure"/>
                    <w:spacing w:before="60" w:after="60"/>
                  </w:pPr>
                  <w:r>
                    <w:t xml:space="preserve"> </w:t>
                  </w:r>
                  <w:r>
                    <w:rPr>
                      <w:noProof/>
                    </w:rPr>
                    <w:drawing>
                      <wp:inline distT="0" distB="0" distL="0" distR="0" wp14:anchorId="297926EB" wp14:editId="27D6CD87">
                        <wp:extent cx="5400040" cy="2880995"/>
                        <wp:effectExtent l="0" t="0" r="0" b="0"/>
                        <wp:docPr id="137" name="Picture 137" descr="Earned premiums and loss dollars paid were broadly similar until 2005. Since then, losses have significantly exceeded premiums in 2005 and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14:paraId="646EA705" w14:textId="77777777" w:rsidR="00DE1537" w:rsidRDefault="00DE1537" w:rsidP="00343F3E">
            <w:pPr>
              <w:pStyle w:val="Figure"/>
            </w:pPr>
          </w:p>
        </w:tc>
      </w:tr>
      <w:tr w:rsidR="00DE1537" w:rsidRPr="00176D3F" w14:paraId="4A0A5A57" w14:textId="77777777" w:rsidTr="00343F3E">
        <w:tc>
          <w:tcPr>
            <w:tcW w:w="8771" w:type="dxa"/>
            <w:tcBorders>
              <w:top w:val="nil"/>
              <w:left w:val="nil"/>
              <w:bottom w:val="nil"/>
              <w:right w:val="nil"/>
            </w:tcBorders>
            <w:shd w:val="clear" w:color="auto" w:fill="auto"/>
          </w:tcPr>
          <w:p w14:paraId="1DF7E49F" w14:textId="25B53F77" w:rsidR="00DE1537" w:rsidRPr="00176D3F" w:rsidRDefault="00DE1537" w:rsidP="00343F3E">
            <w:pPr>
              <w:pStyle w:val="Source"/>
            </w:pPr>
            <w:r>
              <w:rPr>
                <w:i/>
              </w:rPr>
              <w:t>Data s</w:t>
            </w:r>
            <w:r w:rsidRPr="00784A05">
              <w:rPr>
                <w:i/>
              </w:rPr>
              <w:t>ource</w:t>
            </w:r>
            <w:r w:rsidRPr="00176D3F">
              <w:t xml:space="preserve">: </w:t>
            </w:r>
            <w:r>
              <w:t xml:space="preserve">FEMA </w:t>
            </w:r>
            <w:r w:rsidRPr="007D4933">
              <w:rPr>
                <w:rFonts w:cs="Arial"/>
              </w:rPr>
              <w:t>(2014g)</w:t>
            </w:r>
            <w:r>
              <w:t>.</w:t>
            </w:r>
          </w:p>
        </w:tc>
      </w:tr>
      <w:tr w:rsidR="00DE1537" w14:paraId="35884215" w14:textId="77777777" w:rsidTr="00343F3E">
        <w:tc>
          <w:tcPr>
            <w:tcW w:w="8771" w:type="dxa"/>
            <w:tcBorders>
              <w:top w:val="nil"/>
              <w:left w:val="nil"/>
              <w:bottom w:val="single" w:sz="6" w:space="0" w:color="78A22F"/>
              <w:right w:val="nil"/>
            </w:tcBorders>
            <w:shd w:val="clear" w:color="auto" w:fill="auto"/>
          </w:tcPr>
          <w:p w14:paraId="0A388663" w14:textId="77777777" w:rsidR="00DE1537" w:rsidRDefault="00DE1537" w:rsidP="00343F3E">
            <w:pPr>
              <w:pStyle w:val="Figurespace"/>
            </w:pPr>
          </w:p>
        </w:tc>
      </w:tr>
      <w:tr w:rsidR="00DE1537" w:rsidRPr="000863A5" w14:paraId="2C143E12" w14:textId="77777777" w:rsidTr="00343F3E">
        <w:tc>
          <w:tcPr>
            <w:tcW w:w="8771" w:type="dxa"/>
            <w:tcBorders>
              <w:top w:val="single" w:sz="6" w:space="0" w:color="78A22F"/>
              <w:left w:val="nil"/>
              <w:bottom w:val="nil"/>
              <w:right w:val="nil"/>
            </w:tcBorders>
          </w:tcPr>
          <w:p w14:paraId="475BE95C" w14:textId="77777777" w:rsidR="00DE1537" w:rsidRPr="00626D32" w:rsidRDefault="00DE1537" w:rsidP="00343F3E">
            <w:pPr>
              <w:pStyle w:val="BoxSpaceBelow"/>
            </w:pPr>
          </w:p>
        </w:tc>
      </w:tr>
    </w:tbl>
    <w:p w14:paraId="1F9E159A" w14:textId="77777777" w:rsidR="00DE1537" w:rsidRDefault="00DE1537" w:rsidP="00343F3E">
      <w:pPr>
        <w:pStyle w:val="Heading4"/>
      </w:pPr>
      <w:r>
        <w:t>Moral hazard</w:t>
      </w:r>
    </w:p>
    <w:p w14:paraId="0EAF7F5A" w14:textId="1B9F2318" w:rsidR="00DE1537" w:rsidRDefault="00DE1537" w:rsidP="00343F3E">
      <w:pPr>
        <w:pStyle w:val="BodyText"/>
      </w:pPr>
      <w:r>
        <w:t>Moral hazard is also a concern. The availability of subsidised insurance can weaken the incentives of households, businesses or governments to implement measures to reduce their exposure and vulnerability to natural hazards. It can also encourage excessive development in high</w:t>
      </w:r>
      <w:r>
        <w:noBreakHyphen/>
        <w:t>risk areas. This can be exacerbated by cross</w:t>
      </w:r>
      <w:r>
        <w:noBreakHyphen/>
        <w:t xml:space="preserve">subsidisation of premiums, which is common within many such schemes around the </w:t>
      </w:r>
      <w:r w:rsidRPr="002152B6">
        <w:t>world (OECD 2012)</w:t>
      </w:r>
      <w:r>
        <w:t>. Such cross</w:t>
      </w:r>
      <w:r>
        <w:noBreakHyphen/>
        <w:t xml:space="preserve">subsidisation is greater where risk is concentrated on a relatively small number of properties (as is typically the case for floods), rather than dispersed more evenly across the population (as for earthquakes). </w:t>
      </w:r>
    </w:p>
    <w:p w14:paraId="7DB56154" w14:textId="7442D9E8" w:rsidR="00DE1537" w:rsidRDefault="00DE1537" w:rsidP="00343F3E">
      <w:pPr>
        <w:pStyle w:val="BodyText"/>
      </w:pPr>
      <w:r>
        <w:t>Concerns about moral hazard have been raised in several countries. For example, there is evidence that flood insurance premiums in the United States’ NFIP have been significantly under</w:t>
      </w:r>
      <w:r>
        <w:noBreakHyphen/>
        <w:t>priced, leading to repeated damage to some properties and overdevelopment of flood</w:t>
      </w:r>
      <w:r>
        <w:noBreakHyphen/>
        <w:t xml:space="preserve">prone land (box 8.7). Measures to address such moral hazard through regulatory requirements for mitigation measures have not always been successful. In France, the catastrophe insurance scheme has been criticised for leading to a lack of responsibility by policyholders to manage their risks, since the cost of insurance does not depend on the level of risk faced </w:t>
      </w:r>
      <w:r w:rsidRPr="003A73FA">
        <w:rPr>
          <w:szCs w:val="24"/>
        </w:rPr>
        <w:t>(OECD 2006)</w:t>
      </w:r>
      <w:r>
        <w:t>. There may also be adverse selection in the scheme, since primary insurers may choose to retain ‘good’ risks or reinsure them commercially, while ceding mainly ‘bad’ risks to the government</w:t>
      </w:r>
      <w:r>
        <w:noBreakHyphen/>
        <w:t xml:space="preserve">backed reinsurance scheme </w:t>
      </w:r>
      <w:r w:rsidRPr="003C1D04">
        <w:rPr>
          <w:szCs w:val="24"/>
        </w:rPr>
        <w:t>(Jametti and von Ungern-Sternberg 2006)</w:t>
      </w:r>
      <w:r>
        <w:t>.</w:t>
      </w:r>
    </w:p>
    <w:p w14:paraId="3263D837"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005051A8" w14:textId="77777777" w:rsidTr="00343F3E">
        <w:tc>
          <w:tcPr>
            <w:tcW w:w="8771" w:type="dxa"/>
            <w:tcBorders>
              <w:top w:val="single" w:sz="6" w:space="0" w:color="78A22F"/>
              <w:left w:val="nil"/>
              <w:bottom w:val="nil"/>
              <w:right w:val="nil"/>
            </w:tcBorders>
            <w:shd w:val="clear" w:color="auto" w:fill="F2F2F2" w:themeFill="background1" w:themeFillShade="F2"/>
          </w:tcPr>
          <w:p w14:paraId="3B6A83D5" w14:textId="77777777" w:rsidR="00DE1537" w:rsidRDefault="00DE1537" w:rsidP="00343F3E">
            <w:pPr>
              <w:pStyle w:val="BoxTitle"/>
            </w:pPr>
            <w:r>
              <w:rPr>
                <w:b w:val="0"/>
              </w:rPr>
              <w:t>Box 8.</w:t>
            </w:r>
            <w:r>
              <w:rPr>
                <w:b w:val="0"/>
                <w:noProof/>
              </w:rPr>
              <w:t>6</w:t>
            </w:r>
            <w:r>
              <w:tab/>
              <w:t>New Zealand’s Canterbury earthquakes</w:t>
            </w:r>
          </w:p>
        </w:tc>
      </w:tr>
      <w:tr w:rsidR="00DE1537" w14:paraId="15AA0A14" w14:textId="77777777" w:rsidTr="00343F3E">
        <w:trPr>
          <w:cantSplit/>
        </w:trPr>
        <w:tc>
          <w:tcPr>
            <w:tcW w:w="8771" w:type="dxa"/>
            <w:tcBorders>
              <w:top w:val="nil"/>
              <w:left w:val="nil"/>
              <w:bottom w:val="nil"/>
              <w:right w:val="nil"/>
            </w:tcBorders>
            <w:shd w:val="clear" w:color="auto" w:fill="F2F2F2" w:themeFill="background1" w:themeFillShade="F2"/>
          </w:tcPr>
          <w:p w14:paraId="24595441" w14:textId="77777777" w:rsidR="00DE1537" w:rsidRDefault="00DE1537" w:rsidP="00343F3E">
            <w:pPr>
              <w:pStyle w:val="Box"/>
            </w:pPr>
            <w:r>
              <w:t xml:space="preserve">In late 2010 and early 2011, a series of damaging earthquakes and aftershocks caused significant damage to buildings, land and </w:t>
            </w:r>
            <w:r w:rsidRPr="007B1C0A">
              <w:t>infrastructure in the Canterbury region of New Zealand. These were the largest natural disasters in New Zealand’s recorded history. The Earthquake Commission (EQC) expects insurance claims</w:t>
            </w:r>
            <w:r w:rsidRPr="00926311">
              <w:t xml:space="preserve"> to total around NZ$12 billion, of which around NZ$7.</w:t>
            </w:r>
            <w:r w:rsidRPr="00D07FC6">
              <w:t>6</w:t>
            </w:r>
            <w:r w:rsidRPr="007B1C0A">
              <w:t> </w:t>
            </w:r>
            <w:r w:rsidRPr="00926311">
              <w:t xml:space="preserve">billion had been paid out as of </w:t>
            </w:r>
            <w:r w:rsidRPr="00D07FC6">
              <w:t>November</w:t>
            </w:r>
            <w:r w:rsidRPr="007B1C0A">
              <w:t xml:space="preserve"> </w:t>
            </w:r>
            <w:r w:rsidRPr="00926311">
              <w:t>2014.</w:t>
            </w:r>
            <w:r>
              <w:t xml:space="preserve"> </w:t>
            </w:r>
          </w:p>
          <w:p w14:paraId="1201FA43" w14:textId="77777777" w:rsidR="00DE1537" w:rsidRDefault="00DE1537" w:rsidP="00343F3E">
            <w:pPr>
              <w:pStyle w:val="Box"/>
            </w:pPr>
            <w:r>
              <w:t>Prior to the earthquakes, premiums exceeded claims in most years (figure below). At the time of the earthquakes, the EQC had around NZ$5.9 billion in its Natural Disaster Fund (into which it places premium income net of reinsurance and administrative costs). Reinsurance settlements are expected to provide a further NZ$4.5 billion. In November 2014, the EQC stated that it would draw on its government guarantee to meet unfunded liabilities of around NZ$1.1 billion.</w:t>
            </w:r>
          </w:p>
          <w:p w14:paraId="70EAAA7D" w14:textId="77777777" w:rsidR="00DE1537" w:rsidRPr="0020601B" w:rsidRDefault="00DE1537" w:rsidP="00343F3E">
            <w:pPr>
              <w:pStyle w:val="Box"/>
              <w:rPr>
                <w:rStyle w:val="NoteLabel"/>
                <w:b w:val="0"/>
                <w:position w:val="0"/>
                <w:sz w:val="20"/>
              </w:rPr>
            </w:pPr>
            <w:r>
              <w:rPr>
                <w:rStyle w:val="NoteLabel"/>
                <w:sz w:val="20"/>
              </w:rPr>
              <w:t xml:space="preserve"> </w:t>
            </w:r>
            <w:r>
              <w:rPr>
                <w:b/>
                <w:noProof/>
                <w:position w:val="6"/>
              </w:rPr>
              <w:drawing>
                <wp:inline distT="0" distB="0" distL="0" distR="0" wp14:anchorId="76978ACF" wp14:editId="2EB50E14">
                  <wp:extent cx="5410200" cy="2901950"/>
                  <wp:effectExtent l="0" t="0" r="0" b="0"/>
                  <wp:docPr id="140" name="Picture 140" descr="Gross earned premiums exceeded gross claims over the period 2006–2010, with claims averaging around NZ$44 million and premiums averaging NZ$85 million over this period. Premiums increased to NZ$107 million in 2012 and claims rose to NZ$11.4 billion in 2011 and NZ$1.2 billion in 2012. In 2013, premiums rose  to NZ$242 million whereas net claims were less than zero. In 2014, both premiums and claims were approximately NZ$270 m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410200" cy="2901950"/>
                          </a:xfrm>
                          <a:prstGeom prst="rect">
                            <a:avLst/>
                          </a:prstGeom>
                          <a:noFill/>
                          <a:ln>
                            <a:noFill/>
                          </a:ln>
                        </pic:spPr>
                      </pic:pic>
                    </a:graphicData>
                  </a:graphic>
                </wp:inline>
              </w:drawing>
            </w:r>
          </w:p>
          <w:p w14:paraId="759B688E" w14:textId="77777777" w:rsidR="00DE1537" w:rsidRDefault="00DE1537" w:rsidP="00343F3E">
            <w:pPr>
              <w:pStyle w:val="Note"/>
            </w:pPr>
            <w:proofErr w:type="gramStart"/>
            <w:r>
              <w:rPr>
                <w:rStyle w:val="NoteLabel"/>
              </w:rPr>
              <w:t>a</w:t>
            </w:r>
            <w:proofErr w:type="gramEnd"/>
            <w:r w:rsidRPr="0006510C">
              <w:t xml:space="preserve"> Claims</w:t>
            </w:r>
            <w:r>
              <w:t xml:space="preserve"> accrued in 2013 were negative NZ$167 million, due to a reduction in claims relating to events in previous years. </w:t>
            </w:r>
          </w:p>
          <w:p w14:paraId="6607060C" w14:textId="22978FA3" w:rsidR="00DE1537" w:rsidRPr="00546568" w:rsidRDefault="00DE1537" w:rsidP="00343F3E">
            <w:pPr>
              <w:pStyle w:val="Source"/>
            </w:pPr>
            <w:r w:rsidRPr="00546568">
              <w:rPr>
                <w:i/>
              </w:rPr>
              <w:t>Data source</w:t>
            </w:r>
            <w:r w:rsidRPr="00107033">
              <w:t>:</w:t>
            </w:r>
            <w:r w:rsidRPr="00546568">
              <w:t xml:space="preserve"> </w:t>
            </w:r>
            <w:r>
              <w:t xml:space="preserve">EQC </w:t>
            </w:r>
            <w:r w:rsidRPr="00C8794D">
              <w:rPr>
                <w:rFonts w:cs="Arial"/>
              </w:rPr>
              <w:t>(various years)</w:t>
            </w:r>
            <w:r>
              <w:t>.</w:t>
            </w:r>
          </w:p>
          <w:p w14:paraId="367FDAF1" w14:textId="77777777" w:rsidR="00DE1537" w:rsidRDefault="00DE1537" w:rsidP="00343F3E">
            <w:pPr>
              <w:pStyle w:val="Box"/>
            </w:pPr>
            <w:r>
              <w:t>Challenges have arisen during this process. The large number of affected properties meant that the EQC had to rapidly expand its workforce (from 49 in September 2010 to 1064 by February 2011) to assess losses, settle claims and manage rebuilding projects. It undertakes these activities itself rather than relying on insurance companies. In addition, the cost of reinsurance increased significantly following the earthquakes.</w:t>
            </w:r>
          </w:p>
          <w:p w14:paraId="61FF2E8F" w14:textId="77777777" w:rsidR="00DE1537" w:rsidRDefault="00DE1537" w:rsidP="00343F3E">
            <w:pPr>
              <w:pStyle w:val="Box"/>
            </w:pPr>
            <w:r>
              <w:t>In 2012, the New Zealand Government increased the EQC levy (premium) from NZ5 cents per NZ$100 of the sum insured value to NZ15 cents. This was intended to reduce the EQC’s funding shortfall (and hence the call on the government guarantee) and enable the Natural Disaster Fund to be rebuilt to NZ$6 billion over 30 years. The government also commenced a review of the Earthquake Commission Act 1993 (NZ) to examine the institutional design of the EQC and its insurance cover and pricing. This review is still underway.</w:t>
            </w:r>
          </w:p>
        </w:tc>
      </w:tr>
      <w:tr w:rsidR="00DE1537" w14:paraId="497CC88B" w14:textId="77777777" w:rsidTr="00343F3E">
        <w:trPr>
          <w:cantSplit/>
        </w:trPr>
        <w:tc>
          <w:tcPr>
            <w:tcW w:w="8771" w:type="dxa"/>
            <w:tcBorders>
              <w:top w:val="nil"/>
              <w:left w:val="nil"/>
              <w:bottom w:val="nil"/>
              <w:right w:val="nil"/>
            </w:tcBorders>
            <w:shd w:val="clear" w:color="auto" w:fill="F2F2F2" w:themeFill="background1" w:themeFillShade="F2"/>
          </w:tcPr>
          <w:p w14:paraId="37516AD9" w14:textId="38154C0F" w:rsidR="00DE1537" w:rsidRDefault="00DE1537" w:rsidP="00343F3E">
            <w:pPr>
              <w:pStyle w:val="BoxSource"/>
            </w:pPr>
            <w:r>
              <w:rPr>
                <w:i/>
              </w:rPr>
              <w:t>Sources</w:t>
            </w:r>
            <w:r w:rsidRPr="00167F06">
              <w:t xml:space="preserve">: </w:t>
            </w:r>
            <w:r>
              <w:t xml:space="preserve">English </w:t>
            </w:r>
            <w:r w:rsidRPr="007419AB">
              <w:rPr>
                <w:rFonts w:cs="Arial"/>
              </w:rPr>
              <w:t>(2011)</w:t>
            </w:r>
            <w:r>
              <w:t xml:space="preserve">; EQC </w:t>
            </w:r>
            <w:r w:rsidRPr="00501999">
              <w:rPr>
                <w:rFonts w:cs="Arial"/>
              </w:rPr>
              <w:t>(2011, 2012, 2013a, 2014a, 2014b)</w:t>
            </w:r>
            <w:r>
              <w:t xml:space="preserve">; NZOAG </w:t>
            </w:r>
            <w:r w:rsidRPr="004C59BA">
              <w:rPr>
                <w:rFonts w:cs="Arial"/>
              </w:rPr>
              <w:t>(2012)</w:t>
            </w:r>
            <w:r>
              <w:t>.</w:t>
            </w:r>
          </w:p>
        </w:tc>
      </w:tr>
      <w:tr w:rsidR="00DE1537" w14:paraId="0282BF22"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532661CC" w14:textId="77777777" w:rsidR="00DE1537" w:rsidRDefault="00DE1537" w:rsidP="00343F3E">
            <w:pPr>
              <w:pStyle w:val="Box"/>
              <w:spacing w:before="0" w:line="120" w:lineRule="exact"/>
            </w:pPr>
          </w:p>
        </w:tc>
      </w:tr>
      <w:tr w:rsidR="00DE1537" w:rsidRPr="000863A5" w14:paraId="12DE0A4F" w14:textId="77777777" w:rsidTr="00343F3E">
        <w:tc>
          <w:tcPr>
            <w:tcW w:w="8771" w:type="dxa"/>
            <w:tcBorders>
              <w:top w:val="single" w:sz="6" w:space="0" w:color="78A22F"/>
              <w:left w:val="nil"/>
              <w:bottom w:val="nil"/>
              <w:right w:val="nil"/>
            </w:tcBorders>
          </w:tcPr>
          <w:p w14:paraId="6CEB1DAB" w14:textId="77777777" w:rsidR="00DE1537" w:rsidRPr="00626D32" w:rsidRDefault="00DE1537" w:rsidP="00343F3E">
            <w:pPr>
              <w:pStyle w:val="BoxSpaceBelow"/>
            </w:pPr>
          </w:p>
        </w:tc>
      </w:tr>
    </w:tbl>
    <w:p w14:paraId="6B3E335E"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213D2AB6" w14:textId="77777777" w:rsidTr="00343F3E">
        <w:tc>
          <w:tcPr>
            <w:tcW w:w="8771" w:type="dxa"/>
            <w:tcBorders>
              <w:top w:val="single" w:sz="6" w:space="0" w:color="78A22F"/>
              <w:left w:val="nil"/>
              <w:bottom w:val="nil"/>
              <w:right w:val="nil"/>
            </w:tcBorders>
            <w:shd w:val="clear" w:color="auto" w:fill="F2F2F2" w:themeFill="background1" w:themeFillShade="F2"/>
          </w:tcPr>
          <w:p w14:paraId="4C457F9B" w14:textId="77777777" w:rsidR="00DE1537" w:rsidRDefault="00DE1537" w:rsidP="00343F3E">
            <w:pPr>
              <w:pStyle w:val="BoxTitle"/>
            </w:pPr>
            <w:r>
              <w:rPr>
                <w:b w:val="0"/>
              </w:rPr>
              <w:t>Box 8.</w:t>
            </w:r>
            <w:r>
              <w:rPr>
                <w:b w:val="0"/>
                <w:noProof/>
              </w:rPr>
              <w:t>7</w:t>
            </w:r>
            <w:r>
              <w:tab/>
              <w:t>Criticisms of the US National Flood Insurance Program</w:t>
            </w:r>
          </w:p>
        </w:tc>
      </w:tr>
      <w:tr w:rsidR="00DE1537" w14:paraId="4A58299D" w14:textId="77777777" w:rsidTr="00343F3E">
        <w:trPr>
          <w:cantSplit/>
        </w:trPr>
        <w:tc>
          <w:tcPr>
            <w:tcW w:w="8771" w:type="dxa"/>
            <w:tcBorders>
              <w:top w:val="nil"/>
              <w:left w:val="nil"/>
              <w:bottom w:val="nil"/>
              <w:right w:val="nil"/>
            </w:tcBorders>
            <w:shd w:val="clear" w:color="auto" w:fill="F2F2F2" w:themeFill="background1" w:themeFillShade="F2"/>
          </w:tcPr>
          <w:p w14:paraId="429C53F2" w14:textId="0F6B52E3" w:rsidR="00DE1537" w:rsidRDefault="00DE1537" w:rsidP="00343F3E">
            <w:pPr>
              <w:pStyle w:val="Box"/>
            </w:pPr>
            <w:r>
              <w:t xml:space="preserve">Several criticisms have been made of the United States’ National Flood Insurance Program (NFIP). Premiums are subsidised for some properties and so do not reflect the level of risk faced. Subsidies are generally directed at properties that were constructed prior to 1974 or before Flood Insurance Rate Maps were introduced in the area </w:t>
            </w:r>
            <w:r w:rsidRPr="00D1277F">
              <w:rPr>
                <w:szCs w:val="24"/>
              </w:rPr>
              <w:t>(King 2012)</w:t>
            </w:r>
            <w:r>
              <w:t xml:space="preserve">. Around 1 per cent of the properties insured under the NFIP have accounted for over a third of claims paid, and around 90 per cent of properties with subsidised premiums have been repeatedly damaged by floods </w:t>
            </w:r>
            <w:r w:rsidRPr="00D1277F">
              <w:rPr>
                <w:szCs w:val="24"/>
              </w:rPr>
              <w:t>(King 2012)</w:t>
            </w:r>
            <w:r>
              <w:t xml:space="preserve">. </w:t>
            </w:r>
          </w:p>
          <w:p w14:paraId="024D3DDD" w14:textId="0959E7B5" w:rsidR="00DE1537" w:rsidRDefault="00DE1537" w:rsidP="00343F3E">
            <w:pPr>
              <w:pStyle w:val="Box"/>
            </w:pPr>
            <w:r>
              <w:t>These subsidies are partly funded through cross</w:t>
            </w:r>
            <w:r>
              <w:noBreakHyphen/>
              <w:t>subsidisation with other properties. However, there is evidence of significant under</w:t>
            </w:r>
            <w:r>
              <w:noBreakHyphen/>
              <w:t>pricing across the board. One study found that premiums for high</w:t>
            </w:r>
            <w:r>
              <w:noBreakHyphen/>
              <w:t xml:space="preserve">risk properties have been equivalent to around 40 per cent of the actuarially fair rate </w:t>
            </w:r>
            <w:r w:rsidRPr="000973E6">
              <w:rPr>
                <w:szCs w:val="24"/>
              </w:rPr>
              <w:t>(Michel-Kerjan 2010)</w:t>
            </w:r>
            <w:r>
              <w:t>. Another estimated that premiums in high</w:t>
            </w:r>
            <w:r>
              <w:noBreakHyphen/>
              <w:t>risk areas are around one third of what would be charged by private insurance markets, and around half the market</w:t>
            </w:r>
            <w:r>
              <w:noBreakHyphen/>
              <w:t xml:space="preserve">equivalent rate over all insured properties </w:t>
            </w:r>
            <w:r w:rsidRPr="005A6E1F">
              <w:rPr>
                <w:rFonts w:cs="Arial"/>
                <w:szCs w:val="24"/>
              </w:rPr>
              <w:t>(PCIAA 2011)</w:t>
            </w:r>
            <w:r>
              <w:t>. This degree of under</w:t>
            </w:r>
            <w:r>
              <w:noBreakHyphen/>
              <w:t xml:space="preserve">pricing may be possible because the NFIP is not subject to the same regulatory arrangements as private insurers (such as prudential standards for capital reserves), is tax exempt, does not have to achieve a return on capital and does not utilise reinsurance </w:t>
            </w:r>
            <w:r w:rsidRPr="00800431">
              <w:rPr>
                <w:rFonts w:cs="Arial"/>
                <w:szCs w:val="24"/>
              </w:rPr>
              <w:t>(King 2013; PCIAA 2011)</w:t>
            </w:r>
            <w:r>
              <w:t>.</w:t>
            </w:r>
          </w:p>
          <w:p w14:paraId="684AFDAE" w14:textId="020570F7" w:rsidR="00DE1537" w:rsidRDefault="00DE1537" w:rsidP="00343F3E">
            <w:pPr>
              <w:pStyle w:val="Box"/>
            </w:pPr>
            <w:r>
              <w:t>Under</w:t>
            </w:r>
            <w:r>
              <w:noBreakHyphen/>
              <w:t>pricing can lead to moral hazard where the incentives of households to reduce their risk exposure are weakened. Many households insured under the NFIP do not face price signals indicating their true level of risk. Critics have blamed the subsidised premiums for leading to excessive development of flood</w:t>
            </w:r>
            <w:r>
              <w:noBreakHyphen/>
              <w:t xml:space="preserve">prone land </w:t>
            </w:r>
            <w:r w:rsidRPr="002111C7">
              <w:rPr>
                <w:rFonts w:cs="Arial"/>
                <w:szCs w:val="24"/>
              </w:rPr>
              <w:t>(King 2012)</w:t>
            </w:r>
            <w:r>
              <w:t xml:space="preserve">. Further distortions have arisen due to delays in updating and implementing new flood maps </w:t>
            </w:r>
            <w:r w:rsidRPr="00EB6C5A">
              <w:rPr>
                <w:rFonts w:cs="Arial"/>
                <w:szCs w:val="24"/>
              </w:rPr>
              <w:t>(King 2012, 2013)</w:t>
            </w:r>
            <w:r>
              <w:t>.</w:t>
            </w:r>
          </w:p>
          <w:p w14:paraId="1FF2F779" w14:textId="4BD6A0F1" w:rsidR="00DE1537" w:rsidRDefault="00DE1537" w:rsidP="00343F3E">
            <w:pPr>
              <w:pStyle w:val="Box"/>
            </w:pPr>
            <w:r>
              <w:t>Several measures have been put in place that could reduce the extent of moral hazard, but have had mixed results. Properties in designated high</w:t>
            </w:r>
            <w:r>
              <w:softHyphen/>
            </w:r>
            <w:r>
              <w:noBreakHyphen/>
              <w:t>risk areas (of 1</w:t>
            </w:r>
            <w:r>
              <w:noBreakHyphen/>
              <w:t>in</w:t>
            </w:r>
            <w:r>
              <w:noBreakHyphen/>
              <w:t xml:space="preserve">100 year flood risk or greater) are required to purchase flood insurance, even though many might otherwise choose to rely on federal disaster relief </w:t>
            </w:r>
            <w:r w:rsidRPr="0056244C">
              <w:rPr>
                <w:rFonts w:cs="Arial"/>
                <w:szCs w:val="24"/>
              </w:rPr>
              <w:t>(King 2013)</w:t>
            </w:r>
            <w:r>
              <w:t>. Local governments must implement certain land use zoning and building regulations in high</w:t>
            </w:r>
            <w:r>
              <w:noBreakHyphen/>
              <w:t xml:space="preserve">risk areas to participate in the NFIP, but these have not always been properly enforced </w:t>
            </w:r>
            <w:r w:rsidRPr="0056244C">
              <w:rPr>
                <w:rFonts w:cs="Arial"/>
                <w:szCs w:val="24"/>
              </w:rPr>
              <w:t>(King 2013)</w:t>
            </w:r>
            <w:r>
              <w:t>. In addition, the Federal Emergency Management Agency has used mitigation funding schemes (including voluntary buybacks) to reduce the risk to the highest</w:t>
            </w:r>
            <w:r>
              <w:noBreakHyphen/>
              <w:t xml:space="preserve">risk properties insured under the NFIP. </w:t>
            </w:r>
          </w:p>
          <w:p w14:paraId="470C9FB8" w14:textId="06901206" w:rsidR="00DE1537" w:rsidRDefault="00DE1537" w:rsidP="00343F3E">
            <w:pPr>
              <w:pStyle w:val="Box"/>
            </w:pPr>
            <w:r>
              <w:t xml:space="preserve">There have also been criticisms on equity grounds. </w:t>
            </w:r>
            <w:r w:rsidRPr="003E59D4">
              <w:t xml:space="preserve">One study has found that the benefits of the NFIP accrue largely to wealthy </w:t>
            </w:r>
            <w:r>
              <w:t>districts</w:t>
            </w:r>
            <w:r w:rsidRPr="003E59D4">
              <w:t xml:space="preserve"> and owners of holiday houses, whereas the costs are widely distributed</w:t>
            </w:r>
            <w:r>
              <w:t xml:space="preserve"> over</w:t>
            </w:r>
            <w:r w:rsidRPr="003E59D4">
              <w:t xml:space="preserve"> taxp</w:t>
            </w:r>
            <w:r>
              <w:t xml:space="preserve">ayers across the United States </w:t>
            </w:r>
            <w:r w:rsidRPr="001B4F7E">
              <w:rPr>
                <w:rFonts w:cs="Arial"/>
                <w:szCs w:val="24"/>
              </w:rPr>
              <w:t>(Holladay and Schwartz 2010)</w:t>
            </w:r>
            <w:r>
              <w:t>.</w:t>
            </w:r>
          </w:p>
        </w:tc>
      </w:tr>
      <w:tr w:rsidR="00DE1537" w14:paraId="6A8FAF21"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334148B9" w14:textId="77777777" w:rsidR="00DE1537" w:rsidRDefault="00DE1537" w:rsidP="00343F3E">
            <w:pPr>
              <w:pStyle w:val="Box"/>
              <w:spacing w:before="0" w:line="120" w:lineRule="exact"/>
            </w:pPr>
          </w:p>
        </w:tc>
      </w:tr>
      <w:tr w:rsidR="00DE1537" w:rsidRPr="000863A5" w14:paraId="69FE80AE" w14:textId="77777777" w:rsidTr="00343F3E">
        <w:tc>
          <w:tcPr>
            <w:tcW w:w="8771" w:type="dxa"/>
            <w:tcBorders>
              <w:top w:val="single" w:sz="6" w:space="0" w:color="78A22F"/>
              <w:left w:val="nil"/>
              <w:bottom w:val="nil"/>
              <w:right w:val="nil"/>
            </w:tcBorders>
          </w:tcPr>
          <w:p w14:paraId="253E8199" w14:textId="77777777" w:rsidR="00DE1537" w:rsidRPr="00626D32" w:rsidRDefault="00DE1537" w:rsidP="00343F3E">
            <w:pPr>
              <w:pStyle w:val="BoxSpaceBelow"/>
            </w:pPr>
          </w:p>
        </w:tc>
      </w:tr>
    </w:tbl>
    <w:p w14:paraId="639B7298" w14:textId="77777777" w:rsidR="00DE1537" w:rsidRDefault="00DE1537" w:rsidP="00343F3E">
      <w:pPr>
        <w:pStyle w:val="Heading4"/>
      </w:pPr>
      <w:r>
        <w:t>Take</w:t>
      </w:r>
      <w:r>
        <w:noBreakHyphen/>
        <w:t>up rates</w:t>
      </w:r>
    </w:p>
    <w:p w14:paraId="5D8813D3" w14:textId="77777777" w:rsidR="00DE1537" w:rsidRDefault="00DE1537" w:rsidP="00343F3E">
      <w:pPr>
        <w:pStyle w:val="BodyText"/>
      </w:pPr>
      <w:r>
        <w:t>A further challenge has been the take</w:t>
      </w:r>
      <w:r>
        <w:noBreakHyphen/>
        <w:t xml:space="preserve">up of insurance. Expectations of government assistance after a natural disaster can reduce participation in insurance schemes, even when they are explicitly or implicitly subsidised by governments. This limits the potential of these schemes </w:t>
      </w:r>
      <w:r w:rsidRPr="007A30D0">
        <w:t>to reduce calls on government budgets following a natural disaster.</w:t>
      </w:r>
    </w:p>
    <w:p w14:paraId="486D60FD" w14:textId="68F6A27D" w:rsidR="00DE1537" w:rsidRDefault="00DE1537" w:rsidP="00343F3E">
      <w:pPr>
        <w:pStyle w:val="BodyText"/>
      </w:pPr>
      <w:r>
        <w:t xml:space="preserve">For example, in the United States, there is evidence that areas with high uptake of flood insurance through the NFIP receive similar levels of federal disaster assistance to areas with low uptake </w:t>
      </w:r>
      <w:r w:rsidRPr="0087186D">
        <w:rPr>
          <w:szCs w:val="24"/>
        </w:rPr>
        <w:t>(Huber 2012)</w:t>
      </w:r>
      <w:r>
        <w:t xml:space="preserve">, suggesting that property owners that do not take out flood insurance may instead rely on federal disaster relief. Although banks and other lenders </w:t>
      </w:r>
      <w:r>
        <w:lastRenderedPageBreak/>
        <w:t>require residential mortgage holders to take out flood insurance in many countries, this is not always well enforced. One estimate suggests that as few as 15 per cent of properties in some high</w:t>
      </w:r>
      <w:r>
        <w:noBreakHyphen/>
        <w:t xml:space="preserve">risk areas of the United States have flood insurance </w:t>
      </w:r>
      <w:r w:rsidRPr="004A739E">
        <w:t>(King 2013)</w:t>
      </w:r>
      <w:r w:rsidRPr="004B6254">
        <w:t>.</w:t>
      </w:r>
    </w:p>
    <w:p w14:paraId="272EB3DC" w14:textId="4474BFE1" w:rsidR="00DE1537" w:rsidRDefault="00DE1537" w:rsidP="00343F3E">
      <w:pPr>
        <w:pStyle w:val="BodyText"/>
      </w:pPr>
      <w:r>
        <w:t>In other countries, such as Japan and Turkey, take</w:t>
      </w:r>
      <w:r>
        <w:noBreakHyphen/>
        <w:t>up rates of government</w:t>
      </w:r>
      <w:r>
        <w:noBreakHyphen/>
        <w:t xml:space="preserve">backed earthquake cover have been low (around 46 per cent and 20 per cent for residential properties, respectively) </w:t>
      </w:r>
      <w:r w:rsidR="007C5656" w:rsidRPr="007C5656">
        <w:rPr>
          <w:szCs w:val="24"/>
        </w:rPr>
        <w:t>(Phaup and Kirschner 2010; Swiss Re 2011b)</w:t>
      </w:r>
      <w:r>
        <w:t xml:space="preserve">. By comparison, the earthquake insurance scheme in New Zealand is generally seen as being more successful, covering around 95 per cent of properties </w:t>
      </w:r>
      <w:r w:rsidRPr="00373584">
        <w:rPr>
          <w:szCs w:val="24"/>
        </w:rPr>
        <w:t>(Government of New Zealand 2013)</w:t>
      </w:r>
      <w:r>
        <w:t>, even though the cover provided is only partial (table 8.3). This could partly reflect stronger enforcement of insurance requirements by mortgage lenders.</w:t>
      </w:r>
    </w:p>
    <w:p w14:paraId="45B6D29E" w14:textId="77777777" w:rsidR="00DE1537" w:rsidRDefault="00DE1537" w:rsidP="00343F3E">
      <w:pPr>
        <w:pStyle w:val="Heading4"/>
      </w:pPr>
      <w:r>
        <w:t>Private</w:t>
      </w:r>
      <w:r>
        <w:softHyphen/>
      </w:r>
      <w:r>
        <w:noBreakHyphen/>
        <w:t>sector provision</w:t>
      </w:r>
    </w:p>
    <w:p w14:paraId="11BACD1F" w14:textId="186CEAA5" w:rsidR="00DE1537" w:rsidRDefault="00DE1537" w:rsidP="00343F3E">
      <w:pPr>
        <w:pStyle w:val="BodyText"/>
      </w:pPr>
      <w:r>
        <w:t>Another problem with government</w:t>
      </w:r>
      <w:r>
        <w:noBreakHyphen/>
        <w:t xml:space="preserve">backed schemes is that they can crowd out provision of insurance by the private market. For example, Kousky </w:t>
      </w:r>
      <w:r w:rsidRPr="00F672E4">
        <w:t>(2010)</w:t>
      </w:r>
      <w:r>
        <w:t xml:space="preserve"> provided evidence that state</w:t>
      </w:r>
      <w:r>
        <w:noBreakHyphen/>
        <w:t xml:space="preserve">based insurance schemes in the United States have crowded out private provision, and others have pointed to the potential for a greater role for private markets in flood insurance nationally </w:t>
      </w:r>
      <w:r w:rsidRPr="007B4700">
        <w:rPr>
          <w:szCs w:val="24"/>
        </w:rPr>
        <w:t>(King 2012)</w:t>
      </w:r>
      <w:r>
        <w:t xml:space="preserve">. In the United Kingdom, the government is establishing a flood reinsurance scheme even though flood insurance has generally been widely available </w:t>
      </w:r>
      <w:r w:rsidRPr="00716E00">
        <w:rPr>
          <w:szCs w:val="24"/>
        </w:rPr>
        <w:t>(UKDEFRA 2014)</w:t>
      </w:r>
      <w:r>
        <w:t>. Some inquiry participants indicated that New Zealand’s Earthquake Commission does not need to cover household contents for earthquake damage because the private market would be able and willing to offer such insurance. The potential for crowding out is also indicated by the availability of top</w:t>
      </w:r>
      <w:r>
        <w:noBreakHyphen/>
        <w:t>up cover (in addition to that covered by the government scheme) in some insurance markets, including earthquake cover in New Zealand and flood cover in the United States.</w:t>
      </w:r>
    </w:p>
    <w:p w14:paraId="465BC9F2" w14:textId="77777777" w:rsidR="00DE1537" w:rsidRDefault="00DE1537" w:rsidP="00343F3E">
      <w:pPr>
        <w:pStyle w:val="Heading3"/>
      </w:pPr>
      <w:r>
        <w:t>Reforms</w:t>
      </w:r>
    </w:p>
    <w:p w14:paraId="4A5F1EC8" w14:textId="77777777" w:rsidR="00DE1537" w:rsidRDefault="00DE1537" w:rsidP="00343F3E">
      <w:pPr>
        <w:pStyle w:val="BodyText"/>
      </w:pPr>
      <w:r>
        <w:t>The above challenges have led to some governments implementing reforms in recent years.</w:t>
      </w:r>
    </w:p>
    <w:p w14:paraId="3E2CBEA4" w14:textId="28A42685" w:rsidR="00DE1537" w:rsidRDefault="00DE1537" w:rsidP="00343F3E">
      <w:pPr>
        <w:pStyle w:val="ListBullet"/>
      </w:pPr>
      <w:r>
        <w:t xml:space="preserve">In the United States, legislative changes in 2012 required the NFIP to increase annual premiums and phase out subsidised rates to facilitate a transition towards full actuarial premiums, as well as to update flood maps and investigate reinsurance options for the scheme </w:t>
      </w:r>
      <w:r w:rsidRPr="009770B0">
        <w:rPr>
          <w:szCs w:val="24"/>
        </w:rPr>
        <w:t>(FEMA</w:t>
      </w:r>
      <w:r w:rsidRPr="00E312A5">
        <w:rPr>
          <w:szCs w:val="24"/>
        </w:rPr>
        <w:t> 2014b; King </w:t>
      </w:r>
      <w:r w:rsidRPr="009770B0">
        <w:rPr>
          <w:szCs w:val="24"/>
        </w:rPr>
        <w:t>2013)</w:t>
      </w:r>
      <w:r>
        <w:t xml:space="preserve">. However, further reforms to the NFIP in 2014 placed limits on premium increases and levied an annual surcharge on all policyholders to improve the scheme’s fiscal soundness </w:t>
      </w:r>
      <w:r w:rsidRPr="009770B0">
        <w:rPr>
          <w:szCs w:val="24"/>
        </w:rPr>
        <w:t>(FEMA</w:t>
      </w:r>
      <w:r w:rsidRPr="00E312A5">
        <w:rPr>
          <w:szCs w:val="24"/>
        </w:rPr>
        <w:t> 2014b)</w:t>
      </w:r>
      <w:r>
        <w:t>.</w:t>
      </w:r>
    </w:p>
    <w:p w14:paraId="559A6734" w14:textId="77777777" w:rsidR="00DE1537" w:rsidRDefault="00DE1537" w:rsidP="00343F3E">
      <w:pPr>
        <w:pStyle w:val="ListBullet"/>
      </w:pPr>
      <w:r>
        <w:t>In New Zealand, the government has initiated a substantive review of its earthquake insurance arrangements. It also tripled premiums shortly after the Canterbury earthquakes occurred, from NZ5 cents per NZ$100 of the sum insured value to NZ15 cents. This was done to provide additional income to its Earthquake Commission, to allow the pool of funds to be rebuilt, and to reduce any amount the government would have to pay through its guarantee (box 8.6).</w:t>
      </w:r>
    </w:p>
    <w:p w14:paraId="1F7616A0" w14:textId="77777777" w:rsidR="00DE1537" w:rsidRDefault="00DE1537" w:rsidP="00343F3E">
      <w:pPr>
        <w:pStyle w:val="ListBullet"/>
      </w:pPr>
      <w:r>
        <w:lastRenderedPageBreak/>
        <w:t>In France, reforms have been considered (but not yet implemented)</w:t>
      </w:r>
      <w:r w:rsidRPr="002C5323">
        <w:t xml:space="preserve"> </w:t>
      </w:r>
      <w:r>
        <w:t xml:space="preserve">to allow the </w:t>
      </w:r>
      <w:r w:rsidRPr="002C5323">
        <w:t xml:space="preserve">Caisse Centrale de Réassurance </w:t>
      </w:r>
      <w:r>
        <w:t>to adopt a degree of risk</w:t>
      </w:r>
      <w:r>
        <w:noBreakHyphen/>
        <w:t>based pricing, but only for some businesses and local authorities (</w:t>
      </w:r>
      <w:r w:rsidRPr="000A1C50">
        <w:t>Catastrophes Naturelle en France</w:t>
      </w:r>
      <w:r>
        <w:t>, pers. comm., 11 September 2014).</w:t>
      </w:r>
    </w:p>
    <w:p w14:paraId="104EBEB6" w14:textId="77777777" w:rsidR="00DE1537" w:rsidRDefault="00DE1537" w:rsidP="00343F3E">
      <w:pPr>
        <w:pStyle w:val="BodyText"/>
      </w:pPr>
      <w:r>
        <w:t>In summary, international experience reveals significant disadvantages to government provision or underwriting of natural disaster insurance for private property. These schemes have often failed to meet the objectives they were originally set up to achieve. Reducing or capping premiums can weaken the price signals that insurance sends people about the risks they face, and therefore discourage mitigation. It can also crowd out private initiatives. Moreover, government</w:t>
      </w:r>
      <w:r>
        <w:noBreakHyphen/>
        <w:t>backed insurance schemes are not always successful at reducing calls on government budgets after a natural disaster. And on a number of occasions governments have had to bail out their schemes because they failed to accumulate sufficient reserves to pay claims or did not have adequate reinsurance.</w:t>
      </w:r>
    </w:p>
    <w:p w14:paraId="37F703A4" w14:textId="77777777" w:rsidR="00DE1537" w:rsidRDefault="00DE1537" w:rsidP="00343F3E">
      <w:pPr>
        <w:pStyle w:val="Heading2"/>
      </w:pPr>
      <w:bookmarkStart w:id="91" w:name="_Toc406424360"/>
      <w:r>
        <w:t>8.</w:t>
      </w:r>
      <w:r>
        <w:rPr>
          <w:noProof/>
        </w:rPr>
        <w:t>5</w:t>
      </w:r>
      <w:r>
        <w:tab/>
        <w:t>Fiscal management of natural disasters</w:t>
      </w:r>
      <w:bookmarkEnd w:id="91"/>
    </w:p>
    <w:p w14:paraId="1A5374E9" w14:textId="2B09A436" w:rsidR="00DE1537" w:rsidRDefault="00DE1537" w:rsidP="00343F3E">
      <w:pPr>
        <w:pStyle w:val="BodyText"/>
      </w:pPr>
      <w:r>
        <w:t xml:space="preserve">Governments around the world have implemented a range of measures to manage the fiscal risks that natural disasters pose to their budgets and balance sheets. These risks arise from governments’ contingent liabilities to repair damaged infrastructure and/or provide assistance to households and businesses, whether through explicit funding arrangements (such as between national and subnational governments) or implicitly through expectations of government support following a disaster </w:t>
      </w:r>
      <w:r w:rsidRPr="00F37AB2">
        <w:rPr>
          <w:szCs w:val="24"/>
        </w:rPr>
        <w:t>(OECD 2013a)</w:t>
      </w:r>
      <w:r>
        <w:t>.</w:t>
      </w:r>
    </w:p>
    <w:p w14:paraId="0EB8C951" w14:textId="77777777" w:rsidR="00DE1537" w:rsidRDefault="00DE1537" w:rsidP="00343F3E">
      <w:pPr>
        <w:pStyle w:val="BodyText"/>
      </w:pPr>
      <w:r>
        <w:t xml:space="preserve">Broadly speaking, </w:t>
      </w:r>
      <w:r w:rsidRPr="00A327DB">
        <w:t>governments use ex</w:t>
      </w:r>
      <w:r w:rsidRPr="00A327DB">
        <w:noBreakHyphen/>
        <w:t>ante measures (such as</w:t>
      </w:r>
      <w:r>
        <w:t xml:space="preserve"> drawing on</w:t>
      </w:r>
      <w:r w:rsidRPr="00A327DB">
        <w:t xml:space="preserve"> reserve funds and insurance) or ex</w:t>
      </w:r>
      <w:r w:rsidRPr="00A327DB">
        <w:noBreakHyphen/>
        <w:t>post measures (obtaining funds after a disaster occurs) to finance natural disaster costs. The advantages and</w:t>
      </w:r>
      <w:r>
        <w:t xml:space="preserve"> disadvantages of the available options are explored in supplementary paper 3.</w:t>
      </w:r>
    </w:p>
    <w:p w14:paraId="620FE484" w14:textId="77777777" w:rsidR="00DE1537" w:rsidRPr="002C3353" w:rsidRDefault="00DE1537" w:rsidP="00343F3E">
      <w:pPr>
        <w:pStyle w:val="Heading3"/>
      </w:pPr>
      <w:r>
        <w:t>Ex</w:t>
      </w:r>
      <w:r>
        <w:noBreakHyphen/>
        <w:t>ante financing</w:t>
      </w:r>
    </w:p>
    <w:p w14:paraId="16BE8FB8" w14:textId="77777777" w:rsidR="00DE1537" w:rsidRDefault="00DE1537" w:rsidP="00343F3E">
      <w:pPr>
        <w:pStyle w:val="BodyText"/>
      </w:pPr>
      <w:r>
        <w:t>Some countries have established national contingency funds to finance the costs of future natural disasters.</w:t>
      </w:r>
    </w:p>
    <w:p w14:paraId="279C51AC" w14:textId="388257D7" w:rsidR="00DE1537" w:rsidRDefault="00DE1537" w:rsidP="00343F3E">
      <w:pPr>
        <w:pStyle w:val="ListBullet"/>
      </w:pPr>
      <w:r>
        <w:t>The Mexican Government established the Fund for Natural Disasters, known as FONDEN, to provide finance for federal and state government losses from natural disasters. The fund mainly covers the reconstruction of damaged public infrastructure (including roads), and provides support for reconstructing low</w:t>
      </w:r>
      <w:r>
        <w:noBreakHyphen/>
        <w:t xml:space="preserve">income housing and restoring forests and natural environments </w:t>
      </w:r>
      <w:r w:rsidRPr="00D45AD6">
        <w:rPr>
          <w:szCs w:val="24"/>
        </w:rPr>
        <w:t>(OECD</w:t>
      </w:r>
      <w:r w:rsidRPr="00A8537A">
        <w:rPr>
          <w:szCs w:val="24"/>
        </w:rPr>
        <w:t> 2013c)</w:t>
      </w:r>
      <w:r>
        <w:t>.</w:t>
      </w:r>
    </w:p>
    <w:p w14:paraId="32F6066E" w14:textId="6D3A295D" w:rsidR="00DE1537" w:rsidRDefault="00DE1537" w:rsidP="00343F3E">
      <w:pPr>
        <w:pStyle w:val="ListBullet"/>
      </w:pPr>
      <w:r>
        <w:t xml:space="preserve">The Austrian Government established a Catastrophe Fund to finance the damages incurred by public bodies from disruptive shocks. It is funded by a combination of income, capital and corporate taxes. Around three quarters of the fund is used to finance protective measures </w:t>
      </w:r>
      <w:r w:rsidRPr="00462788">
        <w:rPr>
          <w:szCs w:val="24"/>
        </w:rPr>
        <w:t>(OECD 2014)</w:t>
      </w:r>
      <w:r>
        <w:t>.</w:t>
      </w:r>
    </w:p>
    <w:p w14:paraId="236186B9" w14:textId="6534663B" w:rsidR="00DE1537" w:rsidRDefault="00DE1537" w:rsidP="00343F3E">
      <w:pPr>
        <w:pStyle w:val="ListBullet"/>
      </w:pPr>
      <w:r>
        <w:lastRenderedPageBreak/>
        <w:t xml:space="preserve">The European Union Solidarity Fund provides assistance of last resort to EU member countries where the damage from a large emergency exceeds €3 billion or 0.6 per cent of a country’s gross national income, whichever is smaller. It recently provided €360.5 million to Germany following floods in May 2013 </w:t>
      </w:r>
      <w:r w:rsidRPr="00CC4202">
        <w:rPr>
          <w:szCs w:val="24"/>
        </w:rPr>
        <w:t>(European Commission 2014)</w:t>
      </w:r>
      <w:r>
        <w:t xml:space="preserve">. </w:t>
      </w:r>
    </w:p>
    <w:p w14:paraId="6F7A3C19" w14:textId="37B15716" w:rsidR="00DE1537" w:rsidRDefault="00DE1537" w:rsidP="00343F3E">
      <w:pPr>
        <w:pStyle w:val="ListBullet"/>
      </w:pPr>
      <w:r>
        <w:t xml:space="preserve">The Government of Japan has a contingency reserve within its budget to fund disaster relief. This is usually set at around ¥350 billion each year </w:t>
      </w:r>
      <w:r w:rsidRPr="00827DE1">
        <w:rPr>
          <w:szCs w:val="24"/>
        </w:rPr>
        <w:t>(Phaup and Kirschner 2010)</w:t>
      </w:r>
      <w:r>
        <w:t>.</w:t>
      </w:r>
    </w:p>
    <w:p w14:paraId="3F608391" w14:textId="77777777" w:rsidR="00DE1537" w:rsidRDefault="00DE1537" w:rsidP="00343F3E">
      <w:pPr>
        <w:pStyle w:val="ListBullet"/>
      </w:pPr>
      <w:r w:rsidRPr="006C4830">
        <w:t xml:space="preserve">In the United States, the federal government </w:t>
      </w:r>
      <w:r>
        <w:t xml:space="preserve">makes a budgetary allowance for natural disaster funding each year, which acts as a ceiling on discretionary expenditure. Spending in excess of this amount requires separate appropriation by Congress (as discussed below). </w:t>
      </w:r>
    </w:p>
    <w:p w14:paraId="74A42E82" w14:textId="77777777" w:rsidR="00DE1537" w:rsidRDefault="00DE1537" w:rsidP="00343F3E">
      <w:pPr>
        <w:pStyle w:val="BodyText"/>
      </w:pPr>
      <w:r>
        <w:t xml:space="preserve">Other countries have opted to use forms of parametric insurance to manage their natural disaster risks. This involves contracts under which a predetermined sum of money is paid upon the activation of a trigger, such as the magnitude of an earthquake (as opposed to indemnity contracts, where payouts are based on an assessment of the loss). Such contracts are generally purchased on international capital markets. </w:t>
      </w:r>
    </w:p>
    <w:p w14:paraId="59993373" w14:textId="4FEBC651" w:rsidR="00DE1537" w:rsidRDefault="00DE1537" w:rsidP="00343F3E">
      <w:pPr>
        <w:pStyle w:val="ListBullet"/>
      </w:pPr>
      <w:r>
        <w:t xml:space="preserve">Mexico was one of the first countries to issue a catastrophe bond (in 2006), which it has renewed several times. Its current bond provides cover of around US$312 million, based </w:t>
      </w:r>
      <w:r w:rsidRPr="008A0E00">
        <w:rPr>
          <w:rStyle w:val="BodyTextChar"/>
        </w:rPr>
        <w:t>on parametric triggers including earthquake magnitude and maximum hurricane speed (OECD 2014). This</w:t>
      </w:r>
      <w:r>
        <w:t xml:space="preserve"> reinsurance is used to back the FONDEN.</w:t>
      </w:r>
    </w:p>
    <w:p w14:paraId="6557B724" w14:textId="77777777" w:rsidR="00DE1537" w:rsidRDefault="00DE1537" w:rsidP="00343F3E">
      <w:pPr>
        <w:pStyle w:val="ListBullet"/>
      </w:pPr>
      <w:r>
        <w:t>Some US state governments have purchased parametric products, mainly for hurricane (Swiss Re, sub. DR219), although there is only a small number of examples.</w:t>
      </w:r>
    </w:p>
    <w:p w14:paraId="7119BD49" w14:textId="35D8AB07" w:rsidR="00DE1537" w:rsidRDefault="00DE1537" w:rsidP="00343F3E">
      <w:pPr>
        <w:pStyle w:val="ListBullet"/>
      </w:pPr>
      <w:r>
        <w:t>Several small countries have sought to collectively purchase parametric insurance on the global market as a way to overcome short</w:t>
      </w:r>
      <w:r>
        <w:noBreakHyphen/>
        <w:t xml:space="preserve">term liquidity problems and maintain essential services following a natural disaster. Examples include the Caribbean Catastrophe Risk Insurance Facility, Pacific Disaster Risk Financing and Insurance Program, and the African Risk Capacity </w:t>
      </w:r>
      <w:r w:rsidRPr="009858BA">
        <w:rPr>
          <w:szCs w:val="24"/>
        </w:rPr>
        <w:t>(OECD 2013c; Swiss Re, sub. DR219)</w:t>
      </w:r>
      <w:r>
        <w:t>.</w:t>
      </w:r>
    </w:p>
    <w:p w14:paraId="037F983A" w14:textId="77777777" w:rsidR="00DE1537" w:rsidRDefault="00DE1537" w:rsidP="00343F3E">
      <w:pPr>
        <w:pStyle w:val="BodyText"/>
      </w:pPr>
      <w:r>
        <w:t>However, parametric reinsurance has not been widely used, and where it has been used this has mainly been by developing countries. This is potentially due to its cost or uncertainty about whether payouts would be sufficient to cover recovery costs. Parametric insurance is discussed further in supplementary paper 5.</w:t>
      </w:r>
    </w:p>
    <w:p w14:paraId="50FFA28A" w14:textId="0EB43470" w:rsidR="00DE1537" w:rsidRDefault="00DE1537" w:rsidP="00343F3E">
      <w:pPr>
        <w:pStyle w:val="BodyText"/>
      </w:pPr>
      <w:r w:rsidRPr="00A327DB">
        <w:softHyphen/>
        <w:t>Ex</w:t>
      </w:r>
      <w:r w:rsidRPr="00A327DB">
        <w:noBreakHyphen/>
        <w:t xml:space="preserve">ante </w:t>
      </w:r>
      <w:r>
        <w:t xml:space="preserve">financing tends to be used in countries that may not be able to rapidly borrow large sums of money from global capital markets in the event of a disaster, or that are small and may not be able to diversify natural disaster risks (either geographically or over the population) </w:t>
      </w:r>
      <w:r w:rsidRPr="00005759">
        <w:rPr>
          <w:szCs w:val="24"/>
        </w:rPr>
        <w:t>(Phaup and Kirschner 2010)</w:t>
      </w:r>
      <w:r>
        <w:t xml:space="preserve">. These approaches have also been used where potential costs of a natural disaster could be concentrated and large relative to GDP, such as in Japan and Mexico, for which the largest cities (Tokyo and Mexico City) face high earthquake risk. In the case of Mexico, however, funds proved not to be sufficient </w:t>
      </w:r>
      <w:r w:rsidRPr="00AC4C9F">
        <w:t xml:space="preserve">in 2005 when the country experienced a succession of hurricanes </w:t>
      </w:r>
      <w:r w:rsidRPr="004A739E">
        <w:t>(de la Fuente 2010)</w:t>
      </w:r>
      <w:r w:rsidRPr="00AC4C9F">
        <w:t>.</w:t>
      </w:r>
    </w:p>
    <w:p w14:paraId="7A0B6E2F" w14:textId="77777777" w:rsidR="00DE1537" w:rsidRDefault="00DE1537" w:rsidP="00343F3E">
      <w:pPr>
        <w:pStyle w:val="Heading3"/>
      </w:pPr>
      <w:r>
        <w:lastRenderedPageBreak/>
        <w:t>Ex</w:t>
      </w:r>
      <w:r>
        <w:noBreakHyphen/>
        <w:t>post financing</w:t>
      </w:r>
    </w:p>
    <w:p w14:paraId="238EEA0D" w14:textId="77777777" w:rsidR="00DE1537" w:rsidRPr="00946514" w:rsidRDefault="00DE1537" w:rsidP="00343F3E">
      <w:pPr>
        <w:pStyle w:val="BodyText"/>
      </w:pPr>
      <w:r w:rsidRPr="00946514">
        <w:t>Other national governments largely rely on ex</w:t>
      </w:r>
      <w:r w:rsidRPr="00946514">
        <w:noBreakHyphen/>
        <w:t>post financing in the event of a natural disaster, such as by reallocating budget expenditures, raising taxes, imposing special levies or borrowing from capital markets. This is generally the case in the United Kingdom and Canada, both of which have good access to international capital markets.</w:t>
      </w:r>
    </w:p>
    <w:p w14:paraId="3CB5BAA2" w14:textId="1D77D227" w:rsidR="00DE1537" w:rsidRPr="00946514" w:rsidRDefault="00DE1537" w:rsidP="00343F3E">
      <w:pPr>
        <w:pStyle w:val="BodyText"/>
      </w:pPr>
      <w:r w:rsidRPr="00946514">
        <w:t>It is also partly the case in the United States, where</w:t>
      </w:r>
      <w:r>
        <w:t xml:space="preserve"> a combination of ex</w:t>
      </w:r>
      <w:r>
        <w:noBreakHyphen/>
        <w:t>ante and ex</w:t>
      </w:r>
      <w:r>
        <w:noBreakHyphen/>
        <w:t>post approaches is used. F</w:t>
      </w:r>
      <w:r w:rsidRPr="00946514">
        <w:t xml:space="preserve">ederal government recovery costs are funded in the first instance by reserves kept in a Disaster Relief Fund (which is replenished through annual appropriations), with supplementary appropriations when significant natural disasters occur </w:t>
      </w:r>
      <w:r w:rsidRPr="00946514">
        <w:rPr>
          <w:szCs w:val="24"/>
        </w:rPr>
        <w:t>(Lindsay 2012)</w:t>
      </w:r>
      <w:r w:rsidRPr="00946514">
        <w:t xml:space="preserve">. For example, US$6 billion has been set aside for the </w:t>
      </w:r>
      <w:r>
        <w:t>f</w:t>
      </w:r>
      <w:r w:rsidRPr="00946514">
        <w:t>und in 2015, based on the ten</w:t>
      </w:r>
      <w:r>
        <w:noBreakHyphen/>
      </w:r>
      <w:r w:rsidRPr="00946514">
        <w:t>year average cost of non</w:t>
      </w:r>
      <w:r w:rsidRPr="00946514">
        <w:noBreakHyphen/>
        <w:t xml:space="preserve">catastrophic events plus a margin for uncertainty </w:t>
      </w:r>
      <w:r w:rsidRPr="00946514">
        <w:rPr>
          <w:szCs w:val="24"/>
        </w:rPr>
        <w:t>(OMB 2014a, 2014b)</w:t>
      </w:r>
      <w:r w:rsidRPr="00946514">
        <w:t xml:space="preserve">. However, annual appropriations have been considerably smaller than supplementary ones in past years. In the ten years to 2014, total budgetary appropriations to the fund averaged around US$12 billion, with annual appropriations averaging US$3.2 billion and supplemental appropriations averaging US$9.7 billion each year </w:t>
      </w:r>
      <w:r w:rsidRPr="00946514">
        <w:rPr>
          <w:szCs w:val="24"/>
        </w:rPr>
        <w:t>(Lindsay 2014)</w:t>
      </w:r>
      <w:r w:rsidRPr="00946514">
        <w:t>.</w:t>
      </w:r>
    </w:p>
    <w:p w14:paraId="22C59E63" w14:textId="10FE7BF6" w:rsidR="00DE1537" w:rsidRPr="00946514" w:rsidRDefault="00DE1537" w:rsidP="00343F3E">
      <w:pPr>
        <w:pStyle w:val="BodyText"/>
      </w:pPr>
      <w:r w:rsidRPr="00946514">
        <w:t>Ex</w:t>
      </w:r>
      <w:r w:rsidRPr="00946514">
        <w:noBreakHyphen/>
        <w:t>post financing tends to be used in large developed economies where</w:t>
      </w:r>
      <w:r>
        <w:t xml:space="preserve"> the opportunity costs of</w:t>
      </w:r>
      <w:r w:rsidRPr="00946514">
        <w:t xml:space="preserve"> setting aside funds </w:t>
      </w:r>
      <w:r w:rsidRPr="00946514">
        <w:softHyphen/>
        <w:t xml:space="preserve">ex ante may be considered to </w:t>
      </w:r>
      <w:r>
        <w:t>be too high</w:t>
      </w:r>
      <w:r w:rsidRPr="00946514">
        <w:t xml:space="preserve"> </w:t>
      </w:r>
      <w:r w:rsidRPr="00946514">
        <w:rPr>
          <w:szCs w:val="24"/>
        </w:rPr>
        <w:t>(Phaup and Kirschner 2010)</w:t>
      </w:r>
      <w:r w:rsidRPr="00946514">
        <w:t xml:space="preserve">. </w:t>
      </w:r>
      <w:r>
        <w:t>It is also used</w:t>
      </w:r>
      <w:r w:rsidRPr="00946514">
        <w:t xml:space="preserve"> where the losses from natural disasters tend to be small relative to GDP, and where n</w:t>
      </w:r>
      <w:r>
        <w:t>ational governments can diversif</w:t>
      </w:r>
      <w:r w:rsidRPr="00946514">
        <w:t xml:space="preserve">y risks to their balance sheets over a large population and quickly obtain funds if required. For these reasons, many national governments have not taken out commercial insurance for the property they own (although their subnational governments have often done so) </w:t>
      </w:r>
      <w:r w:rsidR="007C5656" w:rsidRPr="007C5656">
        <w:rPr>
          <w:szCs w:val="24"/>
        </w:rPr>
        <w:t>(Swiss Re 2011b)</w:t>
      </w:r>
      <w:r w:rsidRPr="00946514">
        <w:t>.</w:t>
      </w:r>
    </w:p>
    <w:p w14:paraId="125A0506" w14:textId="77777777" w:rsidR="00DE1537" w:rsidRPr="00946514" w:rsidRDefault="00DE1537" w:rsidP="00343F3E">
      <w:pPr>
        <w:pStyle w:val="BodyText"/>
      </w:pPr>
      <w:r w:rsidRPr="00946514">
        <w:t>In summary, different approaches to financing natural disaster recovery costs to some extent reflect differences in national circumstances. Ex</w:t>
      </w:r>
      <w:r w:rsidRPr="00946514">
        <w:noBreakHyphen/>
        <w:t>ante financing tends to be more common among countries where natural disasters are likely to impose high costs relative to GDP and risks are difficult to diversify. Ex</w:t>
      </w:r>
      <w:r w:rsidRPr="00946514">
        <w:noBreakHyphen/>
        <w:t xml:space="preserve">post approaches are </w:t>
      </w:r>
      <w:r>
        <w:t>common among</w:t>
      </w:r>
      <w:r w:rsidRPr="00946514">
        <w:t xml:space="preserve"> larger countries, especially where risks have a very low probability and it </w:t>
      </w:r>
      <w:r>
        <w:t>is considered</w:t>
      </w:r>
      <w:r w:rsidRPr="00946514">
        <w:t xml:space="preserve"> more cost</w:t>
      </w:r>
      <w:r>
        <w:t xml:space="preserve"> </w:t>
      </w:r>
      <w:r w:rsidRPr="00946514">
        <w:t>effective to finance these risks after they are realised.</w:t>
      </w:r>
    </w:p>
    <w:p w14:paraId="227F6E7B" w14:textId="77777777" w:rsidR="00DE1537" w:rsidRDefault="00DE1537" w:rsidP="00343F3E">
      <w:pPr>
        <w:pStyle w:val="Heading2"/>
      </w:pPr>
      <w:bookmarkStart w:id="92" w:name="_Toc406424361"/>
      <w:r>
        <w:t>8.</w:t>
      </w:r>
      <w:r>
        <w:rPr>
          <w:noProof/>
        </w:rPr>
        <w:t>6</w:t>
      </w:r>
      <w:r>
        <w:tab/>
        <w:t>Natural disaster information provision</w:t>
      </w:r>
      <w:bookmarkEnd w:id="92"/>
    </w:p>
    <w:p w14:paraId="0DBE1A1C" w14:textId="77777777" w:rsidR="00DE1537" w:rsidRDefault="00DE1537" w:rsidP="00343F3E">
      <w:pPr>
        <w:pStyle w:val="BodyText"/>
      </w:pPr>
      <w:r>
        <w:t>Governments play a core role in natural disaster data collection and research, and in communicating this information to their citizens. Governments have also established mechanisms to foster collaboration between the government, academic and private</w:t>
      </w:r>
      <w:r>
        <w:noBreakHyphen/>
        <w:t>sector bodies that are engaged in these fields.</w:t>
      </w:r>
    </w:p>
    <w:p w14:paraId="50FC6B34" w14:textId="77777777" w:rsidR="00DE1537" w:rsidRDefault="00DE1537" w:rsidP="00343F3E">
      <w:pPr>
        <w:pStyle w:val="Heading3"/>
      </w:pPr>
      <w:r>
        <w:lastRenderedPageBreak/>
        <w:t>Natural disaster data and research</w:t>
      </w:r>
    </w:p>
    <w:p w14:paraId="7EA98B38" w14:textId="29938694" w:rsidR="00DE1537" w:rsidRDefault="00DE1537" w:rsidP="00343F3E">
      <w:pPr>
        <w:pStyle w:val="BodyText"/>
      </w:pPr>
      <w:r>
        <w:t xml:space="preserve">Several international organisations provide repositories of natural disaster related research and data. These include the United Nations Office for Disaster Risk Reduction, United Nations Development Program and World Bank Global Facility for Disaster Risk Reduction. There are also international databases of natural disaster costs and impacts maintained by research organisations and reinsurance companies </w:t>
      </w:r>
      <w:r w:rsidR="007C5656" w:rsidRPr="007C5656">
        <w:rPr>
          <w:szCs w:val="24"/>
        </w:rPr>
        <w:t>(Deloitte Access Economics 2014a; OECD 2013c)</w:t>
      </w:r>
      <w:r>
        <w:t>. Examples include the EM</w:t>
      </w:r>
      <w:r>
        <w:noBreakHyphen/>
        <w:t>DAT International Disaster Database and DesInventar database, which were developed by researchers and international organisations and are publicly available. Proprietary examples include datasets compiled by the reinsurance companies Swiss Re and Munich Re.</w:t>
      </w:r>
    </w:p>
    <w:p w14:paraId="494EE1AC" w14:textId="77777777" w:rsidR="00DE1537" w:rsidRDefault="00DE1537" w:rsidP="00343F3E">
      <w:pPr>
        <w:pStyle w:val="BodyText"/>
      </w:pPr>
      <w:r>
        <w:t>Within countries, responsibilities for collecting and disseminating natural disaster data and information are more dispersed. While many countries provide weather forecasts and related data centrally through meteorological offices, there are significant differences in the way that hazard mapping is undertaken. For example, there is a much higher degree of central coordination in some federations, such as the United States, than in others, such as Germany (box 8.8). These differences highlight a trade</w:t>
      </w:r>
      <w:r>
        <w:noBreakHyphen/>
        <w:t>off between having nationally consistent data and allowing local approaches that may be better suited to the specific informational requirements and needs of subnational governments.</w:t>
      </w:r>
    </w:p>
    <w:p w14:paraId="723466C3" w14:textId="724C02DD" w:rsidR="00DE1537" w:rsidRDefault="00DE1537" w:rsidP="00343F3E">
      <w:pPr>
        <w:pStyle w:val="BodyText"/>
      </w:pPr>
      <w:r>
        <w:t xml:space="preserve">Similar differences arise in countries with central systems of government. For example, in France, the National Observatory for Natural Hazards (a nonprofit partnership between the national government and insurance industry) was established in 2012. It is designed to collate information in a consistent format from central and local governments and insurers, with insurers providing information on natural disaster claims and costs, and governments providing information on natural hazards and mitigation measures </w:t>
      </w:r>
      <w:r w:rsidRPr="00756089">
        <w:rPr>
          <w:szCs w:val="24"/>
        </w:rPr>
        <w:t>(OECD 2013c; ONRN 2012)</w:t>
      </w:r>
      <w:r>
        <w:t>. The observatory allows information to be shared between stakeholders, including on a confidential basis. New data are collected according to specific standards, and data providers must sign contracts with the observatory. Some data and studies are published online. The project is in its early stages and currently contains links to other databases and websites with natural hazard information.</w:t>
      </w:r>
    </w:p>
    <w:p w14:paraId="5F573A87" w14:textId="1A977506" w:rsidR="00DE1537" w:rsidRDefault="00DE1537" w:rsidP="00343F3E">
      <w:pPr>
        <w:pStyle w:val="BodyText"/>
      </w:pPr>
      <w:r>
        <w:t xml:space="preserve">By contrast, other countries do not have a single central agency responsible for collating all hazard information. This is the case in New Zealand, for example, in part because local authorities are mostly responsible for disaster risk assessment </w:t>
      </w:r>
      <w:r w:rsidRPr="00152E19">
        <w:rPr>
          <w:szCs w:val="24"/>
        </w:rPr>
        <w:t>(Government of New Zealand 2013)</w:t>
      </w:r>
      <w:r>
        <w:t xml:space="preserve">. However, New Zealand does have a central system for monitoring and analysing the risks of earthquakes, volcanic activity, large landslides and tsunamis </w:t>
      </w:r>
      <w:r w:rsidRPr="00DC3208">
        <w:rPr>
          <w:szCs w:val="24"/>
        </w:rPr>
        <w:t>(GeoNet 2014)</w:t>
      </w:r>
      <w:r>
        <w:t>.</w:t>
      </w:r>
    </w:p>
    <w:p w14:paraId="306D3844" w14:textId="28F2BC7F" w:rsidR="00DE1537" w:rsidRDefault="00DE1537" w:rsidP="00343F3E">
      <w:pPr>
        <w:pStyle w:val="BodyText"/>
      </w:pPr>
      <w:r>
        <w:t xml:space="preserve">Most governments provide significant support for research. For example, the New Zealand Government provides around NZ$17 million each year to the Natural Hazards Research Platform, a collaboration between government scientific bodies and several universities </w:t>
      </w:r>
      <w:r w:rsidR="007C5656" w:rsidRPr="007C5656">
        <w:rPr>
          <w:szCs w:val="24"/>
        </w:rPr>
        <w:t>(Deloitte Access Economics 2014a)</w:t>
      </w:r>
      <w:r>
        <w:t xml:space="preserve">. In the United States, several federal government agencies undertake or fund natural disaster research </w:t>
      </w:r>
      <w:r w:rsidR="007C5656" w:rsidRPr="007C5656">
        <w:rPr>
          <w:szCs w:val="24"/>
        </w:rPr>
        <w:t>(Deloitte Access Economics 2014a)</w:t>
      </w:r>
      <w:r>
        <w:t xml:space="preserve">. </w:t>
      </w:r>
      <w:r>
        <w:lastRenderedPageBreak/>
        <w:t xml:space="preserve">In many countries, national governments have a high level of involvement in researching the impacts of climate change (often through government agencies) and disseminating their findings </w:t>
      </w:r>
      <w:r w:rsidRPr="00057C74">
        <w:rPr>
          <w:szCs w:val="24"/>
        </w:rPr>
        <w:t>(PC 2012)</w:t>
      </w:r>
      <w:r>
        <w:t>. International organisations also undertake, fund and support natural disaster research (including the United Nations, World Bank and OECD).</w:t>
      </w:r>
    </w:p>
    <w:p w14:paraId="69145FC5"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301E3D0F" w14:textId="77777777" w:rsidTr="00343F3E">
        <w:tc>
          <w:tcPr>
            <w:tcW w:w="8771" w:type="dxa"/>
            <w:tcBorders>
              <w:top w:val="single" w:sz="6" w:space="0" w:color="78A22F"/>
              <w:left w:val="nil"/>
              <w:bottom w:val="nil"/>
              <w:right w:val="nil"/>
            </w:tcBorders>
            <w:shd w:val="clear" w:color="auto" w:fill="F2F2F2" w:themeFill="background1" w:themeFillShade="F2"/>
          </w:tcPr>
          <w:p w14:paraId="4DAAE4F4" w14:textId="77777777" w:rsidR="00DE1537" w:rsidRDefault="00DE1537" w:rsidP="00343F3E">
            <w:pPr>
              <w:pStyle w:val="BoxTitle"/>
            </w:pPr>
            <w:r>
              <w:rPr>
                <w:b w:val="0"/>
              </w:rPr>
              <w:t>Box 8.</w:t>
            </w:r>
            <w:r>
              <w:rPr>
                <w:b w:val="0"/>
                <w:noProof/>
              </w:rPr>
              <w:t>8</w:t>
            </w:r>
            <w:r>
              <w:tab/>
              <w:t>Natural hazard mapping — two illustrative cases</w:t>
            </w:r>
          </w:p>
        </w:tc>
      </w:tr>
      <w:tr w:rsidR="00DE1537" w14:paraId="5FB56383" w14:textId="77777777" w:rsidTr="00343F3E">
        <w:trPr>
          <w:cantSplit/>
        </w:trPr>
        <w:tc>
          <w:tcPr>
            <w:tcW w:w="8771" w:type="dxa"/>
            <w:tcBorders>
              <w:top w:val="nil"/>
              <w:left w:val="nil"/>
              <w:bottom w:val="nil"/>
              <w:right w:val="nil"/>
            </w:tcBorders>
            <w:shd w:val="clear" w:color="auto" w:fill="F2F2F2" w:themeFill="background1" w:themeFillShade="F2"/>
          </w:tcPr>
          <w:p w14:paraId="131928D1" w14:textId="77777777" w:rsidR="00DE1537" w:rsidRDefault="00DE1537" w:rsidP="00343F3E">
            <w:pPr>
              <w:pStyle w:val="BoxHeading1"/>
            </w:pPr>
            <w:r>
              <w:t>United States</w:t>
            </w:r>
          </w:p>
          <w:p w14:paraId="473F8E86" w14:textId="77777777" w:rsidR="00DE1537" w:rsidRDefault="00DE1537" w:rsidP="00343F3E">
            <w:pPr>
              <w:pStyle w:val="Box"/>
            </w:pPr>
            <w:r>
              <w:t>Natural hazard mapping is often conducted centrally in the United States, using standardised methodologies. Flood mapping is largely undertaken by federal agencies, including:</w:t>
            </w:r>
          </w:p>
          <w:p w14:paraId="6C4B9826" w14:textId="77777777" w:rsidR="00DE1537" w:rsidRDefault="00DE1537" w:rsidP="00343F3E">
            <w:pPr>
              <w:pStyle w:val="BoxListBullet"/>
            </w:pPr>
            <w:r>
              <w:t>the National Weather Service, which is responsible for mapping rivers and makes its flood maps publicly available online</w:t>
            </w:r>
          </w:p>
          <w:p w14:paraId="2B18D21B" w14:textId="77777777" w:rsidR="00DE1537" w:rsidRDefault="00DE1537" w:rsidP="00343F3E">
            <w:pPr>
              <w:pStyle w:val="BoxListBullet"/>
            </w:pPr>
            <w:r>
              <w:t>the Federal Emergency Management Agency (FEMA), which is responsible for undertaking and maintaining Flood Insurance Rate Maps in districts that participate in the National Flood Insurance Program</w:t>
            </w:r>
          </w:p>
          <w:p w14:paraId="724129A7" w14:textId="77777777" w:rsidR="00DE1537" w:rsidRDefault="00DE1537" w:rsidP="00343F3E">
            <w:pPr>
              <w:pStyle w:val="BoxListBullet"/>
            </w:pPr>
            <w:proofErr w:type="gramStart"/>
            <w:r>
              <w:t>the</w:t>
            </w:r>
            <w:proofErr w:type="gramEnd"/>
            <w:r>
              <w:t xml:space="preserve"> United States Geological Survey, which has recently commenced a Flood Inundation Mapping Program to develop and validate local</w:t>
            </w:r>
            <w:r>
              <w:noBreakHyphen/>
              <w:t>level flood map libraries.</w:t>
            </w:r>
          </w:p>
          <w:p w14:paraId="48E7CF53" w14:textId="77777777" w:rsidR="00DE1537" w:rsidRDefault="00DE1537" w:rsidP="00343F3E">
            <w:pPr>
              <w:pStyle w:val="Box"/>
            </w:pPr>
            <w:r>
              <w:t>The United States Geological Survey also has primary responsibility for mapping geological hazards, including earthquakes, tsunamis and landslides. In addition, state and local governments must comply with federal guidelines for hazard identification and assessment to be eligible to apply for federal disaster mitigation grants.</w:t>
            </w:r>
          </w:p>
          <w:p w14:paraId="00096CF6" w14:textId="77777777" w:rsidR="00DE1537" w:rsidRPr="004A739E" w:rsidRDefault="00DE1537" w:rsidP="00343F3E">
            <w:pPr>
              <w:pStyle w:val="Box"/>
            </w:pPr>
            <w:r>
              <w:t>However, some of these national</w:t>
            </w:r>
            <w:r>
              <w:noBreakHyphen/>
              <w:t xml:space="preserve">level programs have been criticised. For example, many of the flood maps held by FEMA are over a decade old and may not reflect changes in risk due to new development, vegetation changes, flood mitigation or other factors. Concerns have also been raised about the quality </w:t>
            </w:r>
            <w:r w:rsidRPr="00573F28">
              <w:t>of flood maps. FEMA is currently in the process of updating flood maps across the United States.</w:t>
            </w:r>
          </w:p>
          <w:p w14:paraId="04A5C9A0" w14:textId="77777777" w:rsidR="00DE1537" w:rsidRDefault="00DE1537" w:rsidP="00343F3E">
            <w:pPr>
              <w:pStyle w:val="BoxHeading1"/>
            </w:pPr>
            <w:r>
              <w:t>Germany</w:t>
            </w:r>
          </w:p>
          <w:p w14:paraId="6734B1B3" w14:textId="77777777" w:rsidR="00DE1537" w:rsidRDefault="00DE1537" w:rsidP="00343F3E">
            <w:pPr>
              <w:pStyle w:val="Box"/>
            </w:pPr>
            <w:r>
              <w:t>Peacetime emergency management is a state responsibility in Germany. Each state is responsible for undertaking risk assessment and mapping for most natural hazards, such as wildfire and flooding. The federal government collates and disseminates this information through the German Emergency Planning Information System (a collection of internet links) and the Global Fire Monitoring Centre (for fire statistics), but does not impose common national standards for data collection. It also cooperates with the states to undertake national risk assessments.</w:t>
            </w:r>
          </w:p>
          <w:p w14:paraId="6B921ED3" w14:textId="77777777" w:rsidR="00DE1537" w:rsidRDefault="00DE1537" w:rsidP="00343F3E">
            <w:pPr>
              <w:pStyle w:val="Box"/>
            </w:pPr>
            <w:r>
              <w:t>While these arrangements allow states flexibility to collect hazard information in ways that are most useful for their needs, the different methodologies used can make it difficult to compare risk exposure across states. This has made it challenging to achieve a common understanding of risks and responsibilities relating to natural hazard data.</w:t>
            </w:r>
          </w:p>
        </w:tc>
      </w:tr>
      <w:tr w:rsidR="00DE1537" w14:paraId="346E7A7B" w14:textId="77777777" w:rsidTr="00343F3E">
        <w:trPr>
          <w:cantSplit/>
        </w:trPr>
        <w:tc>
          <w:tcPr>
            <w:tcW w:w="8771" w:type="dxa"/>
            <w:tcBorders>
              <w:top w:val="nil"/>
              <w:left w:val="nil"/>
              <w:bottom w:val="nil"/>
              <w:right w:val="nil"/>
            </w:tcBorders>
            <w:shd w:val="clear" w:color="auto" w:fill="F2F2F2" w:themeFill="background1" w:themeFillShade="F2"/>
          </w:tcPr>
          <w:p w14:paraId="4CB770C8" w14:textId="493E7568" w:rsidR="00DE1537" w:rsidRDefault="00DE1537" w:rsidP="00343F3E">
            <w:pPr>
              <w:pStyle w:val="BoxSource"/>
            </w:pPr>
            <w:r>
              <w:rPr>
                <w:i/>
              </w:rPr>
              <w:t>Sources</w:t>
            </w:r>
            <w:r w:rsidRPr="00167F06">
              <w:t xml:space="preserve">: </w:t>
            </w:r>
            <w:r>
              <w:t xml:space="preserve">Government of Germany </w:t>
            </w:r>
            <w:r w:rsidRPr="0061117F">
              <w:rPr>
                <w:rFonts w:cs="Arial"/>
              </w:rPr>
              <w:t>(2013)</w:t>
            </w:r>
            <w:r>
              <w:t xml:space="preserve">; King </w:t>
            </w:r>
            <w:r w:rsidRPr="00DC3208">
              <w:rPr>
                <w:rFonts w:cs="Arial"/>
              </w:rPr>
              <w:t>(2013)</w:t>
            </w:r>
            <w:r>
              <w:t>; Michel</w:t>
            </w:r>
            <w:r>
              <w:noBreakHyphen/>
              <w:t xml:space="preserve">Kerjan </w:t>
            </w:r>
            <w:r w:rsidRPr="00DC3208">
              <w:rPr>
                <w:rFonts w:cs="Arial"/>
              </w:rPr>
              <w:t>(2010)</w:t>
            </w:r>
            <w:r>
              <w:t xml:space="preserve">; US Government </w:t>
            </w:r>
            <w:r w:rsidRPr="00D23FEF">
              <w:rPr>
                <w:rFonts w:cs="Arial"/>
              </w:rPr>
              <w:t>(2014)</w:t>
            </w:r>
            <w:r>
              <w:t xml:space="preserve">; USGS </w:t>
            </w:r>
            <w:r w:rsidRPr="00BF3E8D">
              <w:rPr>
                <w:rFonts w:cs="Arial"/>
              </w:rPr>
              <w:t>(2014)</w:t>
            </w:r>
            <w:r>
              <w:t>.</w:t>
            </w:r>
          </w:p>
        </w:tc>
      </w:tr>
      <w:tr w:rsidR="00DE1537" w14:paraId="57438349"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D5D81A6" w14:textId="77777777" w:rsidR="00DE1537" w:rsidRDefault="00DE1537" w:rsidP="00343F3E">
            <w:pPr>
              <w:pStyle w:val="Box"/>
              <w:spacing w:before="0" w:line="120" w:lineRule="exact"/>
            </w:pPr>
          </w:p>
        </w:tc>
      </w:tr>
      <w:tr w:rsidR="00DE1537" w:rsidRPr="000863A5" w14:paraId="1733ECE7" w14:textId="77777777" w:rsidTr="00343F3E">
        <w:tc>
          <w:tcPr>
            <w:tcW w:w="8771" w:type="dxa"/>
            <w:tcBorders>
              <w:top w:val="single" w:sz="6" w:space="0" w:color="78A22F"/>
              <w:left w:val="nil"/>
              <w:bottom w:val="nil"/>
              <w:right w:val="nil"/>
            </w:tcBorders>
          </w:tcPr>
          <w:p w14:paraId="54107A62" w14:textId="77777777" w:rsidR="00DE1537" w:rsidRPr="00626D32" w:rsidRDefault="00DE1537" w:rsidP="00343F3E">
            <w:pPr>
              <w:pStyle w:val="BoxSpaceBelow"/>
            </w:pPr>
          </w:p>
        </w:tc>
      </w:tr>
    </w:tbl>
    <w:p w14:paraId="3E141197" w14:textId="77777777" w:rsidR="00DE1537" w:rsidRDefault="00DE1537" w:rsidP="00343F3E">
      <w:pPr>
        <w:pStyle w:val="BodyText"/>
      </w:pPr>
    </w:p>
    <w:p w14:paraId="22F3A620" w14:textId="77777777" w:rsidR="00DE1537" w:rsidRDefault="00DE1537" w:rsidP="00343F3E">
      <w:pPr>
        <w:pStyle w:val="BodyText"/>
        <w:rPr>
          <w:rFonts w:ascii="Arial" w:hAnsi="Arial"/>
          <w:sz w:val="26"/>
        </w:rPr>
      </w:pPr>
      <w:r>
        <w:br w:type="page"/>
      </w:r>
    </w:p>
    <w:p w14:paraId="7838CC0C" w14:textId="77777777" w:rsidR="00DE1537" w:rsidRDefault="00DE1537" w:rsidP="00343F3E">
      <w:pPr>
        <w:pStyle w:val="Heading3"/>
      </w:pPr>
      <w:r>
        <w:lastRenderedPageBreak/>
        <w:t>Communication of natural disaster information</w:t>
      </w:r>
    </w:p>
    <w:p w14:paraId="35F8F1EE" w14:textId="42208FF1" w:rsidR="00DE1537" w:rsidRDefault="00DE1537" w:rsidP="00343F3E">
      <w:pPr>
        <w:pStyle w:val="BodyText"/>
      </w:pPr>
      <w:r>
        <w:t>Many governments make the natural disaster information they hold available to their citizens. Some countries (such as the United States and New Zealand) have embraced open</w:t>
      </w:r>
      <w:r>
        <w:noBreakHyphen/>
        <w:t xml:space="preserve">data policy, whereby data held by government agencies are to be made publicly available and accessible where possible, usually through the internet </w:t>
      </w:r>
      <w:r w:rsidR="007C5656" w:rsidRPr="007C5656">
        <w:rPr>
          <w:szCs w:val="24"/>
        </w:rPr>
        <w:t>(Deloitte Access Economics 2014a)</w:t>
      </w:r>
      <w:r>
        <w:t>. For example, in the United States:</w:t>
      </w:r>
    </w:p>
    <w:p w14:paraId="2A65FDD2" w14:textId="77777777" w:rsidR="00DE1537" w:rsidRDefault="00DE1537" w:rsidP="00343F3E">
      <w:pPr>
        <w:pStyle w:val="ListBullet"/>
      </w:pPr>
      <w:r>
        <w:t>federal government agencies involved in hazard mapping (box 8.8) often make their data publicly available</w:t>
      </w:r>
    </w:p>
    <w:p w14:paraId="25C72A45" w14:textId="306D26C7" w:rsidR="00DE1537" w:rsidRPr="00CC2408" w:rsidRDefault="00DE1537" w:rsidP="00343F3E">
      <w:pPr>
        <w:pStyle w:val="ListBullet"/>
      </w:pPr>
      <w:r w:rsidRPr="00727EB5">
        <w:t xml:space="preserve">the Federal Emergency Management Agency is in the process of making flood maps freely available online </w:t>
      </w:r>
      <w:r w:rsidRPr="009770B0">
        <w:rPr>
          <w:szCs w:val="24"/>
        </w:rPr>
        <w:t>(FEMA</w:t>
      </w:r>
      <w:r w:rsidRPr="00E312A5">
        <w:rPr>
          <w:szCs w:val="24"/>
        </w:rPr>
        <w:t> 2014e)</w:t>
      </w:r>
    </w:p>
    <w:p w14:paraId="64AD6FC2" w14:textId="003126F9" w:rsidR="00DE1537" w:rsidRPr="00727EB5" w:rsidRDefault="00DE1537" w:rsidP="00343F3E">
      <w:pPr>
        <w:pStyle w:val="ListBullet"/>
      </w:pPr>
      <w:proofErr w:type="gramStart"/>
      <w:r w:rsidRPr="00D45AD6">
        <w:t>the</w:t>
      </w:r>
      <w:proofErr w:type="gramEnd"/>
      <w:r w:rsidRPr="00D45AD6">
        <w:t xml:space="preserve"> US </w:t>
      </w:r>
      <w:r w:rsidRPr="00727EB5">
        <w:t xml:space="preserve">Army Corps of Engineers maintains a National Levee Database that provides information on the location, length, condition and maintenance of the majority of flood levees </w:t>
      </w:r>
      <w:r>
        <w:t>across</w:t>
      </w:r>
      <w:r w:rsidRPr="00727EB5">
        <w:t xml:space="preserve"> the country, including a mapping tool that combines levee data with flood maps and meteorological information </w:t>
      </w:r>
      <w:r w:rsidRPr="004A739E">
        <w:t>(USACE 2014b)</w:t>
      </w:r>
      <w:r w:rsidRPr="00727EB5">
        <w:t>.</w:t>
      </w:r>
    </w:p>
    <w:p w14:paraId="6CA54562" w14:textId="508A24CC" w:rsidR="00DE1537" w:rsidRDefault="00DE1537" w:rsidP="00343F3E">
      <w:pPr>
        <w:pStyle w:val="BodyText"/>
      </w:pPr>
      <w:r w:rsidRPr="005B6A38">
        <w:t>Flood maps are also provided online in the United Kingdom and by some local authorities in New Zealand. In</w:t>
      </w:r>
      <w:r w:rsidRPr="00D07FC6">
        <w:t xml:space="preserve"> France and</w:t>
      </w:r>
      <w:r w:rsidRPr="005B6A38">
        <w:t xml:space="preserve"> the Netherlands, maps covering a range of hazards (natural and otherwise) are made freely available through online portal</w:t>
      </w:r>
      <w:r w:rsidRPr="00D07FC6">
        <w:t>s</w:t>
      </w:r>
      <w:r>
        <w:t xml:space="preserve"> </w:t>
      </w:r>
      <w:r w:rsidRPr="00003DAC">
        <w:rPr>
          <w:szCs w:val="24"/>
        </w:rPr>
        <w:t>(FMESDE 2014; Risicokaart 2014)</w:t>
      </w:r>
      <w:r w:rsidRPr="005B6A38">
        <w:t>.</w:t>
      </w:r>
      <w:r>
        <w:t xml:space="preserve"> </w:t>
      </w:r>
    </w:p>
    <w:p w14:paraId="1B63ADA0" w14:textId="0DA1350A" w:rsidR="00DE1537" w:rsidRDefault="00DE1537" w:rsidP="00343F3E">
      <w:pPr>
        <w:pStyle w:val="BodyText"/>
      </w:pPr>
      <w:r>
        <w:t xml:space="preserve">Further, some governments have developed specific tools and websites to support their citizens to adapt to the impacts of climate change. Examples include the Climate Change Adaptation Toolbox in New Zealand and the Climate Impacts Programme in the United Kingdom </w:t>
      </w:r>
      <w:r w:rsidRPr="00057C74">
        <w:rPr>
          <w:szCs w:val="24"/>
        </w:rPr>
        <w:t>(PC 2012)</w:t>
      </w:r>
      <w:r>
        <w:t>. These provide resources such as risk</w:t>
      </w:r>
      <w:r>
        <w:noBreakHyphen/>
        <w:t>assessment guidelines and cost</w:t>
      </w:r>
      <w:r>
        <w:noBreakHyphen/>
        <w:t>estimation methods.</w:t>
      </w:r>
    </w:p>
    <w:p w14:paraId="5A0891B0" w14:textId="1394AE22" w:rsidR="00DE1537" w:rsidRDefault="00DE1537" w:rsidP="00343F3E">
      <w:pPr>
        <w:pStyle w:val="BodyText"/>
      </w:pPr>
      <w:r w:rsidRPr="00727EB5">
        <w:t>In some countries, hazard data are also disclosed specifically to property buyers</w:t>
      </w:r>
      <w:r w:rsidRPr="007C7D0B">
        <w:t>. For example, in New Zealand, local governments must provide a Land Information Memorand</w:t>
      </w:r>
      <w:r>
        <w:t>um</w:t>
      </w:r>
      <w:r w:rsidRPr="007C7D0B">
        <w:t xml:space="preserve"> for a specific property on request (for a fee). </w:t>
      </w:r>
      <w:r w:rsidRPr="00ED60B2">
        <w:t>This contains information the local government holds about the prop</w:t>
      </w:r>
      <w:r w:rsidRPr="00BC0335">
        <w:t>erty, including regulations affecting the land or buildings and</w:t>
      </w:r>
      <w:r>
        <w:t xml:space="preserve"> known information on</w:t>
      </w:r>
      <w:r w:rsidRPr="00BC0335">
        <w:t xml:space="preserve"> risks of erosion, subsidence</w:t>
      </w:r>
      <w:r>
        <w:t>,</w:t>
      </w:r>
      <w:r w:rsidRPr="00BC0335">
        <w:t xml:space="preserve"> flooding</w:t>
      </w:r>
      <w:r>
        <w:t xml:space="preserve"> and other hazards (but this information does not need to be provided if it is in the relevant district plan)</w:t>
      </w:r>
      <w:r w:rsidRPr="00BC0335">
        <w:t xml:space="preserve"> </w:t>
      </w:r>
      <w:r w:rsidRPr="00D63382">
        <w:rPr>
          <w:szCs w:val="24"/>
        </w:rPr>
        <w:t>(LGNZ 2014)</w:t>
      </w:r>
      <w:r w:rsidRPr="00727EB5">
        <w:t>.</w:t>
      </w:r>
      <w:r w:rsidRPr="007C7D0B">
        <w:t xml:space="preserve"> In parts of the United States, </w:t>
      </w:r>
      <w:r w:rsidRPr="00ED60B2">
        <w:t xml:space="preserve">property sellers must inform potential buyers about </w:t>
      </w:r>
      <w:r w:rsidRPr="00BC0335">
        <w:t xml:space="preserve">the natural hazards facing a property — in California, for example, this </w:t>
      </w:r>
      <w:r>
        <w:t>is a requirement for</w:t>
      </w:r>
      <w:r w:rsidRPr="00BC0335">
        <w:t xml:space="preserve"> properties in statutory flood, wildfire and seismic zones </w:t>
      </w:r>
      <w:r w:rsidRPr="007C7D0B">
        <w:t>(Troy and Romm 2006)</w:t>
      </w:r>
      <w:r w:rsidRPr="00727EB5">
        <w:t>.</w:t>
      </w:r>
    </w:p>
    <w:p w14:paraId="15CA007B" w14:textId="57B5AD16" w:rsidR="00DE1537" w:rsidRDefault="00DE1537" w:rsidP="00343F3E">
      <w:pPr>
        <w:pStyle w:val="BodyText"/>
      </w:pPr>
      <w:r>
        <w:t xml:space="preserve">There are also cases of information being communicated to households by insurers, sometimes in partnership with governments. For example, the US Government is developing the Resilience STAR program in conjunction with the Insurance Institute for Business and Home Safety </w:t>
      </w:r>
      <w:r w:rsidRPr="00AF4D0E">
        <w:rPr>
          <w:szCs w:val="24"/>
        </w:rPr>
        <w:t>(IIBHS 2014)</w:t>
      </w:r>
      <w:r>
        <w:t>. The scheme will certify houses that have been built or retrofitted to a specific standard of disaster resilience. This is in part intended to encourage insurers to offer reduced premiums to these properties.</w:t>
      </w:r>
    </w:p>
    <w:p w14:paraId="0181259C" w14:textId="77777777" w:rsidR="00DE1537" w:rsidRDefault="00DE1537" w:rsidP="00343F3E">
      <w:pPr>
        <w:pStyle w:val="BodyText"/>
      </w:pPr>
      <w:r>
        <w:lastRenderedPageBreak/>
        <w:t>In summary, information and research activities relating to natural disasters are diverse, both across and within countries. Often these activities are spread across several government agencies and non</w:t>
      </w:r>
      <w:r>
        <w:noBreakHyphen/>
        <w:t xml:space="preserve">governmental bodies — with the exception of France, the only country identified that has established a national and centralised repository for data relating to </w:t>
      </w:r>
      <w:r>
        <w:rPr>
          <w:i/>
        </w:rPr>
        <w:t>all</w:t>
      </w:r>
      <w:r>
        <w:t xml:space="preserve"> natural hazards. However, there are differences in the degree of centralisation of information provision — while more centralised approaches can foster national consistency, this can sometimes be at the cost of less flexibility for subnational governments to obtain information with the requisite granularity and in the most useful format. In addition, there are some differences in how hazard information is communicated — while it is often made available online, only some countries have adopted mandatory disclosure (for example, when properties are sold). </w:t>
      </w:r>
    </w:p>
    <w:p w14:paraId="528C8A9E" w14:textId="77777777" w:rsidR="00DE1537" w:rsidRDefault="00DE1537" w:rsidP="00343F3E">
      <w:pPr>
        <w:pStyle w:val="Heading2"/>
      </w:pPr>
      <w:bookmarkStart w:id="93" w:name="_Toc406424362"/>
      <w:r>
        <w:t>8.</w:t>
      </w:r>
      <w:r>
        <w:rPr>
          <w:noProof/>
        </w:rPr>
        <w:t>7</w:t>
      </w:r>
      <w:r>
        <w:tab/>
        <w:t>Regulation of the built environment</w:t>
      </w:r>
      <w:bookmarkEnd w:id="93"/>
    </w:p>
    <w:p w14:paraId="74AEAB09" w14:textId="77777777" w:rsidR="00DE1537" w:rsidRDefault="00DE1537" w:rsidP="00343F3E">
      <w:pPr>
        <w:pStyle w:val="BodyText"/>
      </w:pPr>
      <w:r>
        <w:t>There is great diversity in how land uses and buildings are regulated across countries. In most countries examined for this inquiry, responsibility for applying such regulations has been devolved to local governments, with land use policies often set at the state or regional government level and building standards at the national level. In addition, built environment regulations often reflect the specific legal frameworks and histories of individual countries. For these reasons, the Commission has focused on selected examples that highlight how regulation can take account of natural hazards in high</w:t>
      </w:r>
      <w:r>
        <w:noBreakHyphen/>
        <w:t xml:space="preserve">risk areas. </w:t>
      </w:r>
    </w:p>
    <w:p w14:paraId="6BE46331" w14:textId="2ADB7B02" w:rsidR="00DE1537" w:rsidRDefault="00DE1537" w:rsidP="00343F3E">
      <w:pPr>
        <w:pStyle w:val="BodyText"/>
      </w:pPr>
      <w:r>
        <w:t xml:space="preserve">Land use planning regulations play a prominent role in natural disaster mitigation in some countries. In the Netherlands, for example, the ‘Room for the River’ program was implemented in 2006 to widen floodplains, reducing the potential for existing levees protecting urban areas to be breached in a catastrophic flood </w:t>
      </w:r>
      <w:r w:rsidRPr="00D45AD6">
        <w:rPr>
          <w:szCs w:val="24"/>
        </w:rPr>
        <w:t>(Government of the Netherlands </w:t>
      </w:r>
      <w:r w:rsidRPr="003B52AF">
        <w:rPr>
          <w:szCs w:val="24"/>
        </w:rPr>
        <w:t>2006)</w:t>
      </w:r>
      <w:r w:rsidRPr="00E1665B">
        <w:t>.</w:t>
      </w:r>
      <w:r>
        <w:t xml:space="preserve"> The program was designed to improve safety as well as amenity and environmental outcomes. In addition to physical works (such as moving levees inland and deepening river channels)</w:t>
      </w:r>
      <w:proofErr w:type="gramStart"/>
      <w:r>
        <w:t>,</w:t>
      </w:r>
      <w:proofErr w:type="gramEnd"/>
      <w:r>
        <w:t xml:space="preserve"> the program has involved demolishing some houses situated on land that will be turned back into floodplain. To achieve this, the government required some households to relocate (with compensation provided) or place their house on a raised mound of earth </w:t>
      </w:r>
      <w:r w:rsidRPr="00940E2F">
        <w:rPr>
          <w:szCs w:val="24"/>
        </w:rPr>
        <w:t>(The Economist</w:t>
      </w:r>
      <w:r w:rsidRPr="00CB3DBE">
        <w:rPr>
          <w:szCs w:val="24"/>
        </w:rPr>
        <w:t> 2012)</w:t>
      </w:r>
      <w:r>
        <w:t>. Zoning regulations permit some activities on the recovered floodplains, such as agriculture and recreation.</w:t>
      </w:r>
    </w:p>
    <w:p w14:paraId="33BE306F" w14:textId="5EB03046" w:rsidR="00DE1537" w:rsidRDefault="00DE1537" w:rsidP="00343F3E">
      <w:pPr>
        <w:pStyle w:val="BodyText"/>
      </w:pPr>
      <w:r w:rsidRPr="004A739E">
        <w:t xml:space="preserve">In some countries, national governments have required specific </w:t>
      </w:r>
      <w:r>
        <w:t>land use</w:t>
      </w:r>
      <w:r w:rsidRPr="004A739E">
        <w:t xml:space="preserve"> and building regulations to be applied in particular areas.</w:t>
      </w:r>
      <w:r>
        <w:t xml:space="preserve"> For example, in</w:t>
      </w:r>
      <w:r w:rsidRPr="004A739E">
        <w:t xml:space="preserve"> the </w:t>
      </w:r>
      <w:r>
        <w:t xml:space="preserve">United States, households can only participate in the National Flood Insurance Program if their local government has adopted specific floodplain management standards in Special Flood Hazard Areas (defined as areas with an annual risk of flooding of 1 per cent or greater). These standards include requiring minimum floor levels for new residential development, restricting development in regulated floodways, and implementing building codes to require that construction materials and methods reduce future flood damage </w:t>
      </w:r>
      <w:r w:rsidRPr="009770B0">
        <w:rPr>
          <w:szCs w:val="24"/>
        </w:rPr>
        <w:t>(FEMA</w:t>
      </w:r>
      <w:r w:rsidRPr="00E312A5">
        <w:rPr>
          <w:szCs w:val="24"/>
        </w:rPr>
        <w:t> 2014c)</w:t>
      </w:r>
      <w:r>
        <w:t xml:space="preserve">. However, questions have been raised about compliance — one study found that only around 70–85 per cent of </w:t>
      </w:r>
      <w:r>
        <w:lastRenderedPageBreak/>
        <w:t xml:space="preserve">local governments comply with the regulations, and onsite inspections are rare </w:t>
      </w:r>
      <w:r w:rsidRPr="00BC0335">
        <w:rPr>
          <w:szCs w:val="24"/>
        </w:rPr>
        <w:t>(Monday et al. 2006)</w:t>
      </w:r>
      <w:r>
        <w:t>.</w:t>
      </w:r>
    </w:p>
    <w:p w14:paraId="2254DFE1" w14:textId="4E70104A" w:rsidR="00DE1537" w:rsidRDefault="00DE1537" w:rsidP="00343F3E">
      <w:pPr>
        <w:pStyle w:val="BodyText"/>
      </w:pPr>
      <w:r>
        <w:t>National</w:t>
      </w:r>
      <w:r>
        <w:noBreakHyphen/>
        <w:t xml:space="preserve">level land use planning regulations have also been imposed in response to catastrophic natural disasters. For example, the New Zealand Government established several land use planning measures to support recovery from the 2010–11 Canterbury earthquakes (box 8.9). In Japan, land use planning measures were used to relocate some communities following the 2011 tsunami to reduce future risk exposure. This involved relocating houses and public facilities to higher land in some areas, while allowing commercial activity to continue on the coast </w:t>
      </w:r>
      <w:r w:rsidRPr="00D45AD6">
        <w:rPr>
          <w:szCs w:val="24"/>
        </w:rPr>
        <w:t>(IRP </w:t>
      </w:r>
      <w:r w:rsidRPr="0065248B">
        <w:rPr>
          <w:szCs w:val="24"/>
        </w:rPr>
        <w:t>2012)</w:t>
      </w:r>
      <w:r>
        <w:t>. These measures have been supported by improvements in tsunami early</w:t>
      </w:r>
      <w:r>
        <w:noBreakHyphen/>
        <w:t xml:space="preserve">warning systems </w:t>
      </w:r>
      <w:r w:rsidRPr="00D45AD6">
        <w:rPr>
          <w:szCs w:val="24"/>
        </w:rPr>
        <w:t>(UNISDR </w:t>
      </w:r>
      <w:r w:rsidRPr="0065248B">
        <w:rPr>
          <w:szCs w:val="24"/>
        </w:rPr>
        <w:t>2013)</w:t>
      </w:r>
      <w:r>
        <w:t>.</w:t>
      </w:r>
    </w:p>
    <w:p w14:paraId="2D1D6E24"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5C11472A" w14:textId="77777777" w:rsidTr="00343F3E">
        <w:tc>
          <w:tcPr>
            <w:tcW w:w="8771" w:type="dxa"/>
            <w:tcBorders>
              <w:top w:val="single" w:sz="6" w:space="0" w:color="78A22F"/>
              <w:left w:val="nil"/>
              <w:bottom w:val="nil"/>
              <w:right w:val="nil"/>
            </w:tcBorders>
            <w:shd w:val="clear" w:color="auto" w:fill="F2F2F2" w:themeFill="background1" w:themeFillShade="F2"/>
          </w:tcPr>
          <w:p w14:paraId="5D1725C8" w14:textId="77777777" w:rsidR="00DE1537" w:rsidRDefault="00DE1537" w:rsidP="00343F3E">
            <w:pPr>
              <w:pStyle w:val="BoxTitle"/>
            </w:pPr>
            <w:r>
              <w:rPr>
                <w:b w:val="0"/>
              </w:rPr>
              <w:t>Box 8.</w:t>
            </w:r>
            <w:r>
              <w:rPr>
                <w:b w:val="0"/>
                <w:noProof/>
              </w:rPr>
              <w:t>9</w:t>
            </w:r>
            <w:r>
              <w:tab/>
              <w:t>Earthquake regulatory initiatives in New Zealand</w:t>
            </w:r>
          </w:p>
        </w:tc>
      </w:tr>
      <w:tr w:rsidR="00DE1537" w14:paraId="0C66D4FC" w14:textId="77777777" w:rsidTr="00343F3E">
        <w:trPr>
          <w:cantSplit/>
        </w:trPr>
        <w:tc>
          <w:tcPr>
            <w:tcW w:w="8771" w:type="dxa"/>
            <w:tcBorders>
              <w:top w:val="nil"/>
              <w:left w:val="nil"/>
              <w:bottom w:val="nil"/>
              <w:right w:val="nil"/>
            </w:tcBorders>
            <w:shd w:val="clear" w:color="auto" w:fill="F2F2F2" w:themeFill="background1" w:themeFillShade="F2"/>
          </w:tcPr>
          <w:p w14:paraId="1DE40A79" w14:textId="77777777" w:rsidR="00DE1537" w:rsidRDefault="00DE1537" w:rsidP="00343F3E">
            <w:pPr>
              <w:pStyle w:val="Box"/>
            </w:pPr>
            <w:r>
              <w:t>The New Zealand Government established the Canterbury Earthquake Recovery Authority to coordinate recovery from the 2010–11 Canterbury earthquakes. This authority has implemented land use regulations to support recovery and better manage future earthquake risks.</w:t>
            </w:r>
          </w:p>
          <w:p w14:paraId="5072933B" w14:textId="77777777" w:rsidR="00DE1537" w:rsidRDefault="00DE1537" w:rsidP="00343F3E">
            <w:pPr>
              <w:pStyle w:val="Box"/>
            </w:pPr>
            <w:r>
              <w:t>Following the earthquakes, affected land in the Christchurch area was zoned according to the level of earthquake damage.</w:t>
            </w:r>
          </w:p>
          <w:p w14:paraId="56871F04" w14:textId="77777777" w:rsidR="00DE1537" w:rsidRDefault="00DE1537" w:rsidP="00343F3E">
            <w:pPr>
              <w:pStyle w:val="BoxListBullet"/>
            </w:pPr>
            <w:r>
              <w:t>Red — land with extensive damage (for example, due to liquefaction or subsidence) where repair would be too uncertain, costly or disruptive.</w:t>
            </w:r>
          </w:p>
          <w:p w14:paraId="18BDBB77" w14:textId="77777777" w:rsidR="00DE1537" w:rsidRDefault="00DE1537" w:rsidP="00343F3E">
            <w:pPr>
              <w:pStyle w:val="BoxListBullet"/>
            </w:pPr>
            <w:r>
              <w:t>Green — land that is generally suitable to be rebuilt on, with any land damage able to be repaired.</w:t>
            </w:r>
          </w:p>
          <w:p w14:paraId="41CD83FF" w14:textId="77777777" w:rsidR="00DE1537" w:rsidRDefault="00DE1537" w:rsidP="00343F3E">
            <w:pPr>
              <w:pStyle w:val="BoxListBullet"/>
            </w:pPr>
            <w:r>
              <w:t>Orange — further engineering assessment is required.</w:t>
            </w:r>
          </w:p>
          <w:p w14:paraId="044D9738" w14:textId="77777777" w:rsidR="00DE1537" w:rsidRDefault="00DE1537" w:rsidP="00343F3E">
            <w:pPr>
              <w:pStyle w:val="BoxListBullet"/>
            </w:pPr>
            <w:r>
              <w:t>White — further geotechnical assessment and observation are required (all land initially zoned orange or white has since been rezoned red or green).</w:t>
            </w:r>
          </w:p>
          <w:p w14:paraId="2FAF010F" w14:textId="77777777" w:rsidR="00DE1537" w:rsidRDefault="00DE1537" w:rsidP="00343F3E">
            <w:pPr>
              <w:pStyle w:val="Box"/>
            </w:pPr>
            <w:r>
              <w:t>A voluntary purchase program was implemented to relocate households from red</w:t>
            </w:r>
            <w:r>
              <w:noBreakHyphen/>
              <w:t xml:space="preserve">zone areas. This involved </w:t>
            </w:r>
            <w:r w:rsidRPr="007C353A">
              <w:t xml:space="preserve">the government purchasing </w:t>
            </w:r>
            <w:r>
              <w:t>p</w:t>
            </w:r>
            <w:r w:rsidRPr="007C353A">
              <w:t>ropert</w:t>
            </w:r>
            <w:r>
              <w:t>ies</w:t>
            </w:r>
            <w:r w:rsidRPr="007C353A">
              <w:t xml:space="preserve"> while taking </w:t>
            </w:r>
            <w:r>
              <w:t>over any outstanding</w:t>
            </w:r>
            <w:r w:rsidRPr="00487D3B">
              <w:t xml:space="preserve"> insurance claim</w:t>
            </w:r>
            <w:r>
              <w:t>s on the properties</w:t>
            </w:r>
            <w:r w:rsidRPr="00487D3B">
              <w:t>.</w:t>
            </w:r>
            <w:r>
              <w:t xml:space="preserve"> Buildings were then demolished and the land cleared. By the end of 2012, the New Zealand Government had purchased over 6300 properties in this way, at a cost of NZ$989 million. </w:t>
            </w:r>
          </w:p>
          <w:p w14:paraId="67C85B63" w14:textId="77777777" w:rsidR="00DE1537" w:rsidRDefault="00DE1537" w:rsidP="00343F3E">
            <w:pPr>
              <w:pStyle w:val="Box"/>
            </w:pPr>
            <w:r>
              <w:t>Strategic land use planning and zoning strategies have also been implemented to guide the redevelopment of Christchurch and the surrounding Canterbury region. These include strategies for rebuilding the Christchurch Central Business District, in which a significant proportion of buildings had to be demolished following the earthquakes. The strategies have been developed through extensive community engagement.</w:t>
            </w:r>
          </w:p>
        </w:tc>
      </w:tr>
      <w:tr w:rsidR="00DE1537" w14:paraId="507AE240" w14:textId="77777777" w:rsidTr="00343F3E">
        <w:trPr>
          <w:cantSplit/>
        </w:trPr>
        <w:tc>
          <w:tcPr>
            <w:tcW w:w="8771" w:type="dxa"/>
            <w:tcBorders>
              <w:top w:val="nil"/>
              <w:left w:val="nil"/>
              <w:bottom w:val="nil"/>
              <w:right w:val="nil"/>
            </w:tcBorders>
            <w:shd w:val="clear" w:color="auto" w:fill="F2F2F2" w:themeFill="background1" w:themeFillShade="F2"/>
          </w:tcPr>
          <w:p w14:paraId="6005903A" w14:textId="1A4AF7A8" w:rsidR="00DE1537" w:rsidRDefault="00DE1537" w:rsidP="00343F3E">
            <w:pPr>
              <w:pStyle w:val="BoxSource"/>
            </w:pPr>
            <w:r>
              <w:rPr>
                <w:i/>
              </w:rPr>
              <w:t>Sources</w:t>
            </w:r>
            <w:r w:rsidRPr="00167F06">
              <w:t xml:space="preserve">: </w:t>
            </w:r>
            <w:r>
              <w:t>CERA</w:t>
            </w:r>
            <w:r w:rsidRPr="00487D3B">
              <w:t xml:space="preserve"> </w:t>
            </w:r>
            <w:r w:rsidRPr="00D45AD6">
              <w:rPr>
                <w:rFonts w:cs="Arial"/>
              </w:rPr>
              <w:t>(2012, 2013, 2014)</w:t>
            </w:r>
            <w:r>
              <w:t xml:space="preserve">; Statistics New Zealand </w:t>
            </w:r>
            <w:r w:rsidRPr="00D45AD6">
              <w:rPr>
                <w:rFonts w:cs="Arial"/>
              </w:rPr>
              <w:t>(2012)</w:t>
            </w:r>
            <w:r>
              <w:t>.</w:t>
            </w:r>
          </w:p>
        </w:tc>
      </w:tr>
      <w:tr w:rsidR="00DE1537" w14:paraId="51B3FC19"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1546A1A5" w14:textId="77777777" w:rsidR="00DE1537" w:rsidRDefault="00DE1537" w:rsidP="00343F3E">
            <w:pPr>
              <w:pStyle w:val="Box"/>
              <w:spacing w:before="0" w:line="120" w:lineRule="exact"/>
            </w:pPr>
          </w:p>
        </w:tc>
      </w:tr>
      <w:tr w:rsidR="00DE1537" w:rsidRPr="000863A5" w14:paraId="75E73814" w14:textId="77777777" w:rsidTr="00343F3E">
        <w:tc>
          <w:tcPr>
            <w:tcW w:w="8771" w:type="dxa"/>
            <w:tcBorders>
              <w:top w:val="single" w:sz="6" w:space="0" w:color="78A22F"/>
              <w:left w:val="nil"/>
              <w:bottom w:val="nil"/>
              <w:right w:val="nil"/>
            </w:tcBorders>
          </w:tcPr>
          <w:p w14:paraId="00DB3E07" w14:textId="77777777" w:rsidR="00DE1537" w:rsidRPr="00626D32" w:rsidRDefault="00DE1537" w:rsidP="00343F3E">
            <w:pPr>
              <w:pStyle w:val="BoxSpaceBelow"/>
            </w:pPr>
          </w:p>
        </w:tc>
      </w:tr>
    </w:tbl>
    <w:p w14:paraId="425F578B" w14:textId="0B0118C4" w:rsidR="00DE1537" w:rsidRDefault="00DE1537" w:rsidP="00343F3E">
      <w:pPr>
        <w:pStyle w:val="BodyText"/>
      </w:pPr>
      <w:r>
        <w:t xml:space="preserve">Building codes are also widely used to reduce vulnerability to natural hazards. These have often been strengthened or better enforced following catastrophic natural disasters — for example, in the United States after Hurricane Andrew in Florida in 1992, and in Japan after the Great Hanshin Earthquake in 1995 </w:t>
      </w:r>
      <w:r w:rsidRPr="008A0E00">
        <w:t>(IRP 2012)</w:t>
      </w:r>
      <w:r>
        <w:t xml:space="preserve">. Such codes generally apply only to buildings constructed after the codes were introduced. In some countries, measures have been taken to bring buildings up to current construction standards. For example, local </w:t>
      </w:r>
      <w:r>
        <w:lastRenderedPageBreak/>
        <w:t xml:space="preserve">governments in Japan offer subsidies for building owners to assess seismic vulnerability and undertake retrofits </w:t>
      </w:r>
      <w:r w:rsidRPr="0086516B">
        <w:rPr>
          <w:szCs w:val="24"/>
        </w:rPr>
        <w:t>(World Bank</w:t>
      </w:r>
      <w:r w:rsidRPr="007219C6">
        <w:rPr>
          <w:szCs w:val="24"/>
        </w:rPr>
        <w:t> </w:t>
      </w:r>
      <w:r w:rsidRPr="00FC1901">
        <w:rPr>
          <w:szCs w:val="24"/>
        </w:rPr>
        <w:t>2012)</w:t>
      </w:r>
      <w:r>
        <w:t xml:space="preserve">. The </w:t>
      </w:r>
      <w:r w:rsidRPr="00487D3B">
        <w:t xml:space="preserve">New Zealand </w:t>
      </w:r>
      <w:r>
        <w:t xml:space="preserve">Government </w:t>
      </w:r>
      <w:r w:rsidRPr="00487D3B">
        <w:t>has introduced requirements for all buildings deemed to be too earthquake prone to be strengthened or demolished within 20 years (OECD 2014).</w:t>
      </w:r>
    </w:p>
    <w:p w14:paraId="5EAE53AC" w14:textId="77777777" w:rsidR="00DE1537" w:rsidRPr="0029534F" w:rsidRDefault="00DE1537" w:rsidP="00343F3E">
      <w:pPr>
        <w:pStyle w:val="BodyText"/>
      </w:pPr>
      <w:r>
        <w:t xml:space="preserve">Some jurisdictions around the world have explicitly sought to manage climate change risks to built environments (box 8.10). While often formulated in the context of climate change adaptation, such strategies can also be applied to manage natural disasters in the current climate, especially where there is a </w:t>
      </w:r>
      <w:r w:rsidRPr="0029534F">
        <w:t xml:space="preserve">high level of uncertainty. </w:t>
      </w:r>
      <w:r>
        <w:t>S</w:t>
      </w:r>
      <w:r w:rsidRPr="0029534F">
        <w:t>ubnational jurisdictions</w:t>
      </w:r>
      <w:r>
        <w:t xml:space="preserve"> have played a key role in devising these kinds of strategies</w:t>
      </w:r>
      <w:r w:rsidRPr="0029534F">
        <w:t>.</w:t>
      </w:r>
    </w:p>
    <w:p w14:paraId="60CCE811" w14:textId="77777777" w:rsidR="00DE1537" w:rsidRDefault="00DE1537" w:rsidP="00343F3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1537" w14:paraId="19E51644" w14:textId="77777777" w:rsidTr="00343F3E">
        <w:tc>
          <w:tcPr>
            <w:tcW w:w="8771" w:type="dxa"/>
            <w:tcBorders>
              <w:top w:val="single" w:sz="6" w:space="0" w:color="78A22F"/>
              <w:left w:val="nil"/>
              <w:bottom w:val="nil"/>
              <w:right w:val="nil"/>
            </w:tcBorders>
            <w:shd w:val="clear" w:color="auto" w:fill="F2F2F2" w:themeFill="background1" w:themeFillShade="F2"/>
          </w:tcPr>
          <w:p w14:paraId="2FEFB44F" w14:textId="77777777" w:rsidR="00DE1537" w:rsidRDefault="00DE1537" w:rsidP="00343F3E">
            <w:pPr>
              <w:pStyle w:val="BoxTitle"/>
            </w:pPr>
            <w:r>
              <w:rPr>
                <w:b w:val="0"/>
              </w:rPr>
              <w:t>Box 8.</w:t>
            </w:r>
            <w:r>
              <w:rPr>
                <w:b w:val="0"/>
                <w:noProof/>
              </w:rPr>
              <w:t>10</w:t>
            </w:r>
            <w:r>
              <w:tab/>
              <w:t>Climate change adaptation strategies</w:t>
            </w:r>
          </w:p>
        </w:tc>
      </w:tr>
      <w:tr w:rsidR="00DE1537" w14:paraId="1281539D" w14:textId="77777777" w:rsidTr="00343F3E">
        <w:trPr>
          <w:cantSplit/>
        </w:trPr>
        <w:tc>
          <w:tcPr>
            <w:tcW w:w="8771" w:type="dxa"/>
            <w:tcBorders>
              <w:top w:val="nil"/>
              <w:left w:val="nil"/>
              <w:bottom w:val="nil"/>
              <w:right w:val="nil"/>
            </w:tcBorders>
            <w:shd w:val="clear" w:color="auto" w:fill="F2F2F2" w:themeFill="background1" w:themeFillShade="F2"/>
          </w:tcPr>
          <w:p w14:paraId="0493E0D6" w14:textId="733F496C" w:rsidR="00DE1537" w:rsidRDefault="00DE1537" w:rsidP="00343F3E">
            <w:pPr>
              <w:pStyle w:val="Box"/>
            </w:pPr>
            <w:r>
              <w:t xml:space="preserve">Several jurisdictions have adopted planning and building regulatory strategies to manage the future impacts of climate change. In some cases, these are based on a combination of strategies to </w:t>
            </w:r>
            <w:r w:rsidRPr="00D26351">
              <w:rPr>
                <w:i/>
              </w:rPr>
              <w:t>protect</w:t>
            </w:r>
            <w:r>
              <w:t xml:space="preserve"> public and private assets (through mitigation measures), </w:t>
            </w:r>
            <w:r w:rsidRPr="00D26351">
              <w:rPr>
                <w:i/>
              </w:rPr>
              <w:t>accommodate</w:t>
            </w:r>
            <w:r>
              <w:t xml:space="preserve"> climate change impacts (by modifying existing or future structures) and </w:t>
            </w:r>
            <w:r w:rsidRPr="00D26351">
              <w:rPr>
                <w:i/>
              </w:rPr>
              <w:t>retreat</w:t>
            </w:r>
            <w:r>
              <w:t xml:space="preserve"> to lower</w:t>
            </w:r>
            <w:r>
              <w:noBreakHyphen/>
              <w:t>risk locations (by building new structures elsewhere or abandoning at</w:t>
            </w:r>
            <w:r>
              <w:noBreakHyphen/>
              <w:t xml:space="preserve">risk assets) </w:t>
            </w:r>
            <w:r w:rsidRPr="008A0E00">
              <w:rPr>
                <w:rFonts w:cs="Arial"/>
                <w:szCs w:val="24"/>
              </w:rPr>
              <w:t>(PC 2012)</w:t>
            </w:r>
            <w:r>
              <w:t>.</w:t>
            </w:r>
          </w:p>
          <w:p w14:paraId="382512B6" w14:textId="2C33DF4D" w:rsidR="00DE1537" w:rsidRDefault="00DE1537" w:rsidP="00343F3E">
            <w:pPr>
              <w:pStyle w:val="Box"/>
              <w:rPr>
                <w:szCs w:val="24"/>
              </w:rPr>
            </w:pPr>
            <w:r>
              <w:t xml:space="preserve">Such strategies have been applied in some US states. </w:t>
            </w:r>
            <w:r w:rsidRPr="00414F16">
              <w:t>In Texas, state law has created ‘rolling easements</w:t>
            </w:r>
            <w:r w:rsidRPr="006521C9">
              <w:t xml:space="preserve">’ in coastal areas to maintain beaches and tidal areas in public ownership — with </w:t>
            </w:r>
            <w:r w:rsidRPr="00980EA6">
              <w:t xml:space="preserve">private property boundaries ‘rolling’ inland as sea levels rise — although courts have </w:t>
            </w:r>
            <w:r w:rsidRPr="00EE694A">
              <w:t xml:space="preserve">recently ruled that rolling easements may not be applied to beaches impacted by hurricanes and storms </w:t>
            </w:r>
            <w:r w:rsidRPr="008A0E00">
              <w:t>(McLaughlin 2011)</w:t>
            </w:r>
            <w:r w:rsidRPr="00414F16">
              <w:t>.</w:t>
            </w:r>
            <w:r>
              <w:t xml:space="preserve"> In North Carolina, coastal structures must be set back a minimum distance from the shoreline, with the distance based on local erosion rates </w:t>
            </w:r>
            <w:r w:rsidRPr="00414F16">
              <w:rPr>
                <w:rFonts w:cs="Arial"/>
                <w:szCs w:val="24"/>
              </w:rPr>
              <w:t>(USEPA 2013)</w:t>
            </w:r>
            <w:r>
              <w:t>. In addition, the</w:t>
            </w:r>
            <w:r w:rsidRPr="00C2501B">
              <w:t xml:space="preserve"> state of New Jersey has provided loans and grants to local governments to acquire land in coastal areas that is prone to storm surge</w:t>
            </w:r>
            <w:r w:rsidRPr="00A70464">
              <w:t xml:space="preserve"> or can buffer other land from storm damage, with acquired land used for recreation and conservation</w:t>
            </w:r>
            <w:r w:rsidRPr="00434524">
              <w:t xml:space="preserve"> </w:t>
            </w:r>
            <w:r w:rsidRPr="00414F16">
              <w:t>(Easterling, Hurd and Smith 2004).</w:t>
            </w:r>
          </w:p>
          <w:p w14:paraId="014BA6F7" w14:textId="14C8BD0D" w:rsidR="00DE1537" w:rsidRDefault="00DE1537" w:rsidP="00343F3E">
            <w:pPr>
              <w:pStyle w:val="Box"/>
              <w:rPr>
                <w:szCs w:val="24"/>
              </w:rPr>
            </w:pPr>
            <w:r>
              <w:t>Strategies using trigger points have also been adopted in some countries, where particular actions are undertaken only once a particular climate</w:t>
            </w:r>
            <w:r>
              <w:noBreakHyphen/>
              <w:t>related threshold has been reached. For example, the UK Government has developed a long</w:t>
            </w:r>
            <w:r>
              <w:noBreakHyphen/>
              <w:t xml:space="preserve">term strategy to manage flood risks in the Thames Estuary around London </w:t>
            </w:r>
            <w:r w:rsidRPr="009A6FE3">
              <w:rPr>
                <w:rFonts w:cs="Arial"/>
                <w:szCs w:val="24"/>
              </w:rPr>
              <w:t>(UK Environment Agency 2012)</w:t>
            </w:r>
            <w:r>
              <w:t>. Under this strategy, decisions to raise flood defences (including the Thames Barrier) or construct new defences will be made over time as articulated thresholds are reached, including changes in mean sea levels and peak storm tides. The strategy itself is also to be reviewed over time as the climate changes.</w:t>
            </w:r>
          </w:p>
          <w:p w14:paraId="4E50F2D9" w14:textId="29BC1AE8" w:rsidR="00DE1537" w:rsidRPr="008A0E00" w:rsidRDefault="00DE1537" w:rsidP="00343F3E">
            <w:pPr>
              <w:pStyle w:val="Box"/>
              <w:rPr>
                <w:rStyle w:val="DraftingNote"/>
                <w:b w:val="0"/>
                <w:color w:val="auto"/>
                <w:sz w:val="20"/>
                <w:u w:val="none"/>
              </w:rPr>
            </w:pPr>
            <w:r>
              <w:t xml:space="preserve">Some national governments provide guidance for how their subnational governments should incorporate climate change risk management into their land use planning decisions. Examples include the Preparing for Climate Change guidance in New Zealand </w:t>
            </w:r>
            <w:r w:rsidRPr="00F31ABD">
              <w:rPr>
                <w:rFonts w:cs="Arial"/>
                <w:szCs w:val="24"/>
              </w:rPr>
              <w:t>(NZMFE 2008)</w:t>
            </w:r>
            <w:r>
              <w:t xml:space="preserve"> and the National Planning Policy Framework in the United Kingdom </w:t>
            </w:r>
            <w:r w:rsidRPr="00F31ABD">
              <w:rPr>
                <w:rFonts w:cs="Arial"/>
                <w:szCs w:val="24"/>
              </w:rPr>
              <w:t>(HM Government 2013b)</w:t>
            </w:r>
            <w:r>
              <w:t>. In the latter case, local authorities are encouraged to avoid development in areas of flood risk, taking account of the impacts of climate change. Where this is not possible, new development should be resilient to flooding and not increase flood risk elsewhere.</w:t>
            </w:r>
          </w:p>
        </w:tc>
      </w:tr>
      <w:tr w:rsidR="00DE1537" w14:paraId="4A31C82C" w14:textId="77777777" w:rsidTr="00343F3E">
        <w:trPr>
          <w:cantSplit/>
        </w:trPr>
        <w:tc>
          <w:tcPr>
            <w:tcW w:w="8771" w:type="dxa"/>
            <w:tcBorders>
              <w:top w:val="nil"/>
              <w:left w:val="nil"/>
              <w:bottom w:val="single" w:sz="6" w:space="0" w:color="78A22F"/>
              <w:right w:val="nil"/>
            </w:tcBorders>
            <w:shd w:val="clear" w:color="auto" w:fill="F2F2F2" w:themeFill="background1" w:themeFillShade="F2"/>
          </w:tcPr>
          <w:p w14:paraId="067178BE" w14:textId="77777777" w:rsidR="00DE1537" w:rsidRDefault="00DE1537" w:rsidP="00343F3E">
            <w:pPr>
              <w:pStyle w:val="Box"/>
              <w:spacing w:before="0" w:line="120" w:lineRule="exact"/>
            </w:pPr>
          </w:p>
        </w:tc>
      </w:tr>
      <w:tr w:rsidR="00DE1537" w:rsidRPr="000863A5" w14:paraId="0BF49A05" w14:textId="77777777" w:rsidTr="00343F3E">
        <w:tc>
          <w:tcPr>
            <w:tcW w:w="8771" w:type="dxa"/>
            <w:tcBorders>
              <w:top w:val="single" w:sz="6" w:space="0" w:color="78A22F"/>
              <w:left w:val="nil"/>
              <w:bottom w:val="nil"/>
              <w:right w:val="nil"/>
            </w:tcBorders>
          </w:tcPr>
          <w:p w14:paraId="72D90DD5" w14:textId="77777777" w:rsidR="00DE1537" w:rsidRPr="00626D32" w:rsidRDefault="00DE1537" w:rsidP="00343F3E">
            <w:pPr>
              <w:pStyle w:val="BoxSpaceBelow"/>
            </w:pPr>
          </w:p>
        </w:tc>
      </w:tr>
    </w:tbl>
    <w:p w14:paraId="044FADED" w14:textId="77777777" w:rsidR="00DE1537" w:rsidRDefault="00DE1537" w:rsidP="00343F3E">
      <w:pPr>
        <w:pStyle w:val="BodyText"/>
      </w:pPr>
      <w:r>
        <w:t>The broader international literature points to several components of good practice regulation of the built environment to reduce natural disaster risks. These include:</w:t>
      </w:r>
    </w:p>
    <w:p w14:paraId="7FD0004F" w14:textId="77777777" w:rsidR="00DE1537" w:rsidRDefault="00DE1537" w:rsidP="00343F3E">
      <w:pPr>
        <w:pStyle w:val="ListBullet"/>
      </w:pPr>
      <w:r>
        <w:t>undertaking risk assessment, evaluation and mapping to inform land use planning</w:t>
      </w:r>
    </w:p>
    <w:p w14:paraId="69A8E523" w14:textId="77777777" w:rsidR="00DE1537" w:rsidRDefault="00DE1537" w:rsidP="00343F3E">
      <w:pPr>
        <w:pStyle w:val="ListBullet"/>
      </w:pPr>
      <w:r>
        <w:lastRenderedPageBreak/>
        <w:t>communicating risks to populations and facilitating participation in decision making</w:t>
      </w:r>
    </w:p>
    <w:p w14:paraId="0F6B5519" w14:textId="77777777" w:rsidR="00DE1537" w:rsidRDefault="00DE1537" w:rsidP="00343F3E">
      <w:pPr>
        <w:pStyle w:val="ListBullet"/>
      </w:pPr>
      <w:r>
        <w:t>adopting a long</w:t>
      </w:r>
      <w:r>
        <w:noBreakHyphen/>
        <w:t>term view so that short</w:t>
      </w:r>
      <w:r>
        <w:noBreakHyphen/>
        <w:t>term decisions do not constrain long</w:t>
      </w:r>
      <w:r>
        <w:noBreakHyphen/>
        <w:t>term options</w:t>
      </w:r>
    </w:p>
    <w:p w14:paraId="23AC4A58" w14:textId="77777777" w:rsidR="00DE1537" w:rsidRDefault="00DE1537" w:rsidP="00343F3E">
      <w:pPr>
        <w:pStyle w:val="ListBullet"/>
      </w:pPr>
      <w:r>
        <w:t xml:space="preserve">incorporating natural disaster risk into strategic planning and investment (‘mainstreaming’) </w:t>
      </w:r>
    </w:p>
    <w:p w14:paraId="23ACD688" w14:textId="2D20F25E" w:rsidR="00DE1537" w:rsidRDefault="00DE1537" w:rsidP="00343F3E">
      <w:pPr>
        <w:pStyle w:val="ListBullet"/>
      </w:pPr>
      <w:proofErr w:type="gramStart"/>
      <w:r>
        <w:t>adopting</w:t>
      </w:r>
      <w:proofErr w:type="gramEnd"/>
      <w:r>
        <w:t xml:space="preserve"> governance frameworks that allow decisions to be made in a transparent and accountable way </w:t>
      </w:r>
      <w:r w:rsidRPr="00D45AD6">
        <w:rPr>
          <w:szCs w:val="24"/>
        </w:rPr>
        <w:t>(OECD </w:t>
      </w:r>
      <w:r w:rsidRPr="00A8537A">
        <w:rPr>
          <w:szCs w:val="24"/>
        </w:rPr>
        <w:t>2013b; RCCDM 2011; UNISDR 2013)</w:t>
      </w:r>
      <w:r>
        <w:t>.</w:t>
      </w:r>
    </w:p>
    <w:p w14:paraId="38AEDA9A" w14:textId="77777777" w:rsidR="00DE1537" w:rsidRPr="00EF30C6" w:rsidRDefault="00DE1537" w:rsidP="00343F3E">
      <w:pPr>
        <w:pStyle w:val="BodyText"/>
      </w:pPr>
      <w:r>
        <w:t>In summary, land use planning and building regulations are diverse across and within countries, and are characterised by significant involvement of subnational governments. There are several high</w:t>
      </w:r>
      <w:r>
        <w:noBreakHyphen/>
        <w:t>profile cases where governments have sought to regulate at a national level, often following a catastrophic natural disaster. Internationally, good practice is at a minimum considered to include the incorporation of risk assessment into land use planning, mainstreaming natural disaster risk into strategic planning, and engaging with communities.</w:t>
      </w:r>
    </w:p>
    <w:p w14:paraId="27050C74" w14:textId="77777777" w:rsidR="00DE1537" w:rsidRDefault="00DE1537" w:rsidP="00DE1537">
      <w:pPr>
        <w:sectPr w:rsidR="00DE1537" w:rsidSect="00DE1537">
          <w:headerReference w:type="even" r:id="rId111"/>
          <w:headerReference w:type="default" r:id="rId112"/>
          <w:footerReference w:type="even" r:id="rId113"/>
          <w:footerReference w:type="default" r:id="rId114"/>
          <w:type w:val="oddPage"/>
          <w:pgSz w:w="11907" w:h="16840" w:code="9"/>
          <w:pgMar w:top="1985" w:right="1304" w:bottom="1247" w:left="1814" w:header="1701" w:footer="397" w:gutter="0"/>
          <w:pgNumType w:chapSep="period"/>
          <w:cols w:space="720"/>
          <w:docGrid w:linePitch="326"/>
        </w:sectPr>
      </w:pPr>
    </w:p>
    <w:p w14:paraId="07BB9510" w14:textId="77777777" w:rsidR="00DE1537" w:rsidRDefault="00DE1537" w:rsidP="00343F3E">
      <w:pPr>
        <w:pStyle w:val="Heading1"/>
      </w:pPr>
      <w:bookmarkStart w:id="94" w:name="_Toc406424363"/>
      <w:r>
        <w:lastRenderedPageBreak/>
        <w:t>References</w:t>
      </w:r>
      <w:bookmarkEnd w:id="94"/>
    </w:p>
    <w:p w14:paraId="42522EE6" w14:textId="77777777" w:rsidR="00DE1537" w:rsidRPr="00A95790" w:rsidRDefault="00DE1537" w:rsidP="00343F3E">
      <w:pPr>
        <w:pStyle w:val="Reference"/>
      </w:pPr>
      <w:r w:rsidRPr="00A95790">
        <w:t xml:space="preserve">Abbs, D. 2009, </w:t>
      </w:r>
      <w:r w:rsidRPr="00A95790">
        <w:rPr>
          <w:i/>
          <w:iCs/>
        </w:rPr>
        <w:t>The Impact of Climate Change on the Climatology of Tropical Cyclones in the Australian Region</w:t>
      </w:r>
      <w:r w:rsidRPr="00A95790">
        <w:t>, CSIRO Climate Adaptation Flagship Working Paper no. 11, Melbourne.</w:t>
      </w:r>
    </w:p>
    <w:p w14:paraId="65DE0E36" w14:textId="77777777" w:rsidR="00DE1537" w:rsidRPr="00A95790" w:rsidRDefault="00DE1537" w:rsidP="00343F3E">
      <w:pPr>
        <w:pStyle w:val="Reference"/>
      </w:pPr>
      <w:r w:rsidRPr="00A95790">
        <w:t>ABC News 2014, ‘New Roma flood levee nears completion’, 12 March, www.abc.net.au/news/2014-03-12/new-roma-flood-levee-nears-completion/5314972 (accessed 16 July 2014).</w:t>
      </w:r>
    </w:p>
    <w:p w14:paraId="12D41399" w14:textId="77777777" w:rsidR="00DE1537" w:rsidRPr="00A95790" w:rsidRDefault="00DE1537" w:rsidP="00343F3E">
      <w:pPr>
        <w:pStyle w:val="Reference"/>
      </w:pPr>
      <w:r w:rsidRPr="00A95790">
        <w:t xml:space="preserve">ABCB (Australian Building Codes Board) 2009, </w:t>
      </w:r>
      <w:r w:rsidRPr="00A95790">
        <w:rPr>
          <w:i/>
          <w:iCs/>
        </w:rPr>
        <w:t>Proposal to Revise the Building Code of Australia Requirements for Construction in Bushfire Prone Areas</w:t>
      </w:r>
      <w:r w:rsidRPr="00A95790">
        <w:t>, Final Regulatory Impact Statement for Decision (RIS 2009-02), Canberra.</w:t>
      </w:r>
    </w:p>
    <w:p w14:paraId="6D009039" w14:textId="77777777" w:rsidR="00DE1537" w:rsidRPr="00A95790" w:rsidRDefault="00DE1537" w:rsidP="00343F3E">
      <w:pPr>
        <w:pStyle w:val="Reference"/>
      </w:pPr>
      <w:proofErr w:type="gramStart"/>
      <w:r w:rsidRPr="00A95790">
        <w:t>——</w:t>
      </w:r>
      <w:r>
        <w:t> </w:t>
      </w:r>
      <w:r w:rsidRPr="00A95790">
        <w:t xml:space="preserve">2011, </w:t>
      </w:r>
      <w:r w:rsidRPr="00A95790">
        <w:rPr>
          <w:i/>
          <w:iCs/>
        </w:rPr>
        <w:t>Regulation Impact Analysis Protocol</w:t>
      </w:r>
      <w:r w:rsidRPr="00A95790">
        <w:t>, www.abcb.gov.au/~/media/Files/</w:t>
      </w:r>
      <w:r>
        <w:br/>
      </w:r>
      <w:r w:rsidRPr="00A95790">
        <w:t>Download%20Documents/Consultation/Regulation%20Impact%20Analysis%20Protocol.ashx?la=en (accessed 9 July 2014).</w:t>
      </w:r>
      <w:proofErr w:type="gramEnd"/>
    </w:p>
    <w:p w14:paraId="49A9CB06" w14:textId="77777777" w:rsidR="00DE1537" w:rsidRPr="00A95790" w:rsidRDefault="00DE1537" w:rsidP="00343F3E">
      <w:pPr>
        <w:pStyle w:val="Reference"/>
      </w:pPr>
      <w:proofErr w:type="gramStart"/>
      <w:r>
        <w:t>—— </w:t>
      </w:r>
      <w:r w:rsidRPr="00A95790">
        <w:t xml:space="preserve">2012, </w:t>
      </w:r>
      <w:r w:rsidRPr="00A95790">
        <w:rPr>
          <w:i/>
          <w:iCs/>
        </w:rPr>
        <w:t>Construction of Buildings in Flood Hazard Areas</w:t>
      </w:r>
      <w:r w:rsidRPr="00A95790">
        <w:t>, Version 2012.2, Canberra.</w:t>
      </w:r>
      <w:proofErr w:type="gramEnd"/>
    </w:p>
    <w:p w14:paraId="11DE89D0" w14:textId="77777777" w:rsidR="00DE1537" w:rsidRPr="00A95790" w:rsidRDefault="00DE1537" w:rsidP="00343F3E">
      <w:pPr>
        <w:pStyle w:val="Reference"/>
      </w:pPr>
      <w:r>
        <w:t>—— </w:t>
      </w:r>
      <w:r w:rsidRPr="00A95790">
        <w:t xml:space="preserve">2013a, </w:t>
      </w:r>
      <w:r w:rsidRPr="00A95790">
        <w:rPr>
          <w:i/>
          <w:iCs/>
        </w:rPr>
        <w:t>Proposal to Change the NCC</w:t>
      </w:r>
      <w:r>
        <w:t xml:space="preserve">, </w:t>
      </w:r>
      <w:r w:rsidRPr="00A95790">
        <w:t>www.abcb.gov.au/consultation/proposal-to-change-the-ncc (accessed 9 July 2014).</w:t>
      </w:r>
    </w:p>
    <w:p w14:paraId="2159A1DE" w14:textId="77777777" w:rsidR="00DE1537" w:rsidRPr="00A95790" w:rsidRDefault="00DE1537" w:rsidP="00343F3E">
      <w:pPr>
        <w:pStyle w:val="Reference"/>
      </w:pPr>
      <w:r>
        <w:t>—— </w:t>
      </w:r>
      <w:r w:rsidRPr="00A95790">
        <w:t xml:space="preserve">2013b, </w:t>
      </w:r>
      <w:r w:rsidRPr="00A95790">
        <w:rPr>
          <w:i/>
          <w:iCs/>
        </w:rPr>
        <w:t>Regulation Impact Analysis</w:t>
      </w:r>
      <w:r>
        <w:t xml:space="preserve">, </w:t>
      </w:r>
      <w:r w:rsidRPr="00A95790">
        <w:t>www.abcb.gov.au/consultation/regulation-impact-analysis.aspx (accessed 9 July 2014).</w:t>
      </w:r>
    </w:p>
    <w:p w14:paraId="06A3890F" w14:textId="77777777" w:rsidR="00DE1537" w:rsidRPr="00A95790" w:rsidRDefault="00DE1537" w:rsidP="00343F3E">
      <w:pPr>
        <w:pStyle w:val="Reference"/>
      </w:pPr>
      <w:r>
        <w:t>—— </w:t>
      </w:r>
      <w:r w:rsidRPr="00A95790">
        <w:t xml:space="preserve">2013c, </w:t>
      </w:r>
      <w:r w:rsidRPr="00A95790">
        <w:rPr>
          <w:i/>
          <w:iCs/>
        </w:rPr>
        <w:t>The Building Code of Australia</w:t>
      </w:r>
      <w:r w:rsidRPr="00A95790">
        <w:t>, http://www.abcb.gov.au/about-the-national-construction-code/the-building-code-of-australia.aspx (accessed 15 July 2014).</w:t>
      </w:r>
    </w:p>
    <w:p w14:paraId="4ACDBBE5" w14:textId="77777777" w:rsidR="00DE1537" w:rsidRPr="00A95790" w:rsidRDefault="00DE1537" w:rsidP="00343F3E">
      <w:pPr>
        <w:pStyle w:val="Reference"/>
      </w:pPr>
      <w:r>
        <w:t>—— </w:t>
      </w:r>
      <w:r w:rsidRPr="00A95790">
        <w:t xml:space="preserve">2014a, </w:t>
      </w:r>
      <w:r w:rsidRPr="00A95790">
        <w:rPr>
          <w:i/>
          <w:iCs/>
        </w:rPr>
        <w:t>Bushfires</w:t>
      </w:r>
      <w:r>
        <w:t xml:space="preserve">, </w:t>
      </w:r>
      <w:r w:rsidRPr="00A95790">
        <w:t>www.abcb.gov.au/major-initiatives/bushfires (accessed 14</w:t>
      </w:r>
      <w:r>
        <w:t xml:space="preserve"> </w:t>
      </w:r>
      <w:r w:rsidRPr="00A95790">
        <w:t>April 2014).</w:t>
      </w:r>
    </w:p>
    <w:p w14:paraId="51AE29EA" w14:textId="77777777" w:rsidR="00DE1537" w:rsidRPr="00A95790" w:rsidRDefault="00DE1537" w:rsidP="00343F3E">
      <w:pPr>
        <w:pStyle w:val="Reference"/>
      </w:pPr>
      <w:r>
        <w:t>—— </w:t>
      </w:r>
      <w:r w:rsidRPr="00A95790">
        <w:t xml:space="preserve">2014b, </w:t>
      </w:r>
      <w:r w:rsidRPr="00A95790">
        <w:rPr>
          <w:i/>
          <w:iCs/>
        </w:rPr>
        <w:t>Resilience of Buildings to Extreme Weather Events</w:t>
      </w:r>
      <w:r w:rsidRPr="00A95790">
        <w:t>, Draft ABCB Discussion Paper, Canberra.</w:t>
      </w:r>
    </w:p>
    <w:p w14:paraId="218ADB2A" w14:textId="77777777" w:rsidR="00DE1537" w:rsidRPr="00A95790" w:rsidRDefault="00DE1537" w:rsidP="00343F3E">
      <w:pPr>
        <w:pStyle w:val="Reference"/>
      </w:pPr>
      <w:proofErr w:type="gramStart"/>
      <w:r w:rsidRPr="00A95790">
        <w:t xml:space="preserve">ABS (Australian Bureau of Statistics) 2008, </w:t>
      </w:r>
      <w:r w:rsidRPr="00A95790">
        <w:rPr>
          <w:i/>
          <w:iCs/>
        </w:rPr>
        <w:t>Year Book Australia</w:t>
      </w:r>
      <w:r w:rsidRPr="00A95790">
        <w:t>, Cat.</w:t>
      </w:r>
      <w:proofErr w:type="gramEnd"/>
      <w:r w:rsidRPr="00A95790">
        <w:t xml:space="preserve"> </w:t>
      </w:r>
      <w:proofErr w:type="gramStart"/>
      <w:r w:rsidRPr="00A95790">
        <w:t>no</w:t>
      </w:r>
      <w:proofErr w:type="gramEnd"/>
      <w:r w:rsidRPr="00A95790">
        <w:t>. 1301.0, Canberra.</w:t>
      </w:r>
    </w:p>
    <w:p w14:paraId="670695F9" w14:textId="77777777" w:rsidR="00DE1537" w:rsidRPr="00A95790" w:rsidRDefault="00DE1537" w:rsidP="00343F3E">
      <w:pPr>
        <w:pStyle w:val="Reference"/>
      </w:pPr>
      <w:r>
        <w:t>—— </w:t>
      </w:r>
      <w:r w:rsidRPr="00A95790">
        <w:t xml:space="preserve">2014a, </w:t>
      </w:r>
      <w:r w:rsidRPr="00A95790">
        <w:rPr>
          <w:i/>
          <w:iCs/>
        </w:rPr>
        <w:t>Australian National Accounts: National Income, Expenditure and Product</w:t>
      </w:r>
      <w:r w:rsidRPr="00A95790">
        <w:t xml:space="preserve">, Cat. </w:t>
      </w:r>
      <w:proofErr w:type="gramStart"/>
      <w:r w:rsidRPr="00A95790">
        <w:t>no</w:t>
      </w:r>
      <w:proofErr w:type="gramEnd"/>
      <w:r w:rsidRPr="00A95790">
        <w:t>. 5206.0, Canberra.</w:t>
      </w:r>
    </w:p>
    <w:p w14:paraId="02B468BF" w14:textId="77777777" w:rsidR="00DE1537" w:rsidRPr="00A95790" w:rsidRDefault="00DE1537" w:rsidP="00343F3E">
      <w:pPr>
        <w:pStyle w:val="Reference"/>
      </w:pPr>
      <w:r>
        <w:t>—— </w:t>
      </w:r>
      <w:r w:rsidRPr="00A95790">
        <w:t xml:space="preserve">2014b, </w:t>
      </w:r>
      <w:r w:rsidRPr="00A95790">
        <w:rPr>
          <w:i/>
          <w:iCs/>
        </w:rPr>
        <w:t>Australian National Accounts: State Accounts</w:t>
      </w:r>
      <w:r w:rsidRPr="00A95790">
        <w:t xml:space="preserve">, Cat. </w:t>
      </w:r>
      <w:proofErr w:type="gramStart"/>
      <w:r w:rsidRPr="00A95790">
        <w:t>no. 5220, Canberra.</w:t>
      </w:r>
      <w:proofErr w:type="gramEnd"/>
    </w:p>
    <w:p w14:paraId="5E232174" w14:textId="77777777" w:rsidR="00DE1537" w:rsidRPr="00A95790" w:rsidRDefault="00DE1537" w:rsidP="00343F3E">
      <w:pPr>
        <w:pStyle w:val="Reference"/>
      </w:pPr>
      <w:proofErr w:type="gramStart"/>
      <w:r w:rsidRPr="00A95790">
        <w:t xml:space="preserve">ACT Emergency Services Agency 2012, </w:t>
      </w:r>
      <w:r w:rsidRPr="00A95790">
        <w:rPr>
          <w:i/>
          <w:iCs/>
        </w:rPr>
        <w:t>History of the State Emergency Services</w:t>
      </w:r>
      <w:r w:rsidRPr="00A95790">
        <w:t>, http://esa.act.gov.au/wp-content/uploads/history-of-the-ses.pdf (accessed 12 June 2014).</w:t>
      </w:r>
      <w:proofErr w:type="gramEnd"/>
    </w:p>
    <w:p w14:paraId="04C75695" w14:textId="77777777" w:rsidR="00DE1537" w:rsidRPr="00A95790" w:rsidRDefault="00DE1537" w:rsidP="00343F3E">
      <w:pPr>
        <w:pStyle w:val="Reference"/>
      </w:pPr>
      <w:proofErr w:type="gramStart"/>
      <w:r w:rsidRPr="00A95790">
        <w:lastRenderedPageBreak/>
        <w:t xml:space="preserve">ACT Planning and Land Authority 2013, </w:t>
      </w:r>
      <w:r w:rsidRPr="00A95790">
        <w:rPr>
          <w:i/>
          <w:iCs/>
        </w:rPr>
        <w:t>Responsibilities and Functions</w:t>
      </w:r>
      <w:r>
        <w:t xml:space="preserve">, </w:t>
      </w:r>
      <w:r w:rsidRPr="00A95790">
        <w:t>www.actpla.act.</w:t>
      </w:r>
      <w:proofErr w:type="gramEnd"/>
      <w:r>
        <w:br/>
      </w:r>
      <w:r w:rsidRPr="00A95790">
        <w:t>gov.au/about_us/the_organisation/responsibilities_and_functions (accessed 21 August 2014).</w:t>
      </w:r>
    </w:p>
    <w:p w14:paraId="6E514AC6" w14:textId="77777777" w:rsidR="00DE1537" w:rsidRPr="00A95790" w:rsidRDefault="00DE1537" w:rsidP="00343F3E">
      <w:pPr>
        <w:pStyle w:val="Reference"/>
      </w:pPr>
      <w:proofErr w:type="gramStart"/>
      <w:r>
        <w:t>—— </w:t>
      </w:r>
      <w:r w:rsidRPr="00A95790">
        <w:t xml:space="preserve">2014, </w:t>
      </w:r>
      <w:r w:rsidRPr="00A95790">
        <w:rPr>
          <w:i/>
          <w:iCs/>
        </w:rPr>
        <w:t>Reconsiderations of DA Decisions and Appeals</w:t>
      </w:r>
      <w:r>
        <w:t xml:space="preserve">, </w:t>
      </w:r>
      <w:r w:rsidRPr="00A95790">
        <w:t>www.actpla.act.gov.au/topics/</w:t>
      </w:r>
      <w:r>
        <w:br/>
      </w:r>
      <w:r w:rsidRPr="00A95790">
        <w:t>design_build/lodge_da/reconsiderations (accessed 21 August 2014).</w:t>
      </w:r>
      <w:proofErr w:type="gramEnd"/>
    </w:p>
    <w:p w14:paraId="3FAE740F" w14:textId="77777777" w:rsidR="00DE1537" w:rsidRPr="00A95790" w:rsidRDefault="00DE1537" w:rsidP="00343F3E">
      <w:pPr>
        <w:pStyle w:val="Reference"/>
      </w:pPr>
      <w:r w:rsidRPr="00A95790">
        <w:t xml:space="preserve">ACT Revenue Office 2014, </w:t>
      </w:r>
      <w:proofErr w:type="gramStart"/>
      <w:r w:rsidRPr="00A95790">
        <w:rPr>
          <w:i/>
          <w:iCs/>
        </w:rPr>
        <w:t>Insurance</w:t>
      </w:r>
      <w:proofErr w:type="gramEnd"/>
      <w:r>
        <w:t xml:space="preserve">, </w:t>
      </w:r>
      <w:r w:rsidRPr="00A95790">
        <w:t>www.revenue.act.gov.au/duties-and-taxes/duties/</w:t>
      </w:r>
      <w:r>
        <w:br/>
      </w:r>
      <w:r w:rsidRPr="00A95790">
        <w:t>insurance (accessed 4 July 2014).</w:t>
      </w:r>
    </w:p>
    <w:p w14:paraId="22A72D1B" w14:textId="77777777" w:rsidR="00DE1537" w:rsidRPr="00A95790" w:rsidRDefault="00DE1537" w:rsidP="00343F3E">
      <w:pPr>
        <w:pStyle w:val="Reference"/>
      </w:pPr>
      <w:proofErr w:type="gramStart"/>
      <w:r w:rsidRPr="00A95790">
        <w:t xml:space="preserve">ACT Treasury 2014, </w:t>
      </w:r>
      <w:r w:rsidRPr="00A95790">
        <w:rPr>
          <w:i/>
          <w:iCs/>
        </w:rPr>
        <w:t>Tax Reform</w:t>
      </w:r>
      <w:r w:rsidRPr="00A95790">
        <w:t>, http://apps.treasury.act.gov.au/taxreform (accessed 4</w:t>
      </w:r>
      <w:r>
        <w:t> </w:t>
      </w:r>
      <w:r w:rsidRPr="00A95790">
        <w:t>July 2014).</w:t>
      </w:r>
      <w:proofErr w:type="gramEnd"/>
    </w:p>
    <w:p w14:paraId="027A2D7E" w14:textId="77777777" w:rsidR="00DE1537" w:rsidRPr="00A95790" w:rsidRDefault="00DE1537" w:rsidP="00343F3E">
      <w:pPr>
        <w:pStyle w:val="Reference"/>
      </w:pPr>
      <w:r w:rsidRPr="00A95790">
        <w:t xml:space="preserve">Adaptation Sub-Committee 2014, </w:t>
      </w:r>
      <w:r w:rsidRPr="00A95790">
        <w:rPr>
          <w:i/>
          <w:iCs/>
        </w:rPr>
        <w:t>Managing Climate Risks to Well-being and the Economy</w:t>
      </w:r>
      <w:r w:rsidRPr="00A95790">
        <w:t>, United Kingdom Committee on Climate Change, London.</w:t>
      </w:r>
    </w:p>
    <w:p w14:paraId="242FF598" w14:textId="77777777" w:rsidR="00DE1537" w:rsidRPr="00A95790" w:rsidRDefault="00DE1537" w:rsidP="00343F3E">
      <w:pPr>
        <w:pStyle w:val="Reference"/>
      </w:pPr>
      <w:r w:rsidRPr="00A95790">
        <w:t xml:space="preserve">AEMC (Australian Emergency Management Committee) 2005, </w:t>
      </w:r>
      <w:r w:rsidRPr="00A95790">
        <w:rPr>
          <w:i/>
          <w:iCs/>
        </w:rPr>
        <w:t xml:space="preserve">Review of Australia’s Ability to </w:t>
      </w:r>
      <w:proofErr w:type="gramStart"/>
      <w:r w:rsidRPr="00A95790">
        <w:rPr>
          <w:i/>
          <w:iCs/>
        </w:rPr>
        <w:t>Respond</w:t>
      </w:r>
      <w:proofErr w:type="gramEnd"/>
      <w:r w:rsidRPr="00A95790">
        <w:rPr>
          <w:i/>
          <w:iCs/>
        </w:rPr>
        <w:t xml:space="preserve"> to and Recover From Catastrophic Disasters</w:t>
      </w:r>
      <w:r w:rsidRPr="00A95790">
        <w:t>, Canberra.</w:t>
      </w:r>
    </w:p>
    <w:p w14:paraId="5EED9240" w14:textId="77777777" w:rsidR="00DE1537" w:rsidRPr="00A95790" w:rsidRDefault="00DE1537" w:rsidP="00343F3E">
      <w:pPr>
        <w:pStyle w:val="Reference"/>
      </w:pPr>
      <w:proofErr w:type="gramStart"/>
      <w:r w:rsidRPr="00A95790">
        <w:t xml:space="preserve">AEMI (Australian Emergency Management Institute) 2014, </w:t>
      </w:r>
      <w:r w:rsidRPr="00A95790">
        <w:rPr>
          <w:i/>
          <w:iCs/>
        </w:rPr>
        <w:t>Disaster Information</w:t>
      </w:r>
      <w:r>
        <w:t xml:space="preserve">, </w:t>
      </w:r>
      <w:r w:rsidRPr="00A95790">
        <w:t>www.emknowledge.gov.au/disaster-information/ (accessed 17 June 2014).</w:t>
      </w:r>
      <w:proofErr w:type="gramEnd"/>
    </w:p>
    <w:p w14:paraId="5B107D69" w14:textId="77777777" w:rsidR="00DE1537" w:rsidRPr="00A95790" w:rsidRDefault="00DE1537" w:rsidP="00343F3E">
      <w:pPr>
        <w:pStyle w:val="Reference"/>
      </w:pPr>
      <w:r w:rsidRPr="00A95790">
        <w:t xml:space="preserve">Agrawala, S. and Fankhauser, S. 2008, </w:t>
      </w:r>
      <w:r w:rsidRPr="00A95790">
        <w:rPr>
          <w:i/>
          <w:iCs/>
        </w:rPr>
        <w:t>Economic Aspects of Adaptation to Climate Change: Costs, Benefits and Policy Instruments</w:t>
      </w:r>
      <w:r w:rsidRPr="00A95790">
        <w:t>, Organisation for Economic Co</w:t>
      </w:r>
      <w:r>
        <w:noBreakHyphen/>
      </w:r>
      <w:r w:rsidRPr="00A95790">
        <w:t>operation and Development, Paris.</w:t>
      </w:r>
    </w:p>
    <w:p w14:paraId="22A80F05" w14:textId="77777777" w:rsidR="00DE1537" w:rsidRPr="00A95790" w:rsidRDefault="00DE1537" w:rsidP="00343F3E">
      <w:pPr>
        <w:pStyle w:val="Reference"/>
      </w:pPr>
      <w:proofErr w:type="gramStart"/>
      <w:r w:rsidRPr="00A95790">
        <w:t xml:space="preserve">AGRI (Australian Government Reconstruction Inspectorate) 2013, </w:t>
      </w:r>
      <w:r w:rsidRPr="00A95790">
        <w:rPr>
          <w:i/>
          <w:iCs/>
        </w:rPr>
        <w:t>Reconstruction Inspectorate</w:t>
      </w:r>
      <w:r w:rsidRPr="00A95790">
        <w:t>, http://reconstructioninspectorate.gov.au/ (accessed 8 July 2014).</w:t>
      </w:r>
      <w:proofErr w:type="gramEnd"/>
    </w:p>
    <w:p w14:paraId="2454FF8C" w14:textId="77777777" w:rsidR="00DE1537" w:rsidRPr="00A95790" w:rsidRDefault="00DE1537" w:rsidP="00343F3E">
      <w:pPr>
        <w:pStyle w:val="Reference"/>
      </w:pPr>
      <w:proofErr w:type="gramStart"/>
      <w:r w:rsidRPr="00A95790">
        <w:t xml:space="preserve">ANAO (Australian National Audit Office) 2014, </w:t>
      </w:r>
      <w:r w:rsidRPr="00A95790">
        <w:rPr>
          <w:i/>
          <w:iCs/>
        </w:rPr>
        <w:t>Emergency Defence Assistance to the Civil Community</w:t>
      </w:r>
      <w:r w:rsidRPr="00A95790">
        <w:t>, Audit Report No. 24 2013-14, Canberra.</w:t>
      </w:r>
      <w:proofErr w:type="gramEnd"/>
    </w:p>
    <w:p w14:paraId="6BDC5155" w14:textId="77777777" w:rsidR="00DE1537" w:rsidRPr="00A95790" w:rsidRDefault="00DE1537" w:rsidP="00343F3E">
      <w:pPr>
        <w:pStyle w:val="Reference"/>
      </w:pPr>
      <w:r w:rsidRPr="00A95790">
        <w:t xml:space="preserve">Apan, A., Keogh, D.U., King, D., Thomas, M. and Mushtaq, S. 2010, </w:t>
      </w:r>
      <w:proofErr w:type="gramStart"/>
      <w:r w:rsidRPr="00A95790">
        <w:rPr>
          <w:i/>
          <w:iCs/>
        </w:rPr>
        <w:t>The</w:t>
      </w:r>
      <w:proofErr w:type="gramEnd"/>
      <w:r w:rsidRPr="00A95790">
        <w:rPr>
          <w:i/>
          <w:iCs/>
        </w:rPr>
        <w:t xml:space="preserve"> 2008 Floods in Queensland: A Case Study of Vulnerability, Resilience and Adaptive Capacity</w:t>
      </w:r>
      <w:r w:rsidRPr="00A95790">
        <w:t>, National Climate Change Adaptation Research Facility, Gold Coast.</w:t>
      </w:r>
    </w:p>
    <w:p w14:paraId="7E2921E9" w14:textId="77777777" w:rsidR="00DE1537" w:rsidRPr="00A95790" w:rsidRDefault="00DE1537" w:rsidP="00343F3E">
      <w:pPr>
        <w:pStyle w:val="Reference"/>
      </w:pPr>
      <w:r w:rsidRPr="00A95790">
        <w:t xml:space="preserve">APRA (Australian Prudential Regulation Authority) 2012, </w:t>
      </w:r>
      <w:r w:rsidRPr="00A95790">
        <w:rPr>
          <w:i/>
          <w:iCs/>
        </w:rPr>
        <w:t>Regulatory Impact Statement: Life and General Insurance Capital Review</w:t>
      </w:r>
      <w:r w:rsidRPr="00A95790">
        <w:t>, Canberra.</w:t>
      </w:r>
    </w:p>
    <w:p w14:paraId="0B06E767" w14:textId="77777777" w:rsidR="00DE1537" w:rsidRPr="00A95790" w:rsidRDefault="00DE1537" w:rsidP="00343F3E">
      <w:pPr>
        <w:pStyle w:val="Reference"/>
      </w:pPr>
      <w:r>
        <w:t>—— </w:t>
      </w:r>
      <w:r w:rsidRPr="00A95790">
        <w:t xml:space="preserve">2013a, </w:t>
      </w:r>
      <w:r w:rsidRPr="00A95790">
        <w:rPr>
          <w:i/>
          <w:iCs/>
        </w:rPr>
        <w:t>General Insurance Supplementary Statistical Tables</w:t>
      </w:r>
      <w:r w:rsidRPr="00A95790">
        <w:t>, www.apra.gov.au/GI/</w:t>
      </w:r>
      <w:r>
        <w:br/>
      </w:r>
      <w:r w:rsidRPr="00A95790">
        <w:t>Publications/Pages/General-Insurance-Supplementary-Statistical-Tables.aspx (accessed 19 March 2014).</w:t>
      </w:r>
    </w:p>
    <w:p w14:paraId="22E8025B" w14:textId="77777777" w:rsidR="00DE1537" w:rsidRPr="00A95790" w:rsidRDefault="00DE1537" w:rsidP="00343F3E">
      <w:pPr>
        <w:pStyle w:val="Reference"/>
      </w:pPr>
      <w:r>
        <w:t>—— </w:t>
      </w:r>
      <w:r w:rsidRPr="00A95790">
        <w:t xml:space="preserve">2013b, </w:t>
      </w:r>
      <w:r w:rsidRPr="00A95790">
        <w:rPr>
          <w:i/>
          <w:iCs/>
        </w:rPr>
        <w:t>Prudential Standard SPS 220: Risk Management</w:t>
      </w:r>
      <w:r w:rsidRPr="00A95790">
        <w:t>, Canberra.</w:t>
      </w:r>
    </w:p>
    <w:p w14:paraId="39AF2FC8" w14:textId="77777777" w:rsidR="00DE1537" w:rsidRPr="00A95790" w:rsidRDefault="00DE1537" w:rsidP="00343F3E">
      <w:pPr>
        <w:pStyle w:val="Reference"/>
      </w:pPr>
      <w:r>
        <w:t>—— </w:t>
      </w:r>
      <w:r w:rsidRPr="00A95790">
        <w:t xml:space="preserve">2013c, </w:t>
      </w:r>
      <w:r w:rsidRPr="00A95790">
        <w:rPr>
          <w:i/>
          <w:iCs/>
        </w:rPr>
        <w:t>Prudential Standard SPS 530: Investment Governance</w:t>
      </w:r>
      <w:r w:rsidRPr="00A95790">
        <w:t>, Canberra.</w:t>
      </w:r>
    </w:p>
    <w:p w14:paraId="10C8D384" w14:textId="77777777" w:rsidR="00DE1537" w:rsidRPr="00A95790" w:rsidRDefault="00DE1537" w:rsidP="00343F3E">
      <w:pPr>
        <w:pStyle w:val="Reference"/>
      </w:pPr>
      <w:r w:rsidRPr="00A95790">
        <w:t>——</w:t>
      </w:r>
      <w:r>
        <w:t> </w:t>
      </w:r>
      <w:r w:rsidRPr="00A95790">
        <w:t xml:space="preserve">2014, </w:t>
      </w:r>
      <w:r w:rsidRPr="00A95790">
        <w:rPr>
          <w:i/>
          <w:iCs/>
        </w:rPr>
        <w:t>Financial System Inquiry: Response to the Interim Report</w:t>
      </w:r>
      <w:r w:rsidRPr="00A95790">
        <w:t>, Canberra.</w:t>
      </w:r>
    </w:p>
    <w:p w14:paraId="036729DA" w14:textId="77777777" w:rsidR="00DE1537" w:rsidRPr="00A95790" w:rsidRDefault="00DE1537" w:rsidP="00343F3E">
      <w:pPr>
        <w:pStyle w:val="Reference"/>
      </w:pPr>
      <w:r w:rsidRPr="00A95790">
        <w:t xml:space="preserve">Arrow, K.J. and Lind, R.C. 1970, ‘Uncertainty and the evaluation of public investment decisions’, </w:t>
      </w:r>
      <w:r w:rsidRPr="00A95790">
        <w:rPr>
          <w:i/>
          <w:iCs/>
        </w:rPr>
        <w:t>American Economic Review</w:t>
      </w:r>
      <w:r w:rsidRPr="00A95790">
        <w:t>, vol. 60, no. 3, pp. 364–378.</w:t>
      </w:r>
    </w:p>
    <w:p w14:paraId="27BD3AD5" w14:textId="77777777" w:rsidR="00DE1537" w:rsidRPr="00A95790" w:rsidRDefault="00DE1537" w:rsidP="00343F3E">
      <w:pPr>
        <w:pStyle w:val="Reference"/>
      </w:pPr>
      <w:r w:rsidRPr="00A95790">
        <w:t xml:space="preserve">ASBEC (Australian Sustainable Built Environment Council) 2012, </w:t>
      </w:r>
      <w:r w:rsidRPr="00A95790">
        <w:rPr>
          <w:i/>
          <w:iCs/>
        </w:rPr>
        <w:t>Preparing for Change: A Climate Change Adaptation Framework for the Built Environment</w:t>
      </w:r>
      <w:r w:rsidRPr="00A95790">
        <w:t>, Sydney.</w:t>
      </w:r>
    </w:p>
    <w:p w14:paraId="2186BE6B" w14:textId="77777777" w:rsidR="00DE1537" w:rsidRPr="00A95790" w:rsidRDefault="00DE1537" w:rsidP="00343F3E">
      <w:pPr>
        <w:pStyle w:val="Reference"/>
      </w:pPr>
      <w:r w:rsidRPr="00A95790">
        <w:lastRenderedPageBreak/>
        <w:t xml:space="preserve">ASIC (Australian Securities and Investments Commission) 2005, </w:t>
      </w:r>
      <w:r w:rsidRPr="00A95790">
        <w:rPr>
          <w:i/>
          <w:iCs/>
        </w:rPr>
        <w:t>Getting Home Insurance Right: A Report on Home Building Underinsurance</w:t>
      </w:r>
      <w:r w:rsidRPr="00A95790">
        <w:t xml:space="preserve">, Report 54, </w:t>
      </w:r>
      <w:proofErr w:type="gramStart"/>
      <w:r w:rsidRPr="00A95790">
        <w:t>Canberra</w:t>
      </w:r>
      <w:proofErr w:type="gramEnd"/>
      <w:r w:rsidRPr="00A95790">
        <w:t>.</w:t>
      </w:r>
    </w:p>
    <w:p w14:paraId="4943DBD2" w14:textId="77777777" w:rsidR="00DE1537" w:rsidRPr="00A95790" w:rsidRDefault="00DE1537" w:rsidP="00343F3E">
      <w:pPr>
        <w:pStyle w:val="Reference"/>
      </w:pPr>
      <w:r>
        <w:t>—— </w:t>
      </w:r>
      <w:r w:rsidRPr="00A95790">
        <w:t xml:space="preserve">2014a, </w:t>
      </w:r>
      <w:r w:rsidRPr="00A95790">
        <w:rPr>
          <w:i/>
          <w:iCs/>
        </w:rPr>
        <w:t>Financial System Inquiry Interim Report: Submission by the Australian Securities and Investments Commission</w:t>
      </w:r>
      <w:r w:rsidRPr="00A95790">
        <w:t>, Canberra.</w:t>
      </w:r>
    </w:p>
    <w:p w14:paraId="4B54F608" w14:textId="77777777" w:rsidR="00DE1537" w:rsidRPr="00A95790" w:rsidRDefault="00DE1537" w:rsidP="00343F3E">
      <w:pPr>
        <w:pStyle w:val="Reference"/>
      </w:pPr>
      <w:r w:rsidRPr="00A95790">
        <w:t>——</w:t>
      </w:r>
      <w:r>
        <w:t> </w:t>
      </w:r>
      <w:r w:rsidRPr="00A95790">
        <w:t xml:space="preserve">2014b, </w:t>
      </w:r>
      <w:r w:rsidRPr="00A95790">
        <w:rPr>
          <w:i/>
          <w:iCs/>
        </w:rPr>
        <w:t>Review of the Sale of Home Insurance</w:t>
      </w:r>
      <w:r w:rsidRPr="00A95790">
        <w:t>, Report 415, Canberra.</w:t>
      </w:r>
    </w:p>
    <w:p w14:paraId="156F7C95" w14:textId="77777777" w:rsidR="00DE1537" w:rsidRPr="00A95790" w:rsidRDefault="00DE1537" w:rsidP="00343F3E">
      <w:pPr>
        <w:pStyle w:val="Reference"/>
      </w:pPr>
      <w:r w:rsidRPr="00A95790">
        <w:t xml:space="preserve">Attorney-General’s Department various years, </w:t>
      </w:r>
      <w:r w:rsidRPr="00A95790">
        <w:rPr>
          <w:i/>
          <w:iCs/>
        </w:rPr>
        <w:t>Attorney-General’s Department Annual Report</w:t>
      </w:r>
      <w:r w:rsidRPr="00A95790">
        <w:t>, Canberra.</w:t>
      </w:r>
    </w:p>
    <w:p w14:paraId="710B1447" w14:textId="77777777" w:rsidR="00DE1537" w:rsidRPr="00A95790" w:rsidRDefault="00DE1537" w:rsidP="00343F3E">
      <w:pPr>
        <w:pStyle w:val="Reference"/>
      </w:pPr>
      <w:proofErr w:type="gramStart"/>
      <w:r>
        <w:t>—— </w:t>
      </w:r>
      <w:r w:rsidRPr="00A95790">
        <w:t xml:space="preserve">2009, </w:t>
      </w:r>
      <w:r w:rsidRPr="00A95790">
        <w:rPr>
          <w:i/>
          <w:iCs/>
        </w:rPr>
        <w:t>Australian Emergency Management Arrangements</w:t>
      </w:r>
      <w:r w:rsidRPr="00A95790">
        <w:t>, Canberra.</w:t>
      </w:r>
      <w:proofErr w:type="gramEnd"/>
    </w:p>
    <w:p w14:paraId="5115D1D1" w14:textId="77777777" w:rsidR="00DE1537" w:rsidRPr="00A95790" w:rsidRDefault="00DE1537" w:rsidP="00343F3E">
      <w:pPr>
        <w:pStyle w:val="Reference"/>
      </w:pPr>
      <w:proofErr w:type="gramStart"/>
      <w:r>
        <w:t>—— </w:t>
      </w:r>
      <w:r w:rsidRPr="00A95790">
        <w:t xml:space="preserve">2010, </w:t>
      </w:r>
      <w:r w:rsidRPr="00A95790">
        <w:rPr>
          <w:i/>
          <w:iCs/>
        </w:rPr>
        <w:t>Critical Infrastructure Resilience Strategy</w:t>
      </w:r>
      <w:r w:rsidRPr="00A95790">
        <w:t>, Canberra.</w:t>
      </w:r>
      <w:proofErr w:type="gramEnd"/>
    </w:p>
    <w:p w14:paraId="4D1F19AA" w14:textId="77777777" w:rsidR="00DE1537" w:rsidRPr="00A95790" w:rsidRDefault="00DE1537" w:rsidP="00343F3E">
      <w:pPr>
        <w:pStyle w:val="Reference"/>
      </w:pPr>
      <w:r>
        <w:t>—— </w:t>
      </w:r>
      <w:r w:rsidRPr="00A95790">
        <w:t xml:space="preserve">2011, </w:t>
      </w:r>
      <w:r w:rsidRPr="00A95790">
        <w:rPr>
          <w:i/>
          <w:iCs/>
        </w:rPr>
        <w:t>Natural Disaster Relief and Recovery Arrangements: 2011 Determination</w:t>
      </w:r>
      <w:r w:rsidRPr="00A95790">
        <w:t xml:space="preserve">, Version 1, </w:t>
      </w:r>
      <w:proofErr w:type="gramStart"/>
      <w:r w:rsidRPr="00A95790">
        <w:t>Canberra</w:t>
      </w:r>
      <w:proofErr w:type="gramEnd"/>
      <w:r w:rsidRPr="00A95790">
        <w:t>.</w:t>
      </w:r>
    </w:p>
    <w:p w14:paraId="3D286753" w14:textId="77777777" w:rsidR="00DE1537" w:rsidRPr="00A95790" w:rsidRDefault="00DE1537" w:rsidP="00343F3E">
      <w:pPr>
        <w:pStyle w:val="Reference"/>
      </w:pPr>
      <w:r>
        <w:t>—— </w:t>
      </w:r>
      <w:r w:rsidRPr="00A95790">
        <w:t xml:space="preserve">2012a, </w:t>
      </w:r>
      <w:r w:rsidRPr="00A95790">
        <w:rPr>
          <w:i/>
          <w:iCs/>
        </w:rPr>
        <w:t>Natural Disaster Relief and Recovery Arrangements Guideline 7 - Criteria for the Provision of Betterment Funding</w:t>
      </w:r>
      <w:r w:rsidRPr="00A95790">
        <w:t>, Canberra.</w:t>
      </w:r>
    </w:p>
    <w:p w14:paraId="5210A974" w14:textId="77777777" w:rsidR="00DE1537" w:rsidRPr="00A95790" w:rsidRDefault="00DE1537" w:rsidP="00343F3E">
      <w:pPr>
        <w:pStyle w:val="Reference"/>
      </w:pPr>
      <w:r>
        <w:t>—— </w:t>
      </w:r>
      <w:r w:rsidRPr="00A95790">
        <w:t xml:space="preserve">2012b, </w:t>
      </w:r>
      <w:r w:rsidRPr="00A95790">
        <w:rPr>
          <w:i/>
          <w:iCs/>
        </w:rPr>
        <w:t>Natural Disaster Relief and Recovery Arrangements: 2012 Determination</w:t>
      </w:r>
      <w:r w:rsidRPr="00A95790">
        <w:t>, Version 1, Canberra.</w:t>
      </w:r>
    </w:p>
    <w:p w14:paraId="644199DC" w14:textId="77777777" w:rsidR="00DE1537" w:rsidRPr="00A95790" w:rsidRDefault="00DE1537" w:rsidP="00343F3E">
      <w:pPr>
        <w:pStyle w:val="Reference"/>
      </w:pPr>
      <w:r>
        <w:t>—— </w:t>
      </w:r>
      <w:r w:rsidRPr="00A95790">
        <w:t xml:space="preserve">2014a, </w:t>
      </w:r>
      <w:r w:rsidRPr="00A95790">
        <w:rPr>
          <w:i/>
          <w:iCs/>
        </w:rPr>
        <w:t>Australian Government Emergency Management Plans</w:t>
      </w:r>
      <w:r>
        <w:t xml:space="preserve">, </w:t>
      </w:r>
      <w:r w:rsidRPr="00A95790">
        <w:t>www.em.gov.au/</w:t>
      </w:r>
      <w:r>
        <w:br/>
      </w:r>
      <w:r w:rsidRPr="00A95790">
        <w:t>Emergencymanagement/Preparingforemergencies/Plansandarrangements/Pages/AustralianGovernmentEmergencyManagementPlans.aspx (accessed 8 July 2014).</w:t>
      </w:r>
    </w:p>
    <w:p w14:paraId="43B87B24" w14:textId="77777777" w:rsidR="00DE1537" w:rsidRPr="00A95790" w:rsidRDefault="00DE1537" w:rsidP="00343F3E">
      <w:pPr>
        <w:pStyle w:val="Reference"/>
      </w:pPr>
      <w:r>
        <w:t>—— </w:t>
      </w:r>
      <w:r w:rsidRPr="00A95790">
        <w:t xml:space="preserve">2014b, </w:t>
      </w:r>
      <w:r w:rsidRPr="00A95790">
        <w:rPr>
          <w:i/>
          <w:iCs/>
        </w:rPr>
        <w:t>Critical Infrastructure Program for Modelling and Analysis</w:t>
      </w:r>
      <w:r>
        <w:t xml:space="preserve">, </w:t>
      </w:r>
      <w:r w:rsidRPr="00A95790">
        <w:t>www.ag.gov.au/</w:t>
      </w:r>
      <w:r>
        <w:br/>
      </w:r>
      <w:r w:rsidRPr="00A95790">
        <w:t>NationalSecurity/InfrastructureResilience/Pages/CriticalInfrastructureProgramforModellingandAnalysisCIPMA.aspx (accessed 7 October 2014).</w:t>
      </w:r>
    </w:p>
    <w:p w14:paraId="1758F556" w14:textId="77777777" w:rsidR="00DE1537" w:rsidRPr="00A95790" w:rsidRDefault="00DE1537" w:rsidP="00343F3E">
      <w:pPr>
        <w:pStyle w:val="Reference"/>
      </w:pPr>
      <w:r>
        <w:t>—— </w:t>
      </w:r>
      <w:r w:rsidRPr="00A95790">
        <w:t xml:space="preserve">2014c, </w:t>
      </w:r>
      <w:r w:rsidRPr="00A95790">
        <w:rPr>
          <w:i/>
          <w:iCs/>
        </w:rPr>
        <w:t>National Emergency Management Projects</w:t>
      </w:r>
      <w:r>
        <w:t xml:space="preserve">, </w:t>
      </w:r>
      <w:r w:rsidRPr="00A95790">
        <w:t>www.em.gov.au/Funding</w:t>
      </w:r>
      <w:r>
        <w:br/>
      </w:r>
      <w:r w:rsidRPr="00A95790">
        <w:t>initiatives/NationalEmergencyManagementProjects/Pages/default.aspx (accessed 8 July 2014).</w:t>
      </w:r>
    </w:p>
    <w:p w14:paraId="4AC8B53D" w14:textId="77777777" w:rsidR="00DE1537" w:rsidRPr="00A95790" w:rsidRDefault="00DE1537" w:rsidP="00343F3E">
      <w:pPr>
        <w:pStyle w:val="Reference"/>
      </w:pPr>
      <w:r>
        <w:t>—— </w:t>
      </w:r>
      <w:r w:rsidRPr="00A95790">
        <w:t xml:space="preserve">2014d, </w:t>
      </w:r>
      <w:r w:rsidRPr="00A95790">
        <w:rPr>
          <w:i/>
          <w:iCs/>
        </w:rPr>
        <w:t>National Emergency Management Projects 2013-2014</w:t>
      </w:r>
      <w:r>
        <w:t xml:space="preserve">, </w:t>
      </w:r>
      <w:r w:rsidRPr="00A95790">
        <w:t>www.em.gov.au/</w:t>
      </w:r>
      <w:r>
        <w:br/>
      </w:r>
      <w:r w:rsidRPr="00A95790">
        <w:t>Fundinginitiatives/NationalEmergencyManagementProjects/Pages/NationalEmergencyManagementProjects20132014.aspx (accessed 8 July 2014).</w:t>
      </w:r>
    </w:p>
    <w:p w14:paraId="10DDCC90" w14:textId="77777777" w:rsidR="00DE1537" w:rsidRPr="00A95790" w:rsidRDefault="00DE1537" w:rsidP="00343F3E">
      <w:pPr>
        <w:pStyle w:val="Reference"/>
      </w:pPr>
      <w:r>
        <w:t>—— </w:t>
      </w:r>
      <w:r w:rsidRPr="00A95790">
        <w:t xml:space="preserve">2014e, </w:t>
      </w:r>
      <w:r w:rsidRPr="00A95790">
        <w:rPr>
          <w:i/>
          <w:iCs/>
        </w:rPr>
        <w:t>Natural Disaster Relief and Recovery Arrangements - State and Territory Expenditure Thresholds</w:t>
      </w:r>
      <w:r>
        <w:t xml:space="preserve">, </w:t>
      </w:r>
      <w:r w:rsidRPr="00A95790">
        <w:t>www.disasterassist.gov.au/NDRRADetermination/Documents</w:t>
      </w:r>
      <w:r>
        <w:br/>
      </w:r>
      <w:r w:rsidRPr="00A95790">
        <w:t>/natural-disaster-relief-and-recovery-arrangements-state-and-territory-thresholds.pdf (accessed 27 August 2014).</w:t>
      </w:r>
    </w:p>
    <w:p w14:paraId="27FD7D44" w14:textId="77777777" w:rsidR="00DE1537" w:rsidRPr="00A95790" w:rsidRDefault="00DE1537" w:rsidP="00343F3E">
      <w:pPr>
        <w:pStyle w:val="Reference"/>
      </w:pPr>
      <w:proofErr w:type="gramStart"/>
      <w:r w:rsidRPr="00A95790">
        <w:t xml:space="preserve">Australian Government 2013a, </w:t>
      </w:r>
      <w:r w:rsidRPr="00A95790">
        <w:rPr>
          <w:i/>
          <w:iCs/>
        </w:rPr>
        <w:t>Australia-New Zealand Emergency Management Committee</w:t>
      </w:r>
      <w:r>
        <w:t xml:space="preserve">, </w:t>
      </w:r>
      <w:r w:rsidRPr="00A95790">
        <w:t>www.directory.gov.au/directory?ea0_lf99_120.&amp;organizationalUnit&amp;f533</w:t>
      </w:r>
      <w:r>
        <w:br/>
      </w:r>
      <w:r w:rsidRPr="00A95790">
        <w:t>7aee-8f5e-4a76-a913-428104150b5d (accessed 23 June 2014).</w:t>
      </w:r>
      <w:proofErr w:type="gramEnd"/>
    </w:p>
    <w:p w14:paraId="42BB6216" w14:textId="77777777" w:rsidR="00DE1537" w:rsidRPr="00A95790" w:rsidRDefault="00DE1537" w:rsidP="00343F3E">
      <w:pPr>
        <w:pStyle w:val="Reference"/>
      </w:pPr>
      <w:r>
        <w:t>—— </w:t>
      </w:r>
      <w:r w:rsidRPr="00A95790">
        <w:t xml:space="preserve">2013b, </w:t>
      </w:r>
      <w:r w:rsidRPr="00A95790">
        <w:rPr>
          <w:i/>
          <w:iCs/>
        </w:rPr>
        <w:t>Best Practice Regulation Handbook</w:t>
      </w:r>
      <w:r w:rsidRPr="00A95790">
        <w:t>, Canberra.</w:t>
      </w:r>
    </w:p>
    <w:p w14:paraId="29AEAB4D" w14:textId="77777777" w:rsidR="00DE1537" w:rsidRPr="00A95790" w:rsidRDefault="00DE1537" w:rsidP="00343F3E">
      <w:pPr>
        <w:pStyle w:val="Reference"/>
      </w:pPr>
      <w:r>
        <w:t>—— </w:t>
      </w:r>
      <w:r w:rsidRPr="00A95790">
        <w:t xml:space="preserve">2014a, </w:t>
      </w:r>
      <w:r w:rsidRPr="00A95790">
        <w:rPr>
          <w:i/>
          <w:iCs/>
        </w:rPr>
        <w:t>Natural Disaster Relief and Recovery Arrangements</w:t>
      </w:r>
      <w:r>
        <w:t xml:space="preserve">, </w:t>
      </w:r>
      <w:r w:rsidRPr="00A95790">
        <w:t>www.disasterassist.</w:t>
      </w:r>
      <w:r>
        <w:br/>
      </w:r>
      <w:r w:rsidRPr="00A95790">
        <w:t>gov.au/NDRRADetermination/Pages/default.aspx (accessed 17 June 2014).</w:t>
      </w:r>
    </w:p>
    <w:p w14:paraId="2CEE837D" w14:textId="77777777" w:rsidR="00DE1537" w:rsidRPr="00A95790" w:rsidRDefault="00DE1537" w:rsidP="00343F3E">
      <w:pPr>
        <w:pStyle w:val="Reference"/>
      </w:pPr>
      <w:r>
        <w:lastRenderedPageBreak/>
        <w:t>—— </w:t>
      </w:r>
      <w:r w:rsidRPr="00A95790">
        <w:t xml:space="preserve">2014b, </w:t>
      </w:r>
      <w:r w:rsidRPr="00A95790">
        <w:rPr>
          <w:i/>
          <w:iCs/>
        </w:rPr>
        <w:t>Natural Disasters in Australia</w:t>
      </w:r>
      <w:r w:rsidRPr="00A95790">
        <w:t>, http://australia.gov.au/about-australia/</w:t>
      </w:r>
      <w:r>
        <w:br/>
      </w:r>
      <w:r w:rsidRPr="00A95790">
        <w:t>australian-story/natural-disasters (accessed 10 June 2014).</w:t>
      </w:r>
    </w:p>
    <w:p w14:paraId="55371612" w14:textId="77777777" w:rsidR="00DE1537" w:rsidRPr="00A95790" w:rsidRDefault="00DE1537" w:rsidP="00343F3E">
      <w:pPr>
        <w:pStyle w:val="Reference"/>
      </w:pPr>
      <w:r w:rsidRPr="00A95790">
        <w:t xml:space="preserve">Australian Government Actuary 2012, </w:t>
      </w:r>
      <w:r w:rsidRPr="00A95790">
        <w:rPr>
          <w:i/>
          <w:iCs/>
        </w:rPr>
        <w:t>Report on Investigation into Strata Title Insurance Price Rises in North Queensland</w:t>
      </w:r>
      <w:r w:rsidRPr="00A95790">
        <w:t>, Canberra.</w:t>
      </w:r>
    </w:p>
    <w:p w14:paraId="3D568B34" w14:textId="77777777" w:rsidR="00DE1537" w:rsidRPr="00A95790" w:rsidRDefault="00DE1537" w:rsidP="00343F3E">
      <w:pPr>
        <w:pStyle w:val="Reference"/>
      </w:pPr>
      <w:r>
        <w:t>—— </w:t>
      </w:r>
      <w:r w:rsidRPr="00A95790">
        <w:t xml:space="preserve">2014a, </w:t>
      </w:r>
      <w:r w:rsidRPr="00A95790">
        <w:rPr>
          <w:i/>
          <w:iCs/>
        </w:rPr>
        <w:t>Report on Home and Contents Insurance Prices in North Queensland</w:t>
      </w:r>
      <w:r w:rsidRPr="00A95790">
        <w:t>, Canberra.</w:t>
      </w:r>
    </w:p>
    <w:p w14:paraId="3C271B7D" w14:textId="77777777" w:rsidR="00DE1537" w:rsidRPr="00A95790" w:rsidRDefault="00DE1537" w:rsidP="00343F3E">
      <w:pPr>
        <w:pStyle w:val="Reference"/>
      </w:pPr>
      <w:r>
        <w:t>—— </w:t>
      </w:r>
      <w:r w:rsidRPr="00A95790">
        <w:t xml:space="preserve">2014b, </w:t>
      </w:r>
      <w:r w:rsidRPr="00A95790">
        <w:rPr>
          <w:i/>
          <w:iCs/>
        </w:rPr>
        <w:t>Second Report on Strata Title Insurance Price Rises in North Queensland</w:t>
      </w:r>
      <w:r w:rsidRPr="00A95790">
        <w:t>, Canberra.</w:t>
      </w:r>
    </w:p>
    <w:p w14:paraId="43565CD5" w14:textId="77777777" w:rsidR="00DE1537" w:rsidRPr="00A95790" w:rsidRDefault="00DE1537" w:rsidP="00343F3E">
      <w:pPr>
        <w:pStyle w:val="Reference"/>
      </w:pPr>
      <w:proofErr w:type="gramStart"/>
      <w:r w:rsidRPr="00A95790">
        <w:t xml:space="preserve">Australian Resilience Taskforce 2014, </w:t>
      </w:r>
      <w:r w:rsidRPr="00A95790">
        <w:rPr>
          <w:i/>
          <w:iCs/>
        </w:rPr>
        <w:t>Building Resilience Rating Tool</w:t>
      </w:r>
      <w:r w:rsidRPr="00A95790">
        <w:t>, www.building</w:t>
      </w:r>
      <w:r>
        <w:br/>
      </w:r>
      <w:r w:rsidRPr="00A95790">
        <w:t>resilience.org.au/brrt (accessed 29 July 2014).</w:t>
      </w:r>
      <w:proofErr w:type="gramEnd"/>
    </w:p>
    <w:p w14:paraId="633429B9" w14:textId="77777777" w:rsidR="00DE1537" w:rsidRPr="00A95790" w:rsidRDefault="00DE1537" w:rsidP="00343F3E">
      <w:pPr>
        <w:pStyle w:val="Reference"/>
      </w:pPr>
      <w:r w:rsidRPr="00A95790">
        <w:t xml:space="preserve">Baker and McKenzie 2011, </w:t>
      </w:r>
      <w:r w:rsidRPr="00A95790">
        <w:rPr>
          <w:i/>
          <w:iCs/>
        </w:rPr>
        <w:t>Local Council Risk of Liability in the Face of Climate Change – Resolving Uncertainties</w:t>
      </w:r>
      <w:r w:rsidRPr="00A95790">
        <w:t>, report for the Australian Local Government Association, Sydney.</w:t>
      </w:r>
    </w:p>
    <w:p w14:paraId="63318FF2" w14:textId="77777777" w:rsidR="00DE1537" w:rsidRPr="00A95790" w:rsidRDefault="00DE1537" w:rsidP="00343F3E">
      <w:pPr>
        <w:pStyle w:val="Reference"/>
      </w:pPr>
      <w:r w:rsidRPr="00A95790">
        <w:t xml:space="preserve">Baker, R. and Ruting, B. 2014, </w:t>
      </w:r>
      <w:r w:rsidRPr="00A95790">
        <w:rPr>
          <w:i/>
          <w:iCs/>
        </w:rPr>
        <w:t>Environmental Policy Analysis: A Guide to Non-Market Valuation</w:t>
      </w:r>
      <w:r w:rsidRPr="00A95790">
        <w:t>, Productivity Commission Staff Working Paper, Canberra.</w:t>
      </w:r>
    </w:p>
    <w:p w14:paraId="7F6C2CC6" w14:textId="77777777" w:rsidR="00DE1537" w:rsidRPr="00A95790" w:rsidRDefault="00DE1537" w:rsidP="00343F3E">
      <w:pPr>
        <w:pStyle w:val="Reference"/>
      </w:pPr>
      <w:r w:rsidRPr="00A95790">
        <w:t xml:space="preserve">Banerjee, S. and Ewing, R. 2004, ‘Risk, wellbeing and public policy’, </w:t>
      </w:r>
      <w:r w:rsidRPr="00A95790">
        <w:rPr>
          <w:i/>
          <w:iCs/>
        </w:rPr>
        <w:t>Economic Roundup</w:t>
      </w:r>
      <w:r w:rsidRPr="00A95790">
        <w:t xml:space="preserve">, </w:t>
      </w:r>
      <w:proofErr w:type="gramStart"/>
      <w:r w:rsidRPr="00A95790">
        <w:t>Winter</w:t>
      </w:r>
      <w:proofErr w:type="gramEnd"/>
      <w:r w:rsidRPr="00A95790">
        <w:t>, pp. 21–44.</w:t>
      </w:r>
    </w:p>
    <w:p w14:paraId="73FE9D6A" w14:textId="77777777" w:rsidR="00DE1537" w:rsidRPr="00A95790" w:rsidRDefault="00DE1537" w:rsidP="00343F3E">
      <w:pPr>
        <w:pStyle w:val="Reference"/>
      </w:pPr>
      <w:r w:rsidRPr="00A95790">
        <w:t xml:space="preserve">Barthel, F. and Neumayer, E. 2012, ‘A trend analysis of normalized insured damage from natural disasters’, </w:t>
      </w:r>
      <w:r w:rsidRPr="00A95790">
        <w:rPr>
          <w:i/>
          <w:iCs/>
        </w:rPr>
        <w:t>Climatic Change</w:t>
      </w:r>
      <w:r w:rsidRPr="00A95790">
        <w:t>, vol. 113, no. 2, pp. 215–237.</w:t>
      </w:r>
    </w:p>
    <w:p w14:paraId="09E9E485" w14:textId="77777777" w:rsidR="00DE1537" w:rsidRPr="00A95790" w:rsidRDefault="00DE1537" w:rsidP="00343F3E">
      <w:pPr>
        <w:pStyle w:val="Reference"/>
      </w:pPr>
      <w:r w:rsidRPr="00A95790">
        <w:t xml:space="preserve">Binder, M. 2002, </w:t>
      </w:r>
      <w:r w:rsidRPr="00A95790">
        <w:rPr>
          <w:i/>
          <w:iCs/>
        </w:rPr>
        <w:t>The Role of Risk and Cost-Benefit Analysis in Determining Quarantine Measures</w:t>
      </w:r>
      <w:r w:rsidRPr="00A95790">
        <w:t>, Productivity Commission Staff Research Paper, Canberra.</w:t>
      </w:r>
    </w:p>
    <w:p w14:paraId="6CF08347" w14:textId="77777777" w:rsidR="00DE1537" w:rsidRPr="00A95790" w:rsidRDefault="00DE1537" w:rsidP="00343F3E">
      <w:pPr>
        <w:pStyle w:val="Reference"/>
      </w:pPr>
      <w:proofErr w:type="gramStart"/>
      <w:r w:rsidRPr="00A95790">
        <w:t xml:space="preserve">Bird, J. 2014, </w:t>
      </w:r>
      <w:r w:rsidRPr="00A95790">
        <w:rPr>
          <w:i/>
          <w:iCs/>
        </w:rPr>
        <w:t>Home and Contents Insurance Reviews</w:t>
      </w:r>
      <w:r>
        <w:t xml:space="preserve">, </w:t>
      </w:r>
      <w:r w:rsidRPr="00A95790">
        <w:t>www.choice.com.au/reviews-and-tests/money/insurance/house-and-car/home-and-contents-insurance-review-and-compare/page/flood-cover.aspx (accessed 18 March 2014).</w:t>
      </w:r>
      <w:proofErr w:type="gramEnd"/>
    </w:p>
    <w:p w14:paraId="61E92723" w14:textId="77777777" w:rsidR="00DE1537" w:rsidRPr="00A95790" w:rsidRDefault="00DE1537" w:rsidP="00343F3E">
      <w:pPr>
        <w:pStyle w:val="Reference"/>
      </w:pPr>
      <w:proofErr w:type="gramStart"/>
      <w:r w:rsidRPr="00A95790">
        <w:t xml:space="preserve">BOM and CSIRO (Bureau of Meteorology and Commonwealth Scientific and Industrial Research Organisation) 2014, </w:t>
      </w:r>
      <w:r w:rsidRPr="00A95790">
        <w:rPr>
          <w:i/>
          <w:iCs/>
        </w:rPr>
        <w:t>State of the Climate 2014</w:t>
      </w:r>
      <w:r w:rsidRPr="00A95790">
        <w:t>, Canberra.</w:t>
      </w:r>
      <w:proofErr w:type="gramEnd"/>
    </w:p>
    <w:p w14:paraId="488F5C94" w14:textId="77777777" w:rsidR="00DE1537" w:rsidRPr="00A95790" w:rsidRDefault="00DE1537" w:rsidP="00343F3E">
      <w:pPr>
        <w:pStyle w:val="Reference"/>
      </w:pPr>
      <w:r w:rsidRPr="00A95790">
        <w:t>Bouwer, L.M. 2011, ‘Have disaster losses increased due to anthropogenic climate change?</w:t>
      </w:r>
      <w:proofErr w:type="gramStart"/>
      <w:r w:rsidRPr="00A95790">
        <w:t>’,</w:t>
      </w:r>
      <w:proofErr w:type="gramEnd"/>
      <w:r w:rsidRPr="00A95790">
        <w:t xml:space="preserve"> </w:t>
      </w:r>
      <w:r w:rsidRPr="00A95790">
        <w:rPr>
          <w:i/>
          <w:iCs/>
        </w:rPr>
        <w:t>Bulletin of the American Meteorological Society</w:t>
      </w:r>
      <w:r w:rsidRPr="00A95790">
        <w:t>, vol. 92, no. 1, pp. 39–46.</w:t>
      </w:r>
    </w:p>
    <w:p w14:paraId="3EDF8510" w14:textId="77777777" w:rsidR="00DE1537" w:rsidRPr="00A95790" w:rsidRDefault="00DE1537" w:rsidP="00343F3E">
      <w:pPr>
        <w:pStyle w:val="Reference"/>
      </w:pPr>
      <w:proofErr w:type="gramStart"/>
      <w:r w:rsidRPr="00A95790">
        <w:t xml:space="preserve">BRCIM (Bushfires Royal Commission Implementation Monitor) 2013, </w:t>
      </w:r>
      <w:r w:rsidRPr="00A95790">
        <w:rPr>
          <w:i/>
          <w:iCs/>
        </w:rPr>
        <w:t>2013 Annual Report</w:t>
      </w:r>
      <w:r w:rsidRPr="00A95790">
        <w:t>, Melbourne.</w:t>
      </w:r>
      <w:proofErr w:type="gramEnd"/>
    </w:p>
    <w:p w14:paraId="200094DA" w14:textId="77777777" w:rsidR="00DE1537" w:rsidRPr="00A95790" w:rsidRDefault="00DE1537" w:rsidP="00343F3E">
      <w:pPr>
        <w:pStyle w:val="Reference"/>
      </w:pPr>
      <w:r w:rsidRPr="00A95790">
        <w:t xml:space="preserve">Bruggeman, V. 2010, </w:t>
      </w:r>
      <w:r w:rsidRPr="00A95790">
        <w:rPr>
          <w:i/>
          <w:iCs/>
        </w:rPr>
        <w:t>Compensating Catastrophe Victims: A Comparative Law and Economics Approach</w:t>
      </w:r>
      <w:r w:rsidRPr="00A95790">
        <w:t>, Kluwer Law International, Alphen aan den Rijn, The</w:t>
      </w:r>
      <w:r>
        <w:t> </w:t>
      </w:r>
      <w:r w:rsidRPr="00A95790">
        <w:t>Netherlands.</w:t>
      </w:r>
    </w:p>
    <w:p w14:paraId="515B2119" w14:textId="77777777" w:rsidR="00DE1537" w:rsidRPr="00A95790" w:rsidRDefault="00DE1537" w:rsidP="00343F3E">
      <w:pPr>
        <w:pStyle w:val="Reference"/>
      </w:pPr>
      <w:r w:rsidRPr="00A95790">
        <w:t xml:space="preserve">BTE (Bureau of Transport Economics) 2001, </w:t>
      </w:r>
      <w:r w:rsidRPr="00A95790">
        <w:rPr>
          <w:i/>
          <w:iCs/>
        </w:rPr>
        <w:t>Economic Costs of Natural Disasters in Australia</w:t>
      </w:r>
      <w:r w:rsidRPr="00A95790">
        <w:t>, report no.</w:t>
      </w:r>
      <w:r>
        <w:t> </w:t>
      </w:r>
      <w:r w:rsidRPr="00A95790">
        <w:t>103, Canberra.</w:t>
      </w:r>
    </w:p>
    <w:p w14:paraId="301194E0" w14:textId="77777777" w:rsidR="00DE1537" w:rsidRPr="00A95790" w:rsidRDefault="00DE1537" w:rsidP="00343F3E">
      <w:pPr>
        <w:pStyle w:val="Reference"/>
      </w:pPr>
      <w:r w:rsidRPr="00A95790">
        <w:t xml:space="preserve">BTRE (Bureau of Transport and Regional Economics) 2002, </w:t>
      </w:r>
      <w:r w:rsidRPr="00A95790">
        <w:rPr>
          <w:i/>
          <w:iCs/>
        </w:rPr>
        <w:t>Benefits of Flood Mitigation in Australia</w:t>
      </w:r>
      <w:r w:rsidRPr="00A95790">
        <w:t>, report no.</w:t>
      </w:r>
      <w:r>
        <w:t> </w:t>
      </w:r>
      <w:r w:rsidRPr="00A95790">
        <w:t>106, Canberra.</w:t>
      </w:r>
    </w:p>
    <w:p w14:paraId="2D891238" w14:textId="77777777" w:rsidR="00DE1537" w:rsidRPr="00A95790" w:rsidRDefault="00DE1537" w:rsidP="00343F3E">
      <w:pPr>
        <w:pStyle w:val="Reference"/>
      </w:pPr>
      <w:r w:rsidRPr="00A95790">
        <w:lastRenderedPageBreak/>
        <w:t xml:space="preserve">Cavallo, A. and Ireland, V. 2014, ‘Preparing for complex interdependent risks: A system of systems approach to building disaster resilience’, </w:t>
      </w:r>
      <w:r w:rsidRPr="00A95790">
        <w:rPr>
          <w:i/>
          <w:iCs/>
        </w:rPr>
        <w:t>International Journal of Disaster Risk Reduction</w:t>
      </w:r>
      <w:r w:rsidRPr="00A95790">
        <w:t>, vol. 9, pp. 181–193.</w:t>
      </w:r>
    </w:p>
    <w:p w14:paraId="7E8CB4B3" w14:textId="77777777" w:rsidR="00DE1537" w:rsidRPr="00A95790" w:rsidRDefault="00DE1537" w:rsidP="00343F3E">
      <w:pPr>
        <w:pStyle w:val="Reference"/>
      </w:pPr>
      <w:r w:rsidRPr="00A95790">
        <w:t xml:space="preserve">Cavallo, E. and Noy, I. 2010, </w:t>
      </w:r>
      <w:proofErr w:type="gramStart"/>
      <w:r w:rsidRPr="00A95790">
        <w:rPr>
          <w:i/>
          <w:iCs/>
        </w:rPr>
        <w:t>The</w:t>
      </w:r>
      <w:proofErr w:type="gramEnd"/>
      <w:r w:rsidRPr="00A95790">
        <w:rPr>
          <w:i/>
          <w:iCs/>
        </w:rPr>
        <w:t xml:space="preserve"> Economics of Natural Disasters – A Survey</w:t>
      </w:r>
      <w:r w:rsidRPr="00A95790">
        <w:t>, IDB Working Paper Series No. IDB-WP-124, Inter-American Development Bank, Washington DC.</w:t>
      </w:r>
    </w:p>
    <w:p w14:paraId="76FD265E" w14:textId="77777777" w:rsidR="00DE1537" w:rsidRPr="00A95790" w:rsidRDefault="00DE1537" w:rsidP="00343F3E">
      <w:pPr>
        <w:pStyle w:val="Reference"/>
      </w:pPr>
      <w:proofErr w:type="gramStart"/>
      <w:r w:rsidRPr="00A95790">
        <w:t xml:space="preserve">CERA (Canterbury Earthquake Recovery Authority) 2012, </w:t>
      </w:r>
      <w:r w:rsidRPr="00A95790">
        <w:rPr>
          <w:i/>
          <w:iCs/>
        </w:rPr>
        <w:t>Recovery Strategy for Greater Christchurch</w:t>
      </w:r>
      <w:r w:rsidRPr="00A95790">
        <w:t>, Christchurch.</w:t>
      </w:r>
      <w:proofErr w:type="gramEnd"/>
    </w:p>
    <w:p w14:paraId="68B5E134" w14:textId="77777777" w:rsidR="00DE1537" w:rsidRPr="00A95790" w:rsidRDefault="00DE1537" w:rsidP="00343F3E">
      <w:pPr>
        <w:pStyle w:val="Reference"/>
      </w:pPr>
      <w:proofErr w:type="gramStart"/>
      <w:r w:rsidRPr="00A95790">
        <w:t>—</w:t>
      </w:r>
      <w:r>
        <w:t>— </w:t>
      </w:r>
      <w:r w:rsidRPr="00A95790">
        <w:t xml:space="preserve">2013, </w:t>
      </w:r>
      <w:r w:rsidRPr="00A95790">
        <w:rPr>
          <w:i/>
          <w:iCs/>
        </w:rPr>
        <w:t>Annual Report 2013</w:t>
      </w:r>
      <w:r w:rsidRPr="00A95790">
        <w:t>, Christchurch.</w:t>
      </w:r>
      <w:proofErr w:type="gramEnd"/>
    </w:p>
    <w:p w14:paraId="248D67E0" w14:textId="77777777" w:rsidR="00DE1537" w:rsidRPr="00A95790" w:rsidRDefault="00DE1537" w:rsidP="00343F3E">
      <w:pPr>
        <w:pStyle w:val="Reference"/>
      </w:pPr>
      <w:proofErr w:type="gramStart"/>
      <w:r>
        <w:t>—— </w:t>
      </w:r>
      <w:r w:rsidRPr="00A95790">
        <w:t xml:space="preserve">2014, </w:t>
      </w:r>
      <w:r w:rsidRPr="00A95790">
        <w:rPr>
          <w:i/>
          <w:iCs/>
        </w:rPr>
        <w:t>Land Zones</w:t>
      </w:r>
      <w:r w:rsidRPr="00A95790">
        <w:t>, http://cera.govt.nz/land-information/land-zones (accessed 31 July 2014).</w:t>
      </w:r>
      <w:proofErr w:type="gramEnd"/>
    </w:p>
    <w:p w14:paraId="5FD6CA00" w14:textId="77777777" w:rsidR="00DE1537" w:rsidRPr="00A95790" w:rsidRDefault="00DE1537" w:rsidP="00343F3E">
      <w:pPr>
        <w:pStyle w:val="Reference"/>
      </w:pPr>
      <w:r w:rsidRPr="00A95790">
        <w:t xml:space="preserve">CFDA (Catalog of Federal Domestic Assistance) nd, </w:t>
      </w:r>
      <w:r w:rsidRPr="00A95790">
        <w:rPr>
          <w:i/>
          <w:iCs/>
        </w:rPr>
        <w:t>Federal Disaster Assistance to Individuals and Households in Presidential Declared Disaster Areas</w:t>
      </w:r>
      <w:r w:rsidRPr="00A95790">
        <w:t>, www.cfda.gov/</w:t>
      </w:r>
      <w:r>
        <w:br/>
      </w:r>
      <w:r w:rsidRPr="00A95790">
        <w:t>index</w:t>
      </w:r>
      <w:proofErr w:type="gramStart"/>
      <w:r w:rsidRPr="00A95790">
        <w:t>?s</w:t>
      </w:r>
      <w:proofErr w:type="gramEnd"/>
      <w:r w:rsidRPr="00A95790">
        <w:t>=program&amp;mode=form&amp;tab=core&amp;id=f6da1d45810866420c3fc67b94e35a4a (accessed 20 August 2014).</w:t>
      </w:r>
    </w:p>
    <w:p w14:paraId="4E1042BB" w14:textId="77777777" w:rsidR="00DE1537" w:rsidRPr="00A95790" w:rsidRDefault="00DE1537" w:rsidP="00343F3E">
      <w:pPr>
        <w:pStyle w:val="Reference"/>
      </w:pPr>
      <w:r w:rsidRPr="00A95790">
        <w:t xml:space="preserve">CGC (Commonwealth Grants Commission) 2013, </w:t>
      </w:r>
      <w:r w:rsidRPr="00A95790">
        <w:rPr>
          <w:i/>
          <w:iCs/>
        </w:rPr>
        <w:t>Key information</w:t>
      </w:r>
      <w:r w:rsidRPr="00A95790">
        <w:t>, https://cgc.gov.au/</w:t>
      </w:r>
      <w:r>
        <w:br/>
      </w:r>
      <w:r w:rsidRPr="00A95790">
        <w:t>index.php</w:t>
      </w:r>
      <w:proofErr w:type="gramStart"/>
      <w:r w:rsidRPr="00A95790">
        <w:t>?option</w:t>
      </w:r>
      <w:proofErr w:type="gramEnd"/>
      <w:r w:rsidRPr="00A95790">
        <w:t>=com_content&amp;view=article&amp;id=35:key-information&amp;catid=29&amp;</w:t>
      </w:r>
      <w:r>
        <w:br/>
      </w:r>
      <w:r w:rsidRPr="00A95790">
        <w:t>Itemid=151 (accessed 5 March 2014).</w:t>
      </w:r>
    </w:p>
    <w:p w14:paraId="60DCECE1" w14:textId="77777777" w:rsidR="00DE1537" w:rsidRPr="00A95790" w:rsidRDefault="00DE1537" w:rsidP="00343F3E">
      <w:pPr>
        <w:pStyle w:val="Reference"/>
      </w:pPr>
      <w:r w:rsidRPr="00A95790">
        <w:t xml:space="preserve">Chakrabarti, P.G.D. 2012, </w:t>
      </w:r>
      <w:r w:rsidRPr="00A95790">
        <w:rPr>
          <w:i/>
          <w:iCs/>
        </w:rPr>
        <w:t>Federalism and Disaster Management</w:t>
      </w:r>
      <w:r>
        <w:t>, Occasional Paper Series</w:t>
      </w:r>
      <w:r w:rsidRPr="00A95790">
        <w:t xml:space="preserve"> Number 10, Forum of Federations, Ottawa.</w:t>
      </w:r>
    </w:p>
    <w:p w14:paraId="167851A0" w14:textId="77777777" w:rsidR="00DE1537" w:rsidRPr="00A95790" w:rsidRDefault="00DE1537" w:rsidP="00343F3E">
      <w:pPr>
        <w:pStyle w:val="Reference"/>
      </w:pPr>
      <w:r w:rsidRPr="00A95790">
        <w:t xml:space="preserve">Chan, C., Forwood, D., Roper, H. and Sayers, C. 2009, </w:t>
      </w:r>
      <w:r w:rsidRPr="00A95790">
        <w:rPr>
          <w:i/>
          <w:iCs/>
        </w:rPr>
        <w:t>Public Infrastructure Financing: An International Perspective</w:t>
      </w:r>
      <w:r w:rsidRPr="00A95790">
        <w:t xml:space="preserve">, Productivity Commission Staff Working Paper, </w:t>
      </w:r>
      <w:proofErr w:type="gramStart"/>
      <w:r w:rsidRPr="00A95790">
        <w:t>Canberra</w:t>
      </w:r>
      <w:proofErr w:type="gramEnd"/>
      <w:r w:rsidRPr="00A95790">
        <w:t>.</w:t>
      </w:r>
    </w:p>
    <w:p w14:paraId="20E03175" w14:textId="77777777" w:rsidR="00DE1537" w:rsidRPr="00A95790" w:rsidRDefault="00DE1537" w:rsidP="00343F3E">
      <w:pPr>
        <w:pStyle w:val="Reference"/>
      </w:pPr>
      <w:r w:rsidRPr="00A95790">
        <w:t xml:space="preserve">COAG (Council of Australian Governments) 2002, </w:t>
      </w:r>
      <w:r w:rsidRPr="00A95790">
        <w:rPr>
          <w:i/>
          <w:iCs/>
        </w:rPr>
        <w:t>Natural Disasters in Australia: Reforming Mitigation, Relief and Recovery Arrangements</w:t>
      </w:r>
      <w:r w:rsidRPr="00A95790">
        <w:t>, report to the Council of Australian Governments by a high level officials’ group, Canberra.</w:t>
      </w:r>
    </w:p>
    <w:p w14:paraId="53D6102C" w14:textId="77777777" w:rsidR="00DE1537" w:rsidRPr="00A95790" w:rsidRDefault="00DE1537" w:rsidP="00343F3E">
      <w:pPr>
        <w:pStyle w:val="Reference"/>
      </w:pPr>
      <w:proofErr w:type="gramStart"/>
      <w:r>
        <w:t>—— </w:t>
      </w:r>
      <w:r w:rsidRPr="00A95790">
        <w:t xml:space="preserve">2009, </w:t>
      </w:r>
      <w:r w:rsidRPr="00A95790">
        <w:rPr>
          <w:i/>
          <w:iCs/>
        </w:rPr>
        <w:t>National Partnership Agreement on Natural Disaster Resilience</w:t>
      </w:r>
      <w:r w:rsidRPr="00A95790">
        <w:t>, Canberra.</w:t>
      </w:r>
      <w:proofErr w:type="gramEnd"/>
    </w:p>
    <w:p w14:paraId="56374A70" w14:textId="77777777" w:rsidR="00DE1537" w:rsidRPr="00A95790" w:rsidRDefault="00DE1537" w:rsidP="00343F3E">
      <w:pPr>
        <w:pStyle w:val="Reference"/>
      </w:pPr>
      <w:r>
        <w:t>—— </w:t>
      </w:r>
      <w:r w:rsidRPr="00A95790">
        <w:t xml:space="preserve">2011a, </w:t>
      </w:r>
      <w:r w:rsidRPr="00A95790">
        <w:rPr>
          <w:i/>
          <w:iCs/>
        </w:rPr>
        <w:t>Intergovernmental Agreement on Federal Financial Relations</w:t>
      </w:r>
      <w:r w:rsidRPr="00A95790">
        <w:t>, Canberra.</w:t>
      </w:r>
    </w:p>
    <w:p w14:paraId="222F9E74" w14:textId="77777777" w:rsidR="00DE1537" w:rsidRPr="00A95790" w:rsidRDefault="00DE1537" w:rsidP="00343F3E">
      <w:pPr>
        <w:pStyle w:val="Reference"/>
      </w:pPr>
      <w:r>
        <w:t>—— </w:t>
      </w:r>
      <w:r w:rsidRPr="00A95790">
        <w:t xml:space="preserve">2011b, </w:t>
      </w:r>
      <w:r w:rsidRPr="00A95790">
        <w:rPr>
          <w:i/>
          <w:iCs/>
        </w:rPr>
        <w:t>National Strategy for Disaster Resilience: Building Our Nation’s Resilience to Disasters</w:t>
      </w:r>
      <w:r w:rsidRPr="00A95790">
        <w:t>, Canberra.</w:t>
      </w:r>
    </w:p>
    <w:p w14:paraId="17DE93F9" w14:textId="77777777" w:rsidR="00DE1537" w:rsidRPr="00A95790" w:rsidRDefault="00DE1537" w:rsidP="00343F3E">
      <w:pPr>
        <w:pStyle w:val="Reference"/>
      </w:pPr>
      <w:r>
        <w:t>—— </w:t>
      </w:r>
      <w:r w:rsidRPr="00A95790">
        <w:t xml:space="preserve">2012, </w:t>
      </w:r>
      <w:r w:rsidRPr="00A95790">
        <w:rPr>
          <w:i/>
          <w:iCs/>
        </w:rPr>
        <w:t>Australian Building Codes Board Intergovernmental Agreement</w:t>
      </w:r>
      <w:r w:rsidRPr="00A95790">
        <w:t>, Canberra.</w:t>
      </w:r>
    </w:p>
    <w:p w14:paraId="50DF640A" w14:textId="77777777" w:rsidR="00DE1537" w:rsidRPr="00A95790" w:rsidRDefault="00DE1537" w:rsidP="00343F3E">
      <w:pPr>
        <w:pStyle w:val="Reference"/>
      </w:pPr>
      <w:proofErr w:type="gramStart"/>
      <w:r>
        <w:t>—— </w:t>
      </w:r>
      <w:r w:rsidRPr="00A95790">
        <w:t xml:space="preserve">2014, </w:t>
      </w:r>
      <w:r w:rsidRPr="00A95790">
        <w:rPr>
          <w:i/>
          <w:iCs/>
        </w:rPr>
        <w:t>National Partnership Agreement on Natural Disaster Resilience</w:t>
      </w:r>
      <w:r w:rsidRPr="00A95790">
        <w:t>, Canberra.</w:t>
      </w:r>
      <w:proofErr w:type="gramEnd"/>
    </w:p>
    <w:p w14:paraId="250DB065" w14:textId="77777777" w:rsidR="00DE1537" w:rsidRPr="00A95790" w:rsidRDefault="00DE1537" w:rsidP="00343F3E">
      <w:pPr>
        <w:pStyle w:val="Reference"/>
      </w:pPr>
      <w:r w:rsidRPr="00A95790">
        <w:t xml:space="preserve">COAG Council on Federal Financial Relations 2014, </w:t>
      </w:r>
      <w:r w:rsidRPr="00A95790">
        <w:rPr>
          <w:i/>
          <w:iCs/>
        </w:rPr>
        <w:t>National Partnerships – Environment</w:t>
      </w:r>
      <w:r w:rsidRPr="00A95790">
        <w:t>, www.federalfinancialrelations.gov.au/content/npa/environment.aspx (accessed 27 August 2014).</w:t>
      </w:r>
    </w:p>
    <w:p w14:paraId="1934E796" w14:textId="77777777" w:rsidR="00DE1537" w:rsidRPr="00A95790" w:rsidRDefault="00DE1537" w:rsidP="00343F3E">
      <w:pPr>
        <w:pStyle w:val="Reference"/>
      </w:pPr>
      <w:r w:rsidRPr="00A95790">
        <w:t xml:space="preserve">Coll, E. 2013, </w:t>
      </w:r>
      <w:r w:rsidRPr="00A95790">
        <w:rPr>
          <w:i/>
          <w:iCs/>
        </w:rPr>
        <w:t>The Case for Preparedness: Quantification of Production Losses Due to Livestock Deaths from Disasters in Australia</w:t>
      </w:r>
      <w:r w:rsidRPr="00A95790">
        <w:t>, report for the World Society for the Protection of Animals, St Leonards.</w:t>
      </w:r>
    </w:p>
    <w:p w14:paraId="1DA5379E" w14:textId="77777777" w:rsidR="00DE1537" w:rsidRPr="00A95790" w:rsidRDefault="00DE1537" w:rsidP="00343F3E">
      <w:pPr>
        <w:pStyle w:val="Reference"/>
      </w:pPr>
      <w:r w:rsidRPr="00A95790">
        <w:lastRenderedPageBreak/>
        <w:t xml:space="preserve">Collins, D. 2011, </w:t>
      </w:r>
      <w:r w:rsidRPr="00A95790">
        <w:rPr>
          <w:i/>
          <w:iCs/>
        </w:rPr>
        <w:t>Reducing the Risk: Improving Access to Home Contents and Vehicle Insurance for Low-Income Australians</w:t>
      </w:r>
      <w:r w:rsidRPr="00A95790">
        <w:t>, Brotherhood of St Laurence, Melbourne.</w:t>
      </w:r>
    </w:p>
    <w:p w14:paraId="66535EDF" w14:textId="77777777" w:rsidR="00DE1537" w:rsidRPr="00A95790" w:rsidRDefault="00DE1537" w:rsidP="00343F3E">
      <w:pPr>
        <w:pStyle w:val="Reference"/>
      </w:pPr>
      <w:r>
        <w:t>—— </w:t>
      </w:r>
      <w:r w:rsidRPr="00A95790">
        <w:t xml:space="preserve">2013, </w:t>
      </w:r>
      <w:r w:rsidRPr="00A95790">
        <w:rPr>
          <w:i/>
          <w:iCs/>
        </w:rPr>
        <w:t>Covering the Essentials: Increasing Access and Affordability of Insurance for People on Low Incomes</w:t>
      </w:r>
      <w:r w:rsidRPr="00A95790">
        <w:t>, Good Shepherd Microfinance, Melbourne.</w:t>
      </w:r>
    </w:p>
    <w:p w14:paraId="276B6CE0" w14:textId="77777777" w:rsidR="00DE1537" w:rsidRPr="00A95790" w:rsidRDefault="00DE1537" w:rsidP="00343F3E">
      <w:pPr>
        <w:pStyle w:val="Reference"/>
      </w:pPr>
      <w:r w:rsidRPr="00A95790">
        <w:t xml:space="preserve">Commercial and Property Law Research Centre 2014, </w:t>
      </w:r>
      <w:r w:rsidRPr="00A95790">
        <w:rPr>
          <w:i/>
          <w:iCs/>
        </w:rPr>
        <w:t>Queensland Government Property Law Review Issues Paper 1: Seller Disclosure in Queensland</w:t>
      </w:r>
      <w:r w:rsidRPr="00A95790">
        <w:t>, Department of Justice and Attorney-General, Brisbane.</w:t>
      </w:r>
    </w:p>
    <w:p w14:paraId="5F3C9B60" w14:textId="77777777" w:rsidR="00DE1537" w:rsidRPr="00A95790" w:rsidRDefault="00DE1537" w:rsidP="00343F3E">
      <w:pPr>
        <w:pStyle w:val="Reference"/>
      </w:pPr>
      <w:r w:rsidRPr="00A95790">
        <w:t xml:space="preserve">Comrie, J. 2013, </w:t>
      </w:r>
      <w:r w:rsidRPr="00A95790">
        <w:rPr>
          <w:i/>
          <w:iCs/>
        </w:rPr>
        <w:t>In Our Hands: Strengthening Local Government Revenue for the 21st Century</w:t>
      </w:r>
      <w:r w:rsidRPr="00A95790">
        <w:t>, Australian Centre of Excellence for Local Government Working Paper, University of Technology, Sydney.</w:t>
      </w:r>
    </w:p>
    <w:p w14:paraId="33218F16" w14:textId="77777777" w:rsidR="00DE1537" w:rsidRPr="00A95790" w:rsidRDefault="00DE1537" w:rsidP="00343F3E">
      <w:pPr>
        <w:pStyle w:val="Reference"/>
      </w:pPr>
      <w:proofErr w:type="gramStart"/>
      <w:r w:rsidRPr="00A95790">
        <w:t xml:space="preserve">Comrie, N. 2011, </w:t>
      </w:r>
      <w:r w:rsidRPr="00A95790">
        <w:rPr>
          <w:i/>
          <w:iCs/>
        </w:rPr>
        <w:t>Review of the 2010-11 Flood Warnings &amp; Response</w:t>
      </w:r>
      <w:r w:rsidRPr="00A95790">
        <w:t>, Melbourne.</w:t>
      </w:r>
      <w:proofErr w:type="gramEnd"/>
    </w:p>
    <w:p w14:paraId="297B1756" w14:textId="77777777" w:rsidR="00DE1537" w:rsidRPr="00A95790" w:rsidRDefault="00DE1537" w:rsidP="00343F3E">
      <w:pPr>
        <w:pStyle w:val="Reference"/>
      </w:pPr>
      <w:proofErr w:type="gramStart"/>
      <w:r w:rsidRPr="00A95790">
        <w:t xml:space="preserve">Cormann, M. 2014, </w:t>
      </w:r>
      <w:r w:rsidRPr="00A95790">
        <w:rPr>
          <w:i/>
          <w:iCs/>
        </w:rPr>
        <w:t>Initiatives to help address insurance affordability for North Queensland</w:t>
      </w:r>
      <w:r w:rsidRPr="00A95790">
        <w:t>, Medi</w:t>
      </w:r>
      <w:r>
        <w:t xml:space="preserve">a release, 23 October, </w:t>
      </w:r>
      <w:r w:rsidRPr="00A95790">
        <w:t>www.financeminister.gov.au/media/2014/</w:t>
      </w:r>
      <w:r>
        <w:br/>
      </w:r>
      <w:r w:rsidRPr="00A95790">
        <w:t>1023-initiatives.html (accessed 31 October 2014).</w:t>
      </w:r>
      <w:proofErr w:type="gramEnd"/>
    </w:p>
    <w:p w14:paraId="723AF7A2" w14:textId="77777777" w:rsidR="00DE1537" w:rsidRPr="00A95790" w:rsidRDefault="00DE1537" w:rsidP="00343F3E">
      <w:pPr>
        <w:pStyle w:val="Reference"/>
      </w:pPr>
      <w:r w:rsidRPr="00A95790">
        <w:t xml:space="preserve">CRED (Centre for Research on the Epidemiology of Disasters) 2014, </w:t>
      </w:r>
      <w:r w:rsidRPr="00A95790">
        <w:rPr>
          <w:i/>
          <w:iCs/>
        </w:rPr>
        <w:t xml:space="preserve">EM-DAT </w:t>
      </w:r>
      <w:proofErr w:type="gramStart"/>
      <w:r w:rsidRPr="00A95790">
        <w:rPr>
          <w:i/>
          <w:iCs/>
        </w:rPr>
        <w:t>The</w:t>
      </w:r>
      <w:proofErr w:type="gramEnd"/>
      <w:r w:rsidRPr="00A95790">
        <w:rPr>
          <w:i/>
          <w:iCs/>
        </w:rPr>
        <w:t xml:space="preserve"> International Disaster Database</w:t>
      </w:r>
      <w:r>
        <w:t xml:space="preserve">, </w:t>
      </w:r>
      <w:r w:rsidRPr="00A95790">
        <w:t>www.emdat.be/ (accessed 6 March 2014).</w:t>
      </w:r>
    </w:p>
    <w:p w14:paraId="5B3B074C" w14:textId="77777777" w:rsidR="00DE1537" w:rsidRPr="00A95790" w:rsidRDefault="00DE1537" w:rsidP="00343F3E">
      <w:pPr>
        <w:pStyle w:val="Reference"/>
      </w:pPr>
      <w:r w:rsidRPr="00A95790">
        <w:t xml:space="preserve">Crompton, R.P. 2011, </w:t>
      </w:r>
      <w:r w:rsidRPr="00A95790">
        <w:rPr>
          <w:i/>
          <w:iCs/>
        </w:rPr>
        <w:t>Normalising the Insurance Council of Australia Natural Disaster Event List: 1967–2011</w:t>
      </w:r>
      <w:r w:rsidRPr="00A95790">
        <w:t>, report for the Insurance Council of Australia, Risk Frontiers, Macquarie University, Sydney.</w:t>
      </w:r>
    </w:p>
    <w:p w14:paraId="0293DBC9" w14:textId="77777777" w:rsidR="00DE1537" w:rsidRPr="00A95790" w:rsidRDefault="00DE1537" w:rsidP="00343F3E">
      <w:pPr>
        <w:pStyle w:val="Reference"/>
      </w:pPr>
      <w:r>
        <w:t>—— </w:t>
      </w:r>
      <w:r w:rsidRPr="00A95790">
        <w:t xml:space="preserve">and McAneney, K.J. 2008, ‘Normalised Australian insured losses from meteorological hazards: 1967–2006’, </w:t>
      </w:r>
      <w:r w:rsidRPr="00A95790">
        <w:rPr>
          <w:i/>
          <w:iCs/>
        </w:rPr>
        <w:t>Environmental Science &amp; Policy</w:t>
      </w:r>
      <w:r w:rsidRPr="00A95790">
        <w:t>, vol. 11, no. 5, pp. 371–378.</w:t>
      </w:r>
    </w:p>
    <w:p w14:paraId="7D635414" w14:textId="77777777" w:rsidR="00DE1537" w:rsidRPr="00A95790" w:rsidRDefault="00DE1537" w:rsidP="00343F3E">
      <w:pPr>
        <w:pStyle w:val="Reference"/>
      </w:pPr>
      <w:proofErr w:type="gramStart"/>
      <w:r w:rsidRPr="00A95790">
        <w:t xml:space="preserve">CSIRO (Commonwealth Scientific and Industrial Research Organisation) 2014, </w:t>
      </w:r>
      <w:r w:rsidRPr="00A95790">
        <w:rPr>
          <w:i/>
          <w:iCs/>
        </w:rPr>
        <w:t>Bushfire in Australia</w:t>
      </w:r>
      <w:r>
        <w:t xml:space="preserve">, </w:t>
      </w:r>
      <w:r w:rsidRPr="00A95790">
        <w:t>www.csiro.au/Organisation-Structure/Divisions/Ecosystem-Sciences/Bush</w:t>
      </w:r>
      <w:r>
        <w:br/>
      </w:r>
      <w:r w:rsidRPr="00A95790">
        <w:t>fireInAustralia.aspx (accessed 14 July 2014).</w:t>
      </w:r>
      <w:proofErr w:type="gramEnd"/>
    </w:p>
    <w:p w14:paraId="669D8DF5" w14:textId="77777777" w:rsidR="00DE1537" w:rsidRPr="00A95790" w:rsidRDefault="00DE1537" w:rsidP="00343F3E">
      <w:pPr>
        <w:pStyle w:val="Reference"/>
      </w:pPr>
      <w:r>
        <w:t>—— </w:t>
      </w:r>
      <w:r w:rsidRPr="00A95790">
        <w:t xml:space="preserve">and BOM (Bureau of Meteorology) 2007, </w:t>
      </w:r>
      <w:r w:rsidRPr="00A95790">
        <w:rPr>
          <w:i/>
          <w:iCs/>
        </w:rPr>
        <w:t>Climate Change in Australia: Technical Report</w:t>
      </w:r>
      <w:r w:rsidRPr="00A95790">
        <w:t>, Canberra.</w:t>
      </w:r>
    </w:p>
    <w:p w14:paraId="455BE92A" w14:textId="77777777" w:rsidR="00DE1537" w:rsidRPr="00A95790" w:rsidRDefault="00DE1537" w:rsidP="00343F3E">
      <w:pPr>
        <w:pStyle w:val="Reference"/>
      </w:pPr>
      <w:r w:rsidRPr="00A95790">
        <w:t xml:space="preserve">Cummins, J.D., Suher, M. and Zanjani, G. 2010, ‘Federal Financial Exposure to Natural Catastrophe Risk’, in Lucas, D. (ed), </w:t>
      </w:r>
      <w:r w:rsidRPr="00A95790">
        <w:rPr>
          <w:i/>
          <w:iCs/>
        </w:rPr>
        <w:t>Measuring and Managing Federal Financial Risk</w:t>
      </w:r>
      <w:r w:rsidRPr="00A95790">
        <w:t>, University of Chicago Press, pp. 61–92.</w:t>
      </w:r>
    </w:p>
    <w:p w14:paraId="720CBF14" w14:textId="77777777" w:rsidR="00DE1537" w:rsidRPr="00A95790" w:rsidRDefault="00DE1537" w:rsidP="00343F3E">
      <w:pPr>
        <w:pStyle w:val="Reference"/>
      </w:pPr>
      <w:proofErr w:type="gramStart"/>
      <w:r w:rsidRPr="00A95790">
        <w:t xml:space="preserve">Currie, E. and Velandia, A. 2002, </w:t>
      </w:r>
      <w:r w:rsidRPr="00A95790">
        <w:rPr>
          <w:i/>
          <w:iCs/>
        </w:rPr>
        <w:t>Risk Management of Contingent Liabilities within a Sovereign Asset-Liability Framework</w:t>
      </w:r>
      <w:r w:rsidRPr="00A95790">
        <w:t>, Working Paper 45227, World Bank, Washington DC.</w:t>
      </w:r>
      <w:proofErr w:type="gramEnd"/>
    </w:p>
    <w:p w14:paraId="6E0B65C3" w14:textId="77777777" w:rsidR="00DE1537" w:rsidRPr="00A95790" w:rsidRDefault="00DE1537" w:rsidP="00343F3E">
      <w:pPr>
        <w:pStyle w:val="Reference"/>
      </w:pPr>
      <w:r w:rsidRPr="00A95790">
        <w:t xml:space="preserve">Cyclone Testing Station 2014, </w:t>
      </w:r>
      <w:r w:rsidRPr="00A95790">
        <w:rPr>
          <w:i/>
          <w:iCs/>
        </w:rPr>
        <w:t>Cyclone Testing Station: Wind Engineering Research, Testing and Community Education</w:t>
      </w:r>
      <w:r w:rsidRPr="00A95790">
        <w:t>, www.jcu.edu.au/cts (accessed 12 August 2014).</w:t>
      </w:r>
    </w:p>
    <w:p w14:paraId="464BE1A6" w14:textId="77777777" w:rsidR="00DE1537" w:rsidRPr="00A95790" w:rsidRDefault="00DE1537" w:rsidP="00343F3E">
      <w:pPr>
        <w:pStyle w:val="Reference"/>
      </w:pPr>
      <w:r w:rsidRPr="00A95790">
        <w:t xml:space="preserve">Das, U.S., Lu, Y., Papaioannou, M.G. and Petrova, I. 2012, </w:t>
      </w:r>
      <w:r w:rsidRPr="00A95790">
        <w:rPr>
          <w:i/>
          <w:iCs/>
        </w:rPr>
        <w:t>Sovereign Risk and Asset and Liability Management: Conceptual Issues</w:t>
      </w:r>
      <w:r w:rsidRPr="00A95790">
        <w:t>, Working Paper WP/12/241, International Monetary Fund, Washington DC.</w:t>
      </w:r>
    </w:p>
    <w:p w14:paraId="681C883A" w14:textId="77777777" w:rsidR="00DE1537" w:rsidRPr="00A95790" w:rsidRDefault="00DE1537" w:rsidP="00343F3E">
      <w:pPr>
        <w:pStyle w:val="Reference"/>
      </w:pPr>
      <w:r w:rsidRPr="00A95790">
        <w:lastRenderedPageBreak/>
        <w:t xml:space="preserve">Deloitte Access Economics 2013, </w:t>
      </w:r>
      <w:r w:rsidRPr="00A95790">
        <w:rPr>
          <w:i/>
          <w:iCs/>
        </w:rPr>
        <w:t>Building Our Nation’s Resilience to Natural Disasters</w:t>
      </w:r>
      <w:r w:rsidRPr="00A95790">
        <w:t>, report for the Australian Business Roundtable for Disaster Resilience and Safer Communities, Sydney.</w:t>
      </w:r>
    </w:p>
    <w:p w14:paraId="29A2FAA1" w14:textId="77777777" w:rsidR="00DE1537" w:rsidRPr="00A95790" w:rsidRDefault="00DE1537" w:rsidP="00343F3E">
      <w:pPr>
        <w:pStyle w:val="Reference"/>
      </w:pPr>
      <w:r>
        <w:t>—— </w:t>
      </w:r>
      <w:r w:rsidRPr="00A95790">
        <w:t xml:space="preserve">2014a, </w:t>
      </w:r>
      <w:r w:rsidRPr="00A95790">
        <w:rPr>
          <w:i/>
          <w:iCs/>
        </w:rPr>
        <w:t>Building an Open Platform for Natural Disaster Resilience Decisions</w:t>
      </w:r>
      <w:r w:rsidRPr="00A95790">
        <w:t>, report for the Australian Business Roundtable for Disaster Resilience and Safer Communities, Sydney.</w:t>
      </w:r>
    </w:p>
    <w:p w14:paraId="6C75B8FE" w14:textId="77777777" w:rsidR="00DE1537" w:rsidRPr="00A95790" w:rsidRDefault="00DE1537" w:rsidP="00343F3E">
      <w:pPr>
        <w:pStyle w:val="Reference"/>
      </w:pPr>
      <w:r>
        <w:t>—— </w:t>
      </w:r>
      <w:r w:rsidRPr="00A95790">
        <w:t xml:space="preserve">2014b, </w:t>
      </w:r>
      <w:r w:rsidRPr="00A95790">
        <w:rPr>
          <w:i/>
          <w:iCs/>
        </w:rPr>
        <w:t>Scoping Study on a Cost Benefit Analysis of Bushfire Mitigation</w:t>
      </w:r>
      <w:r w:rsidRPr="00A95790">
        <w:t>, report for the Australian Forest Products Association, Sydney.</w:t>
      </w:r>
    </w:p>
    <w:p w14:paraId="7B46E58D" w14:textId="77777777" w:rsidR="00DE1537" w:rsidRPr="00A95790" w:rsidRDefault="00DE1537" w:rsidP="00343F3E">
      <w:pPr>
        <w:pStyle w:val="Reference"/>
      </w:pPr>
      <w:proofErr w:type="gramStart"/>
      <w:r w:rsidRPr="00A95790">
        <w:t xml:space="preserve">Department of Finance 2014a, </w:t>
      </w:r>
      <w:r w:rsidRPr="00A95790">
        <w:rPr>
          <w:i/>
          <w:iCs/>
        </w:rPr>
        <w:t>Comcover</w:t>
      </w:r>
      <w:r>
        <w:t xml:space="preserve">, </w:t>
      </w:r>
      <w:r w:rsidRPr="00A95790">
        <w:t>www.finan</w:t>
      </w:r>
      <w:r>
        <w:t>ce.gov.au/comcover (accessed 12 </w:t>
      </w:r>
      <w:r w:rsidRPr="00A95790">
        <w:t>August 2014).</w:t>
      </w:r>
      <w:proofErr w:type="gramEnd"/>
    </w:p>
    <w:p w14:paraId="69E14709" w14:textId="77777777" w:rsidR="00DE1537" w:rsidRPr="00A95790" w:rsidRDefault="00DE1537" w:rsidP="00343F3E">
      <w:pPr>
        <w:pStyle w:val="Reference"/>
      </w:pPr>
      <w:r>
        <w:t>—— </w:t>
      </w:r>
      <w:r w:rsidRPr="00A95790">
        <w:t xml:space="preserve">2014b, </w:t>
      </w:r>
      <w:r w:rsidRPr="00A95790">
        <w:rPr>
          <w:i/>
          <w:iCs/>
        </w:rPr>
        <w:t>Commonwealth Risk Management Policy</w:t>
      </w:r>
      <w:r w:rsidRPr="00A95790">
        <w:t>, Canberra.</w:t>
      </w:r>
    </w:p>
    <w:p w14:paraId="026F0502" w14:textId="77777777" w:rsidR="00DE1537" w:rsidRPr="00A95790" w:rsidRDefault="00DE1537" w:rsidP="00343F3E">
      <w:pPr>
        <w:pStyle w:val="Reference"/>
      </w:pPr>
      <w:r w:rsidRPr="00A95790">
        <w:t xml:space="preserve">Department of Finance and Deregulation 2012, </w:t>
      </w:r>
      <w:r w:rsidRPr="00A95790">
        <w:rPr>
          <w:i/>
          <w:iCs/>
        </w:rPr>
        <w:t>Review of the Insurance Arrangements of State and Territory Governments under the Natural Disaster Relief and Recovery Arrangements Determination 2011</w:t>
      </w:r>
      <w:r w:rsidRPr="00A95790">
        <w:t>, Phase 2 Report, Canberra.</w:t>
      </w:r>
    </w:p>
    <w:p w14:paraId="781FBDF1" w14:textId="77777777" w:rsidR="00DE1537" w:rsidRPr="00A95790" w:rsidRDefault="00DE1537" w:rsidP="00343F3E">
      <w:pPr>
        <w:pStyle w:val="Reference"/>
      </w:pPr>
      <w:r w:rsidRPr="00A95790">
        <w:t>Dobes, L. and Bennett, J. 2009, ‘Multi-criteria analysis: “Good Enough” for Government Work?</w:t>
      </w:r>
      <w:proofErr w:type="gramStart"/>
      <w:r w:rsidRPr="00A95790">
        <w:t>’,</w:t>
      </w:r>
      <w:proofErr w:type="gramEnd"/>
      <w:r w:rsidRPr="00A95790">
        <w:t xml:space="preserve"> </w:t>
      </w:r>
      <w:r w:rsidRPr="00A95790">
        <w:rPr>
          <w:i/>
          <w:iCs/>
        </w:rPr>
        <w:t>Agenda</w:t>
      </w:r>
      <w:r w:rsidRPr="00A95790">
        <w:t>, vol. 16, no. 3, pp. 7–29.</w:t>
      </w:r>
    </w:p>
    <w:p w14:paraId="74C6CACC" w14:textId="77777777" w:rsidR="00DE1537" w:rsidRPr="00A95790" w:rsidRDefault="00DE1537" w:rsidP="00343F3E">
      <w:pPr>
        <w:pStyle w:val="Reference"/>
      </w:pPr>
      <w:proofErr w:type="gramStart"/>
      <w:r w:rsidRPr="00A95790">
        <w:t xml:space="preserve">Douglas, J., Bowditch, M. and Ni, A. 2013, </w:t>
      </w:r>
      <w:r w:rsidRPr="00A95790">
        <w:rPr>
          <w:i/>
          <w:iCs/>
        </w:rPr>
        <w:t>Affordability of Natural Disaster Insurance</w:t>
      </w:r>
      <w:r w:rsidRPr="00A95790">
        <w:t>, Australian Centre for Financial Studies, Melbourne.</w:t>
      </w:r>
      <w:proofErr w:type="gramEnd"/>
    </w:p>
    <w:p w14:paraId="095EFBCF" w14:textId="77777777" w:rsidR="00DE1537" w:rsidRPr="00A95790" w:rsidRDefault="00DE1537" w:rsidP="00343F3E">
      <w:pPr>
        <w:pStyle w:val="Reference"/>
      </w:pPr>
      <w:proofErr w:type="gramStart"/>
      <w:r w:rsidRPr="00A95790">
        <w:t xml:space="preserve">Dwyer, A. 2006, ‘Cyclone Tracy and Whitlam’s “new” federalism: implications for the management of natural disasters in Australia’, </w:t>
      </w:r>
      <w:r w:rsidRPr="00A95790">
        <w:rPr>
          <w:i/>
          <w:iCs/>
        </w:rPr>
        <w:t>Australian Journal of Emergency Management</w:t>
      </w:r>
      <w:r w:rsidRPr="00A95790">
        <w:t>, vol. 21, no. 3, pp. 41–46.</w:t>
      </w:r>
      <w:proofErr w:type="gramEnd"/>
    </w:p>
    <w:p w14:paraId="1BEEE5E1" w14:textId="77777777" w:rsidR="00DE1537" w:rsidRPr="00A95790" w:rsidRDefault="00DE1537" w:rsidP="00343F3E">
      <w:pPr>
        <w:pStyle w:val="Reference"/>
      </w:pPr>
      <w:r w:rsidRPr="00A95790">
        <w:t xml:space="preserve">Easterling, W.E., Hurd, B.H. and Smith, J.B. 2004, </w:t>
      </w:r>
      <w:r w:rsidRPr="00A95790">
        <w:rPr>
          <w:i/>
          <w:iCs/>
        </w:rPr>
        <w:t>Coping with Climate Change: The Role of Adaptation in the United States</w:t>
      </w:r>
      <w:r w:rsidRPr="00A95790">
        <w:t>, Pew Center on Global Climate Change, Arlington, Virginia.</w:t>
      </w:r>
    </w:p>
    <w:p w14:paraId="36F5ACA0" w14:textId="77777777" w:rsidR="00DE1537" w:rsidRPr="00A95790" w:rsidRDefault="00DE1537" w:rsidP="00343F3E">
      <w:pPr>
        <w:pStyle w:val="Reference"/>
      </w:pPr>
      <w:proofErr w:type="gramStart"/>
      <w:r w:rsidRPr="00A95790">
        <w:t xml:space="preserve">Eburn, M. and Handmer, J. 2012, ‘Legal issues and information on natural hazards’, </w:t>
      </w:r>
      <w:r w:rsidRPr="00A95790">
        <w:rPr>
          <w:i/>
          <w:iCs/>
        </w:rPr>
        <w:t>Local Government Law Journal</w:t>
      </w:r>
      <w:r w:rsidRPr="00A95790">
        <w:t>, vol. 17, pp. 19–26.</w:t>
      </w:r>
      <w:proofErr w:type="gramEnd"/>
    </w:p>
    <w:p w14:paraId="09EC3F55" w14:textId="77777777" w:rsidR="00DE1537" w:rsidRPr="00A95790" w:rsidRDefault="00DE1537" w:rsidP="00343F3E">
      <w:pPr>
        <w:pStyle w:val="Reference"/>
      </w:pPr>
      <w:r w:rsidRPr="00A95790">
        <w:t xml:space="preserve">Economics of Climate Adaptation Working Group 2009, </w:t>
      </w:r>
      <w:r w:rsidRPr="00A95790">
        <w:rPr>
          <w:i/>
          <w:iCs/>
        </w:rPr>
        <w:t>Shaping Climate-Resilient Development: A Framework for Decision-Making</w:t>
      </w:r>
      <w:r w:rsidRPr="00A95790">
        <w:t>.</w:t>
      </w:r>
    </w:p>
    <w:p w14:paraId="4746651D" w14:textId="77777777" w:rsidR="00DE1537" w:rsidRPr="00A95790" w:rsidRDefault="00DE1537" w:rsidP="00343F3E">
      <w:pPr>
        <w:pStyle w:val="Reference"/>
      </w:pPr>
      <w:r w:rsidRPr="00A95790">
        <w:t xml:space="preserve">ECRC (Environment and Communications References Committee) 2013, </w:t>
      </w:r>
      <w:r w:rsidRPr="00A95790">
        <w:rPr>
          <w:i/>
          <w:iCs/>
        </w:rPr>
        <w:t>Recent Trends in and Preparedness for Extreme Weather Events</w:t>
      </w:r>
      <w:r w:rsidRPr="00A95790">
        <w:t xml:space="preserve">, </w:t>
      </w:r>
      <w:proofErr w:type="gramStart"/>
      <w:r w:rsidRPr="00A95790">
        <w:t>The</w:t>
      </w:r>
      <w:proofErr w:type="gramEnd"/>
      <w:r w:rsidRPr="00A95790">
        <w:t xml:space="preserve"> Senate, Canberra.</w:t>
      </w:r>
    </w:p>
    <w:p w14:paraId="72A1DD14" w14:textId="77777777" w:rsidR="00DE1537" w:rsidRPr="00A95790" w:rsidRDefault="00DE1537" w:rsidP="00343F3E">
      <w:pPr>
        <w:pStyle w:val="Reference"/>
      </w:pPr>
      <w:proofErr w:type="gramStart"/>
      <w:r w:rsidRPr="00A95790">
        <w:t xml:space="preserve">Ellis, S., Kanowski, P. and Whelan, R. 2014, </w:t>
      </w:r>
      <w:r w:rsidRPr="00A95790">
        <w:rPr>
          <w:i/>
          <w:iCs/>
        </w:rPr>
        <w:t>National Inquiry on Bushfire Mitigation and Management</w:t>
      </w:r>
      <w:r w:rsidRPr="00A95790">
        <w:t>, Council of Australian Governments, Canberra.</w:t>
      </w:r>
      <w:proofErr w:type="gramEnd"/>
    </w:p>
    <w:p w14:paraId="46AB3669" w14:textId="77777777" w:rsidR="00DE1537" w:rsidRPr="00A95790" w:rsidRDefault="00DE1537" w:rsidP="00343F3E">
      <w:pPr>
        <w:pStyle w:val="Reference"/>
      </w:pPr>
      <w:r w:rsidRPr="00A95790">
        <w:t xml:space="preserve">EMA (Emergency Management Australia) 2002, </w:t>
      </w:r>
      <w:r w:rsidRPr="00A95790">
        <w:rPr>
          <w:i/>
          <w:iCs/>
        </w:rPr>
        <w:t>Disaster Loss Assessment Guidelines</w:t>
      </w:r>
      <w:r w:rsidRPr="00A95790">
        <w:t>, Australian Emergency Manuals Series Guide 11, Canberra.</w:t>
      </w:r>
    </w:p>
    <w:p w14:paraId="3153346F" w14:textId="77777777" w:rsidR="00DE1537" w:rsidRPr="00A95790" w:rsidRDefault="00DE1537" w:rsidP="00343F3E">
      <w:pPr>
        <w:pStyle w:val="Reference"/>
      </w:pPr>
      <w:proofErr w:type="gramStart"/>
      <w:r>
        <w:t>—— </w:t>
      </w:r>
      <w:r w:rsidRPr="00A95790">
        <w:t xml:space="preserve">2006, </w:t>
      </w:r>
      <w:r w:rsidRPr="00A95790">
        <w:rPr>
          <w:i/>
          <w:iCs/>
        </w:rPr>
        <w:t>Hazards, Disasters and Your Community</w:t>
      </w:r>
      <w:r w:rsidRPr="00A95790">
        <w:t>, Seventh Edition, Canberra.</w:t>
      </w:r>
      <w:proofErr w:type="gramEnd"/>
    </w:p>
    <w:p w14:paraId="600F5B71" w14:textId="77777777" w:rsidR="00DE1537" w:rsidRPr="00A95790" w:rsidRDefault="00DE1537" w:rsidP="00343F3E">
      <w:pPr>
        <w:pStyle w:val="Reference"/>
      </w:pPr>
      <w:proofErr w:type="gramStart"/>
      <w:r>
        <w:t>—— </w:t>
      </w:r>
      <w:r w:rsidRPr="00A95790">
        <w:t xml:space="preserve">2014, </w:t>
      </w:r>
      <w:r w:rsidRPr="00A95790">
        <w:rPr>
          <w:i/>
          <w:iCs/>
        </w:rPr>
        <w:t>National Partnership Agreement on Natural Disaster Resilience</w:t>
      </w:r>
      <w:r>
        <w:t xml:space="preserve">, </w:t>
      </w:r>
      <w:r w:rsidRPr="00A95790">
        <w:t>www.em.gov.</w:t>
      </w:r>
      <w:proofErr w:type="gramEnd"/>
      <w:r>
        <w:br/>
      </w:r>
      <w:proofErr w:type="gramStart"/>
      <w:r w:rsidRPr="00A95790">
        <w:t>au/npa</w:t>
      </w:r>
      <w:proofErr w:type="gramEnd"/>
      <w:r w:rsidRPr="00A95790">
        <w:t xml:space="preserve"> (accessed 19 June 2014).</w:t>
      </w:r>
    </w:p>
    <w:p w14:paraId="4833E514" w14:textId="77777777" w:rsidR="00DE1537" w:rsidRPr="00A95790" w:rsidRDefault="00DE1537" w:rsidP="00343F3E">
      <w:pPr>
        <w:pStyle w:val="Reference"/>
      </w:pPr>
      <w:proofErr w:type="gramStart"/>
      <w:r w:rsidRPr="00A95790">
        <w:t xml:space="preserve">Emergency Management NSW 2010, </w:t>
      </w:r>
      <w:r w:rsidRPr="00A95790">
        <w:rPr>
          <w:i/>
          <w:iCs/>
        </w:rPr>
        <w:t>NSW Disaster Assistance Guidelines</w:t>
      </w:r>
      <w:r w:rsidRPr="00A95790">
        <w:t>, Sydney.</w:t>
      </w:r>
      <w:proofErr w:type="gramEnd"/>
    </w:p>
    <w:p w14:paraId="09E800BE" w14:textId="77777777" w:rsidR="00DE1537" w:rsidRPr="00A95790" w:rsidRDefault="00DE1537" w:rsidP="00343F3E">
      <w:pPr>
        <w:pStyle w:val="Reference"/>
      </w:pPr>
      <w:r w:rsidRPr="00A95790">
        <w:lastRenderedPageBreak/>
        <w:t xml:space="preserve">English, B. 2011, </w:t>
      </w:r>
      <w:r w:rsidRPr="00A95790">
        <w:rPr>
          <w:i/>
          <w:iCs/>
        </w:rPr>
        <w:t>EQC levies rise to realistically reflect costs</w:t>
      </w:r>
      <w:r w:rsidRPr="00A95790">
        <w:t>, Media Release, 11 October, www.beehive.govt.nz/release/eqc-levies-rise-realistically-reflect-costs (accessed 11</w:t>
      </w:r>
      <w:r>
        <w:t> </w:t>
      </w:r>
      <w:r w:rsidRPr="00A95790">
        <w:t>July 2014).</w:t>
      </w:r>
    </w:p>
    <w:p w14:paraId="24712FA6" w14:textId="77777777" w:rsidR="00DE1537" w:rsidRPr="00A95790" w:rsidRDefault="00DE1537" w:rsidP="00343F3E">
      <w:pPr>
        <w:pStyle w:val="Reference"/>
      </w:pPr>
      <w:r w:rsidRPr="00A95790">
        <w:t xml:space="preserve">EQC (Earthquake Commission) various years, </w:t>
      </w:r>
      <w:r w:rsidRPr="00A95790">
        <w:rPr>
          <w:i/>
          <w:iCs/>
        </w:rPr>
        <w:t>Annual Report</w:t>
      </w:r>
      <w:r w:rsidRPr="00A95790">
        <w:t>, Wellington.</w:t>
      </w:r>
    </w:p>
    <w:p w14:paraId="253DB6BE" w14:textId="77777777" w:rsidR="00DE1537" w:rsidRPr="00A95790" w:rsidRDefault="00DE1537" w:rsidP="00343F3E">
      <w:pPr>
        <w:pStyle w:val="Reference"/>
      </w:pPr>
      <w:proofErr w:type="gramStart"/>
      <w:r>
        <w:t>—— </w:t>
      </w:r>
      <w:r w:rsidRPr="00A95790">
        <w:t xml:space="preserve">2011, </w:t>
      </w:r>
      <w:r w:rsidRPr="00A95790">
        <w:rPr>
          <w:i/>
          <w:iCs/>
        </w:rPr>
        <w:t>EQC Staff Numbers and Rates</w:t>
      </w:r>
      <w:r w:rsidRPr="00A95790">
        <w:t>, www.eqc.govt.nz/news/staff-numbers-rates (accessed 25 July 2014).</w:t>
      </w:r>
      <w:proofErr w:type="gramEnd"/>
    </w:p>
    <w:p w14:paraId="4B985CC8" w14:textId="77777777" w:rsidR="00DE1537" w:rsidRPr="00A95790" w:rsidRDefault="00DE1537" w:rsidP="00343F3E">
      <w:pPr>
        <w:pStyle w:val="Reference"/>
      </w:pPr>
      <w:r>
        <w:t>—— </w:t>
      </w:r>
      <w:r w:rsidRPr="00A95790">
        <w:t xml:space="preserve">2012, </w:t>
      </w:r>
      <w:r w:rsidRPr="00A95790">
        <w:rPr>
          <w:i/>
          <w:iCs/>
        </w:rPr>
        <w:t>Managing the Natural Disaster Fund</w:t>
      </w:r>
      <w:r w:rsidRPr="00A95790">
        <w:t>, www.eqc.govt.nz/about-eqc/our-role/ndf (accessed 30 June 2014).</w:t>
      </w:r>
    </w:p>
    <w:p w14:paraId="2F2C429E" w14:textId="77777777" w:rsidR="00DE1537" w:rsidRPr="00A95790" w:rsidRDefault="00DE1537" w:rsidP="00343F3E">
      <w:pPr>
        <w:pStyle w:val="Reference"/>
      </w:pPr>
      <w:r>
        <w:t>—— </w:t>
      </w:r>
      <w:r w:rsidRPr="00A95790">
        <w:t xml:space="preserve">2013a, </w:t>
      </w:r>
      <w:r w:rsidRPr="00A95790">
        <w:rPr>
          <w:i/>
          <w:iCs/>
        </w:rPr>
        <w:t>Annual Report 2012-13</w:t>
      </w:r>
      <w:r w:rsidRPr="00A95790">
        <w:t>, Wellington.</w:t>
      </w:r>
    </w:p>
    <w:p w14:paraId="500478B2" w14:textId="77777777" w:rsidR="00DE1537" w:rsidRPr="00A95790" w:rsidRDefault="00DE1537" w:rsidP="00343F3E">
      <w:pPr>
        <w:pStyle w:val="Reference"/>
      </w:pPr>
      <w:r>
        <w:t>—— </w:t>
      </w:r>
      <w:r w:rsidRPr="00A95790">
        <w:t xml:space="preserve">2013b, </w:t>
      </w:r>
      <w:r w:rsidRPr="00A95790">
        <w:rPr>
          <w:i/>
          <w:iCs/>
        </w:rPr>
        <w:t>EQC Insurance</w:t>
      </w:r>
      <w:r w:rsidRPr="00A95790">
        <w:t>, www.eqc.govt.nz/what-we-do/eqc-insurance (accessed 30</w:t>
      </w:r>
      <w:r>
        <w:t> </w:t>
      </w:r>
      <w:r w:rsidRPr="00A95790">
        <w:t>June 2014).</w:t>
      </w:r>
    </w:p>
    <w:p w14:paraId="56972193" w14:textId="77777777" w:rsidR="00DE1537" w:rsidRPr="00A95790" w:rsidRDefault="00DE1537" w:rsidP="00343F3E">
      <w:pPr>
        <w:pStyle w:val="Reference"/>
      </w:pPr>
      <w:r>
        <w:t>—— </w:t>
      </w:r>
      <w:r w:rsidRPr="00A95790">
        <w:t xml:space="preserve">2014a, </w:t>
      </w:r>
      <w:r w:rsidRPr="00A95790">
        <w:rPr>
          <w:i/>
          <w:iCs/>
        </w:rPr>
        <w:t>Annual Report 2013-14</w:t>
      </w:r>
      <w:r w:rsidRPr="00A95790">
        <w:t>, Wellington.</w:t>
      </w:r>
    </w:p>
    <w:p w14:paraId="7EEFE73B" w14:textId="77777777" w:rsidR="00DE1537" w:rsidRPr="00A95790" w:rsidRDefault="00DE1537" w:rsidP="00343F3E">
      <w:pPr>
        <w:pStyle w:val="Reference"/>
      </w:pPr>
      <w:r>
        <w:t>—— </w:t>
      </w:r>
      <w:r w:rsidRPr="00A95790">
        <w:t xml:space="preserve">2014b, </w:t>
      </w:r>
      <w:r w:rsidRPr="00A95790">
        <w:rPr>
          <w:i/>
          <w:iCs/>
        </w:rPr>
        <w:t>Scorecard</w:t>
      </w:r>
      <w:r w:rsidRPr="00A95790">
        <w:t>, www.eqc.govt.nz/canterbury-earthquakes/progress-updates/</w:t>
      </w:r>
      <w:r>
        <w:br/>
      </w:r>
      <w:r w:rsidRPr="00A95790">
        <w:t>scorecard (accessed 11 July 2014).</w:t>
      </w:r>
    </w:p>
    <w:p w14:paraId="5486B2AD" w14:textId="77777777" w:rsidR="00DE1537" w:rsidRPr="00A95790" w:rsidRDefault="00DE1537" w:rsidP="00343F3E">
      <w:pPr>
        <w:pStyle w:val="Reference"/>
      </w:pPr>
      <w:r w:rsidRPr="00A95790">
        <w:t xml:space="preserve">ERC (Economics References Committee) 2011, </w:t>
      </w:r>
      <w:proofErr w:type="gramStart"/>
      <w:r w:rsidRPr="00A95790">
        <w:rPr>
          <w:i/>
          <w:iCs/>
        </w:rPr>
        <w:t>The</w:t>
      </w:r>
      <w:proofErr w:type="gramEnd"/>
      <w:r w:rsidRPr="00A95790">
        <w:rPr>
          <w:i/>
          <w:iCs/>
        </w:rPr>
        <w:t xml:space="preserve"> Asset Insurance Arrangements of Australian State Governments</w:t>
      </w:r>
      <w:r w:rsidRPr="00A95790">
        <w:t>, The Senate, Canberra.</w:t>
      </w:r>
    </w:p>
    <w:p w14:paraId="4E81746F" w14:textId="77777777" w:rsidR="00DE1537" w:rsidRPr="00A95790" w:rsidRDefault="00DE1537" w:rsidP="00343F3E">
      <w:pPr>
        <w:pStyle w:val="Reference"/>
      </w:pPr>
      <w:proofErr w:type="gramStart"/>
      <w:r w:rsidRPr="00A95790">
        <w:t xml:space="preserve">European Commission 2014, </w:t>
      </w:r>
      <w:r w:rsidRPr="00A95790">
        <w:rPr>
          <w:i/>
          <w:iCs/>
        </w:rPr>
        <w:t>EU Solidarity Fund</w:t>
      </w:r>
      <w:r w:rsidRPr="00A95790">
        <w:t>, http://ec.europa.eu/regional_policy/</w:t>
      </w:r>
      <w:r>
        <w:br/>
      </w:r>
      <w:r w:rsidRPr="00A95790">
        <w:t>thefunds/solidarity/index_en.cfm (accessed 14 July 2014).</w:t>
      </w:r>
      <w:proofErr w:type="gramEnd"/>
    </w:p>
    <w:p w14:paraId="575C9B24" w14:textId="77777777" w:rsidR="00DE1537" w:rsidRPr="00A95790" w:rsidRDefault="00DE1537" w:rsidP="00343F3E">
      <w:pPr>
        <w:pStyle w:val="Reference"/>
      </w:pPr>
      <w:r w:rsidRPr="00A95790">
        <w:t xml:space="preserve">Eyraud, L. and Lusinyan, L. 2013, ‘Vertical fiscal imbalance and fiscal performance in advanced countries’, </w:t>
      </w:r>
      <w:r w:rsidRPr="00A95790">
        <w:rPr>
          <w:i/>
          <w:iCs/>
        </w:rPr>
        <w:t>Journal of Monetary Economics</w:t>
      </w:r>
      <w:r w:rsidRPr="00A95790">
        <w:t>, vol. 60, no. 5, pp. 571–587.</w:t>
      </w:r>
    </w:p>
    <w:p w14:paraId="16B8A599" w14:textId="77777777" w:rsidR="00DE1537" w:rsidRPr="00A95790" w:rsidRDefault="00DE1537" w:rsidP="00343F3E">
      <w:pPr>
        <w:pStyle w:val="Reference"/>
      </w:pPr>
      <w:proofErr w:type="gramStart"/>
      <w:r w:rsidRPr="00A95790">
        <w:t xml:space="preserve">FaHCSIA (Department of Families, Housing, Community Services and Indigenous Affairs) various years, </w:t>
      </w:r>
      <w:r w:rsidRPr="00A95790">
        <w:rPr>
          <w:i/>
          <w:iCs/>
        </w:rPr>
        <w:t>Annual Report</w:t>
      </w:r>
      <w:r w:rsidRPr="00A95790">
        <w:t>, Canberra.</w:t>
      </w:r>
      <w:proofErr w:type="gramEnd"/>
    </w:p>
    <w:p w14:paraId="44B5992D" w14:textId="77777777" w:rsidR="00DE1537" w:rsidRPr="00A95790" w:rsidRDefault="00DE1537" w:rsidP="00343F3E">
      <w:pPr>
        <w:pStyle w:val="Reference"/>
      </w:pPr>
      <w:proofErr w:type="gramStart"/>
      <w:r>
        <w:t>—— </w:t>
      </w:r>
      <w:r w:rsidRPr="00A95790">
        <w:t xml:space="preserve">2008, </w:t>
      </w:r>
      <w:r w:rsidRPr="00A95790">
        <w:rPr>
          <w:i/>
          <w:iCs/>
        </w:rPr>
        <w:t>Annual Report 2007-2008</w:t>
      </w:r>
      <w:r w:rsidRPr="00A95790">
        <w:t>, Canberra.</w:t>
      </w:r>
      <w:proofErr w:type="gramEnd"/>
    </w:p>
    <w:p w14:paraId="05C22ED7" w14:textId="77777777" w:rsidR="00DE1537" w:rsidRPr="00A95790" w:rsidRDefault="00DE1537" w:rsidP="00343F3E">
      <w:pPr>
        <w:pStyle w:val="Reference"/>
      </w:pPr>
      <w:r w:rsidRPr="00A95790">
        <w:t>——</w:t>
      </w:r>
      <w:r>
        <w:t> </w:t>
      </w:r>
      <w:r w:rsidRPr="00A95790">
        <w:t xml:space="preserve">2014, </w:t>
      </w:r>
      <w:r w:rsidRPr="00A95790">
        <w:rPr>
          <w:i/>
          <w:iCs/>
        </w:rPr>
        <w:t>Guide to Social Security Law</w:t>
      </w:r>
      <w:r w:rsidRPr="00A95790">
        <w:t>, http://guidesacts.fahcsia.gov.au/guides_acts/ssg/</w:t>
      </w:r>
      <w:r>
        <w:br/>
      </w:r>
      <w:r w:rsidRPr="00A95790">
        <w:t>ssg-rn.html (accessed 22 January 2014).</w:t>
      </w:r>
    </w:p>
    <w:p w14:paraId="058B9945" w14:textId="77777777" w:rsidR="00DE1537" w:rsidRPr="00A95790" w:rsidRDefault="00DE1537" w:rsidP="00343F3E">
      <w:pPr>
        <w:pStyle w:val="Reference"/>
      </w:pPr>
      <w:r w:rsidRPr="00A95790">
        <w:t xml:space="preserve">Fankhauser, S., Smith, J. and Tol, R. 1999, ‘Weathering climate change: Some simple rules to guide adaptation decisions’, </w:t>
      </w:r>
      <w:r w:rsidRPr="00A95790">
        <w:rPr>
          <w:i/>
          <w:iCs/>
        </w:rPr>
        <w:t>Ecological Economics</w:t>
      </w:r>
      <w:r w:rsidRPr="00A95790">
        <w:t>, vol. 30, no. 1, pp. 67–78.</w:t>
      </w:r>
    </w:p>
    <w:p w14:paraId="57839128" w14:textId="77777777" w:rsidR="00DE1537" w:rsidRPr="00A95790" w:rsidRDefault="00DE1537" w:rsidP="00343F3E">
      <w:pPr>
        <w:pStyle w:val="Reference"/>
      </w:pPr>
      <w:r w:rsidRPr="00A95790">
        <w:t xml:space="preserve">FDCGSD (French Department of the Commissioner General for Sustainable Development) 2012, </w:t>
      </w:r>
      <w:r w:rsidRPr="00A95790">
        <w:rPr>
          <w:i/>
          <w:iCs/>
        </w:rPr>
        <w:t>Financing Water Resources Management in France: January 2012 Update</w:t>
      </w:r>
      <w:r w:rsidRPr="00A95790">
        <w:t xml:space="preserve">, Études </w:t>
      </w:r>
      <w:proofErr w:type="gramStart"/>
      <w:r w:rsidRPr="00A95790">
        <w:t>et</w:t>
      </w:r>
      <w:proofErr w:type="gramEnd"/>
      <w:r w:rsidRPr="00A95790">
        <w:t xml:space="preserve"> documents no. 62, Ministère de l’Ecologie, du Développement Durable, des Transports et du Logement, Paris.</w:t>
      </w:r>
    </w:p>
    <w:p w14:paraId="6D6481FF" w14:textId="77777777" w:rsidR="00DE1537" w:rsidRPr="00A95790" w:rsidRDefault="00DE1537" w:rsidP="00343F3E">
      <w:pPr>
        <w:pStyle w:val="Reference"/>
      </w:pPr>
      <w:proofErr w:type="gramStart"/>
      <w:r w:rsidRPr="00A95790">
        <w:t xml:space="preserve">Federal Highway Administration 2013, </w:t>
      </w:r>
      <w:r w:rsidRPr="00A95790">
        <w:rPr>
          <w:i/>
          <w:iCs/>
        </w:rPr>
        <w:t>Emergency Relief Program</w:t>
      </w:r>
      <w:r w:rsidRPr="00A95790">
        <w:t>, www.fhwa.dot.gov/</w:t>
      </w:r>
      <w:r>
        <w:br/>
      </w:r>
      <w:r w:rsidRPr="00A95790">
        <w:t>programadmin/erelief.cfm (accessed 30 July 2014).</w:t>
      </w:r>
      <w:proofErr w:type="gramEnd"/>
    </w:p>
    <w:p w14:paraId="43DC0501" w14:textId="77777777" w:rsidR="00DE1537" w:rsidRPr="00A95790" w:rsidRDefault="00DE1537" w:rsidP="00343F3E">
      <w:pPr>
        <w:pStyle w:val="Reference"/>
      </w:pPr>
      <w:r w:rsidRPr="00A95790">
        <w:t xml:space="preserve">FEMA (Federal Emergency Management Agency) 2009, </w:t>
      </w:r>
      <w:r w:rsidRPr="00A95790">
        <w:rPr>
          <w:i/>
          <w:iCs/>
        </w:rPr>
        <w:t>CEF for Large Projects Instructional Guide V2.1</w:t>
      </w:r>
      <w:r w:rsidRPr="00A95790">
        <w:t>, Washington DC.</w:t>
      </w:r>
    </w:p>
    <w:p w14:paraId="6AB8CA75" w14:textId="77777777" w:rsidR="00DE1537" w:rsidRPr="00A95790" w:rsidRDefault="00DE1537" w:rsidP="00343F3E">
      <w:pPr>
        <w:pStyle w:val="Reference"/>
      </w:pPr>
      <w:proofErr w:type="gramStart"/>
      <w:r w:rsidRPr="00A95790">
        <w:t>——</w:t>
      </w:r>
      <w:r>
        <w:t> </w:t>
      </w:r>
      <w:r w:rsidRPr="00A95790">
        <w:t xml:space="preserve">2010, </w:t>
      </w:r>
      <w:r w:rsidRPr="00A95790">
        <w:rPr>
          <w:i/>
          <w:iCs/>
        </w:rPr>
        <w:t>Public Assistance Applicant Handbook</w:t>
      </w:r>
      <w:r w:rsidRPr="00A95790">
        <w:t>, FEMA P-323, Washington DC.</w:t>
      </w:r>
      <w:proofErr w:type="gramEnd"/>
    </w:p>
    <w:p w14:paraId="4E3BD534" w14:textId="77777777" w:rsidR="00DE1537" w:rsidRPr="00A95790" w:rsidRDefault="00DE1537" w:rsidP="00343F3E">
      <w:pPr>
        <w:pStyle w:val="Reference"/>
      </w:pPr>
      <w:r w:rsidRPr="00A95790">
        <w:lastRenderedPageBreak/>
        <w:t>——</w:t>
      </w:r>
      <w:r>
        <w:t> </w:t>
      </w:r>
      <w:r w:rsidRPr="00A95790">
        <w:t xml:space="preserve">2013a, </w:t>
      </w:r>
      <w:r w:rsidRPr="00A95790">
        <w:rPr>
          <w:i/>
          <w:iCs/>
        </w:rPr>
        <w:t>Assistance to Individuals and Households Fact Sheet</w:t>
      </w:r>
      <w:r w:rsidRPr="00A95790">
        <w:t>, www.fema.gov/public-assistance-local-state-tribal-and-non-profit/recovery-directorate/assistance-individuals-and (accessed 14 July 2014).</w:t>
      </w:r>
    </w:p>
    <w:p w14:paraId="686EF88A" w14:textId="77777777" w:rsidR="00DE1537" w:rsidRPr="00A95790" w:rsidRDefault="00DE1537" w:rsidP="00343F3E">
      <w:pPr>
        <w:pStyle w:val="Reference"/>
      </w:pPr>
      <w:r w:rsidRPr="00A95790">
        <w:t>——</w:t>
      </w:r>
      <w:r>
        <w:t> </w:t>
      </w:r>
      <w:r w:rsidRPr="00A95790">
        <w:t xml:space="preserve">2013b, </w:t>
      </w:r>
      <w:r w:rsidRPr="00A95790">
        <w:rPr>
          <w:i/>
          <w:iCs/>
        </w:rPr>
        <w:t>Hazard Mitigation Assistance Unified Guidance</w:t>
      </w:r>
      <w:r w:rsidRPr="00A95790">
        <w:t>, Washington DC.</w:t>
      </w:r>
    </w:p>
    <w:p w14:paraId="0441BF5F" w14:textId="77777777" w:rsidR="00DE1537" w:rsidRPr="00A95790" w:rsidRDefault="00DE1537" w:rsidP="00343F3E">
      <w:pPr>
        <w:pStyle w:val="Reference"/>
      </w:pPr>
      <w:r w:rsidRPr="00A95790">
        <w:t>——</w:t>
      </w:r>
      <w:r>
        <w:t> </w:t>
      </w:r>
      <w:r w:rsidRPr="00A95790">
        <w:t xml:space="preserve">2013c, </w:t>
      </w:r>
      <w:r w:rsidRPr="00A95790">
        <w:rPr>
          <w:i/>
          <w:iCs/>
        </w:rPr>
        <w:t>Notice of Adjustment of Statewide Per Capita Impact Indicator</w:t>
      </w:r>
      <w:r w:rsidRPr="00A95790">
        <w:t>, www.federalregister.gov/articles/2013/10/28/2013-25333/notice-of-adjustment-of-statewide-per-capita-impact-indicator (accessed 8 October 2014).</w:t>
      </w:r>
    </w:p>
    <w:p w14:paraId="69574EF0" w14:textId="77777777" w:rsidR="00DE1537" w:rsidRPr="00A95790" w:rsidRDefault="00DE1537" w:rsidP="00343F3E">
      <w:pPr>
        <w:pStyle w:val="Reference"/>
      </w:pPr>
      <w:proofErr w:type="gramStart"/>
      <w:r w:rsidRPr="00A95790">
        <w:t>——</w:t>
      </w:r>
      <w:r>
        <w:t> </w:t>
      </w:r>
      <w:r w:rsidRPr="00A95790">
        <w:t xml:space="preserve">2013d, </w:t>
      </w:r>
      <w:r w:rsidRPr="00A95790">
        <w:rPr>
          <w:i/>
          <w:iCs/>
        </w:rPr>
        <w:t>Protecting Our Communities</w:t>
      </w:r>
      <w:r w:rsidRPr="00A95790">
        <w:t>, www.fema.gov/protecting-our-communities (accessed 14 July 2014).</w:t>
      </w:r>
      <w:proofErr w:type="gramEnd"/>
    </w:p>
    <w:p w14:paraId="557C4C91" w14:textId="77777777" w:rsidR="00DE1537" w:rsidRPr="00A95790" w:rsidRDefault="00DE1537" w:rsidP="00343F3E">
      <w:pPr>
        <w:pStyle w:val="Reference"/>
      </w:pPr>
      <w:r w:rsidRPr="00A95790">
        <w:t>——</w:t>
      </w:r>
      <w:r>
        <w:t> </w:t>
      </w:r>
      <w:r w:rsidRPr="00A95790">
        <w:t xml:space="preserve">2013e, </w:t>
      </w:r>
      <w:r w:rsidRPr="00A95790">
        <w:rPr>
          <w:i/>
          <w:iCs/>
        </w:rPr>
        <w:t>Public Assistance Alternative Procedures Pilot Program Guide for Permanent Work</w:t>
      </w:r>
      <w:r w:rsidRPr="00A95790">
        <w:t>, version 2, Washington DC.</w:t>
      </w:r>
    </w:p>
    <w:p w14:paraId="1C92286D" w14:textId="77777777" w:rsidR="00DE1537" w:rsidRPr="00A95790" w:rsidRDefault="00DE1537" w:rsidP="00343F3E">
      <w:pPr>
        <w:pStyle w:val="Reference"/>
      </w:pPr>
      <w:r w:rsidRPr="00A95790">
        <w:t>——</w:t>
      </w:r>
      <w:r>
        <w:t> </w:t>
      </w:r>
      <w:r w:rsidRPr="00A95790">
        <w:t xml:space="preserve">2014a, </w:t>
      </w:r>
      <w:r w:rsidRPr="00A95790">
        <w:rPr>
          <w:i/>
          <w:iCs/>
        </w:rPr>
        <w:t>Benefit-Cost Analysis</w:t>
      </w:r>
      <w:r w:rsidRPr="00A95790">
        <w:t>, www.fema.gov/benefit-cost-analysis (accessed 14</w:t>
      </w:r>
      <w:r>
        <w:t> </w:t>
      </w:r>
      <w:r w:rsidRPr="00A95790">
        <w:t>August 2014).</w:t>
      </w:r>
    </w:p>
    <w:p w14:paraId="2E259798" w14:textId="77777777" w:rsidR="00DE1537" w:rsidRPr="00A95790" w:rsidRDefault="00DE1537" w:rsidP="00343F3E">
      <w:pPr>
        <w:pStyle w:val="Reference"/>
      </w:pPr>
      <w:r w:rsidRPr="00A95790">
        <w:t>——</w:t>
      </w:r>
      <w:r>
        <w:t> </w:t>
      </w:r>
      <w:r w:rsidRPr="00A95790">
        <w:t xml:space="preserve">2014b, </w:t>
      </w:r>
      <w:r w:rsidRPr="00A95790">
        <w:rPr>
          <w:i/>
          <w:iCs/>
        </w:rPr>
        <w:t>Flood Insurance Reform: The Law</w:t>
      </w:r>
      <w:r w:rsidRPr="00A95790">
        <w:t>, www.fema.gov/flood-insurance-reform-law (accessed 11 July 2014).</w:t>
      </w:r>
    </w:p>
    <w:p w14:paraId="73356C52" w14:textId="77777777" w:rsidR="00DE1537" w:rsidRPr="00A95790" w:rsidRDefault="00DE1537" w:rsidP="00343F3E">
      <w:pPr>
        <w:pStyle w:val="Reference"/>
      </w:pPr>
      <w:r w:rsidRPr="00A95790">
        <w:t>——</w:t>
      </w:r>
      <w:r>
        <w:t> </w:t>
      </w:r>
      <w:r w:rsidRPr="00A95790">
        <w:t xml:space="preserve">2014c, </w:t>
      </w:r>
      <w:r w:rsidRPr="00A95790">
        <w:rPr>
          <w:i/>
          <w:iCs/>
        </w:rPr>
        <w:t>Floodplain Management Requirements</w:t>
      </w:r>
      <w:r w:rsidRPr="00A95790">
        <w:t>, www.fema.gov/floodplain-management/floodplain-management-requirements (accessed 31 July 2014).</w:t>
      </w:r>
    </w:p>
    <w:p w14:paraId="63897847" w14:textId="77777777" w:rsidR="00DE1537" w:rsidRPr="00A95790" w:rsidRDefault="00DE1537" w:rsidP="00343F3E">
      <w:pPr>
        <w:pStyle w:val="Reference"/>
      </w:pPr>
      <w:r w:rsidRPr="00A95790">
        <w:t>——</w:t>
      </w:r>
      <w:r>
        <w:t> </w:t>
      </w:r>
      <w:r w:rsidRPr="00A95790">
        <w:t xml:space="preserve">2014d, </w:t>
      </w:r>
      <w:r w:rsidRPr="00A95790">
        <w:rPr>
          <w:i/>
          <w:iCs/>
        </w:rPr>
        <w:t>FY 2014 Flood Mitigation Assistance (FMA) Grant Program</w:t>
      </w:r>
      <w:r w:rsidRPr="00A95790">
        <w:t xml:space="preserve">, Fact Sheet, </w:t>
      </w:r>
      <w:proofErr w:type="gramStart"/>
      <w:r w:rsidRPr="00A95790">
        <w:t>Washington</w:t>
      </w:r>
      <w:proofErr w:type="gramEnd"/>
      <w:r w:rsidRPr="00A95790">
        <w:t xml:space="preserve"> DC.</w:t>
      </w:r>
    </w:p>
    <w:p w14:paraId="2BD82A9D" w14:textId="77777777" w:rsidR="00DE1537" w:rsidRPr="00A95790" w:rsidRDefault="00DE1537" w:rsidP="00343F3E">
      <w:pPr>
        <w:pStyle w:val="Reference"/>
      </w:pPr>
      <w:r w:rsidRPr="00A95790">
        <w:t>——</w:t>
      </w:r>
      <w:r>
        <w:t> </w:t>
      </w:r>
      <w:r w:rsidRPr="00A95790">
        <w:t xml:space="preserve">2014e, </w:t>
      </w:r>
      <w:r w:rsidRPr="00A95790">
        <w:rPr>
          <w:i/>
          <w:iCs/>
        </w:rPr>
        <w:t>Map Service Center</w:t>
      </w:r>
      <w:r w:rsidRPr="00A95790">
        <w:t>, http://msc.fema.gov (accessed 16 July 2014).</w:t>
      </w:r>
    </w:p>
    <w:p w14:paraId="1EE79551" w14:textId="77777777" w:rsidR="00DE1537" w:rsidRPr="00A95790" w:rsidRDefault="00DE1537" w:rsidP="00343F3E">
      <w:pPr>
        <w:pStyle w:val="Reference"/>
      </w:pPr>
      <w:r w:rsidRPr="00A95790">
        <w:t>——</w:t>
      </w:r>
      <w:r>
        <w:t> </w:t>
      </w:r>
      <w:r w:rsidRPr="00A95790">
        <w:t xml:space="preserve">2014f, </w:t>
      </w:r>
      <w:r w:rsidRPr="00A95790">
        <w:rPr>
          <w:i/>
          <w:iCs/>
        </w:rPr>
        <w:t>Pre-Disaster Mitigation Grant Program</w:t>
      </w:r>
      <w:r w:rsidRPr="00A95790">
        <w:t>, www.fema.gov/pre-disaster-mitigation-grant-program (accessed 30 July 2014).</w:t>
      </w:r>
    </w:p>
    <w:p w14:paraId="3557F475" w14:textId="77777777" w:rsidR="00DE1537" w:rsidRPr="00A95790" w:rsidRDefault="00DE1537" w:rsidP="00343F3E">
      <w:pPr>
        <w:pStyle w:val="Reference"/>
      </w:pPr>
      <w:r w:rsidRPr="00A95790">
        <w:t>——</w:t>
      </w:r>
      <w:r>
        <w:t> </w:t>
      </w:r>
      <w:r w:rsidRPr="00A95790">
        <w:t xml:space="preserve">2014g, </w:t>
      </w:r>
      <w:r w:rsidRPr="00A95790">
        <w:rPr>
          <w:i/>
          <w:iCs/>
        </w:rPr>
        <w:t>Statistics by Calendar Year</w:t>
      </w:r>
      <w:r w:rsidRPr="00A95790">
        <w:t>, www.fema.gov/statistics-calendar-year (accessed 11 July 2014).</w:t>
      </w:r>
    </w:p>
    <w:p w14:paraId="0A49F08B" w14:textId="77777777" w:rsidR="00DE1537" w:rsidRPr="00A95790" w:rsidRDefault="00DE1537" w:rsidP="00343F3E">
      <w:pPr>
        <w:pStyle w:val="Reference"/>
      </w:pPr>
      <w:r w:rsidRPr="00A95790">
        <w:t xml:space="preserve">Finity Consulting 2011, </w:t>
      </w:r>
      <w:r w:rsidRPr="00A95790">
        <w:rPr>
          <w:i/>
          <w:iCs/>
        </w:rPr>
        <w:t>NDRRA: Independent Assessment of State Insurance Arrangements - Tasmania</w:t>
      </w:r>
      <w:r w:rsidRPr="00A95790">
        <w:t>, report for the Tasmanian Department of Treasury and Finance, Sydney.</w:t>
      </w:r>
    </w:p>
    <w:p w14:paraId="519DB546" w14:textId="77777777" w:rsidR="00DE1537" w:rsidRPr="00A95790" w:rsidRDefault="00DE1537" w:rsidP="00343F3E">
      <w:pPr>
        <w:pStyle w:val="Reference"/>
      </w:pPr>
      <w:r w:rsidRPr="00A95790">
        <w:t>——</w:t>
      </w:r>
      <w:r>
        <w:t> </w:t>
      </w:r>
      <w:r w:rsidRPr="00A95790">
        <w:t xml:space="preserve">2012, </w:t>
      </w:r>
      <w:r w:rsidRPr="00A95790">
        <w:rPr>
          <w:i/>
          <w:iCs/>
        </w:rPr>
        <w:t>NDRRA: Independent Assessment of State Insurance Arrangements - Queensland</w:t>
      </w:r>
      <w:r w:rsidRPr="00A95790">
        <w:t>, report for the Queensland Treasury, Sydney.</w:t>
      </w:r>
    </w:p>
    <w:p w14:paraId="2A4021C9" w14:textId="77777777" w:rsidR="00DE1537" w:rsidRPr="00A95790" w:rsidRDefault="00DE1537" w:rsidP="00343F3E">
      <w:pPr>
        <w:pStyle w:val="Reference"/>
      </w:pPr>
      <w:r w:rsidRPr="00A95790">
        <w:t>——</w:t>
      </w:r>
      <w:r>
        <w:t> </w:t>
      </w:r>
      <w:r w:rsidRPr="00A95790">
        <w:t xml:space="preserve">2013, </w:t>
      </w:r>
      <w:r w:rsidRPr="00A95790">
        <w:rPr>
          <w:i/>
          <w:iCs/>
        </w:rPr>
        <w:t>Affordability of Flood Cover: Finity Personal Lines Pricing and Portfolio Management Seminar</w:t>
      </w:r>
      <w:r w:rsidRPr="00A95790">
        <w:t>, Sydney.</w:t>
      </w:r>
    </w:p>
    <w:p w14:paraId="795CF050" w14:textId="77777777" w:rsidR="00DE1537" w:rsidRPr="00A95790" w:rsidRDefault="00DE1537" w:rsidP="00343F3E">
      <w:pPr>
        <w:pStyle w:val="Reference"/>
      </w:pPr>
      <w:proofErr w:type="gramStart"/>
      <w:r w:rsidRPr="00A95790">
        <w:t xml:space="preserve">Fire and Rescue NSW 2011, </w:t>
      </w:r>
      <w:r w:rsidRPr="00A95790">
        <w:rPr>
          <w:i/>
          <w:iCs/>
        </w:rPr>
        <w:t>Funding</w:t>
      </w:r>
      <w:r w:rsidRPr="00A95790">
        <w:t>, www.fire.nsw.gov.au/page.php?id=49 (accessed 18</w:t>
      </w:r>
      <w:r>
        <w:t> </w:t>
      </w:r>
      <w:r w:rsidRPr="00A95790">
        <w:t>August 2014).</w:t>
      </w:r>
      <w:proofErr w:type="gramEnd"/>
    </w:p>
    <w:p w14:paraId="7D7C1429" w14:textId="77777777" w:rsidR="00DE1537" w:rsidRPr="00A95790" w:rsidRDefault="00DE1537" w:rsidP="00343F3E">
      <w:pPr>
        <w:pStyle w:val="Reference"/>
      </w:pPr>
      <w:r w:rsidRPr="00A95790">
        <w:t xml:space="preserve">Fire Services Levy Monitor 2014a, </w:t>
      </w:r>
      <w:r w:rsidRPr="00A95790">
        <w:rPr>
          <w:i/>
          <w:iCs/>
        </w:rPr>
        <w:t>Enhancing the Consumer Experience of Home Insurance: Shining a Light into the Black Box</w:t>
      </w:r>
      <w:r w:rsidRPr="00A95790">
        <w:t>, Melbourne.</w:t>
      </w:r>
    </w:p>
    <w:p w14:paraId="1C1E66B4" w14:textId="77777777" w:rsidR="00DE1537" w:rsidRPr="00A95790" w:rsidRDefault="00DE1537" w:rsidP="00343F3E">
      <w:pPr>
        <w:pStyle w:val="Reference"/>
      </w:pPr>
      <w:r w:rsidRPr="00A95790">
        <w:t>——</w:t>
      </w:r>
      <w:r>
        <w:t> </w:t>
      </w:r>
      <w:r w:rsidRPr="00A95790">
        <w:t xml:space="preserve">2014b, </w:t>
      </w:r>
      <w:r w:rsidRPr="00A95790">
        <w:rPr>
          <w:i/>
          <w:iCs/>
        </w:rPr>
        <w:t>Fire Services Levy Monitor</w:t>
      </w:r>
      <w:r w:rsidRPr="00A95790">
        <w:t>, www.firelevymonitor.vic.gov.au/ (accessed 14</w:t>
      </w:r>
      <w:r>
        <w:t> </w:t>
      </w:r>
      <w:r w:rsidRPr="00A95790">
        <w:t>July 2014).</w:t>
      </w:r>
    </w:p>
    <w:p w14:paraId="5556B9F7" w14:textId="77777777" w:rsidR="00DE1537" w:rsidRPr="00A95790" w:rsidRDefault="00DE1537" w:rsidP="00343F3E">
      <w:pPr>
        <w:pStyle w:val="Reference"/>
      </w:pPr>
      <w:proofErr w:type="gramStart"/>
      <w:r w:rsidRPr="00A95790">
        <w:lastRenderedPageBreak/>
        <w:t xml:space="preserve">FMESDE (French Ministry of Ecology, Sustainable Development and Energy) 2014, </w:t>
      </w:r>
      <w:r w:rsidRPr="00A95790">
        <w:rPr>
          <w:i/>
          <w:iCs/>
        </w:rPr>
        <w:t>Géorisques</w:t>
      </w:r>
      <w:r w:rsidRPr="00A95790">
        <w:t>, www.georisques.gouv.fr (accessed 21 November 2014).</w:t>
      </w:r>
      <w:proofErr w:type="gramEnd"/>
    </w:p>
    <w:p w14:paraId="7B2929DE" w14:textId="77777777" w:rsidR="00DE1537" w:rsidRPr="00A95790" w:rsidRDefault="00DE1537" w:rsidP="00343F3E">
      <w:pPr>
        <w:pStyle w:val="Reference"/>
      </w:pPr>
      <w:r w:rsidRPr="00A95790">
        <w:t xml:space="preserve">FOS (Financial Ombudsman Service) 2014, </w:t>
      </w:r>
      <w:r w:rsidRPr="00A95790">
        <w:rPr>
          <w:i/>
          <w:iCs/>
        </w:rPr>
        <w:t>Fact Sheet: Insurance Premium Increases</w:t>
      </w:r>
      <w:r w:rsidRPr="00A95790">
        <w:t>, Melbourne.</w:t>
      </w:r>
    </w:p>
    <w:p w14:paraId="7538347D" w14:textId="77777777" w:rsidR="00DE1537" w:rsidRPr="00A95790" w:rsidRDefault="00DE1537" w:rsidP="00343F3E">
      <w:pPr>
        <w:pStyle w:val="Reference"/>
      </w:pPr>
      <w:r w:rsidRPr="00A95790">
        <w:t xml:space="preserve">FRLC (Financial Rights Legal Centre) 2014, </w:t>
      </w:r>
      <w:r w:rsidRPr="00A95790">
        <w:rPr>
          <w:i/>
          <w:iCs/>
        </w:rPr>
        <w:t>Response to the Financial System Inquiry Interim Report: Submission by the Financial Rights Legal Centre</w:t>
      </w:r>
      <w:r w:rsidRPr="00A95790">
        <w:t>, Sydney.</w:t>
      </w:r>
    </w:p>
    <w:p w14:paraId="08428F95" w14:textId="77777777" w:rsidR="00DE1537" w:rsidRPr="00A95790" w:rsidRDefault="00DE1537" w:rsidP="00343F3E">
      <w:pPr>
        <w:pStyle w:val="Reference"/>
      </w:pPr>
      <w:r>
        <w:t>d</w:t>
      </w:r>
      <w:r w:rsidRPr="00A95790">
        <w:t xml:space="preserve">e la Fuente, A. 2010, </w:t>
      </w:r>
      <w:r w:rsidRPr="00A95790">
        <w:rPr>
          <w:i/>
          <w:iCs/>
        </w:rPr>
        <w:t>Government Expenditures in Pre and Post Disaster Risk Management</w:t>
      </w:r>
      <w:r w:rsidRPr="00A95790">
        <w:t>, Background Note for World Bank–UN Assessment on the Economics of Disaster Risk Reduction, World Bank, Washington DC.</w:t>
      </w:r>
    </w:p>
    <w:p w14:paraId="7C8AF774" w14:textId="77777777" w:rsidR="00DE1537" w:rsidRPr="00A95790" w:rsidRDefault="00DE1537" w:rsidP="00343F3E">
      <w:pPr>
        <w:pStyle w:val="Reference"/>
      </w:pPr>
      <w:r w:rsidRPr="00A95790">
        <w:t xml:space="preserve">G20 and OECD (Group of Twenty and Organisation for Economic Co-operation and Development) 2012, </w:t>
      </w:r>
      <w:r w:rsidRPr="00A95790">
        <w:rPr>
          <w:i/>
          <w:iCs/>
        </w:rPr>
        <w:t>Disaster Risk Assessment and Risk Financing: A G20/OECD Methodological Framework</w:t>
      </w:r>
      <w:r w:rsidRPr="00A95790">
        <w:t>, Paris.</w:t>
      </w:r>
    </w:p>
    <w:p w14:paraId="7A442369" w14:textId="77777777" w:rsidR="00DE1537" w:rsidRPr="00A95790" w:rsidRDefault="00DE1537" w:rsidP="00343F3E">
      <w:pPr>
        <w:pStyle w:val="Reference"/>
      </w:pPr>
      <w:r w:rsidRPr="00A95790">
        <w:t xml:space="preserve">Ganderton, P.T. 2004, </w:t>
      </w:r>
      <w:r w:rsidRPr="00A95790">
        <w:rPr>
          <w:i/>
          <w:iCs/>
        </w:rPr>
        <w:t>Benefit-Cost Analysis of Disaster Mitigation: A Review</w:t>
      </w:r>
      <w:r w:rsidRPr="00A95790">
        <w:t>, working paper, University of New Mexico, Albuquerque, United States.</w:t>
      </w:r>
    </w:p>
    <w:p w14:paraId="230F602B" w14:textId="77777777" w:rsidR="00DE1537" w:rsidRPr="00A95790" w:rsidRDefault="00DE1537" w:rsidP="00343F3E">
      <w:pPr>
        <w:pStyle w:val="Reference"/>
      </w:pPr>
      <w:r w:rsidRPr="00A95790">
        <w:t xml:space="preserve">Garrett, T.A. and Sobel, R.S. 2003, ‘The political economy of FEMA disaster payments’, </w:t>
      </w:r>
      <w:r w:rsidRPr="00A95790">
        <w:rPr>
          <w:i/>
          <w:iCs/>
        </w:rPr>
        <w:t>Economic Inquiry</w:t>
      </w:r>
      <w:r w:rsidRPr="00A95790">
        <w:t>, vol. 41, no. 3, pp. 496–509.</w:t>
      </w:r>
    </w:p>
    <w:p w14:paraId="1FE91030" w14:textId="77777777" w:rsidR="00DE1537" w:rsidRPr="00A95790" w:rsidRDefault="00DE1537" w:rsidP="00343F3E">
      <w:pPr>
        <w:pStyle w:val="Reference"/>
      </w:pPr>
      <w:r w:rsidRPr="00A95790">
        <w:t xml:space="preserve">GeoNet 2014, </w:t>
      </w:r>
      <w:r w:rsidRPr="00A95790">
        <w:rPr>
          <w:i/>
          <w:iCs/>
        </w:rPr>
        <w:t>About GeoNet</w:t>
      </w:r>
      <w:r w:rsidRPr="00A95790">
        <w:t>, http://info.geonet.org.nz/display/geonet/About+GeoNet (accessed 15 July 2014).</w:t>
      </w:r>
    </w:p>
    <w:p w14:paraId="4B1ECE9D" w14:textId="77777777" w:rsidR="00DE1537" w:rsidRPr="00A95790" w:rsidRDefault="00DE1537" w:rsidP="00343F3E">
      <w:pPr>
        <w:pStyle w:val="Reference"/>
      </w:pPr>
      <w:proofErr w:type="gramStart"/>
      <w:r w:rsidRPr="00A95790">
        <w:t xml:space="preserve">Geoscience Australia 2014a, </w:t>
      </w:r>
      <w:r w:rsidRPr="00A95790">
        <w:rPr>
          <w:i/>
          <w:iCs/>
        </w:rPr>
        <w:t>National Exposure Information System (NEXIS)</w:t>
      </w:r>
      <w:r w:rsidRPr="00A95790">
        <w:t>, www.ga.</w:t>
      </w:r>
      <w:proofErr w:type="gramEnd"/>
      <w:r>
        <w:br/>
      </w:r>
      <w:r w:rsidRPr="00A95790">
        <w:t>gov.au/scientific-topics/hazards/risk-impact/nexis (accessed 13 August 2014).</w:t>
      </w:r>
    </w:p>
    <w:p w14:paraId="77E93A51" w14:textId="77777777" w:rsidR="00DE1537" w:rsidRPr="00A95790" w:rsidRDefault="00DE1537" w:rsidP="00343F3E">
      <w:pPr>
        <w:pStyle w:val="Reference"/>
      </w:pPr>
      <w:r w:rsidRPr="00A95790">
        <w:t>——</w:t>
      </w:r>
      <w:r>
        <w:t> </w:t>
      </w:r>
      <w:r w:rsidRPr="00A95790">
        <w:t xml:space="preserve">2014b, </w:t>
      </w:r>
      <w:r w:rsidRPr="00A95790">
        <w:rPr>
          <w:i/>
          <w:iCs/>
        </w:rPr>
        <w:t>National Flood Risk Information Project Current Activities</w:t>
      </w:r>
      <w:r w:rsidRPr="00A95790">
        <w:t>, www.ga.gov.au/</w:t>
      </w:r>
      <w:r>
        <w:br/>
      </w:r>
      <w:r w:rsidRPr="00A95790">
        <w:t>scientific-topics/hazards/flood/capabilities/about-national-flood-risk-information-project/activities (accessed 11 August 2014).</w:t>
      </w:r>
    </w:p>
    <w:p w14:paraId="496F3B19" w14:textId="77777777" w:rsidR="00DE1537" w:rsidRPr="00A95790" w:rsidRDefault="00DE1537" w:rsidP="00343F3E">
      <w:pPr>
        <w:pStyle w:val="Reference"/>
      </w:pPr>
      <w:r w:rsidRPr="00A95790">
        <w:t xml:space="preserve">GHD 2006, </w:t>
      </w:r>
      <w:r w:rsidRPr="00A95790">
        <w:rPr>
          <w:i/>
          <w:iCs/>
        </w:rPr>
        <w:t>Invermay Floodplain: A Social, Economic, Infrastructure and Risk Evaluation Study</w:t>
      </w:r>
      <w:r w:rsidRPr="00A95790">
        <w:t>, www.stors.tas.gov.au/au-7-0092-00028 (accessed 9 July 2014).</w:t>
      </w:r>
    </w:p>
    <w:p w14:paraId="4B3B09B8" w14:textId="77777777" w:rsidR="00DE1537" w:rsidRPr="00A95790" w:rsidRDefault="00DE1537" w:rsidP="00343F3E">
      <w:pPr>
        <w:pStyle w:val="Reference"/>
      </w:pPr>
      <w:r>
        <w:t>—— </w:t>
      </w:r>
      <w:r w:rsidRPr="00A95790">
        <w:t xml:space="preserve">2012, </w:t>
      </w:r>
      <w:r w:rsidRPr="00A95790">
        <w:rPr>
          <w:i/>
          <w:iCs/>
        </w:rPr>
        <w:t>Economic Analysis: Coastal Hazard Strategy for Townsville City Council (Pilot Project)</w:t>
      </w:r>
      <w:r w:rsidRPr="00A95790">
        <w:t>, report for Townsville City Council.</w:t>
      </w:r>
    </w:p>
    <w:p w14:paraId="32F0B74E" w14:textId="77777777" w:rsidR="00DE1537" w:rsidRPr="00A95790" w:rsidRDefault="00DE1537" w:rsidP="00343F3E">
      <w:pPr>
        <w:pStyle w:val="Reference"/>
      </w:pPr>
      <w:r w:rsidRPr="00A95790">
        <w:t xml:space="preserve">Good Shepherd Microfinance and Suncorp Group 2014, </w:t>
      </w:r>
      <w:proofErr w:type="gramStart"/>
      <w:r w:rsidRPr="00A95790">
        <w:rPr>
          <w:i/>
          <w:iCs/>
        </w:rPr>
        <w:t>New</w:t>
      </w:r>
      <w:proofErr w:type="gramEnd"/>
      <w:r w:rsidRPr="00A95790">
        <w:rPr>
          <w:i/>
          <w:iCs/>
        </w:rPr>
        <w:t xml:space="preserve"> community insurance products address needs of low income earners</w:t>
      </w:r>
      <w:r w:rsidRPr="00A95790">
        <w:t>, Media release, 12 June, www.goodshepherdmicrofinance.org.au/sites/default/files/110614%20Good%20Insurance%20-%20Media%20release%20FINAL.pdf (accessed 17 November 2014).</w:t>
      </w:r>
    </w:p>
    <w:p w14:paraId="57B4EE8C" w14:textId="77777777" w:rsidR="00DE1537" w:rsidRPr="00A95790" w:rsidRDefault="00DE1537" w:rsidP="00343F3E">
      <w:pPr>
        <w:pStyle w:val="Reference"/>
      </w:pPr>
      <w:proofErr w:type="gramStart"/>
      <w:r w:rsidRPr="00A95790">
        <w:t xml:space="preserve">Goode, R.A. 1999, ‘Self-insurance as insurance in liability policy “other insurance” provisions’, </w:t>
      </w:r>
      <w:r w:rsidRPr="00A95790">
        <w:rPr>
          <w:i/>
          <w:iCs/>
        </w:rPr>
        <w:t>Washington and Lee Law Review</w:t>
      </w:r>
      <w:r w:rsidRPr="00A95790">
        <w:t>, vol. 56, no. 4, pp. 1245–1290.</w:t>
      </w:r>
      <w:proofErr w:type="gramEnd"/>
    </w:p>
    <w:p w14:paraId="53304813" w14:textId="77777777" w:rsidR="00DE1537" w:rsidRPr="00A95790" w:rsidRDefault="00DE1537" w:rsidP="00343F3E">
      <w:pPr>
        <w:pStyle w:val="Reference"/>
      </w:pPr>
      <w:proofErr w:type="gramStart"/>
      <w:r w:rsidRPr="00A95790">
        <w:t xml:space="preserve">Government of Canada 2007, </w:t>
      </w:r>
      <w:r w:rsidRPr="00A95790">
        <w:rPr>
          <w:i/>
          <w:iCs/>
        </w:rPr>
        <w:t>Guidelines for the Disaster Financial Assistance Arrangements</w:t>
      </w:r>
      <w:r w:rsidRPr="00A95790">
        <w:t>, Ottawa.</w:t>
      </w:r>
      <w:proofErr w:type="gramEnd"/>
    </w:p>
    <w:p w14:paraId="7E49EB39" w14:textId="77777777" w:rsidR="00DE1537" w:rsidRPr="00A95790" w:rsidRDefault="00DE1537" w:rsidP="00343F3E">
      <w:pPr>
        <w:pStyle w:val="Reference"/>
      </w:pPr>
      <w:r>
        <w:t>—— </w:t>
      </w:r>
      <w:r w:rsidRPr="00A95790">
        <w:t xml:space="preserve">2014a, </w:t>
      </w:r>
      <w:r w:rsidRPr="00A95790">
        <w:rPr>
          <w:i/>
          <w:iCs/>
        </w:rPr>
        <w:t>National Disaster Mitigation Program</w:t>
      </w:r>
      <w:r w:rsidRPr="00A95790">
        <w:t>, http://actionplan.gc.ca/en/initiative/</w:t>
      </w:r>
      <w:r>
        <w:br/>
      </w:r>
      <w:r w:rsidRPr="00A95790">
        <w:t>national-disaster-mitigation-program (accessed 14 July 2014).</w:t>
      </w:r>
    </w:p>
    <w:p w14:paraId="74D1E03E" w14:textId="77777777" w:rsidR="00DE1537" w:rsidRPr="00A95790" w:rsidRDefault="00DE1537" w:rsidP="00343F3E">
      <w:pPr>
        <w:pStyle w:val="Reference"/>
      </w:pPr>
      <w:r>
        <w:lastRenderedPageBreak/>
        <w:t>—— </w:t>
      </w:r>
      <w:r w:rsidRPr="00A95790">
        <w:t xml:space="preserve">2014b, </w:t>
      </w:r>
      <w:r w:rsidRPr="00A95790">
        <w:rPr>
          <w:i/>
          <w:iCs/>
        </w:rPr>
        <w:t>National Progress Report on the Implementation of the Hyogo Framework for Action (2011-2013)</w:t>
      </w:r>
      <w:r w:rsidRPr="00A95790">
        <w:t>, Foreign Affairs and International Trade Canada, Ottawa.</w:t>
      </w:r>
    </w:p>
    <w:p w14:paraId="32949200" w14:textId="77777777" w:rsidR="00DE1537" w:rsidRPr="00A95790" w:rsidRDefault="00DE1537" w:rsidP="00343F3E">
      <w:pPr>
        <w:pStyle w:val="Reference"/>
      </w:pPr>
      <w:r w:rsidRPr="00A95790">
        <w:t>Government of France 2012, ‘The French experience on disaster risk management’, in Government of Mexico and The World Bank (</w:t>
      </w:r>
      <w:proofErr w:type="gramStart"/>
      <w:r w:rsidRPr="00A95790">
        <w:t>eds</w:t>
      </w:r>
      <w:proofErr w:type="gramEnd"/>
      <w:r w:rsidRPr="00A95790">
        <w:t xml:space="preserve">), </w:t>
      </w:r>
      <w:r w:rsidRPr="00A95790">
        <w:rPr>
          <w:i/>
          <w:iCs/>
        </w:rPr>
        <w:t>Improving the Assessment of Disaster Risks to Strengthen Financial Resilience</w:t>
      </w:r>
      <w:r w:rsidRPr="00A95790">
        <w:t>, World Bank, Washington DC, pp. 143–149.</w:t>
      </w:r>
    </w:p>
    <w:p w14:paraId="08B1DE00" w14:textId="77777777" w:rsidR="00DE1537" w:rsidRPr="00A95790" w:rsidRDefault="00DE1537" w:rsidP="00343F3E">
      <w:pPr>
        <w:pStyle w:val="Reference"/>
      </w:pPr>
      <w:proofErr w:type="gramStart"/>
      <w:r w:rsidRPr="00A95790">
        <w:t xml:space="preserve">Government of Germany 2013, </w:t>
      </w:r>
      <w:r w:rsidRPr="00A95790">
        <w:rPr>
          <w:i/>
          <w:iCs/>
        </w:rPr>
        <w:t>National Progress Report on the Implementation of the Hyogo Framework for Action (2011-2013)</w:t>
      </w:r>
      <w:r w:rsidRPr="00A95790">
        <w:t>, German Committee for Disaster Reduction, Berlin.</w:t>
      </w:r>
      <w:proofErr w:type="gramEnd"/>
    </w:p>
    <w:p w14:paraId="2A9E4ADE" w14:textId="77777777" w:rsidR="00DE1537" w:rsidRPr="00A95790" w:rsidRDefault="00DE1537" w:rsidP="00343F3E">
      <w:pPr>
        <w:pStyle w:val="Reference"/>
      </w:pPr>
      <w:proofErr w:type="gramStart"/>
      <w:r w:rsidRPr="00A95790">
        <w:t xml:space="preserve">Government of New Zealand 2013, </w:t>
      </w:r>
      <w:r w:rsidRPr="00A95790">
        <w:rPr>
          <w:i/>
          <w:iCs/>
        </w:rPr>
        <w:t>National Progress Report on the Implementation of the Hyogo Framework for Action (2011-2013)</w:t>
      </w:r>
      <w:r w:rsidRPr="00A95790">
        <w:t>, Ministry of Civil Defence and Emergency Management, Wellington.</w:t>
      </w:r>
      <w:proofErr w:type="gramEnd"/>
    </w:p>
    <w:p w14:paraId="15AAE837" w14:textId="77777777" w:rsidR="00DE1537" w:rsidRPr="00A95790" w:rsidRDefault="00DE1537" w:rsidP="00343F3E">
      <w:pPr>
        <w:pStyle w:val="Reference"/>
      </w:pPr>
      <w:r w:rsidRPr="00A95790">
        <w:t xml:space="preserve">Government of South Australia 2014a, </w:t>
      </w:r>
      <w:r w:rsidRPr="00A95790">
        <w:rPr>
          <w:i/>
          <w:iCs/>
        </w:rPr>
        <w:t>About South Australia’s Planning System</w:t>
      </w:r>
      <w:r w:rsidRPr="00A95790">
        <w:t xml:space="preserve">, </w:t>
      </w:r>
      <w:proofErr w:type="gramStart"/>
      <w:r w:rsidRPr="00A95790">
        <w:t>www.sa.gov.au/topics/housing-property-and-land/building-and-development/</w:t>
      </w:r>
      <w:r>
        <w:br/>
      </w:r>
      <w:r w:rsidRPr="00A95790">
        <w:t>land-supply-and-planning-system/about-south-australia-s-planning-system</w:t>
      </w:r>
      <w:proofErr w:type="gramEnd"/>
      <w:r w:rsidRPr="00A95790">
        <w:t xml:space="preserve"> (accessed 25</w:t>
      </w:r>
      <w:r>
        <w:t> </w:t>
      </w:r>
      <w:r w:rsidRPr="00A95790">
        <w:t>August 2014).</w:t>
      </w:r>
    </w:p>
    <w:p w14:paraId="589B36FB" w14:textId="77777777" w:rsidR="00DE1537" w:rsidRPr="00A95790" w:rsidRDefault="00DE1537" w:rsidP="00343F3E">
      <w:pPr>
        <w:pStyle w:val="Reference"/>
      </w:pPr>
      <w:r>
        <w:t>—— </w:t>
      </w:r>
      <w:r w:rsidRPr="00A95790">
        <w:t xml:space="preserve">2014b, </w:t>
      </w:r>
      <w:r w:rsidRPr="00A95790">
        <w:rPr>
          <w:i/>
          <w:iCs/>
        </w:rPr>
        <w:t>Appealing a Development Application Decision</w:t>
      </w:r>
      <w:r w:rsidRPr="00A95790">
        <w:t>, www.sa.gov.au/topics/</w:t>
      </w:r>
      <w:r>
        <w:br/>
      </w:r>
      <w:r w:rsidRPr="00A95790">
        <w:t>housing-property-and-land/building-and-development/building-and-development-applications/development-applications/appeals (accessed 25 August 2014).</w:t>
      </w:r>
    </w:p>
    <w:p w14:paraId="55993371" w14:textId="77777777" w:rsidR="00DE1537" w:rsidRPr="00A95790" w:rsidRDefault="00DE1537" w:rsidP="00343F3E">
      <w:pPr>
        <w:pStyle w:val="Reference"/>
      </w:pPr>
      <w:r>
        <w:t>—— </w:t>
      </w:r>
      <w:r w:rsidRPr="00A95790">
        <w:t xml:space="preserve">2014c, </w:t>
      </w:r>
      <w:r w:rsidRPr="00A95790">
        <w:rPr>
          <w:i/>
          <w:iCs/>
        </w:rPr>
        <w:t>Development Applications</w:t>
      </w:r>
      <w:r w:rsidRPr="00A95790">
        <w:t>, www.sa.gov.au/topics/housing-property-and-land/</w:t>
      </w:r>
      <w:r>
        <w:br/>
      </w:r>
      <w:r w:rsidRPr="00A95790">
        <w:t>building-and-development/building-and-development-applications/development-applications (accessed 25 August 2014).</w:t>
      </w:r>
    </w:p>
    <w:p w14:paraId="71576458" w14:textId="77777777" w:rsidR="00DE1537" w:rsidRPr="00A95790" w:rsidRDefault="00DE1537" w:rsidP="00343F3E">
      <w:pPr>
        <w:pStyle w:val="Reference"/>
      </w:pPr>
      <w:r w:rsidRPr="00A95790">
        <w:t xml:space="preserve">Government of the Netherlands 2006, </w:t>
      </w:r>
      <w:r w:rsidRPr="00A95790">
        <w:rPr>
          <w:i/>
          <w:iCs/>
        </w:rPr>
        <w:t>Spatial Planning Key Decision: Room for the River</w:t>
      </w:r>
      <w:r w:rsidRPr="00A95790">
        <w:t>, The Hague.</w:t>
      </w:r>
    </w:p>
    <w:p w14:paraId="40B16C32" w14:textId="77777777" w:rsidR="00DE1537" w:rsidRPr="00A95790" w:rsidRDefault="00DE1537" w:rsidP="00343F3E">
      <w:pPr>
        <w:pStyle w:val="Reference"/>
      </w:pPr>
      <w:proofErr w:type="gramStart"/>
      <w:r w:rsidRPr="00A95790">
        <w:t xml:space="preserve">Granger, K. 2012, </w:t>
      </w:r>
      <w:r w:rsidRPr="00A95790">
        <w:rPr>
          <w:i/>
          <w:iCs/>
        </w:rPr>
        <w:t>ERSA Risk Management Methodology and Terminology</w:t>
      </w:r>
      <w:r w:rsidRPr="00A95790">
        <w:t>, second edition, Environmental Risk Science and Audit, Brisbane.</w:t>
      </w:r>
      <w:proofErr w:type="gramEnd"/>
    </w:p>
    <w:p w14:paraId="7190871D" w14:textId="77777777" w:rsidR="00DE1537" w:rsidRPr="00A95790" w:rsidRDefault="00DE1537" w:rsidP="00343F3E">
      <w:pPr>
        <w:pStyle w:val="Reference"/>
      </w:pPr>
      <w:r>
        <w:t>—— </w:t>
      </w:r>
      <w:r w:rsidRPr="00A95790">
        <w:t xml:space="preserve">2014, </w:t>
      </w:r>
      <w:r w:rsidRPr="00A95790">
        <w:rPr>
          <w:i/>
          <w:iCs/>
        </w:rPr>
        <w:t>Disaster Risk Assessments for Local Governments: A Practitioner’s Guide</w:t>
      </w:r>
      <w:r w:rsidRPr="00A95790">
        <w:t>, Environmental Risk Science and Audit, Brisbane.</w:t>
      </w:r>
    </w:p>
    <w:p w14:paraId="509C5247" w14:textId="77777777" w:rsidR="00DE1537" w:rsidRPr="00A95790" w:rsidRDefault="00DE1537" w:rsidP="00343F3E">
      <w:pPr>
        <w:pStyle w:val="Reference"/>
      </w:pPr>
      <w:r>
        <w:t>——, </w:t>
      </w:r>
      <w:r w:rsidRPr="00A95790">
        <w:t>Bridger, F. and Rosewall, M. 2014, ‘Emergency Risk Management in Australia and the Pacific: Information, Policy and Governance’, presented at Australian and New Zealand Disaster and Emergency Management Conference, Sur</w:t>
      </w:r>
      <w:r>
        <w:t>f</w:t>
      </w:r>
      <w:r w:rsidRPr="00A95790">
        <w:t>ers Paradise, Gold Coast, 5</w:t>
      </w:r>
      <w:r>
        <w:t>–</w:t>
      </w:r>
      <w:r w:rsidRPr="00A95790">
        <w:t>7 May.</w:t>
      </w:r>
    </w:p>
    <w:p w14:paraId="180D5978" w14:textId="77777777" w:rsidR="00DE1537" w:rsidRPr="00A95790" w:rsidRDefault="00DE1537" w:rsidP="00343F3E">
      <w:pPr>
        <w:pStyle w:val="Reference"/>
      </w:pPr>
      <w:proofErr w:type="gramStart"/>
      <w:r w:rsidRPr="00A95790">
        <w:t xml:space="preserve">Growth Areas Authority 2011, </w:t>
      </w:r>
      <w:r w:rsidRPr="00A95790">
        <w:rPr>
          <w:i/>
          <w:iCs/>
        </w:rPr>
        <w:t>Engineering Design and Construction Manual for Subdivision in Growth Areas</w:t>
      </w:r>
      <w:r w:rsidRPr="00A95790">
        <w:t>, Melbourne.</w:t>
      </w:r>
      <w:proofErr w:type="gramEnd"/>
    </w:p>
    <w:p w14:paraId="532E04BE" w14:textId="77777777" w:rsidR="00DE1537" w:rsidRPr="00A95790" w:rsidRDefault="00DE1537" w:rsidP="00343F3E">
      <w:pPr>
        <w:pStyle w:val="Reference"/>
      </w:pPr>
      <w:r w:rsidRPr="00A95790">
        <w:t xml:space="preserve">Hallegatte, S. and Przyluski, V. 2010, </w:t>
      </w:r>
      <w:proofErr w:type="gramStart"/>
      <w:r w:rsidRPr="00A95790">
        <w:rPr>
          <w:i/>
          <w:iCs/>
        </w:rPr>
        <w:t>The</w:t>
      </w:r>
      <w:proofErr w:type="gramEnd"/>
      <w:r w:rsidRPr="00A95790">
        <w:rPr>
          <w:i/>
          <w:iCs/>
        </w:rPr>
        <w:t xml:space="preserve"> Economics of Natural Disasters: Concepts and Methods</w:t>
      </w:r>
      <w:r w:rsidRPr="00A95790">
        <w:t>, Policy Research Working Paper 5507, World Bank, Washington DC.</w:t>
      </w:r>
    </w:p>
    <w:p w14:paraId="2778D70C" w14:textId="77777777" w:rsidR="00DE1537" w:rsidRPr="00A95790" w:rsidRDefault="00DE1537" w:rsidP="00343F3E">
      <w:pPr>
        <w:pStyle w:val="Reference"/>
      </w:pPr>
      <w:proofErr w:type="gramStart"/>
      <w:r w:rsidRPr="00A95790">
        <w:t xml:space="preserve">Handmer, J., Abrahams, J., Betts, R. and Dawson, M. 2005, ‘Towards a consistent approach to disaster loss assessment across Australia’, </w:t>
      </w:r>
      <w:r w:rsidRPr="00A95790">
        <w:rPr>
          <w:i/>
          <w:iCs/>
        </w:rPr>
        <w:t>Australian Journal of Emergency Management</w:t>
      </w:r>
      <w:r w:rsidRPr="00A95790">
        <w:t>, vol. 20, no. 1, pp. 10–18.</w:t>
      </w:r>
      <w:proofErr w:type="gramEnd"/>
    </w:p>
    <w:p w14:paraId="61DEC205" w14:textId="77777777" w:rsidR="00DE1537" w:rsidRPr="00A95790" w:rsidRDefault="00DE1537" w:rsidP="00343F3E">
      <w:pPr>
        <w:pStyle w:val="Reference"/>
      </w:pPr>
      <w:r>
        <w:lastRenderedPageBreak/>
        <w:t>—— </w:t>
      </w:r>
      <w:r w:rsidRPr="00A95790">
        <w:t xml:space="preserve">and Thompson, P. 1996, </w:t>
      </w:r>
      <w:r w:rsidRPr="00A95790">
        <w:rPr>
          <w:i/>
          <w:iCs/>
        </w:rPr>
        <w:t>Economic Assessment of Disaster Mitigation: A Summary Guide</w:t>
      </w:r>
      <w:r w:rsidRPr="00A95790">
        <w:t>, Centre for Resource and Environmental Studies No. 13, Australian National University, Canberra.</w:t>
      </w:r>
    </w:p>
    <w:p w14:paraId="39C631C7" w14:textId="77777777" w:rsidR="00DE1537" w:rsidRPr="00A95790" w:rsidRDefault="00DE1537" w:rsidP="00343F3E">
      <w:pPr>
        <w:pStyle w:val="Reference"/>
      </w:pPr>
      <w:proofErr w:type="gramStart"/>
      <w:r w:rsidRPr="00A95790">
        <w:t xml:space="preserve">Hansen, E. 2003, </w:t>
      </w:r>
      <w:r w:rsidRPr="00A95790">
        <w:rPr>
          <w:i/>
          <w:iCs/>
        </w:rPr>
        <w:t>Objectives, Targets and Instruments for Crown Financial Policy</w:t>
      </w:r>
      <w:r w:rsidRPr="00A95790">
        <w:t>, Working Paper 03/21, New Zealand Treasury, Wellington.</w:t>
      </w:r>
      <w:proofErr w:type="gramEnd"/>
    </w:p>
    <w:p w14:paraId="037071B8" w14:textId="77777777" w:rsidR="00DE1537" w:rsidRPr="00A95790" w:rsidRDefault="00DE1537" w:rsidP="00343F3E">
      <w:pPr>
        <w:pStyle w:val="Reference"/>
      </w:pPr>
      <w:proofErr w:type="gramStart"/>
      <w:r w:rsidRPr="00A95790">
        <w:t xml:space="preserve">Healy, A. and Malhotra, N. 2009, ‘Myopic voters and natural disaster policy’, </w:t>
      </w:r>
      <w:r w:rsidRPr="00A95790">
        <w:rPr>
          <w:i/>
          <w:iCs/>
        </w:rPr>
        <w:t>American Political Science Review</w:t>
      </w:r>
      <w:r w:rsidRPr="00A95790">
        <w:t>, vol. 103, no. 3, pp. 387–406.</w:t>
      </w:r>
      <w:proofErr w:type="gramEnd"/>
    </w:p>
    <w:p w14:paraId="0BC74BD5" w14:textId="77777777" w:rsidR="00DE1537" w:rsidRPr="00A95790" w:rsidRDefault="00DE1537" w:rsidP="00343F3E">
      <w:pPr>
        <w:pStyle w:val="Reference"/>
      </w:pPr>
      <w:r w:rsidRPr="00A95790">
        <w:t xml:space="preserve">HM Government 2013a, </w:t>
      </w:r>
      <w:r w:rsidRPr="00A95790">
        <w:rPr>
          <w:i/>
          <w:iCs/>
        </w:rPr>
        <w:t>Emergency Response and Recovery</w:t>
      </w:r>
      <w:r w:rsidRPr="00A95790">
        <w:t>, London.</w:t>
      </w:r>
    </w:p>
    <w:p w14:paraId="77B4CF64" w14:textId="77777777" w:rsidR="00DE1537" w:rsidRPr="00A95790" w:rsidRDefault="00DE1537" w:rsidP="00343F3E">
      <w:pPr>
        <w:pStyle w:val="Reference"/>
      </w:pPr>
      <w:r>
        <w:t>—— </w:t>
      </w:r>
      <w:r w:rsidRPr="00A95790">
        <w:t xml:space="preserve">2013b, </w:t>
      </w:r>
      <w:r w:rsidRPr="00A95790">
        <w:rPr>
          <w:i/>
          <w:iCs/>
        </w:rPr>
        <w:t>The National Adaptation Programme: Making the Country Resilient to a Changing Climate</w:t>
      </w:r>
      <w:r w:rsidRPr="00A95790">
        <w:t>, London.</w:t>
      </w:r>
    </w:p>
    <w:p w14:paraId="6E852530" w14:textId="77777777" w:rsidR="00DE1537" w:rsidRPr="00A95790" w:rsidRDefault="00DE1537" w:rsidP="00343F3E">
      <w:pPr>
        <w:pStyle w:val="Reference"/>
      </w:pPr>
      <w:r>
        <w:t>—— </w:t>
      </w:r>
      <w:r w:rsidRPr="00A95790">
        <w:t xml:space="preserve">2014a, </w:t>
      </w:r>
      <w:r w:rsidRPr="00A95790">
        <w:rPr>
          <w:i/>
          <w:iCs/>
        </w:rPr>
        <w:t>New Measures to Help Communities Hit by Flooding</w:t>
      </w:r>
      <w:r w:rsidRPr="00A95790">
        <w:t>, www.gov.uk/</w:t>
      </w:r>
      <w:r>
        <w:br/>
      </w:r>
      <w:r w:rsidRPr="00A95790">
        <w:t>government/news/new-measures-to-help-communiti</w:t>
      </w:r>
      <w:r>
        <w:t>es-hit-by-flooding (accessed 14 </w:t>
      </w:r>
      <w:r w:rsidRPr="00A95790">
        <w:t>July 2014).</w:t>
      </w:r>
    </w:p>
    <w:p w14:paraId="04F09801" w14:textId="77777777" w:rsidR="00DE1537" w:rsidRPr="00A95790" w:rsidRDefault="00DE1537" w:rsidP="00343F3E">
      <w:pPr>
        <w:pStyle w:val="Reference"/>
      </w:pPr>
      <w:r>
        <w:t>—— </w:t>
      </w:r>
      <w:r w:rsidRPr="00A95790">
        <w:t xml:space="preserve">2014b, </w:t>
      </w:r>
      <w:r w:rsidRPr="00A95790">
        <w:rPr>
          <w:i/>
          <w:iCs/>
        </w:rPr>
        <w:t>Reducing the Threats of Flooding and Coastal Change</w:t>
      </w:r>
      <w:r w:rsidRPr="00A95790">
        <w:t>, www.gov.uk/government/policies/reducing-the-threats-of-flooding-and-coastal-change (accessed 14 July 2014).</w:t>
      </w:r>
    </w:p>
    <w:p w14:paraId="1D0411B1" w14:textId="77777777" w:rsidR="00DE1537" w:rsidRPr="00A95790" w:rsidRDefault="00DE1537" w:rsidP="00343F3E">
      <w:pPr>
        <w:pStyle w:val="Reference"/>
      </w:pPr>
      <w:r w:rsidRPr="00A95790">
        <w:t xml:space="preserve">Hochrainer, S. 2009, </w:t>
      </w:r>
      <w:r w:rsidRPr="00A95790">
        <w:rPr>
          <w:i/>
          <w:iCs/>
        </w:rPr>
        <w:t>Assessing the Macroeconomic Impacts of Natural Disasters – Are There Any</w:t>
      </w:r>
      <w:proofErr w:type="gramStart"/>
      <w:r w:rsidRPr="00A95790">
        <w:rPr>
          <w:i/>
          <w:iCs/>
        </w:rPr>
        <w:t>?</w:t>
      </w:r>
      <w:r w:rsidRPr="00A95790">
        <w:t>,</w:t>
      </w:r>
      <w:proofErr w:type="gramEnd"/>
      <w:r w:rsidRPr="00A95790">
        <w:t xml:space="preserve"> Policy Research Working Paper 4968, World Bank, Washington DC.</w:t>
      </w:r>
    </w:p>
    <w:p w14:paraId="40277709" w14:textId="77777777" w:rsidR="00DE1537" w:rsidRPr="00A95790" w:rsidRDefault="00DE1537" w:rsidP="00343F3E">
      <w:pPr>
        <w:pStyle w:val="Reference"/>
      </w:pPr>
      <w:r w:rsidRPr="00A95790">
        <w:t xml:space="preserve">Holladay, J.S. and Schwartz, J.A. 2010, </w:t>
      </w:r>
      <w:r w:rsidRPr="00A95790">
        <w:rPr>
          <w:i/>
          <w:iCs/>
        </w:rPr>
        <w:t>Flooding the Market: The Distributional Consequences of the NFIP</w:t>
      </w:r>
      <w:r w:rsidRPr="00A95790">
        <w:t>, Policy Brief No. 7, Institute for Policy Integrity, New York University School of Law.</w:t>
      </w:r>
    </w:p>
    <w:p w14:paraId="450E75E7" w14:textId="77777777" w:rsidR="00DE1537" w:rsidRPr="00A95790" w:rsidRDefault="00DE1537" w:rsidP="00343F3E">
      <w:pPr>
        <w:pStyle w:val="Reference"/>
      </w:pPr>
      <w:r w:rsidRPr="00A95790">
        <w:t xml:space="preserve">HRSCE (House of Representatives Standing Committee on Economics) 2011, </w:t>
      </w:r>
      <w:r w:rsidRPr="00A95790">
        <w:rPr>
          <w:i/>
          <w:iCs/>
        </w:rPr>
        <w:t>Inquiry into the Income Tax Rates Amendment (Temporary Flood Reconstruction Levy) Bill 2011; and the Tax Laws Amendment (Temporary Flood Reconstruction Levy) Bill 2011</w:t>
      </w:r>
      <w:r w:rsidRPr="00A95790">
        <w:t>, Canberra.</w:t>
      </w:r>
    </w:p>
    <w:p w14:paraId="56CDEC65" w14:textId="77777777" w:rsidR="00DE1537" w:rsidRPr="00A95790" w:rsidRDefault="00DE1537" w:rsidP="00343F3E">
      <w:pPr>
        <w:pStyle w:val="Reference"/>
      </w:pPr>
      <w:r w:rsidRPr="00A95790">
        <w:t xml:space="preserve">Huber, D. 2012, </w:t>
      </w:r>
      <w:r w:rsidRPr="00A95790">
        <w:rPr>
          <w:i/>
          <w:iCs/>
        </w:rPr>
        <w:t>Fixing a Broken National Flood Insurance Program: Risks and Potential Reforms</w:t>
      </w:r>
      <w:r w:rsidRPr="00A95790">
        <w:t>, Center for Climate and Energy Solutions, Arlington, Virginia.</w:t>
      </w:r>
    </w:p>
    <w:p w14:paraId="34F2B17D" w14:textId="77777777" w:rsidR="00DE1537" w:rsidRPr="00A95790" w:rsidRDefault="00DE1537" w:rsidP="00343F3E">
      <w:pPr>
        <w:pStyle w:val="Reference"/>
      </w:pPr>
      <w:r w:rsidRPr="00A95790">
        <w:t xml:space="preserve">ICA (Insurance Council of Australia) 2008, </w:t>
      </w:r>
      <w:r w:rsidRPr="00A95790">
        <w:rPr>
          <w:i/>
          <w:iCs/>
        </w:rPr>
        <w:t>Non-Insurance in the Small to Medium Sized Enterprise Sector</w:t>
      </w:r>
      <w:r w:rsidRPr="00A95790">
        <w:t>, Sydney.</w:t>
      </w:r>
    </w:p>
    <w:p w14:paraId="5D8FD73C" w14:textId="77777777" w:rsidR="00DE1537" w:rsidRPr="00A95790" w:rsidRDefault="00DE1537" w:rsidP="00343F3E">
      <w:pPr>
        <w:pStyle w:val="Reference"/>
      </w:pPr>
      <w:r w:rsidRPr="00A95790">
        <w:t>——</w:t>
      </w:r>
      <w:r>
        <w:t> </w:t>
      </w:r>
      <w:r w:rsidRPr="00A95790">
        <w:t xml:space="preserve">2012, </w:t>
      </w:r>
      <w:r w:rsidRPr="00A95790">
        <w:rPr>
          <w:i/>
          <w:iCs/>
        </w:rPr>
        <w:t xml:space="preserve">New flood database expands insurers’ knowledge of </w:t>
      </w:r>
      <w:proofErr w:type="gramStart"/>
      <w:r w:rsidRPr="00A95790">
        <w:rPr>
          <w:i/>
          <w:iCs/>
        </w:rPr>
        <w:t>risk</w:t>
      </w:r>
      <w:r w:rsidRPr="00A95790">
        <w:t>,</w:t>
      </w:r>
      <w:proofErr w:type="gramEnd"/>
      <w:r w:rsidRPr="00A95790">
        <w:t xml:space="preserve"> Media release, 20</w:t>
      </w:r>
      <w:r>
        <w:t> </w:t>
      </w:r>
      <w:r w:rsidRPr="00A95790">
        <w:t>December, www.insurancecouncil.com.au/media_release/plain/177 (accessed 11</w:t>
      </w:r>
      <w:r>
        <w:t> </w:t>
      </w:r>
      <w:r w:rsidRPr="00A95790">
        <w:t>August 2014).</w:t>
      </w:r>
    </w:p>
    <w:p w14:paraId="7240F5EE" w14:textId="77777777" w:rsidR="00DE1537" w:rsidRPr="00A95790" w:rsidRDefault="00DE1537" w:rsidP="00343F3E">
      <w:pPr>
        <w:pStyle w:val="Reference"/>
      </w:pPr>
      <w:r w:rsidRPr="00A95790">
        <w:t>——</w:t>
      </w:r>
      <w:r>
        <w:t> </w:t>
      </w:r>
      <w:r w:rsidRPr="00A95790">
        <w:t xml:space="preserve">2014a, </w:t>
      </w:r>
      <w:r w:rsidRPr="00A95790">
        <w:rPr>
          <w:i/>
          <w:iCs/>
        </w:rPr>
        <w:t>Affordability Projects</w:t>
      </w:r>
      <w:r w:rsidRPr="00A95790">
        <w:t>, www.insurancecouncil.com.au/affordability (accessed 19 August 2014).</w:t>
      </w:r>
    </w:p>
    <w:p w14:paraId="4127A332" w14:textId="77777777" w:rsidR="00DE1537" w:rsidRPr="00A95790" w:rsidRDefault="00DE1537" w:rsidP="00343F3E">
      <w:pPr>
        <w:pStyle w:val="Reference"/>
      </w:pPr>
      <w:r w:rsidRPr="00A95790">
        <w:t>——</w:t>
      </w:r>
      <w:r>
        <w:t> </w:t>
      </w:r>
      <w:r w:rsidRPr="00A95790">
        <w:t xml:space="preserve">2014b, </w:t>
      </w:r>
      <w:r w:rsidRPr="00A95790">
        <w:rPr>
          <w:i/>
          <w:iCs/>
        </w:rPr>
        <w:t>Aggregated Flood Policy Data</w:t>
      </w:r>
      <w:r w:rsidRPr="00A95790">
        <w:t>, www.insurancecouncil.com.au/industry-statistics-data/flood-cover (accessed 19 August 2014).</w:t>
      </w:r>
    </w:p>
    <w:p w14:paraId="28AC990C" w14:textId="77777777" w:rsidR="00DE1537" w:rsidRPr="00A95790" w:rsidRDefault="00DE1537" w:rsidP="00343F3E">
      <w:pPr>
        <w:pStyle w:val="Reference"/>
      </w:pPr>
      <w:r w:rsidRPr="00A95790">
        <w:t>——</w:t>
      </w:r>
      <w:r>
        <w:t> </w:t>
      </w:r>
      <w:r w:rsidRPr="00A95790">
        <w:t xml:space="preserve">2014c, </w:t>
      </w:r>
      <w:r w:rsidRPr="00A95790">
        <w:rPr>
          <w:i/>
          <w:iCs/>
        </w:rPr>
        <w:t>Catastrophe Events and the Community</w:t>
      </w:r>
      <w:r w:rsidRPr="00A95790">
        <w:t>, www.insurancecouncil.com.au/issue-submissions/issues/catastrophe-events (accessed 29 July 2014).</w:t>
      </w:r>
    </w:p>
    <w:p w14:paraId="007819B6" w14:textId="77777777" w:rsidR="00DE1537" w:rsidRPr="00A95790" w:rsidRDefault="00DE1537" w:rsidP="00343F3E">
      <w:pPr>
        <w:pStyle w:val="Reference"/>
      </w:pPr>
      <w:r w:rsidRPr="00A95790">
        <w:lastRenderedPageBreak/>
        <w:t>——</w:t>
      </w:r>
      <w:r>
        <w:t> </w:t>
      </w:r>
      <w:r w:rsidRPr="00A95790">
        <w:t xml:space="preserve">2014d, </w:t>
      </w:r>
      <w:r w:rsidRPr="00A95790">
        <w:rPr>
          <w:i/>
          <w:iCs/>
        </w:rPr>
        <w:t>Disaster Statistics</w:t>
      </w:r>
      <w:r w:rsidRPr="00A95790">
        <w:t>, www.insurancecouncil.com.au/statistics (accessed 3 July 2014).</w:t>
      </w:r>
    </w:p>
    <w:p w14:paraId="1A7EFF03" w14:textId="77777777" w:rsidR="00DE1537" w:rsidRPr="00A95790" w:rsidRDefault="00DE1537" w:rsidP="00343F3E">
      <w:pPr>
        <w:pStyle w:val="Reference"/>
      </w:pPr>
      <w:r w:rsidRPr="00A95790">
        <w:t>——</w:t>
      </w:r>
      <w:r>
        <w:t> </w:t>
      </w:r>
      <w:r w:rsidRPr="00A95790">
        <w:t xml:space="preserve">2014e, </w:t>
      </w:r>
      <w:r w:rsidRPr="00A95790">
        <w:rPr>
          <w:i/>
          <w:iCs/>
        </w:rPr>
        <w:t>Historical Disaster Statistics</w:t>
      </w:r>
      <w:r w:rsidRPr="00A95790">
        <w:t>, www.insurancecouncil.com.au/industry-statistics-data/disaster-statistics/historical-disaster-statistics (accessed 11 September 2014).</w:t>
      </w:r>
    </w:p>
    <w:p w14:paraId="1509C9CB" w14:textId="77777777" w:rsidR="00DE1537" w:rsidRPr="00A95790" w:rsidRDefault="00DE1537" w:rsidP="00343F3E">
      <w:pPr>
        <w:pStyle w:val="Reference"/>
      </w:pPr>
      <w:r w:rsidRPr="00A95790">
        <w:t>——</w:t>
      </w:r>
      <w:r>
        <w:t> </w:t>
      </w:r>
      <w:r w:rsidRPr="00A95790">
        <w:t xml:space="preserve">2014f, </w:t>
      </w:r>
      <w:r w:rsidRPr="00A95790">
        <w:rPr>
          <w:i/>
          <w:iCs/>
        </w:rPr>
        <w:t>Understand Insurance</w:t>
      </w:r>
      <w:r w:rsidRPr="00A95790">
        <w:t>, http://understandinsurance.com.au/ (accessed 3</w:t>
      </w:r>
      <w:r>
        <w:t> </w:t>
      </w:r>
      <w:r w:rsidRPr="00A95790">
        <w:t>November 2014).</w:t>
      </w:r>
    </w:p>
    <w:p w14:paraId="338F3C76" w14:textId="77777777" w:rsidR="00DE1537" w:rsidRPr="00A95790" w:rsidRDefault="00DE1537" w:rsidP="00343F3E">
      <w:pPr>
        <w:pStyle w:val="Reference"/>
      </w:pPr>
      <w:proofErr w:type="gramStart"/>
      <w:r w:rsidRPr="00A95790">
        <w:t xml:space="preserve">IIBHS (Insurance Institute for Business and Home Safety) 2014, </w:t>
      </w:r>
      <w:r w:rsidRPr="00A95790">
        <w:rPr>
          <w:i/>
          <w:iCs/>
        </w:rPr>
        <w:t>Resilience STAR</w:t>
      </w:r>
      <w:r w:rsidRPr="00A95790">
        <w:rPr>
          <w:i/>
          <w:iCs/>
          <w:vertAlign w:val="superscript"/>
        </w:rPr>
        <w:t>TM</w:t>
      </w:r>
      <w:r w:rsidRPr="00A95790">
        <w:t>, www.disastersafety.org/resilience-star (accessed 13 August 2014).</w:t>
      </w:r>
      <w:proofErr w:type="gramEnd"/>
    </w:p>
    <w:p w14:paraId="190F568B" w14:textId="77777777" w:rsidR="00DE1537" w:rsidRPr="00A95790" w:rsidRDefault="00DE1537" w:rsidP="00343F3E">
      <w:pPr>
        <w:pStyle w:val="Reference"/>
      </w:pPr>
      <w:r w:rsidRPr="00A95790">
        <w:t xml:space="preserve">IMF (International Monetary Fund) 2008, </w:t>
      </w:r>
      <w:r w:rsidRPr="00A95790">
        <w:rPr>
          <w:i/>
          <w:iCs/>
        </w:rPr>
        <w:t>World Economic Outlook, April 2008: Housing and the Business Cycle</w:t>
      </w:r>
      <w:r w:rsidRPr="00A95790">
        <w:t>, Washington DC.</w:t>
      </w:r>
    </w:p>
    <w:p w14:paraId="7C77E241" w14:textId="77777777" w:rsidR="00DE1537" w:rsidRPr="00A95790" w:rsidRDefault="00DE1537" w:rsidP="00343F3E">
      <w:pPr>
        <w:pStyle w:val="Reference"/>
      </w:pPr>
      <w:r w:rsidRPr="00A95790">
        <w:t>——</w:t>
      </w:r>
      <w:r>
        <w:t> </w:t>
      </w:r>
      <w:r w:rsidRPr="00A95790">
        <w:t xml:space="preserve">2014, </w:t>
      </w:r>
      <w:r w:rsidRPr="00A95790">
        <w:rPr>
          <w:i/>
          <w:iCs/>
        </w:rPr>
        <w:t>Government Finance Statistics Manual 2014: Pre-Publication Draft</w:t>
      </w:r>
      <w:r w:rsidRPr="00A95790">
        <w:t>, Washington DC.</w:t>
      </w:r>
    </w:p>
    <w:p w14:paraId="1E2FD250" w14:textId="77777777" w:rsidR="00DE1537" w:rsidRPr="00A95790" w:rsidRDefault="00DE1537" w:rsidP="00343F3E">
      <w:pPr>
        <w:pStyle w:val="Reference"/>
      </w:pPr>
      <w:proofErr w:type="gramStart"/>
      <w:r w:rsidRPr="00A95790">
        <w:t xml:space="preserve">Impact Forecasting 2010, </w:t>
      </w:r>
      <w:r w:rsidRPr="00A95790">
        <w:rPr>
          <w:i/>
          <w:iCs/>
        </w:rPr>
        <w:t>Annual Global Climate and Catastrophe Report</w:t>
      </w:r>
      <w:r w:rsidRPr="00A95790">
        <w:t>, AON Benfield, Chicago.</w:t>
      </w:r>
      <w:proofErr w:type="gramEnd"/>
    </w:p>
    <w:p w14:paraId="2BA3F824" w14:textId="77777777" w:rsidR="00DE1537" w:rsidRPr="00A95790" w:rsidRDefault="00DE1537" w:rsidP="00343F3E">
      <w:pPr>
        <w:pStyle w:val="Reference"/>
      </w:pPr>
      <w:proofErr w:type="gramStart"/>
      <w:r w:rsidRPr="00A95790">
        <w:t>——</w:t>
      </w:r>
      <w:r>
        <w:t> </w:t>
      </w:r>
      <w:r w:rsidRPr="00A95790">
        <w:t xml:space="preserve">2013, </w:t>
      </w:r>
      <w:r w:rsidRPr="00A95790">
        <w:rPr>
          <w:i/>
          <w:iCs/>
        </w:rPr>
        <w:t>Annual Global Climate and Catastrophe Report</w:t>
      </w:r>
      <w:r w:rsidRPr="00A95790">
        <w:t>, AON Benfield, Chicago.</w:t>
      </w:r>
      <w:proofErr w:type="gramEnd"/>
    </w:p>
    <w:p w14:paraId="4C7355F1" w14:textId="77777777" w:rsidR="00DE1537" w:rsidRPr="00A95790" w:rsidRDefault="00DE1537" w:rsidP="00343F3E">
      <w:pPr>
        <w:pStyle w:val="Reference"/>
      </w:pPr>
      <w:r w:rsidRPr="00A95790">
        <w:t xml:space="preserve">Infrastructure Canada 2014a, </w:t>
      </w:r>
      <w:r w:rsidRPr="00A95790">
        <w:rPr>
          <w:i/>
          <w:iCs/>
        </w:rPr>
        <w:t>New Building Canada Plan: Frequently Asked Questions</w:t>
      </w:r>
      <w:r w:rsidRPr="00A95790">
        <w:t>, www.infrastructure.gc.ca/plan/faq-eng.html (accessed 14 August 2014).</w:t>
      </w:r>
    </w:p>
    <w:p w14:paraId="7FB4E8B8" w14:textId="77777777" w:rsidR="00DE1537" w:rsidRPr="00A95790" w:rsidRDefault="00DE1537" w:rsidP="00343F3E">
      <w:pPr>
        <w:pStyle w:val="Reference"/>
      </w:pPr>
      <w:r>
        <w:t>—— </w:t>
      </w:r>
      <w:r w:rsidRPr="00A95790">
        <w:t xml:space="preserve">2014b, </w:t>
      </w:r>
      <w:r w:rsidRPr="00A95790">
        <w:rPr>
          <w:i/>
          <w:iCs/>
        </w:rPr>
        <w:t>The New Building Canada Fund</w:t>
      </w:r>
      <w:r w:rsidRPr="00A95790">
        <w:t>, www.infrastructure.gc.ca/plan/nbcf-nfcc-eng.html (accessed 30 July 2014).</w:t>
      </w:r>
    </w:p>
    <w:p w14:paraId="5A50E9CE" w14:textId="77777777" w:rsidR="00DE1537" w:rsidRPr="00A95790" w:rsidRDefault="00DE1537" w:rsidP="00343F3E">
      <w:pPr>
        <w:pStyle w:val="Reference"/>
      </w:pPr>
      <w:proofErr w:type="gramStart"/>
      <w:r w:rsidRPr="00A95790">
        <w:t xml:space="preserve">Institute of Actuaries of Australia 2011, </w:t>
      </w:r>
      <w:r w:rsidRPr="00A95790">
        <w:rPr>
          <w:i/>
          <w:iCs/>
        </w:rPr>
        <w:t>Submission to the Garnaut Climate Change Review - Update 2011</w:t>
      </w:r>
      <w:r w:rsidRPr="00A95790">
        <w:t>, Sydney.</w:t>
      </w:r>
      <w:proofErr w:type="gramEnd"/>
    </w:p>
    <w:p w14:paraId="6D26738D" w14:textId="77777777" w:rsidR="00DE1537" w:rsidRPr="00A95790" w:rsidRDefault="00DE1537" w:rsidP="00343F3E">
      <w:pPr>
        <w:pStyle w:val="Reference"/>
      </w:pPr>
      <w:proofErr w:type="gramStart"/>
      <w:r w:rsidRPr="00A95790">
        <w:t xml:space="preserve">Insurance News 2013, </w:t>
      </w:r>
      <w:r w:rsidRPr="00A95790">
        <w:rPr>
          <w:i/>
          <w:iCs/>
        </w:rPr>
        <w:t>QBE Makes Flood Cover Mandatory</w:t>
      </w:r>
      <w:r w:rsidRPr="00A95790">
        <w:t>, www.insurancenews.com.au/</w:t>
      </w:r>
      <w:r>
        <w:br/>
      </w:r>
      <w:r w:rsidRPr="00A95790">
        <w:t>corporate/qbe-makes-flood-cover-mandatory (accessed 20 March 2014).</w:t>
      </w:r>
      <w:proofErr w:type="gramEnd"/>
    </w:p>
    <w:p w14:paraId="772BE1C1" w14:textId="77777777" w:rsidR="00DE1537" w:rsidRPr="00A95790" w:rsidRDefault="00DE1537" w:rsidP="00343F3E">
      <w:pPr>
        <w:pStyle w:val="Reference"/>
      </w:pPr>
      <w:r w:rsidRPr="00A95790">
        <w:t>——</w:t>
      </w:r>
      <w:r>
        <w:t> </w:t>
      </w:r>
      <w:r w:rsidRPr="00A95790">
        <w:t xml:space="preserve">2014a, </w:t>
      </w:r>
      <w:r w:rsidRPr="00A95790">
        <w:rPr>
          <w:i/>
          <w:iCs/>
        </w:rPr>
        <w:t>Flood, Fire and Cyclone Maps Feature on ICA Database</w:t>
      </w:r>
      <w:r w:rsidRPr="00A95790">
        <w:t xml:space="preserve">, </w:t>
      </w:r>
      <w:r>
        <w:t>www.</w:t>
      </w:r>
      <w:r w:rsidRPr="00A95790">
        <w:t>insurancenews.com.au/local/flood-fire-and-cyclone-maps-feature-on-ica-database (accessed 1 September 2014).</w:t>
      </w:r>
    </w:p>
    <w:p w14:paraId="69809AC7" w14:textId="77777777" w:rsidR="00DE1537" w:rsidRPr="00A95790" w:rsidRDefault="00DE1537" w:rsidP="00343F3E">
      <w:pPr>
        <w:pStyle w:val="Reference"/>
      </w:pPr>
      <w:r w:rsidRPr="00A95790">
        <w:t>——</w:t>
      </w:r>
      <w:r>
        <w:t> </w:t>
      </w:r>
      <w:r w:rsidRPr="00A95790">
        <w:t xml:space="preserve">2014b, </w:t>
      </w:r>
      <w:r w:rsidRPr="00A95790">
        <w:rPr>
          <w:i/>
          <w:iCs/>
        </w:rPr>
        <w:t>Insurer Funds Massive Cyclone Study</w:t>
      </w:r>
      <w:r w:rsidRPr="00A95790">
        <w:t>, www.insurancenews.com.au/local/</w:t>
      </w:r>
      <w:r>
        <w:br/>
      </w:r>
      <w:r w:rsidRPr="00A95790">
        <w:t>insurer-funds-massive-cyclone-study (accessed 6 November 2014).</w:t>
      </w:r>
    </w:p>
    <w:p w14:paraId="05BEB344" w14:textId="77777777" w:rsidR="00DE1537" w:rsidRPr="00A95790" w:rsidRDefault="00DE1537" w:rsidP="00343F3E">
      <w:pPr>
        <w:pStyle w:val="Reference"/>
      </w:pPr>
      <w:r w:rsidRPr="00A95790">
        <w:t>——</w:t>
      </w:r>
      <w:r>
        <w:t> </w:t>
      </w:r>
      <w:r w:rsidRPr="00A95790">
        <w:t xml:space="preserve">2014c, </w:t>
      </w:r>
      <w:r w:rsidRPr="00A95790">
        <w:rPr>
          <w:i/>
          <w:iCs/>
        </w:rPr>
        <w:t xml:space="preserve">UFI Access to be </w:t>
      </w:r>
      <w:proofErr w:type="gramStart"/>
      <w:r w:rsidRPr="00A95790">
        <w:rPr>
          <w:i/>
          <w:iCs/>
        </w:rPr>
        <w:t>Opened</w:t>
      </w:r>
      <w:proofErr w:type="gramEnd"/>
      <w:r w:rsidRPr="00A95790">
        <w:rPr>
          <w:i/>
          <w:iCs/>
        </w:rPr>
        <w:t xml:space="preserve"> up Across Country</w:t>
      </w:r>
      <w:r w:rsidRPr="00A95790">
        <w:t xml:space="preserve">, </w:t>
      </w:r>
      <w:r>
        <w:t>www.</w:t>
      </w:r>
      <w:r w:rsidRPr="00A95790">
        <w:t>insurancenews.com.au/</w:t>
      </w:r>
      <w:r>
        <w:br/>
      </w:r>
      <w:r w:rsidRPr="00A95790">
        <w:t>local/ufi-access-to-be-opened-up-across-country (accessed 10 November 2014).</w:t>
      </w:r>
    </w:p>
    <w:p w14:paraId="7FEFEB8D" w14:textId="77777777" w:rsidR="00DE1537" w:rsidRPr="00A95790" w:rsidRDefault="00DE1537" w:rsidP="00343F3E">
      <w:pPr>
        <w:pStyle w:val="Reference"/>
      </w:pPr>
      <w:r w:rsidRPr="00A95790">
        <w:t xml:space="preserve">IPART (Independent Pricing and Regulatory Tribunal) 2013, </w:t>
      </w:r>
      <w:r w:rsidRPr="00A95790">
        <w:rPr>
          <w:i/>
          <w:iCs/>
        </w:rPr>
        <w:t>Review of Funding Framework for Local Land Services NSW</w:t>
      </w:r>
      <w:r w:rsidRPr="00A95790">
        <w:t>, draft report, Sydney.</w:t>
      </w:r>
    </w:p>
    <w:p w14:paraId="322C74BD" w14:textId="77777777" w:rsidR="00DE1537" w:rsidRPr="00A95790" w:rsidRDefault="00DE1537" w:rsidP="00343F3E">
      <w:pPr>
        <w:pStyle w:val="Reference"/>
      </w:pPr>
      <w:r w:rsidRPr="00A95790">
        <w:t>——</w:t>
      </w:r>
      <w:r>
        <w:t> </w:t>
      </w:r>
      <w:r w:rsidRPr="00A95790">
        <w:t xml:space="preserve">2014, </w:t>
      </w:r>
      <w:r w:rsidRPr="00A95790">
        <w:rPr>
          <w:i/>
          <w:iCs/>
        </w:rPr>
        <w:t>Fact sheet: Our Role in Local Government Rate Setting – Special Variations</w:t>
      </w:r>
      <w:r w:rsidRPr="00A95790">
        <w:t>, Sydney.</w:t>
      </w:r>
    </w:p>
    <w:p w14:paraId="6E873B84" w14:textId="77777777" w:rsidR="00DE1537" w:rsidRPr="00A95790" w:rsidRDefault="00DE1537" w:rsidP="00343F3E">
      <w:pPr>
        <w:pStyle w:val="Reference"/>
      </w:pPr>
      <w:r w:rsidRPr="00A95790">
        <w:t xml:space="preserve">IPCC (Intergovernmental Panel on Climate Change) 2014, </w:t>
      </w:r>
      <w:r w:rsidRPr="00A95790">
        <w:rPr>
          <w:i/>
          <w:iCs/>
        </w:rPr>
        <w:t>Climate Change 2014: Synthesis Report</w:t>
      </w:r>
      <w:r w:rsidRPr="00A95790">
        <w:t xml:space="preserve">, IPCC Fifth Assessment Synthesis Report, </w:t>
      </w:r>
      <w:proofErr w:type="gramStart"/>
      <w:r w:rsidRPr="00A95790">
        <w:t>Geneva</w:t>
      </w:r>
      <w:proofErr w:type="gramEnd"/>
      <w:r w:rsidRPr="00A95790">
        <w:t>.</w:t>
      </w:r>
    </w:p>
    <w:p w14:paraId="55033462" w14:textId="77777777" w:rsidR="00DE1537" w:rsidRPr="00A95790" w:rsidRDefault="00DE1537" w:rsidP="00343F3E">
      <w:pPr>
        <w:pStyle w:val="Reference"/>
      </w:pPr>
      <w:r w:rsidRPr="00A95790">
        <w:lastRenderedPageBreak/>
        <w:t xml:space="preserve">IRP (International Recovery Platform) 2012, </w:t>
      </w:r>
      <w:r w:rsidRPr="00A95790">
        <w:rPr>
          <w:i/>
          <w:iCs/>
        </w:rPr>
        <w:t>Policy, Partnerships and Land Use Planning Interventions to Reduce Future Risks</w:t>
      </w:r>
      <w:r w:rsidRPr="00A95790">
        <w:t>, Background paper prepared for the Global Assessment Report on Disaster Risk Reduction 2013, Geneva.</w:t>
      </w:r>
    </w:p>
    <w:p w14:paraId="76FD6FFC" w14:textId="77777777" w:rsidR="00DE1537" w:rsidRPr="00A95790" w:rsidRDefault="00DE1537" w:rsidP="00343F3E">
      <w:pPr>
        <w:pStyle w:val="Reference"/>
      </w:pPr>
      <w:proofErr w:type="gramStart"/>
      <w:r w:rsidRPr="00A95790">
        <w:t xml:space="preserve">ISO (International Organization for Standardization) 2009, </w:t>
      </w:r>
      <w:r w:rsidRPr="00A95790">
        <w:rPr>
          <w:i/>
          <w:iCs/>
        </w:rPr>
        <w:t>Risk Management — Principles and Guidelines</w:t>
      </w:r>
      <w:r w:rsidRPr="00A95790">
        <w:t>, ISO31000, Geneva.</w:t>
      </w:r>
      <w:proofErr w:type="gramEnd"/>
    </w:p>
    <w:p w14:paraId="73BE1553" w14:textId="77777777" w:rsidR="00DE1537" w:rsidRPr="00A95790" w:rsidRDefault="00DE1537" w:rsidP="00343F3E">
      <w:pPr>
        <w:pStyle w:val="Reference"/>
      </w:pPr>
      <w:r w:rsidRPr="00A95790">
        <w:t xml:space="preserve">Jametti, M. and von Ungern-Sternberg, T. 2006, </w:t>
      </w:r>
      <w:r w:rsidRPr="00A95790">
        <w:rPr>
          <w:i/>
          <w:iCs/>
        </w:rPr>
        <w:t>Risk Selection in Natural Disaster Insurance: The Case of France</w:t>
      </w:r>
      <w:r w:rsidRPr="00A95790">
        <w:t>, CESifo Working Paper No. 1683, Center for Economic Studies, Munich.</w:t>
      </w:r>
    </w:p>
    <w:p w14:paraId="5E44F7E1" w14:textId="77777777" w:rsidR="00DE1537" w:rsidRPr="00A95790" w:rsidRDefault="00DE1537" w:rsidP="00343F3E">
      <w:pPr>
        <w:pStyle w:val="Reference"/>
      </w:pPr>
      <w:proofErr w:type="gramStart"/>
      <w:r w:rsidRPr="00A95790">
        <w:t xml:space="preserve">Japan Earthquake Reinsurance Co Ltd 2013, </w:t>
      </w:r>
      <w:r w:rsidRPr="00A95790">
        <w:rPr>
          <w:i/>
          <w:iCs/>
        </w:rPr>
        <w:t>Annual Report 2013</w:t>
      </w:r>
      <w:r w:rsidRPr="00A95790">
        <w:t>, Tokyo.</w:t>
      </w:r>
      <w:proofErr w:type="gramEnd"/>
    </w:p>
    <w:p w14:paraId="16E64DC7" w14:textId="77777777" w:rsidR="00DE1537" w:rsidRPr="00A95790" w:rsidRDefault="00DE1537" w:rsidP="00343F3E">
      <w:pPr>
        <w:pStyle w:val="Reference"/>
      </w:pPr>
      <w:r w:rsidRPr="00A95790">
        <w:t xml:space="preserve">Jerolleman, A. and Kiefer, J.J. 2013, </w:t>
      </w:r>
      <w:r w:rsidRPr="00A95790">
        <w:rPr>
          <w:i/>
          <w:iCs/>
        </w:rPr>
        <w:t>Natural Hazard Mitigation</w:t>
      </w:r>
      <w:r w:rsidRPr="00A95790">
        <w:t>, CRC Press, Taylor &amp; Francis Group, United States.</w:t>
      </w:r>
    </w:p>
    <w:p w14:paraId="1C42995F" w14:textId="77777777" w:rsidR="00DE1537" w:rsidRPr="00A95790" w:rsidRDefault="00DE1537" w:rsidP="00343F3E">
      <w:pPr>
        <w:pStyle w:val="Reference"/>
      </w:pPr>
      <w:r w:rsidRPr="00A95790">
        <w:t>Joy, C.S. 1991, ‘The Cost of Natural Disasters in Australia’, presented at Climate Change Impacts and Adaptation Workshop, Climactic Impacts Centre, Macquarie University, New South Wales, 13</w:t>
      </w:r>
      <w:r>
        <w:t>–</w:t>
      </w:r>
      <w:r w:rsidRPr="00A95790">
        <w:t>15 May.</w:t>
      </w:r>
    </w:p>
    <w:p w14:paraId="42028F54" w14:textId="77777777" w:rsidR="00DE1537" w:rsidRPr="00A95790" w:rsidRDefault="00DE1537" w:rsidP="00343F3E">
      <w:pPr>
        <w:pStyle w:val="Reference"/>
      </w:pPr>
      <w:r w:rsidRPr="00A95790">
        <w:t xml:space="preserve">Keating, A., Handmer, J. and Whittaker, J. 2013, </w:t>
      </w:r>
      <w:r w:rsidRPr="00A95790">
        <w:rPr>
          <w:i/>
          <w:iCs/>
        </w:rPr>
        <w:t>Costing the Impacts of Current Climate Extremes for Key Vulnerable Sectors in Victoria</w:t>
      </w:r>
      <w:r w:rsidRPr="00A95790">
        <w:t>, Centre for Risk and Community Safety, RMIT University, Melbourne.</w:t>
      </w:r>
    </w:p>
    <w:p w14:paraId="77415DBB" w14:textId="77777777" w:rsidR="00DE1537" w:rsidRPr="00A95790" w:rsidRDefault="00DE1537" w:rsidP="00343F3E">
      <w:pPr>
        <w:pStyle w:val="Reference"/>
      </w:pPr>
      <w:r w:rsidRPr="00A95790">
        <w:t xml:space="preserve">King, R.O. 2012, </w:t>
      </w:r>
      <w:proofErr w:type="gramStart"/>
      <w:r w:rsidRPr="00A95790">
        <w:rPr>
          <w:i/>
          <w:iCs/>
        </w:rPr>
        <w:t>National</w:t>
      </w:r>
      <w:proofErr w:type="gramEnd"/>
      <w:r w:rsidRPr="00A95790">
        <w:rPr>
          <w:i/>
          <w:iCs/>
        </w:rPr>
        <w:t xml:space="preserve"> Flood Insurance Program: Background, Challenges, and Financial Status</w:t>
      </w:r>
      <w:r w:rsidRPr="00A95790">
        <w:t>, R40650, Congressional Research Service, Washington DC.</w:t>
      </w:r>
    </w:p>
    <w:p w14:paraId="21B5D56F" w14:textId="77777777" w:rsidR="00DE1537" w:rsidRPr="00A95790" w:rsidRDefault="00DE1537" w:rsidP="00343F3E">
      <w:pPr>
        <w:pStyle w:val="Reference"/>
      </w:pPr>
      <w:r w:rsidRPr="00A95790">
        <w:t>——</w:t>
      </w:r>
      <w:r>
        <w:t> </w:t>
      </w:r>
      <w:r w:rsidRPr="00A95790">
        <w:t xml:space="preserve">2013, </w:t>
      </w:r>
      <w:r w:rsidRPr="00A95790">
        <w:rPr>
          <w:i/>
          <w:iCs/>
        </w:rPr>
        <w:t>The National Flood Insurance Program: Status and Remaining Issues for Congress</w:t>
      </w:r>
      <w:r w:rsidRPr="00A95790">
        <w:t xml:space="preserve">, R42850, Congressional Research Service, </w:t>
      </w:r>
      <w:proofErr w:type="gramStart"/>
      <w:r w:rsidRPr="00A95790">
        <w:t>Washington</w:t>
      </w:r>
      <w:proofErr w:type="gramEnd"/>
      <w:r w:rsidRPr="00A95790">
        <w:t xml:space="preserve"> DC.</w:t>
      </w:r>
    </w:p>
    <w:p w14:paraId="57C9B899" w14:textId="77777777" w:rsidR="00DE1537" w:rsidRPr="00A95790" w:rsidRDefault="00DE1537" w:rsidP="00343F3E">
      <w:pPr>
        <w:pStyle w:val="Reference"/>
      </w:pPr>
      <w:proofErr w:type="gramStart"/>
      <w:r w:rsidRPr="00A95790">
        <w:t xml:space="preserve">Kollmorgen, A. 2013, </w:t>
      </w:r>
      <w:r w:rsidRPr="00A95790">
        <w:rPr>
          <w:i/>
          <w:iCs/>
        </w:rPr>
        <w:t>Home and Contents Premium Hikes</w:t>
      </w:r>
      <w:r w:rsidRPr="00A95790">
        <w:t>, www.choice.com.au/reviews-and-tests/money/insurance/house-and-car/home-and-contents-premium-hikes/page.aspx (accessed 18 July 2014).</w:t>
      </w:r>
      <w:proofErr w:type="gramEnd"/>
    </w:p>
    <w:p w14:paraId="70BBA50A" w14:textId="77777777" w:rsidR="00DE1537" w:rsidRPr="00A95790" w:rsidRDefault="00DE1537" w:rsidP="00343F3E">
      <w:pPr>
        <w:pStyle w:val="Reference"/>
      </w:pPr>
      <w:r w:rsidRPr="00A95790">
        <w:t xml:space="preserve">Kousky, C. 2010, </w:t>
      </w:r>
      <w:r w:rsidRPr="00A95790">
        <w:rPr>
          <w:i/>
          <w:iCs/>
        </w:rPr>
        <w:t>Managing the Risk of Natural Catastrophes: The Role and Functioning of State Insurance Programs</w:t>
      </w:r>
      <w:r w:rsidRPr="00A95790">
        <w:t>, Discussion Paper 10-30, Resources for the Future, Washington DC.</w:t>
      </w:r>
    </w:p>
    <w:p w14:paraId="69B75A34" w14:textId="77777777" w:rsidR="00DE1537" w:rsidRPr="00A95790" w:rsidRDefault="00DE1537" w:rsidP="00343F3E">
      <w:pPr>
        <w:pStyle w:val="Reference"/>
      </w:pPr>
      <w:r>
        <w:t>—— </w:t>
      </w:r>
      <w:r w:rsidRPr="00A95790">
        <w:t xml:space="preserve">2012, </w:t>
      </w:r>
      <w:r w:rsidRPr="00A95790">
        <w:rPr>
          <w:i/>
          <w:iCs/>
        </w:rPr>
        <w:t>Informing Climate Adaptation: A Review of the Economic Costs of Natural Disasters, their Determinants, and Risk Reduction Options</w:t>
      </w:r>
      <w:r w:rsidRPr="00A95790">
        <w:t>, RFF DP 12-28, Washington DC.</w:t>
      </w:r>
    </w:p>
    <w:p w14:paraId="3A0C7A8C" w14:textId="77777777" w:rsidR="00DE1537" w:rsidRPr="00A95790" w:rsidRDefault="00DE1537" w:rsidP="00343F3E">
      <w:pPr>
        <w:pStyle w:val="Reference"/>
      </w:pPr>
      <w:r>
        <w:t>——, </w:t>
      </w:r>
      <w:r w:rsidRPr="00A95790">
        <w:t xml:space="preserve">Michel-Kerjan, E.O. and Raschky, P.A. 2013, </w:t>
      </w:r>
      <w:r w:rsidRPr="00A95790">
        <w:rPr>
          <w:i/>
          <w:iCs/>
        </w:rPr>
        <w:t>Does Federal Disaster Assistance Crowd Out Private Demand for Insurance?</w:t>
      </w:r>
      <w:r w:rsidRPr="00A95790">
        <w:t>, Working paper no. 2013-10, The Wharton Risk Management and Decision Processes Centre, Philadelphia.</w:t>
      </w:r>
    </w:p>
    <w:p w14:paraId="0BC617CB" w14:textId="77777777" w:rsidR="00DE1537" w:rsidRPr="00A95790" w:rsidRDefault="00DE1537" w:rsidP="00343F3E">
      <w:pPr>
        <w:pStyle w:val="Reference"/>
      </w:pPr>
      <w:r w:rsidRPr="00A95790">
        <w:t xml:space="preserve">KPMG 2014, </w:t>
      </w:r>
      <w:r w:rsidRPr="00A95790">
        <w:rPr>
          <w:i/>
          <w:iCs/>
        </w:rPr>
        <w:t>Risk Apportionment in the Insurance Sector</w:t>
      </w:r>
      <w:r w:rsidRPr="00A95790">
        <w:t>, report for Suncorp Group.</w:t>
      </w:r>
    </w:p>
    <w:p w14:paraId="498B6C6F" w14:textId="77777777" w:rsidR="00DE1537" w:rsidRPr="00A95790" w:rsidRDefault="00DE1537" w:rsidP="00343F3E">
      <w:pPr>
        <w:pStyle w:val="Reference"/>
      </w:pPr>
      <w:r w:rsidRPr="00A95790">
        <w:t xml:space="preserve">KPMG Actuarial 2012, </w:t>
      </w:r>
      <w:r w:rsidRPr="00A95790">
        <w:rPr>
          <w:i/>
          <w:iCs/>
        </w:rPr>
        <w:t>Natural Disaster Relief and Recovery Arrangements (NDRRA) Review of States’ (Including Local Governments’) Insurance Arrangements</w:t>
      </w:r>
      <w:r w:rsidRPr="00A95790">
        <w:t>, report for the Department of Finance and Deregulation, Sydney.</w:t>
      </w:r>
    </w:p>
    <w:p w14:paraId="04CBC62E" w14:textId="77777777" w:rsidR="00DE1537" w:rsidRPr="00A95790" w:rsidRDefault="00DE1537" w:rsidP="00343F3E">
      <w:pPr>
        <w:pStyle w:val="Reference"/>
      </w:pPr>
      <w:proofErr w:type="gramStart"/>
      <w:r w:rsidRPr="00A95790">
        <w:t xml:space="preserve">Kunreuther, H. 2002, ‘Risk analysis and risk management in an uncertain world’, </w:t>
      </w:r>
      <w:r w:rsidRPr="00A95790">
        <w:rPr>
          <w:i/>
          <w:iCs/>
        </w:rPr>
        <w:t>Risk Analysis</w:t>
      </w:r>
      <w:r w:rsidRPr="00A95790">
        <w:t>, vol. 22, no. 4, pp. 655–664.</w:t>
      </w:r>
      <w:proofErr w:type="gramEnd"/>
    </w:p>
    <w:p w14:paraId="187E7CC0" w14:textId="77777777" w:rsidR="00DE1537" w:rsidRPr="00A95790" w:rsidRDefault="00DE1537" w:rsidP="00343F3E">
      <w:pPr>
        <w:pStyle w:val="Reference"/>
      </w:pPr>
      <w:proofErr w:type="gramStart"/>
      <w:r w:rsidRPr="00A95790">
        <w:lastRenderedPageBreak/>
        <w:t xml:space="preserve">Lahey, K. 2011, ‘Innovative plans move community to higher ground’, </w:t>
      </w:r>
      <w:r w:rsidRPr="00A95790">
        <w:rPr>
          <w:i/>
          <w:iCs/>
        </w:rPr>
        <w:t>Australian Journal of Emergency Management</w:t>
      </w:r>
      <w:r w:rsidRPr="00A95790">
        <w:t>, vol. 26, no. 4, pp. 18–23.</w:t>
      </w:r>
      <w:proofErr w:type="gramEnd"/>
    </w:p>
    <w:p w14:paraId="47848167" w14:textId="77777777" w:rsidR="00DE1537" w:rsidRPr="00A95790" w:rsidRDefault="00DE1537" w:rsidP="00343F3E">
      <w:pPr>
        <w:pStyle w:val="Reference"/>
      </w:pPr>
      <w:r w:rsidRPr="00A95790">
        <w:t>Latham, C., McCourt, P. and Larkin, C. 2010, ‘Natural disasters in Australia: Issues of funding and insurance’, presented at Institute of Actuaries of Australia 17th General Insurance Seminar, Gold Coast, 7</w:t>
      </w:r>
      <w:r>
        <w:t>–</w:t>
      </w:r>
      <w:r w:rsidRPr="00A95790">
        <w:t>10 November.</w:t>
      </w:r>
    </w:p>
    <w:p w14:paraId="41653A57" w14:textId="77777777" w:rsidR="00DE1537" w:rsidRPr="00A95790" w:rsidRDefault="00DE1537" w:rsidP="00343F3E">
      <w:pPr>
        <w:pStyle w:val="Reference"/>
      </w:pPr>
      <w:r w:rsidRPr="00A95790">
        <w:t xml:space="preserve">Leslie, L.M., Karoly, D.J., Leplastrier, M. and Buckley, B.W. 2007, ‘Variability of tropical cyclones over the southwest Pacific Ocean using a high-resolution climate model’, </w:t>
      </w:r>
      <w:r w:rsidRPr="00A95790">
        <w:rPr>
          <w:i/>
          <w:iCs/>
        </w:rPr>
        <w:t>Meteorology and Atmospheric Physics</w:t>
      </w:r>
      <w:r w:rsidRPr="00A95790">
        <w:t>, vol. 97, no. 1–4, pp. 171–180.</w:t>
      </w:r>
    </w:p>
    <w:p w14:paraId="637BE0FD" w14:textId="77777777" w:rsidR="00DE1537" w:rsidRPr="00A95790" w:rsidRDefault="00DE1537" w:rsidP="00343F3E">
      <w:pPr>
        <w:pStyle w:val="Reference"/>
      </w:pPr>
      <w:r w:rsidRPr="00A95790">
        <w:t xml:space="preserve">LGASA (Local Government Association of South Australia) 2011, </w:t>
      </w:r>
      <w:r w:rsidRPr="00A95790">
        <w:rPr>
          <w:i/>
          <w:iCs/>
        </w:rPr>
        <w:t>SA Emergency Management Act Review: The Role of Local Government</w:t>
      </w:r>
      <w:r w:rsidRPr="00A95790">
        <w:t>, Adelaide.</w:t>
      </w:r>
    </w:p>
    <w:p w14:paraId="22732B65" w14:textId="77777777" w:rsidR="00DE1537" w:rsidRPr="00A95790" w:rsidRDefault="00DE1537" w:rsidP="00343F3E">
      <w:pPr>
        <w:pStyle w:val="Reference"/>
      </w:pPr>
      <w:r w:rsidRPr="00A95790">
        <w:t xml:space="preserve">LGNZ (Local Government New Zealand) 2014, </w:t>
      </w:r>
      <w:r w:rsidRPr="00A95790">
        <w:rPr>
          <w:i/>
          <w:iCs/>
        </w:rPr>
        <w:t>Managing Natural Hazard Risk in New Zealand: Towards More Resilient Communities</w:t>
      </w:r>
      <w:r w:rsidRPr="00A95790">
        <w:t>, Wellington.</w:t>
      </w:r>
    </w:p>
    <w:p w14:paraId="3754813B" w14:textId="77777777" w:rsidR="00DE1537" w:rsidRPr="00A95790" w:rsidRDefault="00DE1537" w:rsidP="00343F3E">
      <w:pPr>
        <w:pStyle w:val="Reference"/>
      </w:pPr>
      <w:r w:rsidRPr="00A95790">
        <w:t xml:space="preserve">Lindsay, B.R. 2012, </w:t>
      </w:r>
      <w:r w:rsidRPr="00A95790">
        <w:rPr>
          <w:i/>
          <w:iCs/>
        </w:rPr>
        <w:t>Federal Emergency Management: A Brief Introduction</w:t>
      </w:r>
      <w:r w:rsidRPr="00A95790">
        <w:t>, R42845, Congressional Research Service, Washington DC.</w:t>
      </w:r>
    </w:p>
    <w:p w14:paraId="3FEE8F79" w14:textId="77777777" w:rsidR="00DE1537" w:rsidRPr="00A95790" w:rsidRDefault="00DE1537" w:rsidP="00343F3E">
      <w:pPr>
        <w:pStyle w:val="Reference"/>
      </w:pPr>
      <w:r w:rsidRPr="00A95790">
        <w:t>——</w:t>
      </w:r>
      <w:r>
        <w:t> </w:t>
      </w:r>
      <w:r w:rsidRPr="00A95790">
        <w:t xml:space="preserve">2014, </w:t>
      </w:r>
      <w:r w:rsidRPr="00A95790">
        <w:rPr>
          <w:i/>
          <w:iCs/>
        </w:rPr>
        <w:t>FEMA’s Disaster Relief Fund: Overview and Selected Issues</w:t>
      </w:r>
      <w:r w:rsidRPr="00A95790">
        <w:t>, R43537, Congressional Research Service, Washington DC.</w:t>
      </w:r>
    </w:p>
    <w:p w14:paraId="3E02E308" w14:textId="77777777" w:rsidR="00DE1537" w:rsidRPr="00A95790" w:rsidRDefault="00DE1537" w:rsidP="00343F3E">
      <w:pPr>
        <w:pStyle w:val="Reference"/>
      </w:pPr>
      <w:r w:rsidRPr="00A95790">
        <w:t xml:space="preserve">Lloyd’s Market Association 2013, </w:t>
      </w:r>
      <w:r w:rsidRPr="00A95790">
        <w:rPr>
          <w:i/>
          <w:iCs/>
        </w:rPr>
        <w:t>Catastrophe Modelling: Guidance for Non-Catastrophe Modellers</w:t>
      </w:r>
      <w:r w:rsidRPr="00A95790">
        <w:t>, London.</w:t>
      </w:r>
    </w:p>
    <w:p w14:paraId="0FCC8E17" w14:textId="77777777" w:rsidR="00DE1537" w:rsidRPr="00A95790" w:rsidRDefault="00DE1537" w:rsidP="00343F3E">
      <w:pPr>
        <w:pStyle w:val="Reference"/>
      </w:pPr>
      <w:r w:rsidRPr="00A95790">
        <w:t xml:space="preserve">Lo, A.Y. 2013, ‘Household preference and financial commitment to flood insurance in south-east Queensland’, </w:t>
      </w:r>
      <w:r w:rsidRPr="00A95790">
        <w:rPr>
          <w:i/>
          <w:iCs/>
        </w:rPr>
        <w:t>Australian Economic Review</w:t>
      </w:r>
      <w:r w:rsidRPr="00A95790">
        <w:t>, vol. 46, no. 2, pp. 160–175.</w:t>
      </w:r>
    </w:p>
    <w:p w14:paraId="3573B636" w14:textId="77777777" w:rsidR="00DE1537" w:rsidRPr="00A95790" w:rsidRDefault="00DE1537" w:rsidP="00343F3E">
      <w:pPr>
        <w:pStyle w:val="Reference"/>
      </w:pPr>
      <w:r w:rsidRPr="00A95790">
        <w:t xml:space="preserve">Love, N.P. 2009, </w:t>
      </w:r>
      <w:r w:rsidRPr="00A95790">
        <w:rPr>
          <w:i/>
          <w:iCs/>
        </w:rPr>
        <w:t>FEMA’s Hazard Mitigation Grant Program: Overview and Issues</w:t>
      </w:r>
      <w:r w:rsidRPr="00A95790">
        <w:t>, R40471, Congressional Research Service, Washington DC.</w:t>
      </w:r>
    </w:p>
    <w:p w14:paraId="332215C0" w14:textId="77777777" w:rsidR="00DE1537" w:rsidRPr="00A95790" w:rsidRDefault="00DE1537" w:rsidP="00343F3E">
      <w:pPr>
        <w:pStyle w:val="Reference"/>
      </w:pPr>
      <w:r w:rsidRPr="00A95790">
        <w:t xml:space="preserve">Mackay Regional Council 2009, </w:t>
      </w:r>
      <w:r w:rsidRPr="00A95790">
        <w:rPr>
          <w:i/>
          <w:iCs/>
        </w:rPr>
        <w:t>Final Minutes – 3 June</w:t>
      </w:r>
      <w:r w:rsidRPr="00A95790">
        <w:t>, www.mackay.qld. gov.au/__data/</w:t>
      </w:r>
      <w:r>
        <w:br/>
      </w:r>
      <w:r w:rsidRPr="00A95790">
        <w:t>assets/pdf_file/0005/54392/090603_-_Ordinary_Minutes.pdf (accessed 30 July 2014).</w:t>
      </w:r>
    </w:p>
    <w:p w14:paraId="3DA94250" w14:textId="77777777" w:rsidR="00DE1537" w:rsidRPr="00A95790" w:rsidRDefault="00DE1537" w:rsidP="00343F3E">
      <w:pPr>
        <w:pStyle w:val="Reference"/>
      </w:pPr>
      <w:r w:rsidRPr="00A95790">
        <w:t xml:space="preserve">Mason, A. 2011, </w:t>
      </w:r>
      <w:r w:rsidRPr="00A95790">
        <w:rPr>
          <w:i/>
          <w:iCs/>
        </w:rPr>
        <w:t>The History of Flood Insurance in Australia</w:t>
      </w:r>
      <w:r w:rsidRPr="00A95790">
        <w:t>, report for the Natural Disaster Insurance Review, Canberra.</w:t>
      </w:r>
    </w:p>
    <w:p w14:paraId="2161CF8E" w14:textId="77777777" w:rsidR="00DE1537" w:rsidRPr="00A95790" w:rsidRDefault="00DE1537" w:rsidP="00343F3E">
      <w:pPr>
        <w:pStyle w:val="Reference"/>
      </w:pPr>
      <w:r w:rsidRPr="00A95790">
        <w:t xml:space="preserve">Mason, M. and Haynes, K. 2010, </w:t>
      </w:r>
      <w:r w:rsidRPr="00A95790">
        <w:rPr>
          <w:i/>
          <w:iCs/>
        </w:rPr>
        <w:t>Case Study: Cyclone Tracy</w:t>
      </w:r>
      <w:r w:rsidRPr="00A95790">
        <w:t>, report for the National Climate Change Adaptation Research Facility, Risk Frontiers, Macquarie University, Sydney.</w:t>
      </w:r>
    </w:p>
    <w:p w14:paraId="406441EB" w14:textId="77777777" w:rsidR="00DE1537" w:rsidRPr="00A95790" w:rsidRDefault="00DE1537" w:rsidP="00343F3E">
      <w:pPr>
        <w:pStyle w:val="Reference"/>
      </w:pPr>
      <w:r w:rsidRPr="00A95790">
        <w:t xml:space="preserve">McAneney, J. and Crompton, R. 2013, </w:t>
      </w:r>
      <w:r w:rsidRPr="00A95790">
        <w:rPr>
          <w:i/>
          <w:iCs/>
        </w:rPr>
        <w:t>What is Driving the Rising Cost of Natural Disasters</w:t>
      </w:r>
      <w:proofErr w:type="gramStart"/>
      <w:r w:rsidRPr="00A95790">
        <w:rPr>
          <w:i/>
          <w:iCs/>
        </w:rPr>
        <w:t>?</w:t>
      </w:r>
      <w:r w:rsidRPr="00A95790">
        <w:t>,</w:t>
      </w:r>
      <w:proofErr w:type="gramEnd"/>
      <w:r w:rsidRPr="00A95790">
        <w:t xml:space="preserve"> Risk Frontiers, Macquarie University, Sydney.</w:t>
      </w:r>
    </w:p>
    <w:p w14:paraId="6141AB36" w14:textId="77777777" w:rsidR="00DE1537" w:rsidRPr="00A95790" w:rsidRDefault="00DE1537" w:rsidP="00343F3E">
      <w:pPr>
        <w:pStyle w:val="Reference"/>
      </w:pPr>
      <w:r w:rsidRPr="00A95790">
        <w:t xml:space="preserve">——, ——, McAneney, D., Musulin, R., Walker, G. and Pielke Jr, R. 2013, </w:t>
      </w:r>
      <w:r w:rsidRPr="00A95790">
        <w:rPr>
          <w:i/>
          <w:iCs/>
        </w:rPr>
        <w:t>Market-Based Mechanisms for Climate Change Adaptation</w:t>
      </w:r>
      <w:r w:rsidRPr="00A95790">
        <w:t>, National Climate Change Adaptation Research Facility, Gold Coast.</w:t>
      </w:r>
    </w:p>
    <w:p w14:paraId="2F522477" w14:textId="77777777" w:rsidR="00DE1537" w:rsidRPr="00A95790" w:rsidRDefault="00DE1537" w:rsidP="00343F3E">
      <w:pPr>
        <w:pStyle w:val="Reference"/>
      </w:pPr>
      <w:r w:rsidRPr="00A95790">
        <w:t xml:space="preserve">McCarthy, F.X. 2010, </w:t>
      </w:r>
      <w:r w:rsidRPr="00A95790">
        <w:rPr>
          <w:i/>
          <w:iCs/>
        </w:rPr>
        <w:t>FEMA Disaster Cost-Shares: Evolution and Analysis</w:t>
      </w:r>
      <w:r w:rsidRPr="00A95790">
        <w:t>, R41101, Congressional Research Service, Washington DC.</w:t>
      </w:r>
    </w:p>
    <w:p w14:paraId="7D4DA7A4" w14:textId="77777777" w:rsidR="00DE1537" w:rsidRPr="00A95790" w:rsidRDefault="00DE1537" w:rsidP="00343F3E">
      <w:pPr>
        <w:pStyle w:val="Reference"/>
      </w:pPr>
      <w:r w:rsidRPr="00A95790">
        <w:t>——</w:t>
      </w:r>
      <w:r>
        <w:t> </w:t>
      </w:r>
      <w:r w:rsidRPr="00A95790">
        <w:t xml:space="preserve">and Keegan, N. 2009, </w:t>
      </w:r>
      <w:r w:rsidRPr="00A95790">
        <w:rPr>
          <w:i/>
          <w:iCs/>
        </w:rPr>
        <w:t>FEMA’s Pre-Disaster Mitigation Program: Overview and Issues</w:t>
      </w:r>
      <w:r w:rsidRPr="00A95790">
        <w:t>, RL34537, Congressional Research Service, Washington DC.</w:t>
      </w:r>
    </w:p>
    <w:p w14:paraId="27254A8C" w14:textId="77777777" w:rsidR="00DE1537" w:rsidRPr="00A95790" w:rsidRDefault="00DE1537" w:rsidP="00343F3E">
      <w:pPr>
        <w:pStyle w:val="Reference"/>
      </w:pPr>
      <w:proofErr w:type="gramStart"/>
      <w:r w:rsidRPr="00A95790">
        <w:lastRenderedPageBreak/>
        <w:t xml:space="preserve">McGregor, J.L., Walsh, K.J.E. and Nguyen, K.C. 2004, ‘Fine-resolution regional climate model simulations of the impact of climate change on tropical cyclones near Australia’, </w:t>
      </w:r>
      <w:r w:rsidRPr="00A95790">
        <w:rPr>
          <w:i/>
          <w:iCs/>
        </w:rPr>
        <w:t>Climate Dynamics</w:t>
      </w:r>
      <w:r w:rsidRPr="00A95790">
        <w:t>, vol. 22, no. 1, pp. 47–56.</w:t>
      </w:r>
      <w:proofErr w:type="gramEnd"/>
    </w:p>
    <w:p w14:paraId="5CA99C06" w14:textId="77777777" w:rsidR="00DE1537" w:rsidRPr="00A95790" w:rsidRDefault="00DE1537" w:rsidP="00343F3E">
      <w:pPr>
        <w:pStyle w:val="Reference"/>
      </w:pPr>
      <w:r w:rsidRPr="00A95790">
        <w:t xml:space="preserve">McLaughlin, R.J. 2011, ‘Rolling easements as a response to sea level rise in coastal Texas: Current status of the law after Severance v. Patterson’, </w:t>
      </w:r>
      <w:r w:rsidRPr="00A95790">
        <w:rPr>
          <w:i/>
          <w:iCs/>
        </w:rPr>
        <w:t>Journal of Land Use</w:t>
      </w:r>
      <w:r w:rsidRPr="00A95790">
        <w:t>, vol. 26, no. 2, pp. 365–394.</w:t>
      </w:r>
    </w:p>
    <w:p w14:paraId="71D370BD" w14:textId="77777777" w:rsidR="00DE1537" w:rsidRPr="00A95790" w:rsidRDefault="00DE1537" w:rsidP="00343F3E">
      <w:pPr>
        <w:pStyle w:val="Reference"/>
      </w:pPr>
      <w:r w:rsidRPr="00A95790">
        <w:t xml:space="preserve">McNamara, J. 2012, ‘The Commonwealth response to Cyclone Tracy: implications for future </w:t>
      </w:r>
      <w:proofErr w:type="gramStart"/>
      <w:r w:rsidRPr="00A95790">
        <w:t>disasters.’,</w:t>
      </w:r>
      <w:proofErr w:type="gramEnd"/>
      <w:r w:rsidRPr="00A95790">
        <w:t xml:space="preserve"> </w:t>
      </w:r>
      <w:r w:rsidRPr="00A95790">
        <w:rPr>
          <w:i/>
          <w:iCs/>
        </w:rPr>
        <w:t>Australian Journal of Emergency Management</w:t>
      </w:r>
      <w:r w:rsidRPr="00A95790">
        <w:t>, vol. 27, no. 2, pp. 37–41.</w:t>
      </w:r>
    </w:p>
    <w:p w14:paraId="5798E557" w14:textId="77777777" w:rsidR="00DE1537" w:rsidRPr="00A95790" w:rsidRDefault="00DE1537" w:rsidP="00343F3E">
      <w:pPr>
        <w:pStyle w:val="Reference"/>
      </w:pPr>
      <w:proofErr w:type="gramStart"/>
      <w:r w:rsidRPr="00A95790">
        <w:t xml:space="preserve">Mercer 2011, </w:t>
      </w:r>
      <w:r w:rsidRPr="00A95790">
        <w:rPr>
          <w:i/>
          <w:iCs/>
        </w:rPr>
        <w:t>Back to Policy Fundamentals - A Report by Mercer for the Business Council of Australia</w:t>
      </w:r>
      <w:r w:rsidRPr="00A95790">
        <w:t>, Sydney.</w:t>
      </w:r>
      <w:proofErr w:type="gramEnd"/>
    </w:p>
    <w:p w14:paraId="1FA31CFD" w14:textId="77777777" w:rsidR="00DE1537" w:rsidRPr="00A95790" w:rsidRDefault="00DE1537" w:rsidP="00343F3E">
      <w:pPr>
        <w:pStyle w:val="Reference"/>
      </w:pPr>
      <w:r w:rsidRPr="00A95790">
        <w:t xml:space="preserve">Michel-Kerjan, E. 2010, ‘Catastrophe economics: The National Flood Insurance Program’, </w:t>
      </w:r>
      <w:r w:rsidRPr="00A95790">
        <w:rPr>
          <w:i/>
          <w:iCs/>
        </w:rPr>
        <w:t>Journal of Economic Perspectives</w:t>
      </w:r>
      <w:r w:rsidRPr="00A95790">
        <w:t>, vol. 24, no. 4, pp. 165–186.</w:t>
      </w:r>
    </w:p>
    <w:p w14:paraId="4F9BDC58" w14:textId="77777777" w:rsidR="00DE1537" w:rsidRPr="00A95790" w:rsidRDefault="00DE1537" w:rsidP="00343F3E">
      <w:pPr>
        <w:pStyle w:val="Reference"/>
      </w:pPr>
      <w:r w:rsidRPr="00A95790">
        <w:t>——</w:t>
      </w:r>
      <w:r>
        <w:t> </w:t>
      </w:r>
      <w:r w:rsidRPr="00A95790">
        <w:t xml:space="preserve">and Morlaye, F. 2008, ‘Extreme events, global warming, and insurance-linked securities: How to trigger the “tipping point”’, </w:t>
      </w:r>
      <w:r w:rsidRPr="00A95790">
        <w:rPr>
          <w:i/>
          <w:iCs/>
        </w:rPr>
        <w:t>The Geneva Papers on Risk and Insurance</w:t>
      </w:r>
      <w:r w:rsidRPr="00A95790">
        <w:t>, vol. 33, no. 1, pp. 153–176.</w:t>
      </w:r>
    </w:p>
    <w:p w14:paraId="2960EBEB" w14:textId="77777777" w:rsidR="00DE1537" w:rsidRPr="00A95790" w:rsidRDefault="00DE1537" w:rsidP="00343F3E">
      <w:pPr>
        <w:pStyle w:val="Reference"/>
      </w:pPr>
      <w:r w:rsidRPr="00A95790">
        <w:t xml:space="preserve">Middelmann, M.H. (Editor) 2007, </w:t>
      </w:r>
      <w:r w:rsidRPr="00A95790">
        <w:rPr>
          <w:i/>
          <w:iCs/>
        </w:rPr>
        <w:t xml:space="preserve">Natural Hazards in Australia. </w:t>
      </w:r>
      <w:proofErr w:type="gramStart"/>
      <w:r w:rsidRPr="00A95790">
        <w:rPr>
          <w:i/>
          <w:iCs/>
        </w:rPr>
        <w:t>Identifying Risk Analysis Requirements</w:t>
      </w:r>
      <w:r w:rsidRPr="00A95790">
        <w:t>, Geoscience Australia, Canberra.</w:t>
      </w:r>
      <w:proofErr w:type="gramEnd"/>
    </w:p>
    <w:p w14:paraId="064768F2" w14:textId="77777777" w:rsidR="00DE1537" w:rsidRPr="00A95790" w:rsidRDefault="00DE1537" w:rsidP="00343F3E">
      <w:pPr>
        <w:pStyle w:val="Reference"/>
      </w:pPr>
      <w:r w:rsidRPr="00A95790">
        <w:t xml:space="preserve">Monday, J., Grill, K.Y., Esformes, P., Eng, M., Kinney, T. and Shapiro, M. 2006, </w:t>
      </w:r>
      <w:r w:rsidRPr="00A95790">
        <w:rPr>
          <w:i/>
          <w:iCs/>
        </w:rPr>
        <w:t>An Evaluation of Compliance with the National Flood Insurance Program Part A: Achieving Community Compliance</w:t>
      </w:r>
      <w:r w:rsidRPr="00A95790">
        <w:t>, American Institutes for Research, Washington DC.</w:t>
      </w:r>
    </w:p>
    <w:p w14:paraId="7C91C5D5" w14:textId="77777777" w:rsidR="00DE1537" w:rsidRPr="00A95790" w:rsidRDefault="00DE1537" w:rsidP="00343F3E">
      <w:pPr>
        <w:pStyle w:val="Reference"/>
      </w:pPr>
      <w:r w:rsidRPr="00A95790">
        <w:t xml:space="preserve">Moss, D.A. 2002, </w:t>
      </w:r>
      <w:r w:rsidRPr="00A95790">
        <w:rPr>
          <w:i/>
          <w:iCs/>
        </w:rPr>
        <w:t>When All Else Fails: Government as the Ultimate Risk Manager</w:t>
      </w:r>
      <w:r w:rsidRPr="00A95790">
        <w:t>, Harvard University Press, Cambridge, Massachusetts.</w:t>
      </w:r>
    </w:p>
    <w:p w14:paraId="7F5F65E0" w14:textId="77777777" w:rsidR="00DE1537" w:rsidRPr="00A95790" w:rsidRDefault="00DE1537" w:rsidP="00343F3E">
      <w:pPr>
        <w:pStyle w:val="Reference"/>
      </w:pPr>
      <w:r w:rsidRPr="00A95790">
        <w:t xml:space="preserve">Murray, D., Davis, K., Dunn, C., Hewson, C. and McNamee, B. 2014a, </w:t>
      </w:r>
      <w:r w:rsidRPr="00A95790">
        <w:rPr>
          <w:i/>
          <w:iCs/>
        </w:rPr>
        <w:t>Financial System Inquiry: Final Report</w:t>
      </w:r>
      <w:r w:rsidRPr="00A95790">
        <w:t>, Canberra.</w:t>
      </w:r>
    </w:p>
    <w:p w14:paraId="09D438FD" w14:textId="77777777" w:rsidR="00DE1537" w:rsidRPr="00A95790" w:rsidRDefault="00DE1537" w:rsidP="00343F3E">
      <w:pPr>
        <w:pStyle w:val="Reference"/>
      </w:pPr>
      <w:r w:rsidRPr="00A95790">
        <w:t xml:space="preserve">——, ——, ——, —— and —— 2014b, </w:t>
      </w:r>
      <w:r w:rsidRPr="00A95790">
        <w:rPr>
          <w:i/>
          <w:iCs/>
        </w:rPr>
        <w:t>Financial System Inquiry: Interim Report</w:t>
      </w:r>
      <w:r w:rsidRPr="00A95790">
        <w:t>, Canberra.</w:t>
      </w:r>
    </w:p>
    <w:p w14:paraId="2D9B0A11" w14:textId="77777777" w:rsidR="00DE1537" w:rsidRPr="00A95790" w:rsidRDefault="00DE1537" w:rsidP="00343F3E">
      <w:pPr>
        <w:pStyle w:val="Reference"/>
      </w:pPr>
      <w:r w:rsidRPr="00A95790">
        <w:t xml:space="preserve">National Commission of Audit 2014, </w:t>
      </w:r>
      <w:r w:rsidRPr="00A95790">
        <w:rPr>
          <w:i/>
          <w:iCs/>
        </w:rPr>
        <w:t>Towards Responsible Government: Appendix to the Report of the National Commission of Audit: Volume 2</w:t>
      </w:r>
      <w:r w:rsidRPr="00A95790">
        <w:t>, Canberra.</w:t>
      </w:r>
    </w:p>
    <w:p w14:paraId="2FDE04F2" w14:textId="77777777" w:rsidR="00DE1537" w:rsidRPr="00A95790" w:rsidRDefault="00DE1537" w:rsidP="00343F3E">
      <w:pPr>
        <w:pStyle w:val="Reference"/>
      </w:pPr>
      <w:proofErr w:type="gramStart"/>
      <w:r w:rsidRPr="00A95790">
        <w:t xml:space="preserve">NEMC (National Emergency Management Committee) 2010, </w:t>
      </w:r>
      <w:r w:rsidRPr="00A95790">
        <w:rPr>
          <w:i/>
          <w:iCs/>
        </w:rPr>
        <w:t>National Emergency Risk Assessment Guidelines</w:t>
      </w:r>
      <w:r w:rsidRPr="00A95790">
        <w:t>, Canberra.</w:t>
      </w:r>
      <w:proofErr w:type="gramEnd"/>
    </w:p>
    <w:p w14:paraId="7370786D" w14:textId="77777777" w:rsidR="00DE1537" w:rsidRPr="00A95790" w:rsidRDefault="00DE1537" w:rsidP="00343F3E">
      <w:pPr>
        <w:pStyle w:val="Reference"/>
      </w:pPr>
      <w:r w:rsidRPr="00A95790">
        <w:t>——</w:t>
      </w:r>
      <w:r>
        <w:t> </w:t>
      </w:r>
      <w:r w:rsidRPr="00A95790">
        <w:t xml:space="preserve">2012a, </w:t>
      </w:r>
      <w:r w:rsidRPr="00A95790">
        <w:rPr>
          <w:i/>
          <w:iCs/>
        </w:rPr>
        <w:t>Enhancing Disaster Resilience in the Built Environment: Current State Review</w:t>
      </w:r>
      <w:r w:rsidRPr="00A95790">
        <w:t>, Canberra.</w:t>
      </w:r>
    </w:p>
    <w:p w14:paraId="3CC8D67F" w14:textId="77777777" w:rsidR="00DE1537" w:rsidRPr="00A95790" w:rsidRDefault="00DE1537" w:rsidP="00343F3E">
      <w:pPr>
        <w:pStyle w:val="Reference"/>
      </w:pPr>
      <w:r w:rsidRPr="00A95790">
        <w:t>——</w:t>
      </w:r>
      <w:r>
        <w:t> </w:t>
      </w:r>
      <w:r w:rsidRPr="00A95790">
        <w:t xml:space="preserve">2012b, </w:t>
      </w:r>
      <w:r w:rsidRPr="00A95790">
        <w:rPr>
          <w:i/>
          <w:iCs/>
        </w:rPr>
        <w:t>Enhancing Disaster Resilience in the Built Environment: Gap Analysis</w:t>
      </w:r>
      <w:r w:rsidRPr="00A95790">
        <w:t>, Canberra.</w:t>
      </w:r>
    </w:p>
    <w:p w14:paraId="7FD9AB5C" w14:textId="77777777" w:rsidR="00DE1537" w:rsidRPr="00A95790" w:rsidRDefault="00DE1537" w:rsidP="00343F3E">
      <w:pPr>
        <w:pStyle w:val="Reference"/>
      </w:pPr>
      <w:r w:rsidRPr="00A95790">
        <w:t>——</w:t>
      </w:r>
      <w:r>
        <w:t> </w:t>
      </w:r>
      <w:r w:rsidRPr="00A95790">
        <w:t xml:space="preserve">2012c, </w:t>
      </w:r>
      <w:r w:rsidRPr="00A95790">
        <w:rPr>
          <w:i/>
          <w:iCs/>
        </w:rPr>
        <w:t>Enhancing Disaster Resilience in the Built Environment: Roadmap</w:t>
      </w:r>
      <w:r w:rsidRPr="00A95790">
        <w:t>, Canberra.</w:t>
      </w:r>
    </w:p>
    <w:p w14:paraId="5C8FF7D5" w14:textId="77777777" w:rsidR="00DE1537" w:rsidRPr="00A95790" w:rsidRDefault="00DE1537" w:rsidP="00343F3E">
      <w:pPr>
        <w:pStyle w:val="Reference"/>
      </w:pPr>
      <w:proofErr w:type="gramStart"/>
      <w:r w:rsidRPr="00A95790">
        <w:t xml:space="preserve">Neumayer, E., Plümper, T. and Barthel, F. 2013, ‘The political economy of natural disaster damage’, </w:t>
      </w:r>
      <w:r w:rsidRPr="00A95790">
        <w:rPr>
          <w:i/>
          <w:iCs/>
        </w:rPr>
        <w:t>Global Environmental Change</w:t>
      </w:r>
      <w:r w:rsidRPr="00A95790">
        <w:t>, Forthcoming.</w:t>
      </w:r>
      <w:proofErr w:type="gramEnd"/>
    </w:p>
    <w:p w14:paraId="1A23998C" w14:textId="77777777" w:rsidR="00DE1537" w:rsidRPr="00A95790" w:rsidRDefault="00DE1537" w:rsidP="00343F3E">
      <w:pPr>
        <w:pStyle w:val="Reference"/>
      </w:pPr>
      <w:proofErr w:type="gramStart"/>
      <w:r w:rsidRPr="00A95790">
        <w:lastRenderedPageBreak/>
        <w:t xml:space="preserve">New Zealand Government 2014, </w:t>
      </w:r>
      <w:r w:rsidRPr="00A95790">
        <w:rPr>
          <w:i/>
          <w:iCs/>
        </w:rPr>
        <w:t>Civil Defence Payment</w:t>
      </w:r>
      <w:r w:rsidRPr="00A95790">
        <w:t>, www.govt.nz/browse/</w:t>
      </w:r>
      <w:r>
        <w:br/>
      </w:r>
      <w:r w:rsidRPr="00A95790">
        <w:t>emergencies-and-disasters/civil-defence/civil-defence-payment (accessed 15 August 2014).</w:t>
      </w:r>
      <w:proofErr w:type="gramEnd"/>
    </w:p>
    <w:p w14:paraId="62C64A4D" w14:textId="77777777" w:rsidR="00DE1537" w:rsidRPr="00A95790" w:rsidRDefault="00DE1537" w:rsidP="00343F3E">
      <w:pPr>
        <w:pStyle w:val="Reference"/>
      </w:pPr>
      <w:r w:rsidRPr="00A95790">
        <w:t xml:space="preserve">Nicholls, N. 1999, ‘Cognitive illusions, heuristics, and climate prediction’, </w:t>
      </w:r>
      <w:r w:rsidRPr="00A95790">
        <w:rPr>
          <w:i/>
          <w:iCs/>
        </w:rPr>
        <w:t>Bulletin of the American Meteorological Society</w:t>
      </w:r>
      <w:r w:rsidRPr="00A95790">
        <w:t>, vol. 80, no. 70, pp. 1385–1398.</w:t>
      </w:r>
    </w:p>
    <w:p w14:paraId="6C1D5FE2" w14:textId="77777777" w:rsidR="00DE1537" w:rsidRPr="00A95790" w:rsidRDefault="00DE1537" w:rsidP="00343F3E">
      <w:pPr>
        <w:pStyle w:val="Reference"/>
      </w:pPr>
      <w:r w:rsidRPr="00A95790">
        <w:t xml:space="preserve">North, D.A. and Bennett, C.D. 2002, </w:t>
      </w:r>
      <w:proofErr w:type="gramStart"/>
      <w:r w:rsidRPr="00A95790">
        <w:rPr>
          <w:i/>
          <w:iCs/>
        </w:rPr>
        <w:t>The</w:t>
      </w:r>
      <w:proofErr w:type="gramEnd"/>
      <w:r w:rsidRPr="00A95790">
        <w:rPr>
          <w:i/>
          <w:iCs/>
        </w:rPr>
        <w:t xml:space="preserve"> Art of Self-Insurance</w:t>
      </w:r>
      <w:r w:rsidRPr="00A95790">
        <w:t>, Memphis.</w:t>
      </w:r>
    </w:p>
    <w:p w14:paraId="3DF4613B" w14:textId="77777777" w:rsidR="00DE1537" w:rsidRPr="00A95790" w:rsidRDefault="00DE1537" w:rsidP="00343F3E">
      <w:pPr>
        <w:pStyle w:val="Reference"/>
      </w:pPr>
      <w:r w:rsidRPr="00A95790">
        <w:t xml:space="preserve">Northern Territory Department of Lands, Planning and the Environment 2012, </w:t>
      </w:r>
      <w:r w:rsidRPr="00A95790">
        <w:rPr>
          <w:i/>
          <w:iCs/>
        </w:rPr>
        <w:t>The Northern Territory Planning System</w:t>
      </w:r>
      <w:r w:rsidRPr="00A95790">
        <w:t>, www.lands.nt.gov.au/planning/system (accessed 21 August 2014).</w:t>
      </w:r>
    </w:p>
    <w:p w14:paraId="6342DF23" w14:textId="77777777" w:rsidR="00DE1537" w:rsidRPr="00A95790" w:rsidRDefault="00DE1537" w:rsidP="00343F3E">
      <w:pPr>
        <w:pStyle w:val="Reference"/>
      </w:pPr>
      <w:proofErr w:type="gramStart"/>
      <w:r w:rsidRPr="00A95790">
        <w:t xml:space="preserve">Northern Territory Government 2011, </w:t>
      </w:r>
      <w:r w:rsidRPr="00A95790">
        <w:rPr>
          <w:i/>
          <w:iCs/>
        </w:rPr>
        <w:t>Northern Territory Response to Requirements - Clause 4.6 of Natural Disaster Relief and Recovery Arrangements (NDRRA) Determination 2011</w:t>
      </w:r>
      <w:r w:rsidRPr="00A95790">
        <w:t>, Darwin.</w:t>
      </w:r>
      <w:proofErr w:type="gramEnd"/>
    </w:p>
    <w:p w14:paraId="17771F3A" w14:textId="77777777" w:rsidR="00DE1537" w:rsidRPr="00A95790" w:rsidRDefault="00DE1537" w:rsidP="00343F3E">
      <w:pPr>
        <w:pStyle w:val="Reference"/>
      </w:pPr>
      <w:r w:rsidRPr="00A95790">
        <w:t xml:space="preserve">NSW Department of Planning and Environment 2014a, </w:t>
      </w:r>
      <w:r w:rsidRPr="00A95790">
        <w:rPr>
          <w:i/>
          <w:iCs/>
        </w:rPr>
        <w:t>Coastal Hazard Notations on Section 149 Planning Certificates</w:t>
      </w:r>
      <w:r w:rsidRPr="00A95790">
        <w:t>, www.planning.nsw.gov.au/Portals/0/PlanningYour</w:t>
      </w:r>
      <w:r>
        <w:br/>
      </w:r>
      <w:r w:rsidRPr="00A95790">
        <w:t>Region/Sea%20Level%20Rise%20Planning%20Circular.pdf (accessed 2 December 2014).</w:t>
      </w:r>
    </w:p>
    <w:p w14:paraId="4FF5C1EC" w14:textId="77777777" w:rsidR="00DE1537" w:rsidRPr="00A95790" w:rsidRDefault="00DE1537" w:rsidP="00343F3E">
      <w:pPr>
        <w:pStyle w:val="Reference"/>
      </w:pPr>
      <w:r w:rsidRPr="00A95790">
        <w:t>——</w:t>
      </w:r>
      <w:r>
        <w:t> </w:t>
      </w:r>
      <w:r w:rsidRPr="00A95790">
        <w:t xml:space="preserve">2014b, </w:t>
      </w:r>
      <w:r w:rsidRPr="00A95790">
        <w:rPr>
          <w:i/>
          <w:iCs/>
        </w:rPr>
        <w:t>How Planning Works</w:t>
      </w:r>
      <w:r w:rsidRPr="00A95790">
        <w:t>, www.planning.nsw.gov.au/en-us/policyandlegislation/</w:t>
      </w:r>
      <w:r>
        <w:br/>
      </w:r>
      <w:r w:rsidRPr="00A95790">
        <w:t>howplanningworks.aspx (accessed 21 August 2014).</w:t>
      </w:r>
    </w:p>
    <w:p w14:paraId="221D4A03" w14:textId="77777777" w:rsidR="00DE1537" w:rsidRPr="00A95790" w:rsidRDefault="00DE1537" w:rsidP="00343F3E">
      <w:pPr>
        <w:pStyle w:val="Reference"/>
      </w:pPr>
      <w:r w:rsidRPr="00A95790">
        <w:t xml:space="preserve">NSW Department of Primary Industries 2014, </w:t>
      </w:r>
      <w:r w:rsidRPr="00A95790">
        <w:rPr>
          <w:i/>
          <w:iCs/>
        </w:rPr>
        <w:t>Hawkesbury–Nepean Valley Flood Management Review: Stage One Summary Report</w:t>
      </w:r>
      <w:r w:rsidRPr="00A95790">
        <w:t>, Sydney.</w:t>
      </w:r>
    </w:p>
    <w:p w14:paraId="58AD0F4F" w14:textId="77777777" w:rsidR="00DE1537" w:rsidRPr="00A95790" w:rsidRDefault="00DE1537" w:rsidP="00343F3E">
      <w:pPr>
        <w:pStyle w:val="Reference"/>
      </w:pPr>
      <w:proofErr w:type="gramStart"/>
      <w:r w:rsidRPr="00A95790">
        <w:t xml:space="preserve">NSW Self Insurance Corporation 2014, </w:t>
      </w:r>
      <w:r w:rsidRPr="00A95790">
        <w:rPr>
          <w:i/>
          <w:iCs/>
        </w:rPr>
        <w:t>Treasury Managed Fund</w:t>
      </w:r>
      <w:r w:rsidRPr="00A95790">
        <w:t>, https://riskinsite.nsw.</w:t>
      </w:r>
      <w:proofErr w:type="gramEnd"/>
      <w:r>
        <w:br/>
      </w:r>
      <w:r w:rsidRPr="00A95790">
        <w:t>gov.au/portal/server.pt/community/Treasury%20Managed%20Fund/268 (accessed 21</w:t>
      </w:r>
      <w:r>
        <w:t> </w:t>
      </w:r>
      <w:r w:rsidRPr="00A95790">
        <w:t>August 2014).</w:t>
      </w:r>
    </w:p>
    <w:p w14:paraId="023128B6" w14:textId="77777777" w:rsidR="00DE1537" w:rsidRPr="00A95790" w:rsidRDefault="00DE1537" w:rsidP="00343F3E">
      <w:pPr>
        <w:pStyle w:val="Reference"/>
      </w:pPr>
      <w:proofErr w:type="gramStart"/>
      <w:r w:rsidRPr="00A95790">
        <w:t xml:space="preserve">NSW Treasury Corporation 2013, </w:t>
      </w:r>
      <w:r w:rsidRPr="00A95790">
        <w:rPr>
          <w:i/>
          <w:iCs/>
        </w:rPr>
        <w:t>Financial Sustainability of the New South Wales Local Government Sector</w:t>
      </w:r>
      <w:r w:rsidRPr="00A95790">
        <w:t>, Sydney.</w:t>
      </w:r>
      <w:proofErr w:type="gramEnd"/>
    </w:p>
    <w:p w14:paraId="32F38DE2" w14:textId="77777777" w:rsidR="00DE1537" w:rsidRPr="00A95790" w:rsidRDefault="00DE1537" w:rsidP="00343F3E">
      <w:pPr>
        <w:pStyle w:val="Reference"/>
      </w:pPr>
      <w:proofErr w:type="gramStart"/>
      <w:r w:rsidRPr="00A95790">
        <w:t xml:space="preserve">NSWOSR (NSW Office of State Revenue) 2013, </w:t>
      </w:r>
      <w:r w:rsidRPr="00A95790">
        <w:rPr>
          <w:i/>
          <w:iCs/>
        </w:rPr>
        <w:t>Insurance Duty</w:t>
      </w:r>
      <w:r w:rsidRPr="00A95790">
        <w:t>, www.osr.nsw.gov.au/</w:t>
      </w:r>
      <w:r>
        <w:br/>
      </w:r>
      <w:r w:rsidRPr="00A95790">
        <w:t>taxes/insurance (accessed 28 July 2014).</w:t>
      </w:r>
      <w:proofErr w:type="gramEnd"/>
    </w:p>
    <w:p w14:paraId="4496E0AF" w14:textId="77777777" w:rsidR="00DE1537" w:rsidRPr="00A95790" w:rsidRDefault="00DE1537" w:rsidP="00343F3E">
      <w:pPr>
        <w:pStyle w:val="Reference"/>
      </w:pPr>
      <w:proofErr w:type="gramStart"/>
      <w:r w:rsidRPr="00A95790">
        <w:t xml:space="preserve">NTDTF (Northern Territory Department of Treasury and Finance) 2011, </w:t>
      </w:r>
      <w:r w:rsidRPr="00A95790">
        <w:rPr>
          <w:i/>
          <w:iCs/>
        </w:rPr>
        <w:t>Duty Types and Rates</w:t>
      </w:r>
      <w:r w:rsidRPr="00A95790">
        <w:t>, www.treasury.nt.gov.au/TaxesRoyaltiesAndGrants/StampDuty/Pages/Duty-Types-and-Rates.aspx#gen_insurance (accessed 29 July 2014).</w:t>
      </w:r>
      <w:proofErr w:type="gramEnd"/>
    </w:p>
    <w:p w14:paraId="6B367249" w14:textId="77777777" w:rsidR="00DE1537" w:rsidRPr="00A95790" w:rsidRDefault="00DE1537" w:rsidP="00343F3E">
      <w:pPr>
        <w:pStyle w:val="Reference"/>
      </w:pPr>
      <w:r w:rsidRPr="00A95790">
        <w:t xml:space="preserve">NZDIA (New Zealand Department of Internal Affairs) 2014, </w:t>
      </w:r>
      <w:r w:rsidRPr="00A95790">
        <w:rPr>
          <w:i/>
          <w:iCs/>
        </w:rPr>
        <w:t>2009-19 LTP Tables: Balance Sheet Data</w:t>
      </w:r>
      <w:r w:rsidRPr="00A95790">
        <w:t>, www.localcouncils.govt.nz/lgip.nsf/Files/Excel/$file/LTCCP%</w:t>
      </w:r>
      <w:r>
        <w:br/>
      </w:r>
      <w:r w:rsidRPr="00A95790">
        <w:t>202009%20Balance%20Sheet%20Statement.xls (accessed 1 September 2014).</w:t>
      </w:r>
    </w:p>
    <w:p w14:paraId="22CB5D1F" w14:textId="77777777" w:rsidR="00DE1537" w:rsidRPr="00A95790" w:rsidRDefault="00DE1537" w:rsidP="00343F3E">
      <w:pPr>
        <w:pStyle w:val="Reference"/>
      </w:pPr>
      <w:r w:rsidRPr="00A95790">
        <w:t xml:space="preserve">NZMCDEM (New Zealand Ministry of Civil Defence and Emergency Management) 2009, </w:t>
      </w:r>
      <w:proofErr w:type="gramStart"/>
      <w:r w:rsidRPr="00A95790">
        <w:rPr>
          <w:i/>
          <w:iCs/>
        </w:rPr>
        <w:t>The</w:t>
      </w:r>
      <w:proofErr w:type="gramEnd"/>
      <w:r w:rsidRPr="00A95790">
        <w:rPr>
          <w:i/>
          <w:iCs/>
        </w:rPr>
        <w:t xml:space="preserve"> Guide to the National Civil Defence Emergency Management Plan 2006</w:t>
      </w:r>
      <w:r w:rsidRPr="00A95790">
        <w:t>, Wellington.</w:t>
      </w:r>
    </w:p>
    <w:p w14:paraId="6EC038D0" w14:textId="77777777" w:rsidR="00DE1537" w:rsidRPr="00A95790" w:rsidRDefault="00DE1537" w:rsidP="00343F3E">
      <w:pPr>
        <w:pStyle w:val="Reference"/>
      </w:pPr>
      <w:proofErr w:type="gramStart"/>
      <w:r w:rsidRPr="00A95790">
        <w:t>——</w:t>
      </w:r>
      <w:r>
        <w:t> </w:t>
      </w:r>
      <w:r w:rsidRPr="00A95790">
        <w:t xml:space="preserve">2014, </w:t>
      </w:r>
      <w:r w:rsidRPr="00A95790">
        <w:rPr>
          <w:i/>
          <w:iCs/>
        </w:rPr>
        <w:t>CDEM Resilience Fund</w:t>
      </w:r>
      <w:r w:rsidRPr="00A95790">
        <w:t>, www.civildefence.govt.nz/memwebsite</w:t>
      </w:r>
      <w:r>
        <w:br/>
      </w:r>
      <w:r w:rsidRPr="00A95790">
        <w:t>.nsf/srch/1EA25CB3F038F8DBCC257777000C4795?OpenDocument (accessed 14 July 2014).</w:t>
      </w:r>
      <w:proofErr w:type="gramEnd"/>
    </w:p>
    <w:p w14:paraId="5F50797F" w14:textId="77777777" w:rsidR="00DE1537" w:rsidRPr="00A95790" w:rsidRDefault="00DE1537" w:rsidP="00343F3E">
      <w:pPr>
        <w:pStyle w:val="Reference"/>
      </w:pPr>
      <w:r w:rsidRPr="00A95790">
        <w:lastRenderedPageBreak/>
        <w:t xml:space="preserve">NZMFE (New Zealand Ministry for the Environment) 2008, </w:t>
      </w:r>
      <w:r w:rsidRPr="00A95790">
        <w:rPr>
          <w:i/>
          <w:iCs/>
        </w:rPr>
        <w:t>Preparing for Climate Change: A Guide for Local Government in New Zealand</w:t>
      </w:r>
      <w:r w:rsidRPr="00A95790">
        <w:t>, Wellington.</w:t>
      </w:r>
    </w:p>
    <w:p w14:paraId="2D51F998" w14:textId="77777777" w:rsidR="00DE1537" w:rsidRPr="00A95790" w:rsidRDefault="00DE1537" w:rsidP="00343F3E">
      <w:pPr>
        <w:pStyle w:val="Reference"/>
      </w:pPr>
      <w:proofErr w:type="gramStart"/>
      <w:r w:rsidRPr="00A95790">
        <w:t xml:space="preserve">NZOAG (New Zealand Office of the Auditor-General) 2012, </w:t>
      </w:r>
      <w:r w:rsidRPr="00A95790">
        <w:rPr>
          <w:i/>
          <w:iCs/>
        </w:rPr>
        <w:t>Roles, Responsibilities, and Funding of Public Entities after the Canterbury Earthquakes</w:t>
      </w:r>
      <w:r w:rsidRPr="00A95790">
        <w:t>, Wellington.</w:t>
      </w:r>
      <w:proofErr w:type="gramEnd"/>
    </w:p>
    <w:p w14:paraId="3CE10ABE" w14:textId="77777777" w:rsidR="00DE1537" w:rsidRPr="00A95790" w:rsidRDefault="00DE1537" w:rsidP="00343F3E">
      <w:pPr>
        <w:pStyle w:val="Reference"/>
      </w:pPr>
      <w:r w:rsidRPr="00A95790">
        <w:t>——</w:t>
      </w:r>
      <w:r>
        <w:t> </w:t>
      </w:r>
      <w:r w:rsidRPr="00A95790">
        <w:t xml:space="preserve">2013, </w:t>
      </w:r>
      <w:r w:rsidRPr="00A95790">
        <w:rPr>
          <w:i/>
          <w:iCs/>
        </w:rPr>
        <w:t>Insuring Public Assets</w:t>
      </w:r>
      <w:r w:rsidRPr="00A95790">
        <w:t>, Wellington.</w:t>
      </w:r>
    </w:p>
    <w:p w14:paraId="206602A7" w14:textId="77777777" w:rsidR="00DE1537" w:rsidRPr="00A95790" w:rsidRDefault="00DE1537" w:rsidP="00343F3E">
      <w:pPr>
        <w:pStyle w:val="Reference"/>
      </w:pPr>
      <w:r w:rsidRPr="00A95790">
        <w:t xml:space="preserve">NZTA (New Zealand Transport Agency) 2013, </w:t>
      </w:r>
      <w:r w:rsidRPr="00A95790">
        <w:rPr>
          <w:i/>
          <w:iCs/>
        </w:rPr>
        <w:t>Work Category 141: Emergency Works</w:t>
      </w:r>
      <w:r w:rsidRPr="00A95790">
        <w:t>, www.pikb.co.nz/i-want-to/create-an-activity-and-or-make-a-funding-application-for/emergency-works/work-categories/work-category-141-emergency-works/ (accessed 30 July 2014).</w:t>
      </w:r>
    </w:p>
    <w:p w14:paraId="04807C2A" w14:textId="77777777" w:rsidR="00DE1537" w:rsidRPr="00A95790" w:rsidRDefault="00DE1537" w:rsidP="00343F3E">
      <w:pPr>
        <w:pStyle w:val="Reference"/>
      </w:pPr>
      <w:proofErr w:type="gramStart"/>
      <w:r w:rsidRPr="00A95790">
        <w:t xml:space="preserve">OBPR (Office of Best Practice Regulation) 2008, </w:t>
      </w:r>
      <w:r w:rsidRPr="00A95790">
        <w:rPr>
          <w:i/>
          <w:iCs/>
        </w:rPr>
        <w:t>Best Practice Regulation Guidance Note - Value of Statistical Life</w:t>
      </w:r>
      <w:r w:rsidRPr="00A95790">
        <w:t>, Canberra.</w:t>
      </w:r>
      <w:proofErr w:type="gramEnd"/>
    </w:p>
    <w:p w14:paraId="50281346" w14:textId="77777777" w:rsidR="00DE1537" w:rsidRPr="00A95790" w:rsidRDefault="00DE1537" w:rsidP="00343F3E">
      <w:pPr>
        <w:pStyle w:val="Reference"/>
      </w:pPr>
      <w:proofErr w:type="gramStart"/>
      <w:r w:rsidRPr="00A95790">
        <w:t xml:space="preserve">OECD (Organisation for Economic Co-operation and Development) 2005, </w:t>
      </w:r>
      <w:r w:rsidRPr="00A95790">
        <w:rPr>
          <w:i/>
          <w:iCs/>
        </w:rPr>
        <w:t>Catastrophic Risks and Insurance</w:t>
      </w:r>
      <w:r w:rsidRPr="00A95790">
        <w:t>, Paris.</w:t>
      </w:r>
      <w:proofErr w:type="gramEnd"/>
    </w:p>
    <w:p w14:paraId="2C78513A" w14:textId="77777777" w:rsidR="00DE1537" w:rsidRPr="00A95790" w:rsidRDefault="00DE1537" w:rsidP="00343F3E">
      <w:pPr>
        <w:pStyle w:val="Reference"/>
      </w:pPr>
      <w:r w:rsidRPr="00A95790">
        <w:t>——</w:t>
      </w:r>
      <w:r>
        <w:t> </w:t>
      </w:r>
      <w:r w:rsidRPr="00A95790">
        <w:t xml:space="preserve">2006, </w:t>
      </w:r>
      <w:r w:rsidRPr="00A95790">
        <w:rPr>
          <w:i/>
          <w:iCs/>
        </w:rPr>
        <w:t>France: Policies for Preventing and Compensating Flood-Related Damage</w:t>
      </w:r>
      <w:r w:rsidRPr="00A95790">
        <w:t>, OECD Studies in Risk Management, Paris.</w:t>
      </w:r>
    </w:p>
    <w:p w14:paraId="1ED0EE05" w14:textId="77777777" w:rsidR="00DE1537" w:rsidRPr="00A95790" w:rsidRDefault="00DE1537" w:rsidP="00343F3E">
      <w:pPr>
        <w:pStyle w:val="Reference"/>
      </w:pPr>
      <w:proofErr w:type="gramStart"/>
      <w:r w:rsidRPr="00A95790">
        <w:t>——</w:t>
      </w:r>
      <w:r>
        <w:t> </w:t>
      </w:r>
      <w:r w:rsidRPr="00A95790">
        <w:t xml:space="preserve">2008, </w:t>
      </w:r>
      <w:r w:rsidRPr="00A95790">
        <w:rPr>
          <w:i/>
          <w:iCs/>
        </w:rPr>
        <w:t>Financial Management of Large-Scale Catastrophes</w:t>
      </w:r>
      <w:r w:rsidRPr="00A95790">
        <w:t>, Paris.</w:t>
      </w:r>
      <w:proofErr w:type="gramEnd"/>
    </w:p>
    <w:p w14:paraId="50480863" w14:textId="77777777" w:rsidR="00DE1537" w:rsidRPr="00A95790" w:rsidRDefault="00DE1537" w:rsidP="00343F3E">
      <w:pPr>
        <w:pStyle w:val="Reference"/>
      </w:pPr>
      <w:r w:rsidRPr="00A95790">
        <w:t>——</w:t>
      </w:r>
      <w:r>
        <w:t> </w:t>
      </w:r>
      <w:r w:rsidRPr="00A95790">
        <w:t xml:space="preserve">2011, </w:t>
      </w:r>
      <w:r w:rsidRPr="00A95790">
        <w:rPr>
          <w:i/>
          <w:iCs/>
        </w:rPr>
        <w:t>Risk Awareness, Capital Markets and Catastrophic Risks</w:t>
      </w:r>
      <w:r w:rsidRPr="00A95790">
        <w:t>, Policy Issues in Insurance no. 14, Paris.</w:t>
      </w:r>
    </w:p>
    <w:p w14:paraId="76769E3F" w14:textId="77777777" w:rsidR="00DE1537" w:rsidRPr="00A95790" w:rsidRDefault="00DE1537" w:rsidP="00343F3E">
      <w:pPr>
        <w:pStyle w:val="Reference"/>
      </w:pPr>
      <w:r w:rsidRPr="00A95790">
        <w:t>——</w:t>
      </w:r>
      <w:r>
        <w:t> </w:t>
      </w:r>
      <w:r w:rsidRPr="00A95790">
        <w:t xml:space="preserve">2012, ‘Policy Options for Disaster Risk Financing and Transfer and Issues in Quantification of Disaster Losses and Exposures: An OECD Perspective’, in Government of Mexico and The World Bank (eds), </w:t>
      </w:r>
      <w:r w:rsidRPr="00A95790">
        <w:rPr>
          <w:i/>
          <w:iCs/>
        </w:rPr>
        <w:t>Improving the Assessment of Disaster Risks to Strengthen Financial Resilience</w:t>
      </w:r>
      <w:r w:rsidRPr="00A95790">
        <w:t>, World Bank, Washington DC, pp. 265–287.</w:t>
      </w:r>
    </w:p>
    <w:p w14:paraId="3FA1C063" w14:textId="77777777" w:rsidR="00DE1537" w:rsidRPr="00A95790" w:rsidRDefault="00DE1537" w:rsidP="00343F3E">
      <w:pPr>
        <w:pStyle w:val="Reference"/>
      </w:pPr>
      <w:r w:rsidRPr="00A95790">
        <w:t>——</w:t>
      </w:r>
      <w:r>
        <w:t> </w:t>
      </w:r>
      <w:r w:rsidRPr="00A95790">
        <w:t>2013a, ‘Budgeting for contingent liabilities’, presented at 34th Annual Meeting of OECD Senior Budget Officials, OECD Conference Centre, Paris, 3</w:t>
      </w:r>
      <w:r>
        <w:t>–</w:t>
      </w:r>
      <w:r w:rsidRPr="00A95790">
        <w:t>4 June.</w:t>
      </w:r>
    </w:p>
    <w:p w14:paraId="3B5E6637" w14:textId="77777777" w:rsidR="00DE1537" w:rsidRPr="00A95790" w:rsidRDefault="00DE1537" w:rsidP="00343F3E">
      <w:pPr>
        <w:pStyle w:val="Reference"/>
      </w:pPr>
      <w:r w:rsidRPr="00A95790">
        <w:t>——</w:t>
      </w:r>
      <w:r>
        <w:t> </w:t>
      </w:r>
      <w:r w:rsidRPr="00A95790">
        <w:t xml:space="preserve">2013b, </w:t>
      </w:r>
      <w:r w:rsidRPr="00A95790">
        <w:rPr>
          <w:i/>
          <w:iCs/>
        </w:rPr>
        <w:t>Building Resilient Regions: Lessons for Policy Making in Post-Disaster Regions</w:t>
      </w:r>
      <w:r w:rsidRPr="00A95790">
        <w:t>, Paris.</w:t>
      </w:r>
    </w:p>
    <w:p w14:paraId="2F841410" w14:textId="77777777" w:rsidR="00DE1537" w:rsidRPr="00A95790" w:rsidRDefault="00DE1537" w:rsidP="00343F3E">
      <w:pPr>
        <w:pStyle w:val="Reference"/>
      </w:pPr>
      <w:r w:rsidRPr="00A95790">
        <w:t>——</w:t>
      </w:r>
      <w:r>
        <w:t> </w:t>
      </w:r>
      <w:r w:rsidRPr="00A95790">
        <w:t xml:space="preserve">2013c, </w:t>
      </w:r>
      <w:r w:rsidRPr="00A95790">
        <w:rPr>
          <w:i/>
          <w:iCs/>
        </w:rPr>
        <w:t>Disaster Risk Financing in APEC Economies: Practices and Challenges</w:t>
      </w:r>
      <w:r w:rsidRPr="00A95790">
        <w:t>, report to APEC Finance Ministers, Paris.</w:t>
      </w:r>
    </w:p>
    <w:p w14:paraId="7902799C" w14:textId="77777777" w:rsidR="00DE1537" w:rsidRPr="00A95790" w:rsidRDefault="00DE1537" w:rsidP="00343F3E">
      <w:pPr>
        <w:pStyle w:val="Reference"/>
      </w:pPr>
      <w:proofErr w:type="gramStart"/>
      <w:r w:rsidRPr="00A95790">
        <w:t>——</w:t>
      </w:r>
      <w:r>
        <w:t> </w:t>
      </w:r>
      <w:r w:rsidRPr="00A95790">
        <w:t xml:space="preserve">2013d, </w:t>
      </w:r>
      <w:r w:rsidRPr="00A95790">
        <w:rPr>
          <w:i/>
          <w:iCs/>
        </w:rPr>
        <w:t>Water Security for Better Lives</w:t>
      </w:r>
      <w:r w:rsidRPr="00A95790">
        <w:t>, Paris.</w:t>
      </w:r>
      <w:proofErr w:type="gramEnd"/>
    </w:p>
    <w:p w14:paraId="6F0040AB" w14:textId="77777777" w:rsidR="00DE1537" w:rsidRPr="00A95790" w:rsidRDefault="00DE1537" w:rsidP="00343F3E">
      <w:pPr>
        <w:pStyle w:val="Reference"/>
      </w:pPr>
      <w:r w:rsidRPr="00A95790">
        <w:t>——</w:t>
      </w:r>
      <w:r>
        <w:t> </w:t>
      </w:r>
      <w:r w:rsidRPr="00A95790">
        <w:t xml:space="preserve">2014, </w:t>
      </w:r>
      <w:r w:rsidRPr="00A95790">
        <w:rPr>
          <w:i/>
          <w:iCs/>
        </w:rPr>
        <w:t xml:space="preserve">Boosting Resilience </w:t>
      </w:r>
      <w:proofErr w:type="gramStart"/>
      <w:r w:rsidRPr="00A95790">
        <w:rPr>
          <w:i/>
          <w:iCs/>
        </w:rPr>
        <w:t>Through</w:t>
      </w:r>
      <w:proofErr w:type="gramEnd"/>
      <w:r w:rsidRPr="00A95790">
        <w:rPr>
          <w:i/>
          <w:iCs/>
        </w:rPr>
        <w:t xml:space="preserve"> Innovative Risk Governance</w:t>
      </w:r>
      <w:r w:rsidRPr="00A95790">
        <w:t>, preliminary version, Paris.</w:t>
      </w:r>
    </w:p>
    <w:p w14:paraId="77BDC8A5" w14:textId="77777777" w:rsidR="00DE1537" w:rsidRPr="00A95790" w:rsidRDefault="00DE1537" w:rsidP="00343F3E">
      <w:pPr>
        <w:pStyle w:val="Reference"/>
      </w:pPr>
      <w:r w:rsidRPr="00A95790">
        <w:t xml:space="preserve">OMB (Office of Management and Budget) 2014a, </w:t>
      </w:r>
      <w:r w:rsidRPr="00A95790">
        <w:rPr>
          <w:i/>
          <w:iCs/>
        </w:rPr>
        <w:t>Fiscal Year 2015 Analytical Perspectives: Budget of the US Government</w:t>
      </w:r>
      <w:r w:rsidRPr="00A95790">
        <w:t>, Washington DC.</w:t>
      </w:r>
    </w:p>
    <w:p w14:paraId="46C74AC4" w14:textId="77777777" w:rsidR="00DE1537" w:rsidRPr="00A95790" w:rsidRDefault="00DE1537" w:rsidP="00343F3E">
      <w:pPr>
        <w:pStyle w:val="Reference"/>
      </w:pPr>
      <w:r w:rsidRPr="00A95790">
        <w:t>——</w:t>
      </w:r>
      <w:r>
        <w:t> </w:t>
      </w:r>
      <w:r w:rsidRPr="00A95790">
        <w:t xml:space="preserve">2014b, </w:t>
      </w:r>
      <w:r w:rsidRPr="00A95790">
        <w:rPr>
          <w:i/>
          <w:iCs/>
        </w:rPr>
        <w:t>Fiscal Year 2015 Appendix: Budget of the US Government</w:t>
      </w:r>
      <w:r w:rsidRPr="00A95790">
        <w:t>, Washington DC.</w:t>
      </w:r>
    </w:p>
    <w:p w14:paraId="668C1F89" w14:textId="77777777" w:rsidR="00DE1537" w:rsidRPr="00A95790" w:rsidRDefault="00DE1537" w:rsidP="00343F3E">
      <w:pPr>
        <w:pStyle w:val="Reference"/>
      </w:pPr>
      <w:r w:rsidRPr="00A95790">
        <w:t xml:space="preserve">ONRN (National Observatory for Natural Hazards) 2012, </w:t>
      </w:r>
      <w:proofErr w:type="gramStart"/>
      <w:r w:rsidRPr="00A95790">
        <w:rPr>
          <w:i/>
          <w:iCs/>
        </w:rPr>
        <w:t>The</w:t>
      </w:r>
      <w:proofErr w:type="gramEnd"/>
      <w:r w:rsidRPr="00A95790">
        <w:rPr>
          <w:i/>
          <w:iCs/>
        </w:rPr>
        <w:t xml:space="preserve"> National Observatory for Natural Hazards</w:t>
      </w:r>
      <w:r w:rsidRPr="00A95790">
        <w:t>, Paris.</w:t>
      </w:r>
    </w:p>
    <w:p w14:paraId="28A2BEE9" w14:textId="77777777" w:rsidR="00DE1537" w:rsidRPr="00A95790" w:rsidRDefault="00DE1537" w:rsidP="00343F3E">
      <w:pPr>
        <w:pStyle w:val="Reference"/>
      </w:pPr>
      <w:r w:rsidRPr="00A95790">
        <w:lastRenderedPageBreak/>
        <w:t xml:space="preserve">Parker, M. and Steenkamp, D. 2012, ‘The economic impact of the Canterbury earthquakes’, </w:t>
      </w:r>
      <w:r w:rsidRPr="00A95790">
        <w:rPr>
          <w:i/>
          <w:iCs/>
        </w:rPr>
        <w:t>Reserve Bank of New Zealand: Bulletin</w:t>
      </w:r>
      <w:r w:rsidRPr="00A95790">
        <w:t>, vol. 75, no. 3, pp. 13–25.</w:t>
      </w:r>
    </w:p>
    <w:p w14:paraId="0682B8F4" w14:textId="77777777" w:rsidR="00DE1537" w:rsidRPr="00A95790" w:rsidRDefault="00DE1537" w:rsidP="00343F3E">
      <w:pPr>
        <w:pStyle w:val="Reference"/>
      </w:pPr>
      <w:r w:rsidRPr="00A95790">
        <w:t xml:space="preserve">PC (Productivity Commission) 2001, </w:t>
      </w:r>
      <w:r w:rsidRPr="00A95790">
        <w:rPr>
          <w:i/>
          <w:iCs/>
        </w:rPr>
        <w:t>Structural Adjustment: Key Policy Issues</w:t>
      </w:r>
      <w:r w:rsidRPr="00A95790">
        <w:t xml:space="preserve">, Commission Research Paper, </w:t>
      </w:r>
      <w:proofErr w:type="gramStart"/>
      <w:r w:rsidRPr="00A95790">
        <w:t>Canberra</w:t>
      </w:r>
      <w:proofErr w:type="gramEnd"/>
      <w:r w:rsidRPr="00A95790">
        <w:t>.</w:t>
      </w:r>
    </w:p>
    <w:p w14:paraId="5FFE26FB" w14:textId="77777777" w:rsidR="00DE1537" w:rsidRPr="00A95790" w:rsidRDefault="00DE1537" w:rsidP="00343F3E">
      <w:pPr>
        <w:pStyle w:val="Reference"/>
      </w:pPr>
      <w:proofErr w:type="gramStart"/>
      <w:r w:rsidRPr="00A95790">
        <w:t>——</w:t>
      </w:r>
      <w:r>
        <w:t> </w:t>
      </w:r>
      <w:r w:rsidRPr="00A95790">
        <w:t xml:space="preserve">2005, </w:t>
      </w:r>
      <w:r w:rsidRPr="00A95790">
        <w:rPr>
          <w:i/>
          <w:iCs/>
        </w:rPr>
        <w:t>The Private Cost Effectiveness of Improving Energy Efficiency</w:t>
      </w:r>
      <w:r w:rsidRPr="00A95790">
        <w:t>, Report no. 36, Canberra.</w:t>
      </w:r>
      <w:proofErr w:type="gramEnd"/>
    </w:p>
    <w:p w14:paraId="342A49D2" w14:textId="77777777" w:rsidR="00DE1537" w:rsidRPr="00A95790" w:rsidRDefault="00DE1537" w:rsidP="00343F3E">
      <w:pPr>
        <w:pStyle w:val="Reference"/>
      </w:pPr>
      <w:r w:rsidRPr="00A95790">
        <w:t>——</w:t>
      </w:r>
      <w:r>
        <w:t> </w:t>
      </w:r>
      <w:r w:rsidRPr="00A95790">
        <w:t xml:space="preserve">2008, </w:t>
      </w:r>
      <w:r w:rsidRPr="00A95790">
        <w:rPr>
          <w:i/>
          <w:iCs/>
        </w:rPr>
        <w:t>Assessing Local Government Revenue Raising Capacity</w:t>
      </w:r>
      <w:r w:rsidRPr="00A95790">
        <w:t>, Research Report, Canberra.</w:t>
      </w:r>
    </w:p>
    <w:p w14:paraId="555EC093" w14:textId="77777777" w:rsidR="00DE1537" w:rsidRPr="00A95790" w:rsidRDefault="00DE1537" w:rsidP="00343F3E">
      <w:pPr>
        <w:pStyle w:val="Reference"/>
      </w:pPr>
      <w:proofErr w:type="gramStart"/>
      <w:r w:rsidRPr="00A95790">
        <w:t>——</w:t>
      </w:r>
      <w:r>
        <w:t> </w:t>
      </w:r>
      <w:r w:rsidRPr="00A95790">
        <w:t xml:space="preserve">2009, </w:t>
      </w:r>
      <w:r w:rsidRPr="00A95790">
        <w:rPr>
          <w:i/>
          <w:iCs/>
        </w:rPr>
        <w:t>Government Drought Support</w:t>
      </w:r>
      <w:r w:rsidRPr="00A95790">
        <w:t>, Report no. 46, Melbourne.</w:t>
      </w:r>
      <w:proofErr w:type="gramEnd"/>
    </w:p>
    <w:p w14:paraId="2F0EA597" w14:textId="77777777" w:rsidR="00DE1537" w:rsidRPr="00A95790" w:rsidRDefault="00DE1537" w:rsidP="00343F3E">
      <w:pPr>
        <w:pStyle w:val="Reference"/>
      </w:pPr>
      <w:r w:rsidRPr="00A95790">
        <w:t>——</w:t>
      </w:r>
      <w:r>
        <w:t> </w:t>
      </w:r>
      <w:r w:rsidRPr="00A95790">
        <w:t xml:space="preserve">2011a, </w:t>
      </w:r>
      <w:r w:rsidRPr="00A95790">
        <w:rPr>
          <w:i/>
          <w:iCs/>
        </w:rPr>
        <w:t>Identifying and Evaluating Regulation Reforms</w:t>
      </w:r>
      <w:r w:rsidRPr="00A95790">
        <w:t>, Research report, Canberra.</w:t>
      </w:r>
    </w:p>
    <w:p w14:paraId="5FF351B1" w14:textId="77777777" w:rsidR="00DE1537" w:rsidRPr="00A95790" w:rsidRDefault="00DE1537" w:rsidP="00343F3E">
      <w:pPr>
        <w:pStyle w:val="Reference"/>
      </w:pPr>
      <w:r w:rsidRPr="00A95790">
        <w:t>——</w:t>
      </w:r>
      <w:r>
        <w:t> </w:t>
      </w:r>
      <w:r w:rsidRPr="00A95790">
        <w:t xml:space="preserve">2011b, </w:t>
      </w:r>
      <w:r w:rsidRPr="00A95790">
        <w:rPr>
          <w:i/>
          <w:iCs/>
        </w:rPr>
        <w:t>Performance Benchmarking of Australian Business Regulation: Planning, Zoning and Development Assessments</w:t>
      </w:r>
      <w:r w:rsidRPr="00A95790">
        <w:t>, Research Report, Canberra.</w:t>
      </w:r>
    </w:p>
    <w:p w14:paraId="1491EA37" w14:textId="77777777" w:rsidR="00DE1537" w:rsidRPr="00A95790" w:rsidRDefault="00DE1537" w:rsidP="00343F3E">
      <w:pPr>
        <w:pStyle w:val="Reference"/>
      </w:pPr>
      <w:r w:rsidRPr="00A95790">
        <w:t>——</w:t>
      </w:r>
      <w:r>
        <w:t> </w:t>
      </w:r>
      <w:r w:rsidRPr="00A95790">
        <w:t xml:space="preserve">2012, </w:t>
      </w:r>
      <w:r w:rsidRPr="00A95790">
        <w:rPr>
          <w:i/>
          <w:iCs/>
        </w:rPr>
        <w:t>Barriers to Effective Climate Change Adaptation</w:t>
      </w:r>
      <w:r w:rsidRPr="00A95790">
        <w:t>, Report no. 59, Canberra.</w:t>
      </w:r>
    </w:p>
    <w:p w14:paraId="3CD2FD92" w14:textId="77777777" w:rsidR="00DE1537" w:rsidRPr="00A95790" w:rsidRDefault="00DE1537" w:rsidP="00343F3E">
      <w:pPr>
        <w:pStyle w:val="Reference"/>
      </w:pPr>
      <w:proofErr w:type="gramStart"/>
      <w:r w:rsidRPr="00A95790">
        <w:t>——</w:t>
      </w:r>
      <w:r>
        <w:t> </w:t>
      </w:r>
      <w:r w:rsidRPr="00A95790">
        <w:t xml:space="preserve">2014, </w:t>
      </w:r>
      <w:r w:rsidRPr="00A95790">
        <w:rPr>
          <w:i/>
          <w:iCs/>
        </w:rPr>
        <w:t>Public Infrastructure</w:t>
      </w:r>
      <w:r w:rsidRPr="00A95790">
        <w:t>, Report no. 71, Canberra.</w:t>
      </w:r>
      <w:proofErr w:type="gramEnd"/>
    </w:p>
    <w:p w14:paraId="0556AFB8" w14:textId="77777777" w:rsidR="00DE1537" w:rsidRPr="00A95790" w:rsidRDefault="00DE1537" w:rsidP="00343F3E">
      <w:pPr>
        <w:pStyle w:val="Reference"/>
      </w:pPr>
      <w:r w:rsidRPr="00A95790">
        <w:t xml:space="preserve">PCIAA (Property Casualty Insurers Association of America) 2011, </w:t>
      </w:r>
      <w:r w:rsidRPr="00A95790">
        <w:rPr>
          <w:i/>
          <w:iCs/>
        </w:rPr>
        <w:t>True Market-Risk Rates for Flood Insurance</w:t>
      </w:r>
      <w:r w:rsidRPr="00A95790">
        <w:t>, PCI White Paper, Des Plaines, Illinois.</w:t>
      </w:r>
    </w:p>
    <w:p w14:paraId="699FEBF9" w14:textId="77777777" w:rsidR="00DE1537" w:rsidRPr="00A95790" w:rsidRDefault="00DE1537" w:rsidP="00343F3E">
      <w:pPr>
        <w:pStyle w:val="Reference"/>
      </w:pPr>
      <w:r w:rsidRPr="00A95790">
        <w:t xml:space="preserve">Phaup, M. and Kirschner, C. 2010, ‘Budgeting for disasters: Focusing on the good times’, </w:t>
      </w:r>
      <w:r w:rsidRPr="00A95790">
        <w:rPr>
          <w:i/>
          <w:iCs/>
        </w:rPr>
        <w:t>OECD Journal on Budgeting</w:t>
      </w:r>
      <w:r w:rsidRPr="00A95790">
        <w:t>, vol. 2010, no. 1, pp. 1–24.</w:t>
      </w:r>
    </w:p>
    <w:p w14:paraId="372CB042" w14:textId="77777777" w:rsidR="00DE1537" w:rsidRPr="00A95790" w:rsidRDefault="00DE1537" w:rsidP="00343F3E">
      <w:pPr>
        <w:pStyle w:val="Reference"/>
      </w:pPr>
      <w:r w:rsidRPr="00A95790">
        <w:t xml:space="preserve">Pittwater Council 2012, </w:t>
      </w:r>
      <w:r w:rsidRPr="00A95790">
        <w:rPr>
          <w:i/>
          <w:iCs/>
        </w:rPr>
        <w:t>The Special Rate Variation Explained</w:t>
      </w:r>
      <w:r w:rsidRPr="00A95790">
        <w:t>, www.pittwater.nsw.gov.au/</w:t>
      </w:r>
      <w:r>
        <w:br/>
      </w:r>
      <w:r w:rsidRPr="00A95790">
        <w:t>council/specialratevariation/explained (accessed 30 July 2014).</w:t>
      </w:r>
    </w:p>
    <w:p w14:paraId="4872B708" w14:textId="77777777" w:rsidR="00DE1537" w:rsidRPr="00A95790" w:rsidRDefault="00DE1537" w:rsidP="00343F3E">
      <w:pPr>
        <w:pStyle w:val="Reference"/>
      </w:pPr>
      <w:proofErr w:type="gramStart"/>
      <w:r w:rsidRPr="00A95790">
        <w:t xml:space="preserve">Public Safety Canada 2008, </w:t>
      </w:r>
      <w:r w:rsidRPr="00A95790">
        <w:rPr>
          <w:i/>
          <w:iCs/>
        </w:rPr>
        <w:t>Canada’s National Disaster Mitigation Strategy</w:t>
      </w:r>
      <w:r w:rsidRPr="00A95790">
        <w:t>, Ottawa.</w:t>
      </w:r>
      <w:proofErr w:type="gramEnd"/>
    </w:p>
    <w:p w14:paraId="73E48CB0" w14:textId="77777777" w:rsidR="00DE1537" w:rsidRPr="00A95790" w:rsidRDefault="00DE1537" w:rsidP="00343F3E">
      <w:pPr>
        <w:pStyle w:val="Reference"/>
      </w:pPr>
      <w:r w:rsidRPr="00A95790">
        <w:t>——</w:t>
      </w:r>
      <w:r>
        <w:t> </w:t>
      </w:r>
      <w:r w:rsidRPr="00A95790">
        <w:t xml:space="preserve">2012, </w:t>
      </w:r>
      <w:r w:rsidRPr="00A95790">
        <w:rPr>
          <w:i/>
          <w:iCs/>
        </w:rPr>
        <w:t>2011-2012 Evaluation of the Disaster Financial Assistance Arrangements Program: Final Report</w:t>
      </w:r>
      <w:r w:rsidRPr="00A95790">
        <w:t>, Ottawa.</w:t>
      </w:r>
    </w:p>
    <w:p w14:paraId="21F63386" w14:textId="77777777" w:rsidR="00DE1537" w:rsidRPr="00A95790" w:rsidRDefault="00DE1537" w:rsidP="00343F3E">
      <w:pPr>
        <w:pStyle w:val="Reference"/>
      </w:pPr>
      <w:r w:rsidRPr="00A95790">
        <w:t>——</w:t>
      </w:r>
      <w:r>
        <w:t> </w:t>
      </w:r>
      <w:r w:rsidRPr="00A95790">
        <w:t xml:space="preserve">2014a, </w:t>
      </w:r>
      <w:r w:rsidRPr="00A95790">
        <w:rPr>
          <w:i/>
          <w:iCs/>
        </w:rPr>
        <w:t>Disaster Financial Assistance Arrangements</w:t>
      </w:r>
      <w:r w:rsidRPr="00A95790">
        <w:t>, www.publicsafety.gc.ca/cnt/</w:t>
      </w:r>
      <w:r>
        <w:br/>
      </w:r>
      <w:r w:rsidRPr="00A95790">
        <w:t>mrgnc-mngmnt/rcvr-dsstrs/dsstr-fnncl-ssstnc-rrngmnts/index-eng.aspx (accessed 30</w:t>
      </w:r>
      <w:r>
        <w:t> </w:t>
      </w:r>
      <w:r w:rsidRPr="00A95790">
        <w:t>July 2014).</w:t>
      </w:r>
    </w:p>
    <w:p w14:paraId="7D23719E" w14:textId="77777777" w:rsidR="00DE1537" w:rsidRPr="00A95790" w:rsidRDefault="00DE1537" w:rsidP="00343F3E">
      <w:pPr>
        <w:pStyle w:val="Reference"/>
      </w:pPr>
      <w:r>
        <w:t>—— </w:t>
      </w:r>
      <w:r w:rsidRPr="00A95790">
        <w:t xml:space="preserve">2014b, </w:t>
      </w:r>
      <w:r w:rsidRPr="00A95790">
        <w:rPr>
          <w:i/>
          <w:iCs/>
        </w:rPr>
        <w:t>Public Safety Canada Quarterly Financial Report for the Quarter Ended December 31, 2013</w:t>
      </w:r>
      <w:r w:rsidRPr="00A95790">
        <w:t>, www.publicsafety.gc.ca/cnt/rsrcs/pblctns/qrtrl-fnncl-rprt-2013</w:t>
      </w:r>
      <w:r>
        <w:br/>
      </w:r>
      <w:r w:rsidRPr="00A95790">
        <w:t>1231/index-eng.aspx (accessed 12 August 2014).</w:t>
      </w:r>
    </w:p>
    <w:p w14:paraId="53CAC7B6" w14:textId="77777777" w:rsidR="00DE1537" w:rsidRPr="00A95790" w:rsidRDefault="00DE1537" w:rsidP="00343F3E">
      <w:pPr>
        <w:pStyle w:val="Reference"/>
      </w:pPr>
      <w:proofErr w:type="gramStart"/>
      <w:r w:rsidRPr="00A95790">
        <w:t xml:space="preserve">QFCI (Queensland Floods Commission of Inquiry) 2012, </w:t>
      </w:r>
      <w:r w:rsidRPr="00A95790">
        <w:rPr>
          <w:i/>
          <w:iCs/>
        </w:rPr>
        <w:t>Final Report</w:t>
      </w:r>
      <w:r w:rsidRPr="00A95790">
        <w:t>, Brisbane.</w:t>
      </w:r>
      <w:proofErr w:type="gramEnd"/>
    </w:p>
    <w:p w14:paraId="255C80FD" w14:textId="77777777" w:rsidR="00DE1537" w:rsidRPr="00A95790" w:rsidRDefault="00DE1537" w:rsidP="00343F3E">
      <w:pPr>
        <w:pStyle w:val="Reference"/>
      </w:pPr>
      <w:r w:rsidRPr="00A95790">
        <w:t xml:space="preserve">QOSR (Queensland Office of State Revenue) 2014, </w:t>
      </w:r>
      <w:r w:rsidRPr="00A95790">
        <w:rPr>
          <w:i/>
          <w:iCs/>
        </w:rPr>
        <w:t>Rates of Duty</w:t>
      </w:r>
      <w:r w:rsidRPr="00A95790">
        <w:t>, www.osr.qld.gov.au/</w:t>
      </w:r>
      <w:r>
        <w:br/>
      </w:r>
      <w:r w:rsidRPr="00A95790">
        <w:t>duties/about-duties/rates-of-duty.shtml (accessed 16 July 2014).</w:t>
      </w:r>
    </w:p>
    <w:p w14:paraId="68CD24A7" w14:textId="77777777" w:rsidR="00DE1537" w:rsidRPr="00A95790" w:rsidRDefault="00DE1537" w:rsidP="00343F3E">
      <w:pPr>
        <w:pStyle w:val="Reference"/>
      </w:pPr>
      <w:r w:rsidRPr="00A95790">
        <w:t xml:space="preserve">QRA (Queensland Reconstruction Authority) 2011, </w:t>
      </w:r>
      <w:r w:rsidRPr="00A95790">
        <w:rPr>
          <w:i/>
          <w:iCs/>
        </w:rPr>
        <w:t xml:space="preserve">Operation Queenslander: The State Community, Economic and Environmental Recovery and Reconstruction Plan </w:t>
      </w:r>
      <w:r>
        <w:rPr>
          <w:i/>
          <w:iCs/>
        </w:rPr>
        <w:br/>
      </w:r>
      <w:r w:rsidRPr="00A95790">
        <w:rPr>
          <w:i/>
          <w:iCs/>
        </w:rPr>
        <w:t>2011–2013</w:t>
      </w:r>
      <w:r w:rsidRPr="00A95790">
        <w:t>, Brisbane.</w:t>
      </w:r>
    </w:p>
    <w:p w14:paraId="21040418" w14:textId="77777777" w:rsidR="00DE1537" w:rsidRPr="00A95790" w:rsidRDefault="00DE1537" w:rsidP="00343F3E">
      <w:pPr>
        <w:pStyle w:val="Reference"/>
      </w:pPr>
      <w:proofErr w:type="gramStart"/>
      <w:r>
        <w:t>—— </w:t>
      </w:r>
      <w:r w:rsidRPr="00A95790">
        <w:t xml:space="preserve">2013, </w:t>
      </w:r>
      <w:r w:rsidRPr="00A95790">
        <w:rPr>
          <w:i/>
          <w:iCs/>
        </w:rPr>
        <w:t>Trigger Points for NDRRA – 2013/14</w:t>
      </w:r>
      <w:r w:rsidRPr="00A95790">
        <w:t>, http://qldreconstruction.org.au/u/lib/</w:t>
      </w:r>
      <w:r>
        <w:br/>
      </w:r>
      <w:r w:rsidRPr="00A95790">
        <w:t>cms2/2013-14-NDRRA-Trigger-Points.pdf (accessed 12 August 2014).</w:t>
      </w:r>
      <w:proofErr w:type="gramEnd"/>
    </w:p>
    <w:p w14:paraId="321DD600" w14:textId="77777777" w:rsidR="00DE1537" w:rsidRPr="00A95790" w:rsidRDefault="00DE1537" w:rsidP="00343F3E">
      <w:pPr>
        <w:pStyle w:val="Reference"/>
      </w:pPr>
      <w:r w:rsidRPr="00A95790">
        <w:lastRenderedPageBreak/>
        <w:t>——</w:t>
      </w:r>
      <w:r>
        <w:t> </w:t>
      </w:r>
      <w:r w:rsidRPr="00A95790">
        <w:t xml:space="preserve">2014a, </w:t>
      </w:r>
      <w:r w:rsidRPr="00A95790">
        <w:rPr>
          <w:i/>
          <w:iCs/>
        </w:rPr>
        <w:t>About the Queensland Reconstruction Authority</w:t>
      </w:r>
      <w:r w:rsidRPr="00A95790">
        <w:t>, http://qldreconstruction.org.</w:t>
      </w:r>
      <w:r>
        <w:br/>
      </w:r>
      <w:proofErr w:type="gramStart"/>
      <w:r w:rsidRPr="00A95790">
        <w:t>au/</w:t>
      </w:r>
      <w:proofErr w:type="gramEnd"/>
      <w:r w:rsidRPr="00A95790">
        <w:t>about (accessed 9 July 2014).</w:t>
      </w:r>
    </w:p>
    <w:p w14:paraId="3DA78A34" w14:textId="77777777" w:rsidR="00DE1537" w:rsidRPr="00A95790" w:rsidRDefault="00DE1537" w:rsidP="00343F3E">
      <w:pPr>
        <w:pStyle w:val="Reference"/>
      </w:pPr>
      <w:r w:rsidRPr="00A95790">
        <w:t>——</w:t>
      </w:r>
      <w:r>
        <w:t> </w:t>
      </w:r>
      <w:r w:rsidRPr="00A95790">
        <w:t xml:space="preserve">2014b, </w:t>
      </w:r>
      <w:r w:rsidRPr="00A95790">
        <w:rPr>
          <w:i/>
          <w:iCs/>
        </w:rPr>
        <w:t>Framework Proposal for Betterment</w:t>
      </w:r>
      <w:r w:rsidRPr="00A95790">
        <w:t>, http://qldreconstruction.org.au/the-queensland-betterment-fund-building-resilience (accessed 9 July 2014).</w:t>
      </w:r>
    </w:p>
    <w:p w14:paraId="5F6DBC50" w14:textId="77777777" w:rsidR="00DE1537" w:rsidRPr="00A95790" w:rsidRDefault="00DE1537" w:rsidP="00343F3E">
      <w:pPr>
        <w:pStyle w:val="Reference"/>
      </w:pPr>
      <w:r w:rsidRPr="00A95790">
        <w:t>——</w:t>
      </w:r>
      <w:r>
        <w:t> </w:t>
      </w:r>
      <w:r w:rsidRPr="00A95790">
        <w:t xml:space="preserve">2014c, </w:t>
      </w:r>
      <w:r w:rsidRPr="00A95790">
        <w:rPr>
          <w:i/>
          <w:iCs/>
        </w:rPr>
        <w:t>Monthly Report: November 2014</w:t>
      </w:r>
      <w:r w:rsidRPr="00A95790">
        <w:t>, www.qldreconstruction.org.au/publications</w:t>
      </w:r>
      <w:r>
        <w:br/>
      </w:r>
      <w:r w:rsidRPr="00A95790">
        <w:t>-guides/reports/monthly-reports/2014 (accessed 10 December 2014).</w:t>
      </w:r>
    </w:p>
    <w:p w14:paraId="0FDE3796" w14:textId="77777777" w:rsidR="00DE1537" w:rsidRPr="00A95790" w:rsidRDefault="00DE1537" w:rsidP="00343F3E">
      <w:pPr>
        <w:pStyle w:val="Reference"/>
      </w:pPr>
      <w:r w:rsidRPr="00A95790">
        <w:t xml:space="preserve">Quantum Market Research 2013, </w:t>
      </w:r>
      <w:r w:rsidRPr="00A95790">
        <w:rPr>
          <w:i/>
          <w:iCs/>
        </w:rPr>
        <w:t>The Understand Insurance Research Report</w:t>
      </w:r>
      <w:r w:rsidRPr="00A95790">
        <w:t>, report for the Insurance Council of Australia, Melbourne.</w:t>
      </w:r>
    </w:p>
    <w:p w14:paraId="5B0725E5" w14:textId="77777777" w:rsidR="00DE1537" w:rsidRPr="00A95790" w:rsidRDefault="00DE1537" w:rsidP="00343F3E">
      <w:pPr>
        <w:pStyle w:val="Reference"/>
      </w:pPr>
      <w:r w:rsidRPr="00A95790">
        <w:t xml:space="preserve">Queensland Department of State Development, Infrastructure and Planning 2014a, </w:t>
      </w:r>
      <w:r w:rsidRPr="00A95790">
        <w:rPr>
          <w:i/>
          <w:iCs/>
        </w:rPr>
        <w:t>Frequently Asked Questions</w:t>
      </w:r>
      <w:r w:rsidRPr="00A95790">
        <w:t>, www.dsdip.qld.gov.au/about-planning/#resources (accessed 11 November 2014).</w:t>
      </w:r>
    </w:p>
    <w:p w14:paraId="3C45A912" w14:textId="77777777" w:rsidR="00DE1537" w:rsidRPr="00A95790" w:rsidRDefault="00DE1537" w:rsidP="00343F3E">
      <w:pPr>
        <w:pStyle w:val="Reference"/>
      </w:pPr>
      <w:r w:rsidRPr="00A95790">
        <w:t>—</w:t>
      </w:r>
      <w:r>
        <w:t>— </w:t>
      </w:r>
      <w:r w:rsidRPr="00A95790">
        <w:t xml:space="preserve">2014b, </w:t>
      </w:r>
      <w:r w:rsidRPr="00A95790">
        <w:rPr>
          <w:i/>
          <w:iCs/>
        </w:rPr>
        <w:t>State Planning Policy</w:t>
      </w:r>
      <w:r w:rsidRPr="00A95790">
        <w:t>, Brisbane.</w:t>
      </w:r>
    </w:p>
    <w:p w14:paraId="5773DA13" w14:textId="77777777" w:rsidR="00DE1537" w:rsidRPr="00A95790" w:rsidRDefault="00DE1537" w:rsidP="00343F3E">
      <w:pPr>
        <w:pStyle w:val="Reference"/>
      </w:pPr>
      <w:r>
        <w:t>—— </w:t>
      </w:r>
      <w:r w:rsidRPr="00A95790">
        <w:t xml:space="preserve">2014c, </w:t>
      </w:r>
      <w:r w:rsidRPr="00A95790">
        <w:rPr>
          <w:i/>
          <w:iCs/>
        </w:rPr>
        <w:t>State Planning Policy: Factsheet</w:t>
      </w:r>
      <w:r w:rsidRPr="00A95790">
        <w:t>, Brisbane.</w:t>
      </w:r>
    </w:p>
    <w:p w14:paraId="1281F022" w14:textId="77777777" w:rsidR="00DE1537" w:rsidRPr="00A95790" w:rsidRDefault="00DE1537" w:rsidP="00343F3E">
      <w:pPr>
        <w:pStyle w:val="Reference"/>
      </w:pPr>
      <w:proofErr w:type="gramStart"/>
      <w:r w:rsidRPr="00A95790">
        <w:t xml:space="preserve">Queensland Government 2011a, </w:t>
      </w:r>
      <w:r w:rsidRPr="00A95790">
        <w:rPr>
          <w:i/>
          <w:iCs/>
        </w:rPr>
        <w:t>Premier’s Disaster Relief Appeal</w:t>
      </w:r>
      <w:r w:rsidRPr="00A95790">
        <w:t>, www.smartservice.qld.</w:t>
      </w:r>
      <w:proofErr w:type="gramEnd"/>
      <w:r>
        <w:br/>
      </w:r>
      <w:r w:rsidRPr="00A95790">
        <w:t>gov.au/services/donations/campaigns/appeal10 (accessed 10 July 2012).</w:t>
      </w:r>
    </w:p>
    <w:p w14:paraId="1DE60B0A" w14:textId="77777777" w:rsidR="00DE1537" w:rsidRPr="00A95790" w:rsidRDefault="00DE1537" w:rsidP="00343F3E">
      <w:pPr>
        <w:pStyle w:val="Reference"/>
      </w:pPr>
      <w:r>
        <w:t>—— </w:t>
      </w:r>
      <w:r w:rsidRPr="00A95790">
        <w:t xml:space="preserve">2011b, </w:t>
      </w:r>
      <w:r w:rsidRPr="00A95790">
        <w:rPr>
          <w:i/>
          <w:iCs/>
        </w:rPr>
        <w:t>State Budget 2011-12, Budget Strategy and Outlook, Budget Paper No. 2</w:t>
      </w:r>
      <w:r w:rsidRPr="00A95790">
        <w:t>, Brisbane.</w:t>
      </w:r>
    </w:p>
    <w:p w14:paraId="1D424B70" w14:textId="77777777" w:rsidR="00DE1537" w:rsidRPr="00A95790" w:rsidRDefault="00DE1537" w:rsidP="00343F3E">
      <w:pPr>
        <w:pStyle w:val="Reference"/>
      </w:pPr>
      <w:proofErr w:type="gramStart"/>
      <w:r>
        <w:t>—— </w:t>
      </w:r>
      <w:r w:rsidRPr="00A95790">
        <w:t xml:space="preserve">2012, </w:t>
      </w:r>
      <w:r w:rsidRPr="00A95790">
        <w:rPr>
          <w:i/>
          <w:iCs/>
        </w:rPr>
        <w:t>Submission to Productivity Commission Draft Inquiry Report into Barriers to Effective Climate Change Adaption</w:t>
      </w:r>
      <w:r w:rsidRPr="00A95790">
        <w:t>, Brisbane.</w:t>
      </w:r>
      <w:proofErr w:type="gramEnd"/>
    </w:p>
    <w:p w14:paraId="1354C222" w14:textId="77777777" w:rsidR="00DE1537" w:rsidRPr="00A95790" w:rsidRDefault="00DE1537" w:rsidP="00343F3E">
      <w:pPr>
        <w:pStyle w:val="Reference"/>
      </w:pPr>
      <w:proofErr w:type="gramStart"/>
      <w:r>
        <w:t>—— </w:t>
      </w:r>
      <w:r w:rsidRPr="00A95790">
        <w:t xml:space="preserve">2013, </w:t>
      </w:r>
      <w:r w:rsidRPr="00A95790">
        <w:rPr>
          <w:i/>
          <w:iCs/>
        </w:rPr>
        <w:t>Queensland Disaster Relief and Recovery Arrangements Guidelines</w:t>
      </w:r>
      <w:r w:rsidRPr="00A95790">
        <w:t>, Brisbane.</w:t>
      </w:r>
      <w:proofErr w:type="gramEnd"/>
    </w:p>
    <w:p w14:paraId="35A85FE7" w14:textId="77777777" w:rsidR="00DE1537" w:rsidRPr="00A95790" w:rsidRDefault="00DE1537" w:rsidP="00343F3E">
      <w:pPr>
        <w:pStyle w:val="Reference"/>
      </w:pPr>
      <w:proofErr w:type="gramStart"/>
      <w:r w:rsidRPr="00A95790">
        <w:t xml:space="preserve">Queensland Public Safety Business Agency 2014, </w:t>
      </w:r>
      <w:r w:rsidRPr="00A95790">
        <w:rPr>
          <w:i/>
          <w:iCs/>
        </w:rPr>
        <w:t>Queensland Disaster Management Arrangements Participant Guide</w:t>
      </w:r>
      <w:r w:rsidRPr="00A95790">
        <w:t>, Version 5.0, Brisbane.</w:t>
      </w:r>
      <w:proofErr w:type="gramEnd"/>
    </w:p>
    <w:p w14:paraId="1773FAAF" w14:textId="77777777" w:rsidR="00DE1537" w:rsidRPr="00A95790" w:rsidRDefault="00DE1537" w:rsidP="00343F3E">
      <w:pPr>
        <w:pStyle w:val="Reference"/>
      </w:pPr>
      <w:r w:rsidRPr="00A95790">
        <w:t xml:space="preserve">RAI (Regional Australia Institute) 2012, </w:t>
      </w:r>
      <w:r w:rsidRPr="00A95790">
        <w:rPr>
          <w:i/>
          <w:iCs/>
        </w:rPr>
        <w:t>Domestic and International Practices in Long</w:t>
      </w:r>
      <w:r>
        <w:rPr>
          <w:i/>
          <w:iCs/>
        </w:rPr>
        <w:noBreakHyphen/>
      </w:r>
      <w:r w:rsidRPr="00A95790">
        <w:rPr>
          <w:i/>
          <w:iCs/>
        </w:rPr>
        <w:t>Term Economic Recovery: Literature Review</w:t>
      </w:r>
      <w:r w:rsidRPr="00A95790">
        <w:t>, Canberra.</w:t>
      </w:r>
    </w:p>
    <w:p w14:paraId="5764D647" w14:textId="77777777" w:rsidR="00DE1537" w:rsidRPr="00A95790" w:rsidRDefault="00DE1537" w:rsidP="00343F3E">
      <w:pPr>
        <w:pStyle w:val="Reference"/>
      </w:pPr>
      <w:r w:rsidRPr="00A95790">
        <w:t xml:space="preserve">Randall, A. 2011, </w:t>
      </w:r>
      <w:r w:rsidRPr="00A95790">
        <w:rPr>
          <w:i/>
          <w:iCs/>
        </w:rPr>
        <w:t>Risk and Precaution</w:t>
      </w:r>
      <w:r w:rsidRPr="00A95790">
        <w:t>, Cambridge University Press, Cambridge.</w:t>
      </w:r>
    </w:p>
    <w:p w14:paraId="527D3F4D" w14:textId="77777777" w:rsidR="00DE1537" w:rsidRPr="00A95790" w:rsidRDefault="00DE1537" w:rsidP="00343F3E">
      <w:pPr>
        <w:pStyle w:val="Reference"/>
      </w:pPr>
      <w:r w:rsidRPr="00A95790">
        <w:t xml:space="preserve">RBA (Reserve Bank of Australia) 2011, </w:t>
      </w:r>
      <w:r w:rsidRPr="00A95790">
        <w:rPr>
          <w:i/>
          <w:iCs/>
        </w:rPr>
        <w:t>Statement on Monetary Policy: February 2011</w:t>
      </w:r>
      <w:r w:rsidRPr="00A95790">
        <w:t>, Sydney.</w:t>
      </w:r>
    </w:p>
    <w:p w14:paraId="29F26130" w14:textId="77777777" w:rsidR="00DE1537" w:rsidRPr="00A95790" w:rsidRDefault="00DE1537" w:rsidP="00343F3E">
      <w:pPr>
        <w:pStyle w:val="Reference"/>
      </w:pPr>
      <w:proofErr w:type="gramStart"/>
      <w:r w:rsidRPr="00A95790">
        <w:t xml:space="preserve">RCCDM (Regional Consultative Committee on Disaster Management) 2011, </w:t>
      </w:r>
      <w:r w:rsidRPr="00A95790">
        <w:rPr>
          <w:i/>
          <w:iCs/>
        </w:rPr>
        <w:t>Promoting Use of Disaster Risk Information in Land-Use Planning</w:t>
      </w:r>
      <w:r w:rsidRPr="00A95790">
        <w:t>, RCC Guideline 3.2, Bangkok.</w:t>
      </w:r>
      <w:proofErr w:type="gramEnd"/>
    </w:p>
    <w:p w14:paraId="52873DB6" w14:textId="77777777" w:rsidR="00DE1537" w:rsidRPr="00A95790" w:rsidRDefault="00DE1537" w:rsidP="00343F3E">
      <w:pPr>
        <w:pStyle w:val="Reference"/>
      </w:pPr>
      <w:r w:rsidRPr="00A95790">
        <w:t>Reuters 2013, ‘Germany Agrees Financing of 8 Billion Euro Flood Aid Fund’, 19 June, http://uk.reuters.com/article/2013/06/19/uk-germany-floods-budget-idUKBRE95I11U</w:t>
      </w:r>
      <w:r>
        <w:br/>
      </w:r>
      <w:r w:rsidRPr="00A95790">
        <w:t>20130619 (accessed 14 July 2014).</w:t>
      </w:r>
    </w:p>
    <w:p w14:paraId="29574FB4" w14:textId="77777777" w:rsidR="00DE1537" w:rsidRPr="00A95790" w:rsidRDefault="00DE1537" w:rsidP="00343F3E">
      <w:pPr>
        <w:pStyle w:val="Reference"/>
      </w:pPr>
      <w:r w:rsidRPr="00A95790">
        <w:t xml:space="preserve">RevenueSA 2013, </w:t>
      </w:r>
      <w:r w:rsidRPr="00A95790">
        <w:rPr>
          <w:i/>
          <w:iCs/>
        </w:rPr>
        <w:t>Stamp Duty on Insurance</w:t>
      </w:r>
      <w:r w:rsidRPr="00A95790">
        <w:t>, www.revenuesa.sa.gov.au/taxes-and-duties/</w:t>
      </w:r>
      <w:r>
        <w:br/>
      </w:r>
      <w:r w:rsidRPr="00A95790">
        <w:t>stamp-duties/insurance (accessed 4 July 2014).</w:t>
      </w:r>
    </w:p>
    <w:p w14:paraId="1599650A" w14:textId="77777777" w:rsidR="00DE1537" w:rsidRPr="00A95790" w:rsidRDefault="00DE1537" w:rsidP="00343F3E">
      <w:pPr>
        <w:pStyle w:val="Reference"/>
      </w:pPr>
      <w:r w:rsidRPr="00A95790">
        <w:t xml:space="preserve">Rijkswaterstaat 2013, </w:t>
      </w:r>
      <w:r w:rsidRPr="00A95790">
        <w:rPr>
          <w:i/>
          <w:iCs/>
        </w:rPr>
        <w:t>Delta Programme 2014: Working on the Delta</w:t>
      </w:r>
      <w:r w:rsidRPr="00A95790">
        <w:t>, The Hague.</w:t>
      </w:r>
    </w:p>
    <w:p w14:paraId="38C5F066" w14:textId="77777777" w:rsidR="00DE1537" w:rsidRPr="00A95790" w:rsidRDefault="00DE1537" w:rsidP="00343F3E">
      <w:pPr>
        <w:pStyle w:val="Reference"/>
      </w:pPr>
      <w:proofErr w:type="gramStart"/>
      <w:r w:rsidRPr="00A95790">
        <w:t xml:space="preserve">Risicokaart 2014, </w:t>
      </w:r>
      <w:r w:rsidRPr="00A95790">
        <w:rPr>
          <w:i/>
          <w:iCs/>
        </w:rPr>
        <w:t>Risicokaart</w:t>
      </w:r>
      <w:r w:rsidRPr="00A95790">
        <w:t>, www.risicokaart.nl/en (accessed 30 July 2014).</w:t>
      </w:r>
      <w:proofErr w:type="gramEnd"/>
    </w:p>
    <w:p w14:paraId="1CA442A3" w14:textId="77777777" w:rsidR="00DE1537" w:rsidRPr="00A95790" w:rsidRDefault="00DE1537" w:rsidP="00343F3E">
      <w:pPr>
        <w:pStyle w:val="Reference"/>
      </w:pPr>
      <w:r w:rsidRPr="00A95790">
        <w:lastRenderedPageBreak/>
        <w:t xml:space="preserve">Risk Frontiers 2011, </w:t>
      </w:r>
      <w:r w:rsidRPr="00A95790">
        <w:rPr>
          <w:i/>
          <w:iCs/>
        </w:rPr>
        <w:t>State-wide Natural Hazard Risk Assessment – Report 5: Projected Cost of Natural Disasters to Losses of Annual Residential Property</w:t>
      </w:r>
      <w:r w:rsidRPr="00A95790">
        <w:t>, report for the Queensland Department of Community Safety, Sydney.</w:t>
      </w:r>
    </w:p>
    <w:p w14:paraId="649D28ED" w14:textId="77777777" w:rsidR="00DE1537" w:rsidRPr="00A95790" w:rsidRDefault="00DE1537" w:rsidP="00343F3E">
      <w:pPr>
        <w:pStyle w:val="Reference"/>
      </w:pPr>
      <w:r>
        <w:t>—— </w:t>
      </w:r>
      <w:r w:rsidRPr="00A95790">
        <w:t xml:space="preserve">2014a, </w:t>
      </w:r>
      <w:r w:rsidRPr="00A95790">
        <w:rPr>
          <w:i/>
          <w:iCs/>
        </w:rPr>
        <w:t>A Framework For Natural Disaster Mitigation Decision Making</w:t>
      </w:r>
      <w:r w:rsidRPr="00A95790">
        <w:t xml:space="preserve">, report </w:t>
      </w:r>
      <w:proofErr w:type="gramStart"/>
      <w:r w:rsidRPr="00A95790">
        <w:t>for  SAFECOM</w:t>
      </w:r>
      <w:proofErr w:type="gramEnd"/>
      <w:r w:rsidRPr="00A95790">
        <w:t xml:space="preserve"> and the Government of South Australia, Sydney.</w:t>
      </w:r>
    </w:p>
    <w:p w14:paraId="7C37F166" w14:textId="77777777" w:rsidR="00DE1537" w:rsidRPr="00A95790" w:rsidRDefault="00DE1537" w:rsidP="00343F3E">
      <w:pPr>
        <w:pStyle w:val="Reference"/>
      </w:pPr>
      <w:r>
        <w:t>—— </w:t>
      </w:r>
      <w:r w:rsidRPr="00A95790">
        <w:t xml:space="preserve">2014b, </w:t>
      </w:r>
      <w:r w:rsidRPr="00A95790">
        <w:rPr>
          <w:i/>
          <w:iCs/>
        </w:rPr>
        <w:t>FireAUS: Bushfire Relative Risk Ratings</w:t>
      </w:r>
      <w:r w:rsidRPr="00A95790">
        <w:t>, www.riskfrontiers.com/fireaus.htm (accessed 18 August 2014).</w:t>
      </w:r>
    </w:p>
    <w:p w14:paraId="0934C613" w14:textId="77777777" w:rsidR="00DE1537" w:rsidRPr="00A95790" w:rsidRDefault="00DE1537" w:rsidP="00343F3E">
      <w:pPr>
        <w:pStyle w:val="Reference"/>
      </w:pPr>
      <w:r w:rsidRPr="00A95790">
        <w:t xml:space="preserve">Romanyuk, Y. 2010, </w:t>
      </w:r>
      <w:r w:rsidRPr="00A95790">
        <w:rPr>
          <w:i/>
          <w:iCs/>
        </w:rPr>
        <w:t>Asset-Liability Management: An Overview</w:t>
      </w:r>
      <w:r w:rsidRPr="00A95790">
        <w:t>, Discussion Paper 2010</w:t>
      </w:r>
      <w:r>
        <w:noBreakHyphen/>
      </w:r>
      <w:r w:rsidRPr="00A95790">
        <w:t>10, Bank of Canada, Ottawa.</w:t>
      </w:r>
    </w:p>
    <w:p w14:paraId="489F8FA8" w14:textId="77777777" w:rsidR="00DE1537" w:rsidRPr="00A95790" w:rsidRDefault="00DE1537" w:rsidP="00343F3E">
      <w:pPr>
        <w:pStyle w:val="Reference"/>
      </w:pPr>
      <w:r w:rsidRPr="00A95790">
        <w:t xml:space="preserve">Rose, A., Porter, K., Dash, N., Bouabid, J., Huyck, C., Whitehead, J., Shaw, D., Eguchi, R., Taylor, C., McLane, T., Tobin, L.T., Ganderton, P.T., Godschalk, D., Kiremidjian, A.S., Tierney, K. and West, C.T. 2007, ‘Benefit-Cost Analysis of FEMA Hazard Mitigation Grants’, </w:t>
      </w:r>
      <w:r w:rsidRPr="00A95790">
        <w:rPr>
          <w:i/>
          <w:iCs/>
        </w:rPr>
        <w:t>Natural Hazards Review</w:t>
      </w:r>
      <w:r w:rsidRPr="00A95790">
        <w:t>, vol. 8, no. 4, pp. 97–111.</w:t>
      </w:r>
    </w:p>
    <w:p w14:paraId="2C57082F" w14:textId="77777777" w:rsidR="00DE1537" w:rsidRPr="00A95790" w:rsidRDefault="00DE1537" w:rsidP="00343F3E">
      <w:pPr>
        <w:pStyle w:val="Reference"/>
      </w:pPr>
      <w:proofErr w:type="gramStart"/>
      <w:r w:rsidRPr="00A95790">
        <w:t xml:space="preserve">Roy Hill 2012, </w:t>
      </w:r>
      <w:r w:rsidRPr="00A95790">
        <w:rPr>
          <w:i/>
          <w:iCs/>
        </w:rPr>
        <w:t>The Project</w:t>
      </w:r>
      <w:r w:rsidRPr="00A95790">
        <w:t>, www.royhill.com.au/content/project (accessed 25 August 2014).</w:t>
      </w:r>
      <w:proofErr w:type="gramEnd"/>
    </w:p>
    <w:p w14:paraId="21E1B8FC" w14:textId="77777777" w:rsidR="00DE1537" w:rsidRPr="00A95790" w:rsidRDefault="00DE1537" w:rsidP="00343F3E">
      <w:pPr>
        <w:pStyle w:val="Reference"/>
      </w:pPr>
      <w:proofErr w:type="gramStart"/>
      <w:r w:rsidRPr="00A95790">
        <w:t xml:space="preserve">SADTF (South Australian Department of Treasury and Finance) 2014, </w:t>
      </w:r>
      <w:r w:rsidRPr="00A95790">
        <w:rPr>
          <w:i/>
          <w:iCs/>
        </w:rPr>
        <w:t>Local Government Disaster Recovery Assistance Guidelines</w:t>
      </w:r>
      <w:r w:rsidRPr="00A95790">
        <w:t>, Adelaide.</w:t>
      </w:r>
      <w:proofErr w:type="gramEnd"/>
    </w:p>
    <w:p w14:paraId="6B826114" w14:textId="77777777" w:rsidR="00DE1537" w:rsidRPr="00A95790" w:rsidRDefault="00DE1537" w:rsidP="00343F3E">
      <w:pPr>
        <w:pStyle w:val="Reference"/>
      </w:pPr>
      <w:proofErr w:type="gramStart"/>
      <w:r w:rsidRPr="00A95790">
        <w:t xml:space="preserve">SAFA (South Australian Government Financing Authority) 2013, </w:t>
      </w:r>
      <w:r w:rsidRPr="00A95790">
        <w:rPr>
          <w:i/>
          <w:iCs/>
        </w:rPr>
        <w:t>Annual Report 2012-13</w:t>
      </w:r>
      <w:r w:rsidRPr="00A95790">
        <w:t>, Adelaide.</w:t>
      </w:r>
      <w:proofErr w:type="gramEnd"/>
    </w:p>
    <w:p w14:paraId="03D32BB0" w14:textId="77777777" w:rsidR="00DE1537" w:rsidRPr="00A95790" w:rsidRDefault="00DE1537" w:rsidP="00343F3E">
      <w:pPr>
        <w:pStyle w:val="Reference"/>
      </w:pPr>
      <w:r w:rsidRPr="00A95790">
        <w:t xml:space="preserve">SCRGSP (Steering Committee for the Review of Government Service Provision) 2013, </w:t>
      </w:r>
      <w:r w:rsidRPr="00A95790">
        <w:rPr>
          <w:i/>
          <w:iCs/>
        </w:rPr>
        <w:t>Report on Government Services 2013</w:t>
      </w:r>
      <w:r w:rsidRPr="00A95790">
        <w:t>, Productivity Commission, Canberra.</w:t>
      </w:r>
    </w:p>
    <w:p w14:paraId="573FB64F" w14:textId="77777777" w:rsidR="00DE1537" w:rsidRPr="00A95790" w:rsidRDefault="00DE1537" w:rsidP="00343F3E">
      <w:pPr>
        <w:pStyle w:val="Reference"/>
      </w:pPr>
      <w:r w:rsidRPr="00A95790">
        <w:t>——</w:t>
      </w:r>
      <w:r>
        <w:t> </w:t>
      </w:r>
      <w:r w:rsidRPr="00A95790">
        <w:t xml:space="preserve">2014, </w:t>
      </w:r>
      <w:r w:rsidRPr="00A95790">
        <w:rPr>
          <w:i/>
          <w:iCs/>
        </w:rPr>
        <w:t>Report on Government Services 2014</w:t>
      </w:r>
      <w:r w:rsidRPr="00A95790">
        <w:t>, Productivity Commission, Canberra.</w:t>
      </w:r>
    </w:p>
    <w:p w14:paraId="4241D774" w14:textId="77777777" w:rsidR="00DE1537" w:rsidRPr="00A95790" w:rsidRDefault="00DE1537" w:rsidP="00343F3E">
      <w:pPr>
        <w:pStyle w:val="Reference"/>
      </w:pPr>
      <w:r w:rsidRPr="00A95790">
        <w:t xml:space="preserve">Sheehan, G. and Renouf, G. 2006, </w:t>
      </w:r>
      <w:r w:rsidRPr="00A95790">
        <w:rPr>
          <w:i/>
          <w:iCs/>
        </w:rPr>
        <w:t>Risk and Reality: Access to General Insurance for People on Low Incomes</w:t>
      </w:r>
      <w:r w:rsidRPr="00A95790">
        <w:t>, Brotherhood of St Laurence, Melbourne.</w:t>
      </w:r>
    </w:p>
    <w:p w14:paraId="72F36669" w14:textId="77777777" w:rsidR="00DE1537" w:rsidRPr="00A95790" w:rsidRDefault="00DE1537" w:rsidP="00343F3E">
      <w:pPr>
        <w:pStyle w:val="Reference"/>
      </w:pPr>
      <w:r w:rsidRPr="00A95790">
        <w:t xml:space="preserve">Shreve, C.M. and Kelman, I. 2014, ‘Does mitigation save? </w:t>
      </w:r>
      <w:proofErr w:type="gramStart"/>
      <w:r w:rsidRPr="00A95790">
        <w:t xml:space="preserve">Reviewing cost-benefit analyses of disaster risk reduction’, </w:t>
      </w:r>
      <w:r w:rsidRPr="00A95790">
        <w:rPr>
          <w:i/>
          <w:iCs/>
        </w:rPr>
        <w:t>International Journal of Disaster Risk Reduction</w:t>
      </w:r>
      <w:r w:rsidRPr="00A95790">
        <w:t>, vol. 10, Part A, pp. 213–235.</w:t>
      </w:r>
      <w:proofErr w:type="gramEnd"/>
    </w:p>
    <w:p w14:paraId="7EACD236" w14:textId="77777777" w:rsidR="00DE1537" w:rsidRPr="00A95790" w:rsidRDefault="00DE1537" w:rsidP="00343F3E">
      <w:pPr>
        <w:pStyle w:val="Reference"/>
      </w:pPr>
      <w:r w:rsidRPr="00A95790">
        <w:t xml:space="preserve">SMEC and IID (SMEC and the Institute for International Development) 2006, </w:t>
      </w:r>
      <w:r w:rsidRPr="00A95790">
        <w:rPr>
          <w:i/>
          <w:iCs/>
        </w:rPr>
        <w:t>Local Government Land Use Planning &amp; Risk Mitigation</w:t>
      </w:r>
      <w:r w:rsidRPr="00A95790">
        <w:t>, National Research Paper, prepared for the Australian Local Government Association, Melbourne.</w:t>
      </w:r>
    </w:p>
    <w:p w14:paraId="47095C6D" w14:textId="77777777" w:rsidR="00DE1537" w:rsidRPr="00A95790" w:rsidRDefault="00DE1537" w:rsidP="00343F3E">
      <w:pPr>
        <w:pStyle w:val="Reference"/>
      </w:pPr>
      <w:r w:rsidRPr="00A95790">
        <w:t xml:space="preserve">Smith, E. 2006, ‘National disaster preparedness in Australia – before and after 9/11’, </w:t>
      </w:r>
      <w:r w:rsidRPr="00A95790">
        <w:rPr>
          <w:i/>
          <w:iCs/>
        </w:rPr>
        <w:t>Australasian Journal of Paramedicine</w:t>
      </w:r>
      <w:r w:rsidRPr="00A95790">
        <w:t>, vol. 4, no. 2, p. article 7.</w:t>
      </w:r>
    </w:p>
    <w:p w14:paraId="4D2B9059" w14:textId="77777777" w:rsidR="00DE1537" w:rsidRPr="00A95790" w:rsidRDefault="00DE1537" w:rsidP="00343F3E">
      <w:pPr>
        <w:pStyle w:val="Reference"/>
      </w:pPr>
      <w:r w:rsidRPr="00A95790">
        <w:t xml:space="preserve">SROV (State Revenue Office Victoria) 2014, </w:t>
      </w:r>
      <w:r w:rsidRPr="00A95790">
        <w:rPr>
          <w:i/>
          <w:iCs/>
        </w:rPr>
        <w:t>General Insurance</w:t>
      </w:r>
      <w:r w:rsidRPr="00A95790">
        <w:t>, www.sro.vic.gov.au/</w:t>
      </w:r>
      <w:r>
        <w:br/>
      </w:r>
      <w:r w:rsidRPr="00A95790">
        <w:t>sro/SROnav.nsf/childdocs/-3A87315B22BC23FFCA2575A100441F59-CD1B48B2849</w:t>
      </w:r>
      <w:r>
        <w:br/>
      </w:r>
      <w:r w:rsidRPr="00A95790">
        <w:t>A0120CA2575C1008058E7-23EB01AC28B287FCCA2575B7001B0DD3</w:t>
      </w:r>
      <w:proofErr w:type="gramStart"/>
      <w:r w:rsidRPr="00A95790">
        <w:t>?open</w:t>
      </w:r>
      <w:proofErr w:type="gramEnd"/>
      <w:r w:rsidRPr="00A95790">
        <w:t xml:space="preserve"> (accessed 28 July 2014).</w:t>
      </w:r>
    </w:p>
    <w:p w14:paraId="1B4D7C81" w14:textId="77777777" w:rsidR="00DE1537" w:rsidRPr="00A95790" w:rsidRDefault="00DE1537" w:rsidP="00343F3E">
      <w:pPr>
        <w:pStyle w:val="Reference"/>
      </w:pPr>
      <w:proofErr w:type="gramStart"/>
      <w:r w:rsidRPr="00A95790">
        <w:t xml:space="preserve">Statistics New Zealand 2012, </w:t>
      </w:r>
      <w:r w:rsidRPr="00A95790">
        <w:rPr>
          <w:i/>
          <w:iCs/>
        </w:rPr>
        <w:t>Canterbury’s Earthquake Recovery Progresses</w:t>
      </w:r>
      <w:r w:rsidRPr="00A95790">
        <w:t>, www.stats.govt.nz/browse_for_stats/snapshots-of-nz/yearbook/people/region/cera.aspx (accessed 31 July 2014).</w:t>
      </w:r>
      <w:proofErr w:type="gramEnd"/>
    </w:p>
    <w:p w14:paraId="06AE0FFF" w14:textId="77777777" w:rsidR="00DE1537" w:rsidRPr="00A95790" w:rsidRDefault="00DE1537" w:rsidP="00343F3E">
      <w:pPr>
        <w:pStyle w:val="Reference"/>
      </w:pPr>
      <w:r>
        <w:lastRenderedPageBreak/>
        <w:t>—— </w:t>
      </w:r>
      <w:r w:rsidRPr="00A95790">
        <w:t xml:space="preserve">2014, </w:t>
      </w:r>
      <w:r w:rsidRPr="00A95790">
        <w:rPr>
          <w:i/>
          <w:iCs/>
        </w:rPr>
        <w:t>Gross Domestic Product: March 2014 Quarter</w:t>
      </w:r>
      <w:r w:rsidRPr="00A95790">
        <w:t>, www.stats.govt.nz/browse_for</w:t>
      </w:r>
      <w:r>
        <w:br/>
      </w:r>
      <w:r w:rsidRPr="00A95790">
        <w:t>_stats/economic_indicators/GDP/GrossDomesticProduct_HOTPMar14qtr.aspx (accessed 14 September 2014).</w:t>
      </w:r>
    </w:p>
    <w:p w14:paraId="5EA866C7" w14:textId="77777777" w:rsidR="00DE1537" w:rsidRPr="00A95790" w:rsidRDefault="00DE1537" w:rsidP="00343F3E">
      <w:pPr>
        <w:pStyle w:val="Reference"/>
      </w:pPr>
      <w:proofErr w:type="gramStart"/>
      <w:r w:rsidRPr="00A95790">
        <w:t xml:space="preserve">Stephens, K. 2013, ‘Development on Gold Coast flood plain to have lifeboats, emergency food’, </w:t>
      </w:r>
      <w:r w:rsidRPr="00A95790">
        <w:rPr>
          <w:i/>
          <w:iCs/>
        </w:rPr>
        <w:t>Brisbane Times</w:t>
      </w:r>
      <w:r w:rsidRPr="00A95790">
        <w:t>, 19 July, www.brisbanetimes.com.au/queensland/development-on-gold-coast-flood-plain-to-have-lifeboats-emergency-food-20130719-2q9km.html (accessed 22 June 2014).</w:t>
      </w:r>
      <w:proofErr w:type="gramEnd"/>
    </w:p>
    <w:p w14:paraId="7D7BC285" w14:textId="77777777" w:rsidR="00DE1537" w:rsidRPr="00A95790" w:rsidRDefault="00DE1537" w:rsidP="00343F3E">
      <w:pPr>
        <w:pStyle w:val="Reference"/>
      </w:pPr>
      <w:r w:rsidRPr="00A95790">
        <w:t xml:space="preserve">Stephenson, C., Handmer, J. and Haywood, A. 2012, </w:t>
      </w:r>
      <w:r w:rsidRPr="00A95790">
        <w:rPr>
          <w:i/>
          <w:iCs/>
        </w:rPr>
        <w:t>Estimating the Net Cost of the 2009 Black Saturday Fires to the Affected Regions</w:t>
      </w:r>
      <w:r w:rsidRPr="00A95790">
        <w:t>, Melbourne.</w:t>
      </w:r>
    </w:p>
    <w:p w14:paraId="0FE26D8B" w14:textId="77777777" w:rsidR="00DE1537" w:rsidRPr="00A95790" w:rsidRDefault="00DE1537" w:rsidP="00343F3E">
      <w:pPr>
        <w:pStyle w:val="Reference"/>
      </w:pPr>
      <w:r w:rsidRPr="00A95790">
        <w:t xml:space="preserve">Stone, Y. 2014, </w:t>
      </w:r>
      <w:r w:rsidRPr="00A95790">
        <w:rPr>
          <w:i/>
          <w:iCs/>
        </w:rPr>
        <w:t>Council Decision Making and Independent Panels</w:t>
      </w:r>
      <w:r w:rsidRPr="00A95790">
        <w:t>, http://apo.org.au/node/</w:t>
      </w:r>
      <w:r>
        <w:br/>
      </w:r>
      <w:r w:rsidRPr="00A95790">
        <w:t>40566 (accessed 29 October 2014).</w:t>
      </w:r>
    </w:p>
    <w:p w14:paraId="7C911F52" w14:textId="77777777" w:rsidR="00DE1537" w:rsidRPr="00A95790" w:rsidRDefault="00DE1537" w:rsidP="00343F3E">
      <w:pPr>
        <w:pStyle w:val="Reference"/>
      </w:pPr>
      <w:r w:rsidRPr="00A95790">
        <w:t xml:space="preserve">Suncorp Group 2013, </w:t>
      </w:r>
      <w:r w:rsidRPr="00A95790">
        <w:rPr>
          <w:i/>
          <w:iCs/>
        </w:rPr>
        <w:t>Risky Business: Insurance and Natural Disaster Risk Management</w:t>
      </w:r>
      <w:r w:rsidRPr="00A95790">
        <w:t>, Melbourne.</w:t>
      </w:r>
    </w:p>
    <w:p w14:paraId="666B84F9" w14:textId="77777777" w:rsidR="00DE1537" w:rsidRPr="00A95790" w:rsidRDefault="00DE1537" w:rsidP="00343F3E">
      <w:pPr>
        <w:pStyle w:val="Reference"/>
      </w:pPr>
      <w:proofErr w:type="gramStart"/>
      <w:r w:rsidRPr="00A95790">
        <w:t xml:space="preserve">Surowiecki, J. 2012, ‘Disaster Economics’, </w:t>
      </w:r>
      <w:r w:rsidRPr="00A95790">
        <w:rPr>
          <w:i/>
          <w:iCs/>
        </w:rPr>
        <w:t>The New Yorker</w:t>
      </w:r>
      <w:r w:rsidRPr="00A95790">
        <w:t>, 3 December, www.newyorker.com/talk/financial/2012/12/03/121203ta_talk_surowiecki (accessed 4</w:t>
      </w:r>
      <w:r>
        <w:t> </w:t>
      </w:r>
      <w:r w:rsidRPr="00A95790">
        <w:t>February 2014).</w:t>
      </w:r>
      <w:proofErr w:type="gramEnd"/>
    </w:p>
    <w:p w14:paraId="45D92BC8" w14:textId="77777777" w:rsidR="00DE1537" w:rsidRPr="00A95790" w:rsidRDefault="00DE1537" w:rsidP="00343F3E">
      <w:pPr>
        <w:pStyle w:val="Reference"/>
      </w:pPr>
      <w:proofErr w:type="gramStart"/>
      <w:r w:rsidRPr="00A95790">
        <w:t xml:space="preserve">Swiss Re 2011a, </w:t>
      </w:r>
      <w:r w:rsidRPr="00A95790">
        <w:rPr>
          <w:i/>
          <w:iCs/>
        </w:rPr>
        <w:t>Closing the Financial Gap</w:t>
      </w:r>
      <w:r w:rsidRPr="00A95790">
        <w:t>, Zurich.</w:t>
      </w:r>
      <w:proofErr w:type="gramEnd"/>
    </w:p>
    <w:p w14:paraId="37718401" w14:textId="77777777" w:rsidR="00DE1537" w:rsidRPr="00A95790" w:rsidRDefault="00DE1537" w:rsidP="00343F3E">
      <w:pPr>
        <w:pStyle w:val="Reference"/>
      </w:pPr>
      <w:r>
        <w:t>—— </w:t>
      </w:r>
      <w:r w:rsidRPr="00A95790">
        <w:t xml:space="preserve">2011b, </w:t>
      </w:r>
      <w:r w:rsidRPr="00A95790">
        <w:rPr>
          <w:i/>
          <w:iCs/>
        </w:rPr>
        <w:t>State Involvement in Insurance Markets</w:t>
      </w:r>
      <w:r w:rsidRPr="00A95790">
        <w:t>, Sigma No. 3/2011, Zurich.</w:t>
      </w:r>
    </w:p>
    <w:p w14:paraId="18E1E6DE" w14:textId="77777777" w:rsidR="00DE1537" w:rsidRPr="00A95790" w:rsidRDefault="00DE1537" w:rsidP="00343F3E">
      <w:pPr>
        <w:pStyle w:val="Reference"/>
      </w:pPr>
      <w:proofErr w:type="gramStart"/>
      <w:r>
        <w:t>—— </w:t>
      </w:r>
      <w:r w:rsidRPr="00A95790">
        <w:t xml:space="preserve">2014, </w:t>
      </w:r>
      <w:r w:rsidRPr="00A95790">
        <w:rPr>
          <w:i/>
          <w:iCs/>
        </w:rPr>
        <w:t>Sigma</w:t>
      </w:r>
      <w:r w:rsidRPr="00A95790">
        <w:t>, www.swissre.com/sigma/ (accessed 8 July 2014).</w:t>
      </w:r>
      <w:proofErr w:type="gramEnd"/>
    </w:p>
    <w:p w14:paraId="2D629795" w14:textId="77777777" w:rsidR="00DE1537" w:rsidRPr="00A95790" w:rsidRDefault="00DE1537" w:rsidP="00343F3E">
      <w:pPr>
        <w:pStyle w:val="Reference"/>
      </w:pPr>
      <w:r w:rsidRPr="00A95790">
        <w:t xml:space="preserve">Tasmanian Department of Premier and Cabinet 2014, </w:t>
      </w:r>
      <w:r w:rsidRPr="00A95790">
        <w:rPr>
          <w:i/>
          <w:iCs/>
        </w:rPr>
        <w:t xml:space="preserve">Mitigating Natural Hazards </w:t>
      </w:r>
      <w:proofErr w:type="gramStart"/>
      <w:r w:rsidRPr="00A95790">
        <w:rPr>
          <w:i/>
          <w:iCs/>
        </w:rPr>
        <w:t>Through</w:t>
      </w:r>
      <w:proofErr w:type="gramEnd"/>
      <w:r w:rsidRPr="00A95790">
        <w:rPr>
          <w:i/>
          <w:iCs/>
        </w:rPr>
        <w:t xml:space="preserve"> Land Use Planning</w:t>
      </w:r>
      <w:r w:rsidRPr="00A95790">
        <w:t>, www.dpac.tas.gov.au/divisions/osem/mitigating_natural_hazards (accessed 11 November 2014).</w:t>
      </w:r>
    </w:p>
    <w:p w14:paraId="3A5E0D2A" w14:textId="77777777" w:rsidR="00DE1537" w:rsidRPr="00A95790" w:rsidRDefault="00DE1537" w:rsidP="00343F3E">
      <w:pPr>
        <w:pStyle w:val="Reference"/>
      </w:pPr>
      <w:proofErr w:type="gramStart"/>
      <w:r w:rsidRPr="00A95790">
        <w:t xml:space="preserve">Tasmanian Planning Commission nd, </w:t>
      </w:r>
      <w:r w:rsidRPr="00A95790">
        <w:rPr>
          <w:i/>
          <w:iCs/>
        </w:rPr>
        <w:t>State Planning</w:t>
      </w:r>
      <w:r w:rsidRPr="00A95790">
        <w:t>, www.planning.tas.gov.au/</w:t>
      </w:r>
      <w:r>
        <w:br/>
      </w:r>
      <w:r w:rsidRPr="00A95790">
        <w:t>the_planning_system/state_planning (accessed 25 August 2014).</w:t>
      </w:r>
      <w:proofErr w:type="gramEnd"/>
    </w:p>
    <w:p w14:paraId="452BDC86" w14:textId="77777777" w:rsidR="00DE1537" w:rsidRPr="00A95790" w:rsidRDefault="00DE1537" w:rsidP="00343F3E">
      <w:pPr>
        <w:pStyle w:val="Reference"/>
      </w:pPr>
      <w:r w:rsidRPr="00A95790">
        <w:t xml:space="preserve">TDTF (Tasmanian Department of Treasury and Finance) 2014, </w:t>
      </w:r>
      <w:r w:rsidRPr="00A95790">
        <w:rPr>
          <w:i/>
          <w:iCs/>
        </w:rPr>
        <w:t>Insurance Duty Calculator</w:t>
      </w:r>
      <w:r w:rsidRPr="00A95790">
        <w:t>, www.sro.tas.gov.au/domino/dtf/SROWebsite.nsf/v-all/35400B8E403204C3CA25793</w:t>
      </w:r>
      <w:r>
        <w:br/>
      </w:r>
      <w:r w:rsidRPr="00A95790">
        <w:t>300041BC7</w:t>
      </w:r>
      <w:proofErr w:type="gramStart"/>
      <w:r w:rsidRPr="00A95790">
        <w:t>?OpenDocument</w:t>
      </w:r>
      <w:proofErr w:type="gramEnd"/>
      <w:r w:rsidRPr="00A95790">
        <w:t>&amp;menuitem=Insurance%20Duty (accessed 28 July 2014).</w:t>
      </w:r>
    </w:p>
    <w:p w14:paraId="3EB7D978" w14:textId="77777777" w:rsidR="00DE1537" w:rsidRPr="00A95790" w:rsidRDefault="00DE1537" w:rsidP="00343F3E">
      <w:pPr>
        <w:pStyle w:val="Reference"/>
      </w:pPr>
      <w:r w:rsidRPr="00A95790">
        <w:t>The Economist 2012, ‘Counting the Cost of Calamities’, 14 January, www.economist.com/</w:t>
      </w:r>
      <w:r>
        <w:br/>
      </w:r>
      <w:r w:rsidRPr="00A95790">
        <w:t>node/21542755 (accessed 30 July 2014).</w:t>
      </w:r>
    </w:p>
    <w:p w14:paraId="2E1EB3CD" w14:textId="77777777" w:rsidR="00DE1537" w:rsidRPr="00A95790" w:rsidRDefault="00DE1537" w:rsidP="00343F3E">
      <w:pPr>
        <w:pStyle w:val="Reference"/>
      </w:pPr>
      <w:r w:rsidRPr="00A95790">
        <w:t xml:space="preserve">Thwaites, J. 2012, </w:t>
      </w:r>
      <w:r w:rsidRPr="00A95790">
        <w:rPr>
          <w:i/>
          <w:iCs/>
        </w:rPr>
        <w:t>Submission from Australian Building Codes Board (ABCB) Chairman: Productivity Commission Inquiry into Regulatory and Policy Barriers to Effective Climate Change Adaptation – Draft Report</w:t>
      </w:r>
      <w:r w:rsidRPr="00A95790">
        <w:t>, Canberra.</w:t>
      </w:r>
    </w:p>
    <w:p w14:paraId="6AE485D4" w14:textId="77777777" w:rsidR="00DE1537" w:rsidRPr="00A95790" w:rsidRDefault="00DE1537" w:rsidP="00343F3E">
      <w:pPr>
        <w:pStyle w:val="Reference"/>
      </w:pPr>
      <w:r w:rsidRPr="00A95790">
        <w:t xml:space="preserve">Tooth, R. 2008, </w:t>
      </w:r>
      <w:r w:rsidRPr="00A95790">
        <w:rPr>
          <w:i/>
          <w:iCs/>
        </w:rPr>
        <w:t>An Analysis of the Demand for House and Contents Insurance in Australia</w:t>
      </w:r>
      <w:r w:rsidRPr="00A95790">
        <w:t>, report for the Insurance Council of Australia, Sydney.</w:t>
      </w:r>
    </w:p>
    <w:p w14:paraId="5BEF055C" w14:textId="77777777" w:rsidR="00DE1537" w:rsidRPr="00A95790" w:rsidRDefault="00DE1537" w:rsidP="00343F3E">
      <w:pPr>
        <w:pStyle w:val="Reference"/>
      </w:pPr>
      <w:r>
        <w:t>—— </w:t>
      </w:r>
      <w:r w:rsidRPr="00A95790">
        <w:t xml:space="preserve">2012, </w:t>
      </w:r>
      <w:r w:rsidRPr="00A95790">
        <w:rPr>
          <w:i/>
          <w:iCs/>
        </w:rPr>
        <w:t>Australian Household Insurance: Understanding and Affordability</w:t>
      </w:r>
      <w:r w:rsidRPr="00A95790">
        <w:t>, report for the Insurance Australia Group, Sapere Research Group, Sydney.</w:t>
      </w:r>
    </w:p>
    <w:p w14:paraId="7BAD711C" w14:textId="77777777" w:rsidR="00DE1537" w:rsidRPr="00A95790" w:rsidRDefault="00DE1537" w:rsidP="00343F3E">
      <w:pPr>
        <w:pStyle w:val="Reference"/>
      </w:pPr>
      <w:r>
        <w:lastRenderedPageBreak/>
        <w:t>—— </w:t>
      </w:r>
      <w:r w:rsidRPr="00A95790">
        <w:t xml:space="preserve">and Barker, G. 2007, </w:t>
      </w:r>
      <w:r w:rsidRPr="00A95790">
        <w:rPr>
          <w:i/>
          <w:iCs/>
        </w:rPr>
        <w:t>The Non-Insured: Who, Why and Trends</w:t>
      </w:r>
      <w:r w:rsidRPr="00A95790">
        <w:t>, report for the Insurance Council of Australia, Centre of Law and Economics, Australian National University, Canberra.</w:t>
      </w:r>
    </w:p>
    <w:p w14:paraId="47D94571" w14:textId="77777777" w:rsidR="00DE1537" w:rsidRPr="00A95790" w:rsidRDefault="00DE1537" w:rsidP="00343F3E">
      <w:pPr>
        <w:pStyle w:val="Reference"/>
      </w:pPr>
      <w:proofErr w:type="gramStart"/>
      <w:r w:rsidRPr="00A95790">
        <w:t xml:space="preserve">Treasury various years, </w:t>
      </w:r>
      <w:r w:rsidRPr="00A95790">
        <w:rPr>
          <w:i/>
          <w:iCs/>
        </w:rPr>
        <w:t>Final Budget Outcome</w:t>
      </w:r>
      <w:r w:rsidRPr="00A95790">
        <w:t>, Canberra.</w:t>
      </w:r>
      <w:proofErr w:type="gramEnd"/>
    </w:p>
    <w:p w14:paraId="7549ED12" w14:textId="77777777" w:rsidR="00DE1537" w:rsidRPr="00A95790" w:rsidRDefault="00DE1537" w:rsidP="00343F3E">
      <w:pPr>
        <w:pStyle w:val="Reference"/>
      </w:pPr>
      <w:r>
        <w:t>—— </w:t>
      </w:r>
      <w:r w:rsidRPr="00A95790">
        <w:t xml:space="preserve">2010, </w:t>
      </w:r>
      <w:r w:rsidRPr="00A95790">
        <w:rPr>
          <w:i/>
          <w:iCs/>
        </w:rPr>
        <w:t>Australia’s Future Tax System: Report to the Treasurer</w:t>
      </w:r>
      <w:r w:rsidRPr="00A95790">
        <w:t>, Final Report: Overview, Canberra.</w:t>
      </w:r>
    </w:p>
    <w:p w14:paraId="3018B065" w14:textId="77777777" w:rsidR="00DE1537" w:rsidRPr="00A95790" w:rsidRDefault="00DE1537" w:rsidP="00343F3E">
      <w:pPr>
        <w:pStyle w:val="Reference"/>
      </w:pPr>
      <w:r>
        <w:t>—— </w:t>
      </w:r>
      <w:r w:rsidRPr="00A95790">
        <w:t xml:space="preserve">2012, </w:t>
      </w:r>
      <w:r w:rsidRPr="00A95790">
        <w:rPr>
          <w:i/>
          <w:iCs/>
        </w:rPr>
        <w:t xml:space="preserve">Rebuilding </w:t>
      </w:r>
      <w:proofErr w:type="gramStart"/>
      <w:r w:rsidRPr="00A95790">
        <w:rPr>
          <w:i/>
          <w:iCs/>
        </w:rPr>
        <w:t>After</w:t>
      </w:r>
      <w:proofErr w:type="gramEnd"/>
      <w:r w:rsidRPr="00A95790">
        <w:rPr>
          <w:i/>
          <w:iCs/>
        </w:rPr>
        <w:t xml:space="preserve"> the Floods</w:t>
      </w:r>
      <w:r w:rsidRPr="00A95790">
        <w:t>, http://floodrebuild.treasury.gov.au/content/</w:t>
      </w:r>
      <w:r>
        <w:br/>
      </w:r>
      <w:r w:rsidRPr="00A95790">
        <w:t>default.asp (accessed 27 August 2014).</w:t>
      </w:r>
    </w:p>
    <w:p w14:paraId="3E33D8E6" w14:textId="77777777" w:rsidR="00DE1537" w:rsidRPr="00A95790" w:rsidRDefault="00DE1537" w:rsidP="00343F3E">
      <w:pPr>
        <w:pStyle w:val="Reference"/>
      </w:pPr>
      <w:r>
        <w:t>—— </w:t>
      </w:r>
      <w:r w:rsidRPr="00A95790">
        <w:t xml:space="preserve">2014a, </w:t>
      </w:r>
      <w:r w:rsidRPr="00A95790">
        <w:rPr>
          <w:i/>
          <w:iCs/>
        </w:rPr>
        <w:t>Addressing the High Cost of Home and Strata Title Insurance in North Queensland</w:t>
      </w:r>
      <w:r w:rsidRPr="00A95790">
        <w:t>, Canberra.</w:t>
      </w:r>
    </w:p>
    <w:p w14:paraId="6614D0F6" w14:textId="77777777" w:rsidR="00DE1537" w:rsidRPr="00A95790" w:rsidRDefault="00DE1537" w:rsidP="00343F3E">
      <w:pPr>
        <w:pStyle w:val="Reference"/>
      </w:pPr>
      <w:r>
        <w:t>—— </w:t>
      </w:r>
      <w:r w:rsidRPr="00A95790">
        <w:t xml:space="preserve">2014b, </w:t>
      </w:r>
      <w:r w:rsidRPr="00A95790">
        <w:rPr>
          <w:i/>
          <w:iCs/>
        </w:rPr>
        <w:t>Budget 2014-15</w:t>
      </w:r>
      <w:r w:rsidRPr="00A95790">
        <w:t>, Canberra.</w:t>
      </w:r>
    </w:p>
    <w:p w14:paraId="47A14C4D" w14:textId="77777777" w:rsidR="00DE1537" w:rsidRPr="00A95790" w:rsidRDefault="00DE1537" w:rsidP="00343F3E">
      <w:pPr>
        <w:pStyle w:val="Reference"/>
      </w:pPr>
      <w:r w:rsidRPr="00A95790">
        <w:t xml:space="preserve">Trowbridge, J., Minto, J. and Berrill, J. 2011, </w:t>
      </w:r>
      <w:r w:rsidRPr="00A95790">
        <w:rPr>
          <w:i/>
          <w:iCs/>
        </w:rPr>
        <w:t>Natural Disaster Insurance Review: Inquiry into Flood Insurance and Related Matters</w:t>
      </w:r>
      <w:r w:rsidRPr="00A95790">
        <w:t>, Canberra.</w:t>
      </w:r>
    </w:p>
    <w:p w14:paraId="11F90522" w14:textId="77777777" w:rsidR="00DE1537" w:rsidRPr="00A95790" w:rsidRDefault="00DE1537" w:rsidP="00343F3E">
      <w:pPr>
        <w:pStyle w:val="Reference"/>
      </w:pPr>
      <w:r w:rsidRPr="00A95790">
        <w:t xml:space="preserve">Troy, A. and Romm, J. 2006, </w:t>
      </w:r>
      <w:proofErr w:type="gramStart"/>
      <w:r w:rsidRPr="00A95790">
        <w:rPr>
          <w:i/>
          <w:iCs/>
        </w:rPr>
        <w:t>An</w:t>
      </w:r>
      <w:proofErr w:type="gramEnd"/>
      <w:r w:rsidRPr="00A95790">
        <w:rPr>
          <w:i/>
          <w:iCs/>
        </w:rPr>
        <w:t xml:space="preserve"> Assessment of the 1998 California Natural Hazard Disclosure Law (AB 1195)</w:t>
      </w:r>
      <w:r w:rsidRPr="00A95790">
        <w:t>, California Policy Research Center, University of California, Berkeley.</w:t>
      </w:r>
    </w:p>
    <w:p w14:paraId="1946B70E" w14:textId="77777777" w:rsidR="00DE1537" w:rsidRPr="00A95790" w:rsidRDefault="00DE1537" w:rsidP="00343F3E">
      <w:pPr>
        <w:pStyle w:val="Reference"/>
      </w:pPr>
      <w:proofErr w:type="gramStart"/>
      <w:r w:rsidRPr="00A95790">
        <w:t xml:space="preserve">UK Department for Transport 2014, </w:t>
      </w:r>
      <w:r w:rsidRPr="00A95790">
        <w:rPr>
          <w:i/>
          <w:iCs/>
        </w:rPr>
        <w:t>Funding Boost for Roads Hit by Bad Weather</w:t>
      </w:r>
      <w:r w:rsidRPr="00A95790">
        <w:t>, www.gov.uk/government/news/funding-boost-for-roads-hit-by-bad-weather (accessed 30 July 2014).</w:t>
      </w:r>
      <w:proofErr w:type="gramEnd"/>
    </w:p>
    <w:p w14:paraId="48E9556C" w14:textId="77777777" w:rsidR="00DE1537" w:rsidRPr="00A95790" w:rsidRDefault="00DE1537" w:rsidP="00343F3E">
      <w:pPr>
        <w:pStyle w:val="Reference"/>
      </w:pPr>
      <w:r w:rsidRPr="00A95790">
        <w:t xml:space="preserve">UK Environment Agency 2012, </w:t>
      </w:r>
      <w:r w:rsidRPr="00A95790">
        <w:rPr>
          <w:i/>
          <w:iCs/>
        </w:rPr>
        <w:t xml:space="preserve">Thames Estuary 2100: Managing Flood Risk </w:t>
      </w:r>
      <w:proofErr w:type="gramStart"/>
      <w:r w:rsidRPr="00A95790">
        <w:rPr>
          <w:i/>
          <w:iCs/>
        </w:rPr>
        <w:t>Through</w:t>
      </w:r>
      <w:proofErr w:type="gramEnd"/>
      <w:r w:rsidRPr="00A95790">
        <w:rPr>
          <w:i/>
          <w:iCs/>
        </w:rPr>
        <w:t xml:space="preserve"> London and the Thames Estuary</w:t>
      </w:r>
      <w:r w:rsidRPr="00A95790">
        <w:t>, London.</w:t>
      </w:r>
    </w:p>
    <w:p w14:paraId="3A7EF90F" w14:textId="77777777" w:rsidR="00DE1537" w:rsidRPr="00A95790" w:rsidRDefault="00DE1537" w:rsidP="00343F3E">
      <w:pPr>
        <w:pStyle w:val="Reference"/>
      </w:pPr>
      <w:r w:rsidRPr="00A95790">
        <w:t xml:space="preserve">UKDCLG (United Kingdom Department for Communities and Local Government) 2013, </w:t>
      </w:r>
      <w:proofErr w:type="gramStart"/>
      <w:r w:rsidRPr="00A95790">
        <w:rPr>
          <w:i/>
          <w:iCs/>
        </w:rPr>
        <w:t>The</w:t>
      </w:r>
      <w:proofErr w:type="gramEnd"/>
      <w:r w:rsidRPr="00A95790">
        <w:rPr>
          <w:i/>
          <w:iCs/>
        </w:rPr>
        <w:t xml:space="preserve"> Bellwin Scheme of Emergency Financial Assistance to Local Authorities: Guidance Notes for Claims 2013-14</w:t>
      </w:r>
      <w:r w:rsidRPr="00A95790">
        <w:t>, London.</w:t>
      </w:r>
    </w:p>
    <w:p w14:paraId="342592B6" w14:textId="77777777" w:rsidR="00DE1537" w:rsidRPr="00A95790" w:rsidRDefault="00DE1537" w:rsidP="00343F3E">
      <w:pPr>
        <w:pStyle w:val="Reference"/>
      </w:pPr>
      <w:r w:rsidRPr="00A95790">
        <w:t xml:space="preserve">UKDEFRA (United Kingdom Department for Environment, Food and Rural Affairs) 2013, </w:t>
      </w:r>
      <w:r w:rsidRPr="00A95790">
        <w:rPr>
          <w:i/>
          <w:iCs/>
        </w:rPr>
        <w:t>Flood Risk and Insurance: A Roadmap to 2013 and Beyond</w:t>
      </w:r>
      <w:r w:rsidRPr="00A95790">
        <w:t>, Final report of the flood insurance working groups, London.</w:t>
      </w:r>
    </w:p>
    <w:p w14:paraId="207A16ED" w14:textId="77777777" w:rsidR="00DE1537" w:rsidRPr="00A95790" w:rsidRDefault="00DE1537" w:rsidP="00343F3E">
      <w:pPr>
        <w:pStyle w:val="Reference"/>
      </w:pPr>
      <w:r w:rsidRPr="00A95790">
        <w:t>——</w:t>
      </w:r>
      <w:r>
        <w:t> </w:t>
      </w:r>
      <w:r w:rsidRPr="00A95790">
        <w:t xml:space="preserve">2014, </w:t>
      </w:r>
      <w:r w:rsidRPr="00A95790">
        <w:rPr>
          <w:i/>
          <w:iCs/>
        </w:rPr>
        <w:t>Impact Assessment: Managing the Future Financial Risk of Flooding</w:t>
      </w:r>
      <w:r w:rsidRPr="00A95790">
        <w:t>, IA No.</w:t>
      </w:r>
      <w:r>
        <w:t> </w:t>
      </w:r>
      <w:r w:rsidRPr="00A95790">
        <w:t>Defra1446, London.</w:t>
      </w:r>
    </w:p>
    <w:p w14:paraId="06CE4E87" w14:textId="77777777" w:rsidR="00DE1537" w:rsidRPr="00A95790" w:rsidRDefault="00DE1537" w:rsidP="00343F3E">
      <w:pPr>
        <w:pStyle w:val="Reference"/>
      </w:pPr>
      <w:r w:rsidRPr="00A95790">
        <w:t xml:space="preserve">UNISDR (United Nations Office for Disaster Risk Reduction) 2007, </w:t>
      </w:r>
      <w:r w:rsidRPr="00A95790">
        <w:rPr>
          <w:i/>
          <w:iCs/>
        </w:rPr>
        <w:t>Hyogo Framework for Action 2005-2015: Building the Resilience of Nations and Communities to Disasters</w:t>
      </w:r>
      <w:r w:rsidRPr="00A95790">
        <w:t>, Geneva.</w:t>
      </w:r>
    </w:p>
    <w:p w14:paraId="33A74F02" w14:textId="77777777" w:rsidR="00DE1537" w:rsidRPr="00A95790" w:rsidRDefault="00DE1537" w:rsidP="00343F3E">
      <w:pPr>
        <w:pStyle w:val="Reference"/>
      </w:pPr>
      <w:proofErr w:type="gramStart"/>
      <w:r w:rsidRPr="00A95790">
        <w:t>——</w:t>
      </w:r>
      <w:r>
        <w:t> </w:t>
      </w:r>
      <w:r w:rsidRPr="00A95790">
        <w:t xml:space="preserve">2012, </w:t>
      </w:r>
      <w:r w:rsidRPr="00A95790">
        <w:rPr>
          <w:i/>
          <w:iCs/>
        </w:rPr>
        <w:t>What We Do</w:t>
      </w:r>
      <w:r w:rsidRPr="00A95790">
        <w:t>, www.unisdr.org/we (accessed 5 September 2014).</w:t>
      </w:r>
      <w:proofErr w:type="gramEnd"/>
    </w:p>
    <w:p w14:paraId="348EE1E2" w14:textId="77777777" w:rsidR="00DE1537" w:rsidRPr="00A95790" w:rsidRDefault="00DE1537" w:rsidP="00343F3E">
      <w:pPr>
        <w:pStyle w:val="Reference"/>
      </w:pPr>
      <w:proofErr w:type="gramStart"/>
      <w:r w:rsidRPr="00A95790">
        <w:t>——</w:t>
      </w:r>
      <w:r>
        <w:t> </w:t>
      </w:r>
      <w:r w:rsidRPr="00A95790">
        <w:t xml:space="preserve">2013, </w:t>
      </w:r>
      <w:r w:rsidRPr="00A95790">
        <w:rPr>
          <w:i/>
          <w:iCs/>
        </w:rPr>
        <w:t>Global Assessment Report on Disaster Risk Reduction</w:t>
      </w:r>
      <w:r w:rsidRPr="00A95790">
        <w:t>, Geneva.</w:t>
      </w:r>
      <w:proofErr w:type="gramEnd"/>
    </w:p>
    <w:p w14:paraId="687C72FE" w14:textId="77777777" w:rsidR="00DE1537" w:rsidRPr="00A95790" w:rsidRDefault="00DE1537" w:rsidP="00343F3E">
      <w:pPr>
        <w:pStyle w:val="Reference"/>
      </w:pPr>
      <w:proofErr w:type="gramStart"/>
      <w:r w:rsidRPr="00A95790">
        <w:t xml:space="preserve">US Government 2014, </w:t>
      </w:r>
      <w:r w:rsidRPr="00A95790">
        <w:rPr>
          <w:i/>
          <w:iCs/>
        </w:rPr>
        <w:t>National Progress Report on the Implementation of the Hyogo Framework for Action (2011-2013)</w:t>
      </w:r>
      <w:r w:rsidRPr="00A95790">
        <w:t>, Interim report, National Science and Technology Council, Washington DC.</w:t>
      </w:r>
      <w:proofErr w:type="gramEnd"/>
    </w:p>
    <w:p w14:paraId="09545697" w14:textId="77777777" w:rsidR="00DE1537" w:rsidRPr="00A95790" w:rsidRDefault="00DE1537" w:rsidP="00343F3E">
      <w:pPr>
        <w:pStyle w:val="Reference"/>
      </w:pPr>
      <w:r w:rsidRPr="00A95790">
        <w:lastRenderedPageBreak/>
        <w:t xml:space="preserve">USACE (United States Army Corps of Engineers) 2014a, </w:t>
      </w:r>
      <w:r w:rsidRPr="00A95790">
        <w:rPr>
          <w:i/>
          <w:iCs/>
        </w:rPr>
        <w:t>About the Program</w:t>
      </w:r>
      <w:r w:rsidRPr="00A95790">
        <w:t>, www.iwr.usace.army.mil/Missions/FloodRiskManagement/FloodRiskManagementProgram/AbouttheProgram.aspx (accessed 23 July 2014).</w:t>
      </w:r>
    </w:p>
    <w:p w14:paraId="038A89F1" w14:textId="77777777" w:rsidR="00DE1537" w:rsidRPr="00A95790" w:rsidRDefault="00DE1537" w:rsidP="00343F3E">
      <w:pPr>
        <w:pStyle w:val="Reference"/>
      </w:pPr>
      <w:r w:rsidRPr="00A95790">
        <w:t>——</w:t>
      </w:r>
      <w:r>
        <w:t> </w:t>
      </w:r>
      <w:r w:rsidRPr="00A95790">
        <w:t xml:space="preserve">2014b, </w:t>
      </w:r>
      <w:r w:rsidRPr="00A95790">
        <w:rPr>
          <w:i/>
          <w:iCs/>
        </w:rPr>
        <w:t>National Levee Database</w:t>
      </w:r>
      <w:r w:rsidRPr="00A95790">
        <w:t>, http://nld.usace.army.mil (accessed 23 July 2014).</w:t>
      </w:r>
    </w:p>
    <w:p w14:paraId="74DAA708" w14:textId="77777777" w:rsidR="00DE1537" w:rsidRPr="00A95790" w:rsidRDefault="00DE1537" w:rsidP="00343F3E">
      <w:pPr>
        <w:pStyle w:val="Reference"/>
      </w:pPr>
      <w:proofErr w:type="gramStart"/>
      <w:r w:rsidRPr="00A95790">
        <w:t xml:space="preserve">USDHUD (United States Department of Housing and Urban Development) 2014, </w:t>
      </w:r>
      <w:r w:rsidRPr="00A95790">
        <w:rPr>
          <w:i/>
          <w:iCs/>
        </w:rPr>
        <w:t>National Disaster Resilience Competition</w:t>
      </w:r>
      <w:r w:rsidRPr="00A95790">
        <w:t>, Washington DC.</w:t>
      </w:r>
      <w:proofErr w:type="gramEnd"/>
    </w:p>
    <w:p w14:paraId="0346DEDD" w14:textId="77777777" w:rsidR="00DE1537" w:rsidRPr="00A95790" w:rsidRDefault="00DE1537" w:rsidP="00343F3E">
      <w:pPr>
        <w:pStyle w:val="Reference"/>
      </w:pPr>
      <w:r w:rsidRPr="00A95790">
        <w:t xml:space="preserve">USEPA (United States Environmental Protection Agency) 2013, </w:t>
      </w:r>
      <w:r w:rsidRPr="00A95790">
        <w:rPr>
          <w:i/>
          <w:iCs/>
        </w:rPr>
        <w:t>Adaptation Example: Coastal Areas</w:t>
      </w:r>
      <w:r w:rsidRPr="00A95790">
        <w:t>, www.epa.gov/climatechange/impacts-adaptation/coasts-adaptation.html (accessed 5 August 2014).</w:t>
      </w:r>
    </w:p>
    <w:p w14:paraId="50E068A0" w14:textId="77777777" w:rsidR="00DE1537" w:rsidRPr="00A95790" w:rsidRDefault="00DE1537" w:rsidP="00343F3E">
      <w:pPr>
        <w:pStyle w:val="Reference"/>
      </w:pPr>
      <w:proofErr w:type="gramStart"/>
      <w:r w:rsidRPr="00A95790">
        <w:t xml:space="preserve">USGAO (United States Government Accountability Office) 2007, </w:t>
      </w:r>
      <w:r w:rsidRPr="00A95790">
        <w:rPr>
          <w:i/>
          <w:iCs/>
        </w:rPr>
        <w:t>Natural Hazard Mitigation</w:t>
      </w:r>
      <w:r w:rsidRPr="00A95790">
        <w:t>, GAO-07-403, Washington DC.</w:t>
      </w:r>
      <w:proofErr w:type="gramEnd"/>
    </w:p>
    <w:p w14:paraId="4C1A9FA3" w14:textId="77777777" w:rsidR="00DE1537" w:rsidRPr="00A95790" w:rsidRDefault="00DE1537" w:rsidP="00343F3E">
      <w:pPr>
        <w:pStyle w:val="Reference"/>
      </w:pPr>
      <w:r>
        <w:t>—— </w:t>
      </w:r>
      <w:r w:rsidRPr="00A95790">
        <w:t xml:space="preserve">2008, </w:t>
      </w:r>
      <w:r w:rsidRPr="00A95790">
        <w:rPr>
          <w:i/>
          <w:iCs/>
        </w:rPr>
        <w:t>Disaster Cost Estimates: FEMA Can Improve Its Learning from Past Experience and Management of Disaster-Related Resources</w:t>
      </w:r>
      <w:r w:rsidRPr="00A95790">
        <w:t xml:space="preserve">, GAO-08-301, </w:t>
      </w:r>
      <w:proofErr w:type="gramStart"/>
      <w:r w:rsidRPr="00A95790">
        <w:t>Washington</w:t>
      </w:r>
      <w:proofErr w:type="gramEnd"/>
      <w:r w:rsidRPr="00A95790">
        <w:t xml:space="preserve"> DC.</w:t>
      </w:r>
    </w:p>
    <w:p w14:paraId="346B1512" w14:textId="77777777" w:rsidR="00DE1537" w:rsidRPr="00A95790" w:rsidRDefault="00DE1537" w:rsidP="00343F3E">
      <w:pPr>
        <w:pStyle w:val="Reference"/>
      </w:pPr>
      <w:r w:rsidRPr="00A95790">
        <w:t>——</w:t>
      </w:r>
      <w:r>
        <w:t> </w:t>
      </w:r>
      <w:r w:rsidRPr="00A95790">
        <w:t xml:space="preserve">2012, </w:t>
      </w:r>
      <w:r w:rsidRPr="00A95790">
        <w:rPr>
          <w:i/>
          <w:iCs/>
        </w:rPr>
        <w:t>Federal Disaster Assistance: Improved Criteria Needed to Assess a Jurisdiction’s Capability to Respond and Recover on its Own</w:t>
      </w:r>
      <w:r w:rsidRPr="00A95790">
        <w:t xml:space="preserve">, GAO-12-383, </w:t>
      </w:r>
      <w:proofErr w:type="gramStart"/>
      <w:r w:rsidRPr="00A95790">
        <w:t>Washington</w:t>
      </w:r>
      <w:proofErr w:type="gramEnd"/>
      <w:r w:rsidRPr="00A95790">
        <w:t xml:space="preserve"> DC.</w:t>
      </w:r>
    </w:p>
    <w:p w14:paraId="0B1419C0" w14:textId="77777777" w:rsidR="00DE1537" w:rsidRPr="00A95790" w:rsidRDefault="00DE1537" w:rsidP="00343F3E">
      <w:pPr>
        <w:pStyle w:val="Reference"/>
      </w:pPr>
      <w:proofErr w:type="gramStart"/>
      <w:r w:rsidRPr="00A95790">
        <w:t xml:space="preserve">USGS (United States Geological Survey) 2014, </w:t>
      </w:r>
      <w:r w:rsidRPr="00A95790">
        <w:rPr>
          <w:i/>
          <w:iCs/>
        </w:rPr>
        <w:t>U.S. Geological Survey Flood Inundation Mapping Science</w:t>
      </w:r>
      <w:r w:rsidRPr="00A95790">
        <w:t>, http://water.usgs.gov/osw/flood_inundation/ (accessed 15 July 2014).</w:t>
      </w:r>
      <w:proofErr w:type="gramEnd"/>
    </w:p>
    <w:p w14:paraId="1D2C95CC" w14:textId="77777777" w:rsidR="00DE1537" w:rsidRPr="00A95790" w:rsidRDefault="00DE1537" w:rsidP="00343F3E">
      <w:pPr>
        <w:pStyle w:val="Reference"/>
      </w:pPr>
      <w:r w:rsidRPr="00A95790">
        <w:t xml:space="preserve">Vaillancourt, F. 2012, ‘Own revenues in federations: Tax powers, tax bases, tax rates and collection arrangements in five federal countries’, </w:t>
      </w:r>
      <w:r w:rsidRPr="00A95790">
        <w:rPr>
          <w:i/>
          <w:iCs/>
        </w:rPr>
        <w:t>eJournal of Tax Research</w:t>
      </w:r>
      <w:r w:rsidRPr="00A95790">
        <w:t>, vol. 10, no. 1, pp. 65–87.</w:t>
      </w:r>
    </w:p>
    <w:p w14:paraId="527B6BAE" w14:textId="77777777" w:rsidR="00DE1537" w:rsidRPr="00A95790" w:rsidRDefault="00DE1537" w:rsidP="00343F3E">
      <w:pPr>
        <w:pStyle w:val="Reference"/>
      </w:pPr>
      <w:proofErr w:type="gramStart"/>
      <w:r w:rsidRPr="00A95790">
        <w:t xml:space="preserve">VBRC (2009 Victorian Bushfires Royal Commission) 2010a, </w:t>
      </w:r>
      <w:r w:rsidRPr="00A95790">
        <w:rPr>
          <w:i/>
          <w:iCs/>
        </w:rPr>
        <w:t>2009 Victorian Bushfires Royal Commission Final Report</w:t>
      </w:r>
      <w:r w:rsidRPr="00A95790">
        <w:t>, Melbourne.</w:t>
      </w:r>
      <w:proofErr w:type="gramEnd"/>
    </w:p>
    <w:p w14:paraId="63DED15E" w14:textId="77777777" w:rsidR="00DE1537" w:rsidRPr="00A95790" w:rsidRDefault="00DE1537" w:rsidP="00343F3E">
      <w:pPr>
        <w:pStyle w:val="Reference"/>
      </w:pPr>
      <w:r w:rsidRPr="00A95790">
        <w:t>——</w:t>
      </w:r>
      <w:r>
        <w:t> </w:t>
      </w:r>
      <w:r w:rsidRPr="00A95790">
        <w:t xml:space="preserve">2010b, </w:t>
      </w:r>
      <w:r w:rsidRPr="00A95790">
        <w:rPr>
          <w:i/>
          <w:iCs/>
        </w:rPr>
        <w:t>Final Report Volume 1 - The Fires and the Fire-Related Deaths</w:t>
      </w:r>
      <w:r w:rsidRPr="00A95790">
        <w:t>, Melbourne.</w:t>
      </w:r>
    </w:p>
    <w:p w14:paraId="7612F736" w14:textId="77777777" w:rsidR="00DE1537" w:rsidRPr="00A95790" w:rsidRDefault="00DE1537" w:rsidP="00343F3E">
      <w:pPr>
        <w:pStyle w:val="Reference"/>
      </w:pPr>
      <w:r w:rsidRPr="00A95790">
        <w:t>——</w:t>
      </w:r>
      <w:r>
        <w:t> </w:t>
      </w:r>
      <w:r w:rsidRPr="00A95790">
        <w:t xml:space="preserve">2010c, </w:t>
      </w:r>
      <w:r w:rsidRPr="00A95790">
        <w:rPr>
          <w:i/>
          <w:iCs/>
        </w:rPr>
        <w:t>Final Report: Summary</w:t>
      </w:r>
      <w:r w:rsidRPr="00A95790">
        <w:t>, Melbourne.</w:t>
      </w:r>
    </w:p>
    <w:p w14:paraId="50A2BA51" w14:textId="77777777" w:rsidR="00DE1537" w:rsidRPr="00A95790" w:rsidRDefault="00DE1537" w:rsidP="00343F3E">
      <w:pPr>
        <w:pStyle w:val="Reference"/>
      </w:pPr>
      <w:r w:rsidRPr="00A95790">
        <w:t xml:space="preserve">VDHS (Victorian Department of Human Services) 2009, </w:t>
      </w:r>
      <w:r w:rsidRPr="00A95790">
        <w:rPr>
          <w:i/>
          <w:iCs/>
        </w:rPr>
        <w:t>January 2009 Heatwave in Victoria: An Assessment of Health Impacts</w:t>
      </w:r>
      <w:r w:rsidRPr="00A95790">
        <w:t>, Melbourne.</w:t>
      </w:r>
    </w:p>
    <w:p w14:paraId="0DD29E41" w14:textId="77777777" w:rsidR="00DE1537" w:rsidRPr="00A95790" w:rsidRDefault="00DE1537" w:rsidP="00343F3E">
      <w:pPr>
        <w:pStyle w:val="Reference"/>
      </w:pPr>
      <w:proofErr w:type="gramStart"/>
      <w:r w:rsidRPr="00A95790">
        <w:t xml:space="preserve">VDTF (Victorian Department of Treasury and Finance) 2007, </w:t>
      </w:r>
      <w:r w:rsidRPr="00A95790">
        <w:rPr>
          <w:i/>
          <w:iCs/>
        </w:rPr>
        <w:t>Insurance Management Policy and Guidelines for General Government Sector</w:t>
      </w:r>
      <w:r w:rsidRPr="00A95790">
        <w:t>, Melbourne.</w:t>
      </w:r>
      <w:proofErr w:type="gramEnd"/>
    </w:p>
    <w:p w14:paraId="640DDB82" w14:textId="77777777" w:rsidR="00DE1537" w:rsidRPr="00A95790" w:rsidRDefault="00DE1537" w:rsidP="00343F3E">
      <w:pPr>
        <w:pStyle w:val="Reference"/>
      </w:pPr>
      <w:r w:rsidRPr="00A95790">
        <w:t>——</w:t>
      </w:r>
      <w:r>
        <w:t> </w:t>
      </w:r>
      <w:r w:rsidRPr="00A95790">
        <w:t xml:space="preserve">2013, </w:t>
      </w:r>
      <w:r w:rsidRPr="00A95790">
        <w:rPr>
          <w:i/>
          <w:iCs/>
        </w:rPr>
        <w:t>Economic Evaluation for Business Cases: Technical Guidelines</w:t>
      </w:r>
      <w:r w:rsidRPr="00A95790">
        <w:t>, Melbourne.</w:t>
      </w:r>
    </w:p>
    <w:p w14:paraId="02AAF767" w14:textId="77777777" w:rsidR="00DE1537" w:rsidRPr="00A95790" w:rsidRDefault="00DE1537" w:rsidP="00343F3E">
      <w:pPr>
        <w:pStyle w:val="Reference"/>
      </w:pPr>
      <w:r w:rsidRPr="00A95790">
        <w:t>—</w:t>
      </w:r>
      <w:proofErr w:type="gramStart"/>
      <w:r w:rsidRPr="00A95790">
        <w:t xml:space="preserve">— </w:t>
      </w:r>
      <w:r>
        <w:t> </w:t>
      </w:r>
      <w:r w:rsidRPr="00A95790">
        <w:t>2014</w:t>
      </w:r>
      <w:proofErr w:type="gramEnd"/>
      <w:r w:rsidRPr="00A95790">
        <w:t xml:space="preserve">, </w:t>
      </w:r>
      <w:r w:rsidRPr="00A95790">
        <w:rPr>
          <w:i/>
          <w:iCs/>
        </w:rPr>
        <w:t>Natural Disaster Financial Assistance for Local Councils - Summary Guidelines for Local Councils</w:t>
      </w:r>
      <w:r w:rsidRPr="00A95790">
        <w:t>, Melbourne.</w:t>
      </w:r>
    </w:p>
    <w:p w14:paraId="73E1D07B" w14:textId="77777777" w:rsidR="00DE1537" w:rsidRPr="00A95790" w:rsidRDefault="00DE1537" w:rsidP="00343F3E">
      <w:pPr>
        <w:pStyle w:val="Reference"/>
      </w:pPr>
      <w:proofErr w:type="gramStart"/>
      <w:r w:rsidRPr="00A95790">
        <w:t xml:space="preserve">Victorian Auditor-General 2014a, </w:t>
      </w:r>
      <w:r w:rsidRPr="00A95790">
        <w:rPr>
          <w:i/>
          <w:iCs/>
        </w:rPr>
        <w:t>Asset Management and Maintenance by Councils</w:t>
      </w:r>
      <w:r w:rsidRPr="00A95790">
        <w:t>, Melbourne.</w:t>
      </w:r>
      <w:proofErr w:type="gramEnd"/>
    </w:p>
    <w:p w14:paraId="3907E304" w14:textId="77777777" w:rsidR="00DE1537" w:rsidRPr="00A95790" w:rsidRDefault="00DE1537" w:rsidP="00343F3E">
      <w:pPr>
        <w:pStyle w:val="Reference"/>
      </w:pPr>
      <w:r>
        <w:t>—— </w:t>
      </w:r>
      <w:r w:rsidRPr="00A95790">
        <w:t xml:space="preserve">2014b, </w:t>
      </w:r>
      <w:r w:rsidRPr="00A95790">
        <w:rPr>
          <w:i/>
          <w:iCs/>
        </w:rPr>
        <w:t>Heatwave Management: Reducing the Risk to Public Health</w:t>
      </w:r>
      <w:r w:rsidRPr="00A95790">
        <w:t>, Melbourne.</w:t>
      </w:r>
    </w:p>
    <w:p w14:paraId="7E9CE33F" w14:textId="77777777" w:rsidR="00DE1537" w:rsidRPr="00A95790" w:rsidRDefault="00DE1537" w:rsidP="00343F3E">
      <w:pPr>
        <w:pStyle w:val="Reference"/>
      </w:pPr>
      <w:r w:rsidRPr="00A95790">
        <w:lastRenderedPageBreak/>
        <w:t xml:space="preserve">Victorian Department of Transport, Planning and Local Infrastructure 2014a, </w:t>
      </w:r>
      <w:r w:rsidRPr="00A95790">
        <w:rPr>
          <w:i/>
          <w:iCs/>
        </w:rPr>
        <w:t>Planning Applications</w:t>
      </w:r>
      <w:r w:rsidRPr="00A95790">
        <w:t>, www.dpcd.vic.gov.au/planning/planningapplications (accessed 25 August 2014).</w:t>
      </w:r>
    </w:p>
    <w:p w14:paraId="63C6DD13" w14:textId="77777777" w:rsidR="00DE1537" w:rsidRPr="00A95790" w:rsidRDefault="00DE1537" w:rsidP="00343F3E">
      <w:pPr>
        <w:pStyle w:val="Reference"/>
      </w:pPr>
      <w:r w:rsidRPr="00A95790">
        <w:t>——</w:t>
      </w:r>
      <w:r>
        <w:t> </w:t>
      </w:r>
      <w:r w:rsidRPr="00A95790">
        <w:t xml:space="preserve">2014b, </w:t>
      </w:r>
      <w:r w:rsidRPr="00A95790">
        <w:rPr>
          <w:i/>
          <w:iCs/>
        </w:rPr>
        <w:t>The Framework for Planning Schemes: Victoria Planning Provisions</w:t>
      </w:r>
      <w:r w:rsidRPr="00A95790">
        <w:t>, www.dpcd.vic.gov.au/planning/planningschemes/structure-of-a-planning-scheme/</w:t>
      </w:r>
      <w:r>
        <w:br/>
      </w:r>
      <w:r w:rsidRPr="00A95790">
        <w:t>victoria-planning-provisions (accessed 25 August 2014).</w:t>
      </w:r>
    </w:p>
    <w:p w14:paraId="5F1BFF09" w14:textId="77777777" w:rsidR="00DE1537" w:rsidRPr="00A95790" w:rsidRDefault="00DE1537" w:rsidP="00343F3E">
      <w:pPr>
        <w:pStyle w:val="Reference"/>
      </w:pPr>
      <w:r w:rsidRPr="00A95790">
        <w:t xml:space="preserve">Victorian Government 2014a, </w:t>
      </w:r>
      <w:r w:rsidRPr="00A95790">
        <w:rPr>
          <w:i/>
          <w:iCs/>
        </w:rPr>
        <w:t>Key reforms will streamline bushfire regulations</w:t>
      </w:r>
      <w:r w:rsidRPr="00A95790">
        <w:t>, Media release, 28 May, www.premier.vic.gov.au/media-centre/media-releases/10060-key-reforms-will-streamline-bushfire-regulations.html (accessed 4 September 2014).</w:t>
      </w:r>
    </w:p>
    <w:p w14:paraId="5013F401" w14:textId="77777777" w:rsidR="00DE1537" w:rsidRPr="00A95790" w:rsidRDefault="00DE1537" w:rsidP="00343F3E">
      <w:pPr>
        <w:pStyle w:val="Reference"/>
      </w:pPr>
      <w:r>
        <w:t>—— </w:t>
      </w:r>
      <w:r w:rsidRPr="00A95790">
        <w:t xml:space="preserve">2014b, </w:t>
      </w:r>
      <w:proofErr w:type="gramStart"/>
      <w:r w:rsidRPr="00A95790">
        <w:rPr>
          <w:i/>
          <w:iCs/>
        </w:rPr>
        <w:t>Simpler</w:t>
      </w:r>
      <w:proofErr w:type="gramEnd"/>
      <w:r w:rsidRPr="00A95790">
        <w:rPr>
          <w:i/>
          <w:iCs/>
        </w:rPr>
        <w:t xml:space="preserve"> bushfire rules for three councils</w:t>
      </w:r>
      <w:r w:rsidRPr="00A95790">
        <w:t>, Media release, 12 June, www.premier.vic.gov.au/media-centre/media-releases/10166-simpler-bushfire-rules-for-three-councils.html (accessed 16 July 2014).</w:t>
      </w:r>
    </w:p>
    <w:p w14:paraId="2884AE3F" w14:textId="77777777" w:rsidR="00DE1537" w:rsidRPr="00A95790" w:rsidRDefault="00DE1537" w:rsidP="00343F3E">
      <w:pPr>
        <w:pStyle w:val="Reference"/>
      </w:pPr>
      <w:r w:rsidRPr="00A95790">
        <w:t>——</w:t>
      </w:r>
      <w:r>
        <w:t> </w:t>
      </w:r>
      <w:r w:rsidRPr="00A95790">
        <w:t xml:space="preserve">2014c, </w:t>
      </w:r>
      <w:r w:rsidRPr="00A95790">
        <w:rPr>
          <w:i/>
          <w:iCs/>
        </w:rPr>
        <w:t>Updated bushfire mapping to reduce building red tape</w:t>
      </w:r>
      <w:r w:rsidRPr="00A95790">
        <w:t>, Media release, 5 June, www.premier.vic.gov.au/media-centre/media-releases/10135-updated-bushfire-mapping-to-reduce-building-red-tape.html (accessed 16 July 2014).</w:t>
      </w:r>
    </w:p>
    <w:p w14:paraId="051D5F3D" w14:textId="77777777" w:rsidR="00DE1537" w:rsidRPr="00A95790" w:rsidRDefault="00DE1537" w:rsidP="00343F3E">
      <w:pPr>
        <w:pStyle w:val="Reference"/>
      </w:pPr>
      <w:proofErr w:type="gramStart"/>
      <w:r w:rsidRPr="00A95790">
        <w:t xml:space="preserve">VMIA (Victorian Managed Insurance Authority) 2013, </w:t>
      </w:r>
      <w:r w:rsidRPr="00A95790">
        <w:rPr>
          <w:i/>
          <w:iCs/>
        </w:rPr>
        <w:t>Annual Report 2012-13</w:t>
      </w:r>
      <w:r w:rsidRPr="00A95790">
        <w:t>, Melbourne.</w:t>
      </w:r>
      <w:proofErr w:type="gramEnd"/>
    </w:p>
    <w:p w14:paraId="52DB4B0D" w14:textId="77777777" w:rsidR="00DE1537" w:rsidRPr="00A95790" w:rsidRDefault="00DE1537" w:rsidP="00343F3E">
      <w:pPr>
        <w:pStyle w:val="Reference"/>
      </w:pPr>
      <w:proofErr w:type="gramStart"/>
      <w:r w:rsidRPr="00A95790">
        <w:t xml:space="preserve">WADF (Western Australian Department of Finance) 2014, </w:t>
      </w:r>
      <w:r w:rsidRPr="00A95790">
        <w:rPr>
          <w:i/>
          <w:iCs/>
        </w:rPr>
        <w:t>Insurance Duty</w:t>
      </w:r>
      <w:r w:rsidRPr="00A95790">
        <w:t>, www.finance.</w:t>
      </w:r>
      <w:proofErr w:type="gramEnd"/>
      <w:r>
        <w:br/>
      </w:r>
      <w:r w:rsidRPr="00A95790">
        <w:t>wa.gov.au/cms/content.aspx?id=2082 (accessed 28 July 2014).</w:t>
      </w:r>
    </w:p>
    <w:p w14:paraId="41DB0BC9" w14:textId="77777777" w:rsidR="00DE1537" w:rsidRPr="00A95790" w:rsidRDefault="00DE1537" w:rsidP="00343F3E">
      <w:pPr>
        <w:pStyle w:val="Reference"/>
      </w:pPr>
      <w:r w:rsidRPr="00A95790">
        <w:t xml:space="preserve">WADFES (Western Australian Department of Fire and Emergency Services) 2014, </w:t>
      </w:r>
      <w:r w:rsidRPr="00A95790">
        <w:rPr>
          <w:i/>
          <w:iCs/>
        </w:rPr>
        <w:t>Western Australia Natural Disaster Relief and Recovery Arrangements: Guide for Local Governments</w:t>
      </w:r>
      <w:r w:rsidRPr="00A95790">
        <w:t>, Perth.</w:t>
      </w:r>
    </w:p>
    <w:p w14:paraId="0B60049A" w14:textId="77777777" w:rsidR="00DE1537" w:rsidRPr="00A95790" w:rsidRDefault="00DE1537" w:rsidP="00343F3E">
      <w:pPr>
        <w:pStyle w:val="Reference"/>
      </w:pPr>
      <w:r w:rsidRPr="00A95790">
        <w:t xml:space="preserve">Walker, G. 2009, ‘Comparison of the impacts of Cyclone Tracy and the Newcastle Earthquake on the Australian building and insurance industries’, </w:t>
      </w:r>
      <w:r w:rsidRPr="00A95790">
        <w:rPr>
          <w:i/>
          <w:iCs/>
        </w:rPr>
        <w:t>Australian Journal of Structural Engineering</w:t>
      </w:r>
      <w:r w:rsidRPr="00A95790">
        <w:t>, vol. 11, no. 3, pp. 283–293.</w:t>
      </w:r>
    </w:p>
    <w:p w14:paraId="7D9D2E9B" w14:textId="77777777" w:rsidR="00DE1537" w:rsidRPr="00A95790" w:rsidRDefault="00DE1537" w:rsidP="00343F3E">
      <w:pPr>
        <w:pStyle w:val="Reference"/>
      </w:pPr>
      <w:r w:rsidRPr="00A95790">
        <w:t xml:space="preserve">Walker, G.R., Crompton, R.P., Mason, M.S. and Musulin, R.T. 2014, ‘Application of insurance modelling tools to climate change adaptation decision making relating to the built environment’, </w:t>
      </w:r>
      <w:r w:rsidRPr="00A95790">
        <w:rPr>
          <w:i/>
          <w:iCs/>
        </w:rPr>
        <w:t>Journal of Structure and Infrastructure Engineering</w:t>
      </w:r>
      <w:r w:rsidRPr="00A95790">
        <w:t>, Submitted.</w:t>
      </w:r>
    </w:p>
    <w:p w14:paraId="1211E606" w14:textId="77777777" w:rsidR="00DE1537" w:rsidRPr="00A95790" w:rsidRDefault="00DE1537" w:rsidP="00343F3E">
      <w:pPr>
        <w:pStyle w:val="Reference"/>
      </w:pPr>
      <w:r w:rsidRPr="00A95790">
        <w:t xml:space="preserve">Walker, I. 2013, </w:t>
      </w:r>
      <w:r w:rsidRPr="00A95790">
        <w:rPr>
          <w:i/>
          <w:iCs/>
        </w:rPr>
        <w:t>Consultation begins to protect flood-prone communities</w:t>
      </w:r>
      <w:r w:rsidRPr="00A95790">
        <w:t>, Media statement, 15 February, Brisbane, http://statements.qld.gov.au/Statement/2013/2/15/consultation-begins-to-protect-floodprone-communities (accessed 19 August 2014).</w:t>
      </w:r>
    </w:p>
    <w:p w14:paraId="53B23571" w14:textId="77777777" w:rsidR="00DE1537" w:rsidRPr="00A95790" w:rsidRDefault="00DE1537" w:rsidP="00343F3E">
      <w:pPr>
        <w:pStyle w:val="Reference"/>
      </w:pPr>
      <w:r w:rsidRPr="00A95790">
        <w:t xml:space="preserve">Weier, A. and Loke, P. 2007, </w:t>
      </w:r>
      <w:r w:rsidRPr="00A95790">
        <w:rPr>
          <w:i/>
          <w:iCs/>
        </w:rPr>
        <w:t>Precaution and the Precautionary Principle: Two Australian Case Studies</w:t>
      </w:r>
      <w:r w:rsidRPr="00A95790">
        <w:t>, Productivity Commission Staff Working Paper, Melbourne.</w:t>
      </w:r>
    </w:p>
    <w:p w14:paraId="76B911E7" w14:textId="77777777" w:rsidR="00DE1537" w:rsidRPr="00A95790" w:rsidRDefault="00DE1537" w:rsidP="00343F3E">
      <w:pPr>
        <w:pStyle w:val="Reference"/>
      </w:pPr>
      <w:r w:rsidRPr="00A95790">
        <w:t xml:space="preserve">Weiss, D.J. and Weidman, J. 2012, </w:t>
      </w:r>
      <w:r w:rsidRPr="00A95790">
        <w:rPr>
          <w:i/>
          <w:iCs/>
        </w:rPr>
        <w:t>An Ounce of Prevention: Increasing Resiliency to Climate-Related Extreme Weather</w:t>
      </w:r>
      <w:r w:rsidRPr="00A95790">
        <w:t>, Center for American Progress, www.american</w:t>
      </w:r>
      <w:r>
        <w:br/>
      </w:r>
      <w:r w:rsidRPr="00A95790">
        <w:t>progress.org/issues/green/news/2012/12/17/48398/an-ounce-of-prevention-increasing-resiliency-to-climate-related-extreme-weather/ (accessed 1 December 2014).</w:t>
      </w:r>
    </w:p>
    <w:p w14:paraId="34F0D3AA" w14:textId="77777777" w:rsidR="00DE1537" w:rsidRPr="00A95790" w:rsidRDefault="00DE1537" w:rsidP="00343F3E">
      <w:pPr>
        <w:pStyle w:val="Reference"/>
      </w:pPr>
      <w:r w:rsidRPr="00A95790">
        <w:lastRenderedPageBreak/>
        <w:t xml:space="preserve">Wenger, C., Hussey, K. and Pittock, J. 2013, </w:t>
      </w:r>
      <w:r w:rsidRPr="00A95790">
        <w:rPr>
          <w:i/>
          <w:iCs/>
        </w:rPr>
        <w:t>Living with Floods: Key Lessons from Australia and Abroad</w:t>
      </w:r>
      <w:r w:rsidRPr="00A95790">
        <w:t>, National Climate Change Adaptation Research Facility, Gold Coast.</w:t>
      </w:r>
    </w:p>
    <w:p w14:paraId="15F4E745" w14:textId="77777777" w:rsidR="00DE1537" w:rsidRPr="00A95790" w:rsidRDefault="00DE1537" w:rsidP="00343F3E">
      <w:pPr>
        <w:pStyle w:val="Reference"/>
      </w:pPr>
      <w:r w:rsidRPr="00A95790">
        <w:t xml:space="preserve">Western Australian Department of Commerce 2014, </w:t>
      </w:r>
      <w:r w:rsidRPr="00A95790">
        <w:rPr>
          <w:i/>
          <w:iCs/>
        </w:rPr>
        <w:t>Real Estate Contracts: Sale by Offer and Acceptance</w:t>
      </w:r>
      <w:r w:rsidRPr="00A95790">
        <w:t>, www.commerce.wa.gov.au/consumer-protection/real-estate-contracts-sale-offer-and-acceptance (accessed 7 August 2014).</w:t>
      </w:r>
    </w:p>
    <w:p w14:paraId="6F58F29E" w14:textId="77777777" w:rsidR="00DE1537" w:rsidRPr="00A95790" w:rsidRDefault="00DE1537" w:rsidP="00343F3E">
      <w:pPr>
        <w:pStyle w:val="Reference"/>
      </w:pPr>
      <w:proofErr w:type="gramStart"/>
      <w:r w:rsidRPr="00A95790">
        <w:t xml:space="preserve">Western Australian Government 2014, </w:t>
      </w:r>
      <w:r w:rsidRPr="00A95790">
        <w:rPr>
          <w:i/>
          <w:iCs/>
        </w:rPr>
        <w:t>Introduction to the Western Australian Planning System</w:t>
      </w:r>
      <w:r w:rsidRPr="00A95790">
        <w:t>, Perth.</w:t>
      </w:r>
      <w:proofErr w:type="gramEnd"/>
    </w:p>
    <w:p w14:paraId="42608C36" w14:textId="77777777" w:rsidR="00DE1537" w:rsidRPr="00A95790" w:rsidRDefault="00DE1537" w:rsidP="00343F3E">
      <w:pPr>
        <w:pStyle w:val="Reference"/>
      </w:pPr>
      <w:r w:rsidRPr="00A95790">
        <w:t xml:space="preserve">Wildasin, D.E. 2007, </w:t>
      </w:r>
      <w:r w:rsidRPr="00A95790">
        <w:rPr>
          <w:i/>
          <w:iCs/>
        </w:rPr>
        <w:t>Disaster Policy in the US Federation: Intergovernmental Incentives and Institutional Reform</w:t>
      </w:r>
      <w:r w:rsidRPr="00A95790">
        <w:t>, IFIR Working Paper No. 2007-01, Institute for Federalism and Intergovernmental Relations, Lexington, Kentucky.</w:t>
      </w:r>
    </w:p>
    <w:p w14:paraId="0CEFD45A" w14:textId="77777777" w:rsidR="00DE1537" w:rsidRPr="00A95790" w:rsidRDefault="00DE1537" w:rsidP="00343F3E">
      <w:pPr>
        <w:pStyle w:val="Reference"/>
      </w:pPr>
      <w:r w:rsidRPr="00A95790">
        <w:t xml:space="preserve">Willis 2014, ‘Willis places innovative Australian weather transaction’, </w:t>
      </w:r>
      <w:r w:rsidRPr="00A95790">
        <w:rPr>
          <w:i/>
          <w:iCs/>
        </w:rPr>
        <w:t>Resilience</w:t>
      </w:r>
      <w:r w:rsidRPr="00A95790">
        <w:t>, vol. </w:t>
      </w:r>
      <w:proofErr w:type="gramStart"/>
      <w:r w:rsidRPr="00A95790">
        <w:t>Spring</w:t>
      </w:r>
      <w:proofErr w:type="gramEnd"/>
      <w:r w:rsidRPr="00A95790">
        <w:t>, no. 4, p. 5.</w:t>
      </w:r>
    </w:p>
    <w:p w14:paraId="67B24747" w14:textId="77777777" w:rsidR="00DE1537" w:rsidRPr="00A95790" w:rsidRDefault="00DE1537" w:rsidP="00343F3E">
      <w:pPr>
        <w:pStyle w:val="Reference"/>
      </w:pPr>
      <w:r w:rsidRPr="00A95790">
        <w:t xml:space="preserve">World Bank 2012, </w:t>
      </w:r>
      <w:r w:rsidRPr="00A95790">
        <w:rPr>
          <w:i/>
          <w:iCs/>
        </w:rPr>
        <w:t>Building Performance</w:t>
      </w:r>
      <w:r w:rsidRPr="00A95790">
        <w:t>, Knowledge Note 1-2, Cluster 1: Structural Measures, Washington DC.</w:t>
      </w:r>
    </w:p>
    <w:p w14:paraId="3D654CAE" w14:textId="77777777" w:rsidR="00DE1537" w:rsidRPr="00A95790" w:rsidRDefault="00DE1537" w:rsidP="00343F3E">
      <w:pPr>
        <w:pStyle w:val="Reference"/>
      </w:pPr>
      <w:r>
        <w:t>—— </w:t>
      </w:r>
      <w:r w:rsidRPr="00A95790">
        <w:t xml:space="preserve">and United Nations 2010, </w:t>
      </w:r>
      <w:r w:rsidRPr="00A95790">
        <w:rPr>
          <w:i/>
          <w:iCs/>
        </w:rPr>
        <w:t>Natural Hazards, Unnatural Disasters: The Economics of Effective Prevention</w:t>
      </w:r>
      <w:r w:rsidRPr="00A95790">
        <w:t>, Washington DC.</w:t>
      </w:r>
    </w:p>
    <w:p w14:paraId="50057247" w14:textId="66C220A5" w:rsidR="00DE1537" w:rsidRPr="00DE1537" w:rsidRDefault="00DE1537" w:rsidP="00173EEE">
      <w:pPr>
        <w:pStyle w:val="Reference"/>
      </w:pPr>
      <w:r w:rsidRPr="00A95790">
        <w:t>Yeo, S. 2004, ‘Are residential property values adversely affected by disclosure of flood risk’, presented at Staying Afloat: Floodplain Management Authorities of NSW, 44th Annual Conference, Coffs Harbour, 11</w:t>
      </w:r>
      <w:r>
        <w:t>–</w:t>
      </w:r>
      <w:r w:rsidRPr="00A95790">
        <w:t>14 May.</w:t>
      </w:r>
    </w:p>
    <w:sectPr w:rsidR="00DE1537" w:rsidRPr="00DE1537" w:rsidSect="00DE1537">
      <w:headerReference w:type="even" r:id="rId115"/>
      <w:headerReference w:type="default" r:id="rId116"/>
      <w:footerReference w:type="even" r:id="rId117"/>
      <w:footerReference w:type="default" r:id="rId118"/>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9F945B" w14:textId="77777777" w:rsidR="00C32625" w:rsidRDefault="00C32625">
      <w:r>
        <w:separator/>
      </w:r>
    </w:p>
  </w:endnote>
  <w:endnote w:type="continuationSeparator" w:id="0">
    <w:p w14:paraId="28D7A201" w14:textId="77777777" w:rsidR="00C32625" w:rsidRDefault="00C326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BFCPZ Y+ Meta">
    <w:altName w:val="Meta"/>
    <w:panose1 w:val="00000000000000000000"/>
    <w:charset w:val="00"/>
    <w:family w:val="swiss"/>
    <w:notTrueType/>
    <w:pitch w:val="default"/>
    <w:sig w:usb0="00000003" w:usb1="00000000" w:usb2="00000000" w:usb3="00000000" w:csb0="00000001" w:csb1="00000000"/>
  </w:font>
  <w:font w:name="FrutigerNextPro-Light">
    <w:altName w:val="MS Gothic"/>
    <w:panose1 w:val="00000000000000000000"/>
    <w:charset w:val="80"/>
    <w:family w:val="swiss"/>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15C45E84" w14:textId="77777777" w:rsidTr="00DE1537">
      <w:trPr>
        <w:trHeight w:val="567"/>
      </w:trPr>
      <w:tc>
        <w:tcPr>
          <w:tcW w:w="510" w:type="dxa"/>
          <w:tcBorders>
            <w:top w:val="single" w:sz="4" w:space="0" w:color="auto"/>
          </w:tcBorders>
          <w:shd w:val="clear" w:color="auto" w:fill="auto"/>
        </w:tcPr>
        <w:p w14:paraId="5B10136B"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294</w:t>
          </w:r>
          <w:r>
            <w:rPr>
              <w:rStyle w:val="PageNumber"/>
            </w:rPr>
            <w:fldChar w:fldCharType="end"/>
          </w:r>
        </w:p>
      </w:tc>
      <w:tc>
        <w:tcPr>
          <w:tcW w:w="7767" w:type="dxa"/>
          <w:tcBorders>
            <w:top w:val="single" w:sz="4" w:space="0" w:color="auto"/>
          </w:tcBorders>
          <w:shd w:val="clear" w:color="auto" w:fill="auto"/>
        </w:tcPr>
        <w:p w14:paraId="12C5D63A" w14:textId="01517342" w:rsidR="00C32625" w:rsidRDefault="00C32625" w:rsidP="00B75190">
          <w:pPr>
            <w:pStyle w:val="Footer"/>
          </w:pPr>
          <w:r>
            <w:t>NATURAL DISASTER FUNDING: supplement</w:t>
          </w:r>
        </w:p>
      </w:tc>
      <w:tc>
        <w:tcPr>
          <w:tcW w:w="510" w:type="dxa"/>
          <w:tcBorders>
            <w:top w:val="single" w:sz="4" w:space="0" w:color="auto"/>
          </w:tcBorders>
          <w:shd w:val="clear" w:color="auto" w:fill="auto"/>
        </w:tcPr>
        <w:p w14:paraId="4AB82731" w14:textId="77777777" w:rsidR="00C32625" w:rsidRDefault="00C32625" w:rsidP="00DE1537">
          <w:pPr>
            <w:pStyle w:val="Footer"/>
          </w:pPr>
        </w:p>
      </w:tc>
    </w:tr>
  </w:tbl>
  <w:p w14:paraId="296AAE05" w14:textId="77777777" w:rsidR="00C32625" w:rsidRPr="00DE1537" w:rsidRDefault="00C32625" w:rsidP="00DE1537">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1BC68204" w14:textId="77777777" w:rsidTr="00DE1537">
      <w:trPr>
        <w:trHeight w:val="567"/>
      </w:trPr>
      <w:tc>
        <w:tcPr>
          <w:tcW w:w="510" w:type="dxa"/>
          <w:tcBorders>
            <w:top w:val="single" w:sz="4" w:space="0" w:color="auto"/>
          </w:tcBorders>
          <w:shd w:val="clear" w:color="auto" w:fill="auto"/>
        </w:tcPr>
        <w:p w14:paraId="0902FFE0" w14:textId="77777777" w:rsidR="00C32625" w:rsidRDefault="00C32625" w:rsidP="00DE1537">
          <w:pPr>
            <w:pStyle w:val="Footer"/>
          </w:pPr>
        </w:p>
      </w:tc>
      <w:tc>
        <w:tcPr>
          <w:tcW w:w="7767" w:type="dxa"/>
          <w:tcBorders>
            <w:top w:val="single" w:sz="4" w:space="0" w:color="auto"/>
          </w:tcBorders>
          <w:shd w:val="clear" w:color="auto" w:fill="auto"/>
        </w:tcPr>
        <w:p w14:paraId="531EF4E3" w14:textId="77777777" w:rsidR="00C32625" w:rsidRDefault="00C32625" w:rsidP="00DE1537">
          <w:pPr>
            <w:pStyle w:val="Footer"/>
            <w:jc w:val="right"/>
          </w:pPr>
          <w:r>
            <w:t xml:space="preserve">THE IMPACTS OF NATURAL DISASTERS </w:t>
          </w:r>
        </w:p>
      </w:tc>
      <w:tc>
        <w:tcPr>
          <w:tcW w:w="510" w:type="dxa"/>
          <w:tcBorders>
            <w:top w:val="single" w:sz="4" w:space="0" w:color="auto"/>
          </w:tcBorders>
          <w:shd w:val="clear" w:color="auto" w:fill="auto"/>
        </w:tcPr>
        <w:p w14:paraId="65A5915D"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267</w:t>
          </w:r>
          <w:r>
            <w:rPr>
              <w:rStyle w:val="PageNumber"/>
            </w:rPr>
            <w:fldChar w:fldCharType="end"/>
          </w:r>
        </w:p>
      </w:tc>
    </w:tr>
  </w:tbl>
  <w:p w14:paraId="29769624" w14:textId="77777777" w:rsidR="00C32625" w:rsidRPr="00DE1537" w:rsidRDefault="00C32625" w:rsidP="00DE1537">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5C20B4"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296</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EC1D1D"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295</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12224589" w14:textId="77777777" w:rsidTr="00DE1537">
      <w:trPr>
        <w:trHeight w:val="567"/>
      </w:trPr>
      <w:tc>
        <w:tcPr>
          <w:tcW w:w="510" w:type="dxa"/>
          <w:tcBorders>
            <w:top w:val="single" w:sz="4" w:space="0" w:color="auto"/>
          </w:tcBorders>
          <w:shd w:val="clear" w:color="auto" w:fill="auto"/>
        </w:tcPr>
        <w:p w14:paraId="67F368C4"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298</w:t>
          </w:r>
          <w:r>
            <w:rPr>
              <w:rStyle w:val="PageNumber"/>
            </w:rPr>
            <w:fldChar w:fldCharType="end"/>
          </w:r>
        </w:p>
      </w:tc>
      <w:tc>
        <w:tcPr>
          <w:tcW w:w="7767" w:type="dxa"/>
          <w:tcBorders>
            <w:top w:val="single" w:sz="4" w:space="0" w:color="auto"/>
          </w:tcBorders>
          <w:shd w:val="clear" w:color="auto" w:fill="auto"/>
        </w:tcPr>
        <w:p w14:paraId="00072769" w14:textId="77777777" w:rsidR="00C32625" w:rsidRDefault="00C32625" w:rsidP="00DE1537">
          <w:pPr>
            <w:pStyle w:val="Footer"/>
          </w:pPr>
          <w:r>
            <w:t>NATURAL DISASTER FUNDING ARRANGEMENTS</w:t>
          </w:r>
        </w:p>
      </w:tc>
      <w:tc>
        <w:tcPr>
          <w:tcW w:w="510" w:type="dxa"/>
          <w:tcBorders>
            <w:top w:val="single" w:sz="4" w:space="0" w:color="auto"/>
          </w:tcBorders>
          <w:shd w:val="clear" w:color="auto" w:fill="auto"/>
        </w:tcPr>
        <w:p w14:paraId="2D7F9274" w14:textId="77777777" w:rsidR="00C32625" w:rsidRDefault="00C32625" w:rsidP="00DE1537">
          <w:pPr>
            <w:pStyle w:val="Footer"/>
          </w:pPr>
        </w:p>
      </w:tc>
    </w:tr>
  </w:tbl>
  <w:p w14:paraId="47D24E45" w14:textId="77777777" w:rsidR="00C32625" w:rsidRPr="00DE1537" w:rsidRDefault="00C32625" w:rsidP="00DE1537">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FA5DDCE" w14:textId="77777777" w:rsidTr="00DE1537">
      <w:trPr>
        <w:trHeight w:val="567"/>
      </w:trPr>
      <w:tc>
        <w:tcPr>
          <w:tcW w:w="510" w:type="dxa"/>
          <w:tcBorders>
            <w:top w:val="single" w:sz="4" w:space="0" w:color="auto"/>
          </w:tcBorders>
          <w:shd w:val="clear" w:color="auto" w:fill="auto"/>
        </w:tcPr>
        <w:p w14:paraId="3BAB1863" w14:textId="77777777" w:rsidR="00C32625" w:rsidRDefault="00C32625" w:rsidP="00DE1537">
          <w:pPr>
            <w:pStyle w:val="Footer"/>
          </w:pPr>
        </w:p>
      </w:tc>
      <w:tc>
        <w:tcPr>
          <w:tcW w:w="7767" w:type="dxa"/>
          <w:tcBorders>
            <w:top w:val="single" w:sz="4" w:space="0" w:color="auto"/>
          </w:tcBorders>
          <w:shd w:val="clear" w:color="auto" w:fill="auto"/>
        </w:tcPr>
        <w:p w14:paraId="2DD3664F" w14:textId="77777777" w:rsidR="00C32625" w:rsidRDefault="00C32625" w:rsidP="00DE1537">
          <w:pPr>
            <w:pStyle w:val="Footer"/>
            <w:jc w:val="right"/>
          </w:pPr>
          <w:r>
            <w:t>NATURAL DISASTER FUNDING ARRANGEMENTS</w:t>
          </w:r>
        </w:p>
      </w:tc>
      <w:tc>
        <w:tcPr>
          <w:tcW w:w="510" w:type="dxa"/>
          <w:tcBorders>
            <w:top w:val="single" w:sz="4" w:space="0" w:color="auto"/>
          </w:tcBorders>
          <w:shd w:val="clear" w:color="auto" w:fill="auto"/>
        </w:tcPr>
        <w:p w14:paraId="22089E19"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297</w:t>
          </w:r>
          <w:r>
            <w:rPr>
              <w:rStyle w:val="PageNumber"/>
            </w:rPr>
            <w:fldChar w:fldCharType="end"/>
          </w:r>
        </w:p>
      </w:tc>
    </w:tr>
  </w:tbl>
  <w:p w14:paraId="593AEE91" w14:textId="77777777" w:rsidR="00C32625" w:rsidRPr="00DE1537" w:rsidRDefault="00C32625" w:rsidP="00DE1537">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138DFE9" w14:textId="77777777" w:rsidTr="00DE1537">
      <w:trPr>
        <w:trHeight w:val="567"/>
      </w:trPr>
      <w:tc>
        <w:tcPr>
          <w:tcW w:w="510" w:type="dxa"/>
          <w:tcBorders>
            <w:top w:val="single" w:sz="4" w:space="0" w:color="auto"/>
          </w:tcBorders>
          <w:shd w:val="clear" w:color="auto" w:fill="auto"/>
        </w:tcPr>
        <w:p w14:paraId="0EF7F7F2"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302</w:t>
          </w:r>
          <w:r>
            <w:rPr>
              <w:rStyle w:val="PageNumber"/>
            </w:rPr>
            <w:fldChar w:fldCharType="end"/>
          </w:r>
        </w:p>
      </w:tc>
      <w:tc>
        <w:tcPr>
          <w:tcW w:w="7767" w:type="dxa"/>
          <w:tcBorders>
            <w:top w:val="single" w:sz="4" w:space="0" w:color="auto"/>
          </w:tcBorders>
          <w:shd w:val="clear" w:color="auto" w:fill="auto"/>
        </w:tcPr>
        <w:p w14:paraId="59EFBA42" w14:textId="5E186C60" w:rsidR="00C32625" w:rsidRDefault="00C32625" w:rsidP="00DE1537">
          <w:pPr>
            <w:pStyle w:val="Footer"/>
          </w:pPr>
          <w:r>
            <w:t>NATURAL DISASTER FUNDING: supplement</w:t>
          </w:r>
        </w:p>
      </w:tc>
      <w:tc>
        <w:tcPr>
          <w:tcW w:w="510" w:type="dxa"/>
          <w:tcBorders>
            <w:top w:val="single" w:sz="4" w:space="0" w:color="auto"/>
          </w:tcBorders>
          <w:shd w:val="clear" w:color="auto" w:fill="auto"/>
        </w:tcPr>
        <w:p w14:paraId="5CC94A6B" w14:textId="77777777" w:rsidR="00C32625" w:rsidRDefault="00C32625" w:rsidP="00DE1537">
          <w:pPr>
            <w:pStyle w:val="Footer"/>
          </w:pPr>
        </w:p>
      </w:tc>
    </w:tr>
  </w:tbl>
  <w:p w14:paraId="6DF2BCD7" w14:textId="77777777" w:rsidR="00C32625" w:rsidRPr="00DE1537" w:rsidRDefault="00C32625" w:rsidP="00DE1537">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5B2C9616" w14:textId="77777777" w:rsidTr="00DE1537">
      <w:trPr>
        <w:trHeight w:val="567"/>
      </w:trPr>
      <w:tc>
        <w:tcPr>
          <w:tcW w:w="510" w:type="dxa"/>
          <w:tcBorders>
            <w:top w:val="single" w:sz="4" w:space="0" w:color="auto"/>
          </w:tcBorders>
          <w:shd w:val="clear" w:color="auto" w:fill="auto"/>
        </w:tcPr>
        <w:p w14:paraId="7D2EFCC1" w14:textId="77777777" w:rsidR="00C32625" w:rsidRDefault="00C32625" w:rsidP="00DE1537">
          <w:pPr>
            <w:pStyle w:val="Footer"/>
          </w:pPr>
        </w:p>
      </w:tc>
      <w:tc>
        <w:tcPr>
          <w:tcW w:w="7767" w:type="dxa"/>
          <w:tcBorders>
            <w:top w:val="single" w:sz="4" w:space="0" w:color="auto"/>
          </w:tcBorders>
          <w:shd w:val="clear" w:color="auto" w:fill="auto"/>
        </w:tcPr>
        <w:p w14:paraId="0EA3843C" w14:textId="77777777" w:rsidR="00C32625" w:rsidRDefault="00C32625" w:rsidP="00DE1537">
          <w:pPr>
            <w:pStyle w:val="Footer"/>
            <w:jc w:val="right"/>
          </w:pPr>
          <w:r>
            <w:t>NATURAL DISASTER FUNDING ARRANGEMENTS</w:t>
          </w:r>
        </w:p>
      </w:tc>
      <w:tc>
        <w:tcPr>
          <w:tcW w:w="510" w:type="dxa"/>
          <w:tcBorders>
            <w:top w:val="single" w:sz="4" w:space="0" w:color="auto"/>
          </w:tcBorders>
          <w:shd w:val="clear" w:color="auto" w:fill="auto"/>
        </w:tcPr>
        <w:p w14:paraId="32149889"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301</w:t>
          </w:r>
          <w:r>
            <w:rPr>
              <w:rStyle w:val="PageNumber"/>
            </w:rPr>
            <w:fldChar w:fldCharType="end"/>
          </w:r>
        </w:p>
      </w:tc>
    </w:tr>
  </w:tbl>
  <w:p w14:paraId="5886AD6C" w14:textId="77777777" w:rsidR="00C32625" w:rsidRPr="00DE1537" w:rsidRDefault="00C32625" w:rsidP="00DE1537">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220BB1"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BFBBB5"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303</w:t>
    </w:r>
    <w:r>
      <w:rPr>
        <w:rStyle w:val="PageNumber"/>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4D45016D" w14:textId="77777777" w:rsidTr="00DE1537">
      <w:trPr>
        <w:trHeight w:val="567"/>
      </w:trPr>
      <w:tc>
        <w:tcPr>
          <w:tcW w:w="510" w:type="dxa"/>
          <w:tcBorders>
            <w:top w:val="single" w:sz="4" w:space="0" w:color="auto"/>
          </w:tcBorders>
          <w:shd w:val="clear" w:color="auto" w:fill="auto"/>
        </w:tcPr>
        <w:p w14:paraId="24F76EA3"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336</w:t>
          </w:r>
          <w:r>
            <w:rPr>
              <w:rStyle w:val="PageNumber"/>
            </w:rPr>
            <w:fldChar w:fldCharType="end"/>
          </w:r>
        </w:p>
      </w:tc>
      <w:tc>
        <w:tcPr>
          <w:tcW w:w="7767" w:type="dxa"/>
          <w:tcBorders>
            <w:top w:val="single" w:sz="4" w:space="0" w:color="auto"/>
          </w:tcBorders>
          <w:shd w:val="clear" w:color="auto" w:fill="auto"/>
        </w:tcPr>
        <w:p w14:paraId="435C388F" w14:textId="221A7CD6"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43F29B84" w14:textId="77777777" w:rsidR="00C32625" w:rsidRDefault="00C32625" w:rsidP="00DE1537">
          <w:pPr>
            <w:pStyle w:val="Footer"/>
            <w:rPr>
              <w:rStyle w:val="PageNumber"/>
              <w:b w:val="0"/>
            </w:rPr>
          </w:pPr>
        </w:p>
      </w:tc>
    </w:tr>
  </w:tbl>
  <w:p w14:paraId="6B5490B5" w14:textId="77777777" w:rsidR="00C32625" w:rsidRPr="00DE1537" w:rsidRDefault="00C32625" w:rsidP="00DE1537">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57F56E90" w14:textId="77777777" w:rsidTr="00DE1537">
      <w:trPr>
        <w:trHeight w:val="567"/>
      </w:trPr>
      <w:tc>
        <w:tcPr>
          <w:tcW w:w="510" w:type="dxa"/>
          <w:tcBorders>
            <w:top w:val="single" w:sz="4" w:space="0" w:color="auto"/>
          </w:tcBorders>
          <w:shd w:val="clear" w:color="auto" w:fill="auto"/>
        </w:tcPr>
        <w:p w14:paraId="0C2314A8"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38DC3537" w14:textId="77777777" w:rsidR="00C32625" w:rsidRDefault="00C32625" w:rsidP="00DE1537">
          <w:pPr>
            <w:pStyle w:val="Footer"/>
            <w:jc w:val="right"/>
            <w:rPr>
              <w:rStyle w:val="PageNumber"/>
              <w:b w:val="0"/>
            </w:rPr>
          </w:pPr>
          <w:r w:rsidRPr="00DE1537">
            <w:rPr>
              <w:rStyle w:val="PageNumber"/>
              <w:b w:val="0"/>
            </w:rPr>
            <w:t>Natural Disaster Funding Arrangements</w:t>
          </w:r>
        </w:p>
      </w:tc>
      <w:tc>
        <w:tcPr>
          <w:tcW w:w="510" w:type="dxa"/>
          <w:tcBorders>
            <w:top w:val="single" w:sz="4" w:space="0" w:color="auto"/>
          </w:tcBorders>
          <w:shd w:val="clear" w:color="auto" w:fill="auto"/>
        </w:tcPr>
        <w:p w14:paraId="72F2640E"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337</w:t>
          </w:r>
          <w:r>
            <w:rPr>
              <w:rStyle w:val="PageNumber"/>
            </w:rPr>
            <w:fldChar w:fldCharType="end"/>
          </w:r>
        </w:p>
      </w:tc>
    </w:tr>
  </w:tbl>
  <w:p w14:paraId="7D9F5F5A" w14:textId="77777777" w:rsidR="00C32625" w:rsidRPr="00DE1537" w:rsidRDefault="00C32625" w:rsidP="00DE1537">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2DD56F11" w14:textId="77777777" w:rsidTr="00DE1537">
      <w:trPr>
        <w:trHeight w:val="567"/>
      </w:trPr>
      <w:tc>
        <w:tcPr>
          <w:tcW w:w="510" w:type="dxa"/>
          <w:tcBorders>
            <w:top w:val="single" w:sz="4" w:space="0" w:color="auto"/>
          </w:tcBorders>
          <w:shd w:val="clear" w:color="auto" w:fill="auto"/>
        </w:tcPr>
        <w:p w14:paraId="3CFE9EED"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370</w:t>
          </w:r>
          <w:r>
            <w:rPr>
              <w:rStyle w:val="PageNumber"/>
            </w:rPr>
            <w:fldChar w:fldCharType="end"/>
          </w:r>
        </w:p>
      </w:tc>
      <w:tc>
        <w:tcPr>
          <w:tcW w:w="7767" w:type="dxa"/>
          <w:tcBorders>
            <w:top w:val="single" w:sz="4" w:space="0" w:color="auto"/>
          </w:tcBorders>
          <w:shd w:val="clear" w:color="auto" w:fill="auto"/>
        </w:tcPr>
        <w:p w14:paraId="0F23C789" w14:textId="38869D5E"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6AAA99A6" w14:textId="77777777" w:rsidR="00C32625" w:rsidRDefault="00C32625" w:rsidP="00DE1537">
          <w:pPr>
            <w:pStyle w:val="Footer"/>
            <w:rPr>
              <w:rStyle w:val="PageNumber"/>
              <w:b w:val="0"/>
            </w:rPr>
          </w:pPr>
        </w:p>
      </w:tc>
    </w:tr>
  </w:tbl>
  <w:p w14:paraId="70129905" w14:textId="77777777" w:rsidR="00C32625" w:rsidRPr="00DE1537" w:rsidRDefault="00C32625" w:rsidP="00DE1537">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6402E4DC" w14:textId="77777777" w:rsidTr="00DE1537">
      <w:trPr>
        <w:trHeight w:val="567"/>
      </w:trPr>
      <w:tc>
        <w:tcPr>
          <w:tcW w:w="510" w:type="dxa"/>
          <w:tcBorders>
            <w:top w:val="single" w:sz="4" w:space="0" w:color="auto"/>
          </w:tcBorders>
          <w:shd w:val="clear" w:color="auto" w:fill="auto"/>
        </w:tcPr>
        <w:p w14:paraId="55A925C6"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551B11F7" w14:textId="77777777" w:rsidR="00C32625" w:rsidRDefault="00C32625" w:rsidP="00DE1537">
          <w:pPr>
            <w:pStyle w:val="Footer"/>
            <w:jc w:val="right"/>
            <w:rPr>
              <w:rStyle w:val="PageNumber"/>
              <w:b w:val="0"/>
            </w:rPr>
          </w:pPr>
          <w:r>
            <w:rPr>
              <w:rStyle w:val="PageNumber"/>
              <w:b w:val="0"/>
            </w:rPr>
            <w:t>EFFECTIVE NATURAL DISASTER RISK MANAGEMENT</w:t>
          </w:r>
        </w:p>
      </w:tc>
      <w:tc>
        <w:tcPr>
          <w:tcW w:w="510" w:type="dxa"/>
          <w:tcBorders>
            <w:top w:val="single" w:sz="4" w:space="0" w:color="auto"/>
          </w:tcBorders>
          <w:shd w:val="clear" w:color="auto" w:fill="auto"/>
        </w:tcPr>
        <w:p w14:paraId="0A8D264C"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369</w:t>
          </w:r>
          <w:r>
            <w:rPr>
              <w:rStyle w:val="PageNumber"/>
            </w:rPr>
            <w:fldChar w:fldCharType="end"/>
          </w:r>
        </w:p>
      </w:tc>
    </w:tr>
  </w:tbl>
  <w:p w14:paraId="5E12AF0D" w14:textId="77777777" w:rsidR="00C32625" w:rsidRPr="00DE1537" w:rsidRDefault="00C32625" w:rsidP="00DE1537">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0E948E47" w14:textId="77777777" w:rsidTr="00DE1537">
      <w:trPr>
        <w:trHeight w:val="567"/>
      </w:trPr>
      <w:tc>
        <w:tcPr>
          <w:tcW w:w="510" w:type="dxa"/>
          <w:tcBorders>
            <w:top w:val="single" w:sz="4" w:space="0" w:color="auto"/>
          </w:tcBorders>
          <w:shd w:val="clear" w:color="auto" w:fill="auto"/>
        </w:tcPr>
        <w:p w14:paraId="75BE949B"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372</w:t>
          </w:r>
          <w:r>
            <w:rPr>
              <w:rStyle w:val="PageNumber"/>
            </w:rPr>
            <w:fldChar w:fldCharType="end"/>
          </w:r>
        </w:p>
      </w:tc>
      <w:tc>
        <w:tcPr>
          <w:tcW w:w="7767" w:type="dxa"/>
          <w:tcBorders>
            <w:top w:val="single" w:sz="4" w:space="0" w:color="auto"/>
          </w:tcBorders>
          <w:shd w:val="clear" w:color="auto" w:fill="auto"/>
        </w:tcPr>
        <w:p w14:paraId="2B57F958" w14:textId="482F0604"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6905622F" w14:textId="77777777" w:rsidR="00C32625" w:rsidRDefault="00C32625" w:rsidP="00DE1537">
          <w:pPr>
            <w:pStyle w:val="Footer"/>
            <w:rPr>
              <w:rStyle w:val="PageNumber"/>
              <w:b w:val="0"/>
            </w:rPr>
          </w:pPr>
        </w:p>
      </w:tc>
    </w:tr>
  </w:tbl>
  <w:p w14:paraId="7422EE2A" w14:textId="77777777" w:rsidR="00C32625" w:rsidRPr="00DE1537" w:rsidRDefault="00C32625" w:rsidP="00DE1537">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24E7D6A7" w14:textId="77777777" w:rsidTr="00DE1537">
      <w:trPr>
        <w:trHeight w:val="567"/>
      </w:trPr>
      <w:tc>
        <w:tcPr>
          <w:tcW w:w="510" w:type="dxa"/>
          <w:tcBorders>
            <w:top w:val="single" w:sz="4" w:space="0" w:color="auto"/>
          </w:tcBorders>
          <w:shd w:val="clear" w:color="auto" w:fill="auto"/>
        </w:tcPr>
        <w:p w14:paraId="5934BFBD"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57AC8874" w14:textId="77777777" w:rsidR="00C32625" w:rsidRDefault="00C32625" w:rsidP="00DE1537">
          <w:pPr>
            <w:pStyle w:val="Footer"/>
            <w:jc w:val="right"/>
            <w:rPr>
              <w:rStyle w:val="PageNumber"/>
              <w:b w:val="0"/>
            </w:rPr>
          </w:pPr>
          <w:r>
            <w:rPr>
              <w:rStyle w:val="PageNumber"/>
              <w:b w:val="0"/>
            </w:rPr>
            <w:t>NATURAL DISASTER MITIGATION</w:t>
          </w:r>
        </w:p>
      </w:tc>
      <w:tc>
        <w:tcPr>
          <w:tcW w:w="510" w:type="dxa"/>
          <w:tcBorders>
            <w:top w:val="single" w:sz="4" w:space="0" w:color="auto"/>
          </w:tcBorders>
          <w:shd w:val="clear" w:color="auto" w:fill="auto"/>
        </w:tcPr>
        <w:p w14:paraId="10FBBF55"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373</w:t>
          </w:r>
          <w:r>
            <w:rPr>
              <w:rStyle w:val="PageNumber"/>
            </w:rPr>
            <w:fldChar w:fldCharType="end"/>
          </w:r>
        </w:p>
      </w:tc>
    </w:tr>
  </w:tbl>
  <w:p w14:paraId="6D22960A" w14:textId="77777777" w:rsidR="00C32625" w:rsidRPr="00DE1537" w:rsidRDefault="00C32625" w:rsidP="00DE1537">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EDE3A0A" w14:textId="77777777" w:rsidTr="00DE1537">
      <w:trPr>
        <w:trHeight w:val="567"/>
      </w:trPr>
      <w:tc>
        <w:tcPr>
          <w:tcW w:w="510" w:type="dxa"/>
          <w:tcBorders>
            <w:top w:val="single" w:sz="4" w:space="0" w:color="auto"/>
          </w:tcBorders>
          <w:shd w:val="clear" w:color="auto" w:fill="auto"/>
        </w:tcPr>
        <w:p w14:paraId="3E19CC5C"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450</w:t>
          </w:r>
          <w:r>
            <w:rPr>
              <w:rStyle w:val="PageNumber"/>
            </w:rPr>
            <w:fldChar w:fldCharType="end"/>
          </w:r>
        </w:p>
      </w:tc>
      <w:tc>
        <w:tcPr>
          <w:tcW w:w="7767" w:type="dxa"/>
          <w:tcBorders>
            <w:top w:val="single" w:sz="4" w:space="0" w:color="auto"/>
          </w:tcBorders>
          <w:shd w:val="clear" w:color="auto" w:fill="auto"/>
        </w:tcPr>
        <w:p w14:paraId="7EC1BC2F" w14:textId="36D15232"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695D6450" w14:textId="77777777" w:rsidR="00C32625" w:rsidRDefault="00C32625" w:rsidP="00DE1537">
          <w:pPr>
            <w:pStyle w:val="Footer"/>
            <w:rPr>
              <w:rStyle w:val="PageNumber"/>
              <w:b w:val="0"/>
            </w:rPr>
          </w:pPr>
        </w:p>
      </w:tc>
    </w:tr>
  </w:tbl>
  <w:p w14:paraId="6E655777" w14:textId="77777777" w:rsidR="00C32625" w:rsidRPr="00DE1537" w:rsidRDefault="00C32625" w:rsidP="00DE1537">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520FD835" w14:textId="77777777" w:rsidTr="00DE1537">
      <w:trPr>
        <w:trHeight w:val="567"/>
      </w:trPr>
      <w:tc>
        <w:tcPr>
          <w:tcW w:w="510" w:type="dxa"/>
          <w:tcBorders>
            <w:top w:val="single" w:sz="4" w:space="0" w:color="auto"/>
          </w:tcBorders>
          <w:shd w:val="clear" w:color="auto" w:fill="auto"/>
        </w:tcPr>
        <w:p w14:paraId="6CA4D325"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0A4516B3" w14:textId="77777777" w:rsidR="00C32625" w:rsidRDefault="00C32625" w:rsidP="00DE1537">
          <w:pPr>
            <w:pStyle w:val="Footer"/>
            <w:jc w:val="right"/>
            <w:rPr>
              <w:rStyle w:val="PageNumber"/>
              <w:b w:val="0"/>
            </w:rPr>
          </w:pPr>
          <w:r>
            <w:rPr>
              <w:rStyle w:val="PageNumber"/>
              <w:b w:val="0"/>
            </w:rPr>
            <w:t>INSURANCE AND NATURAL DISASTERS</w:t>
          </w:r>
        </w:p>
      </w:tc>
      <w:tc>
        <w:tcPr>
          <w:tcW w:w="510" w:type="dxa"/>
          <w:tcBorders>
            <w:top w:val="single" w:sz="4" w:space="0" w:color="auto"/>
          </w:tcBorders>
          <w:shd w:val="clear" w:color="auto" w:fill="auto"/>
        </w:tcPr>
        <w:p w14:paraId="178485DB"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451</w:t>
          </w:r>
          <w:r>
            <w:rPr>
              <w:rStyle w:val="PageNumber"/>
            </w:rPr>
            <w:fldChar w:fldCharType="end"/>
          </w:r>
        </w:p>
      </w:tc>
    </w:tr>
  </w:tbl>
  <w:p w14:paraId="44E64531" w14:textId="77777777" w:rsidR="00C32625" w:rsidRPr="00DE1537" w:rsidRDefault="00C32625" w:rsidP="00DE1537">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2B021EEF" w14:textId="77777777" w:rsidTr="00DE1537">
      <w:trPr>
        <w:trHeight w:val="567"/>
      </w:trPr>
      <w:tc>
        <w:tcPr>
          <w:tcW w:w="510" w:type="dxa"/>
          <w:tcBorders>
            <w:top w:val="single" w:sz="4" w:space="0" w:color="auto"/>
          </w:tcBorders>
          <w:shd w:val="clear" w:color="auto" w:fill="auto"/>
        </w:tcPr>
        <w:p w14:paraId="390F925C"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500</w:t>
          </w:r>
          <w:r>
            <w:rPr>
              <w:rStyle w:val="PageNumber"/>
            </w:rPr>
            <w:fldChar w:fldCharType="end"/>
          </w:r>
        </w:p>
      </w:tc>
      <w:tc>
        <w:tcPr>
          <w:tcW w:w="7767" w:type="dxa"/>
          <w:tcBorders>
            <w:top w:val="single" w:sz="4" w:space="0" w:color="auto"/>
          </w:tcBorders>
          <w:shd w:val="clear" w:color="auto" w:fill="auto"/>
        </w:tcPr>
        <w:p w14:paraId="256EADA3" w14:textId="7B8A2E48"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2208145E" w14:textId="77777777" w:rsidR="00C32625" w:rsidRDefault="00C32625" w:rsidP="00DE1537">
          <w:pPr>
            <w:pStyle w:val="Footer"/>
            <w:rPr>
              <w:rStyle w:val="PageNumber"/>
              <w:b w:val="0"/>
            </w:rPr>
          </w:pPr>
        </w:p>
      </w:tc>
    </w:tr>
  </w:tbl>
  <w:p w14:paraId="0B6986ED" w14:textId="77777777" w:rsidR="00C32625" w:rsidRPr="00DE1537" w:rsidRDefault="00C32625" w:rsidP="00DE1537">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2DF1C08D" w14:textId="77777777" w:rsidTr="00DE1537">
      <w:trPr>
        <w:trHeight w:val="567"/>
      </w:trPr>
      <w:tc>
        <w:tcPr>
          <w:tcW w:w="510" w:type="dxa"/>
          <w:tcBorders>
            <w:top w:val="single" w:sz="4" w:space="0" w:color="auto"/>
          </w:tcBorders>
          <w:shd w:val="clear" w:color="auto" w:fill="auto"/>
        </w:tcPr>
        <w:p w14:paraId="7C98DE90"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0F9F2490" w14:textId="77777777" w:rsidR="00C32625" w:rsidRDefault="00C32625" w:rsidP="00DE1537">
          <w:pPr>
            <w:pStyle w:val="Footer"/>
            <w:jc w:val="right"/>
            <w:rPr>
              <w:rStyle w:val="PageNumber"/>
              <w:b w:val="0"/>
            </w:rPr>
          </w:pPr>
          <w:r>
            <w:rPr>
              <w:rStyle w:val="PageNumber"/>
              <w:b w:val="0"/>
            </w:rPr>
            <w:t>THE BUILT ENVIRONMENT</w:t>
          </w:r>
        </w:p>
      </w:tc>
      <w:tc>
        <w:tcPr>
          <w:tcW w:w="510" w:type="dxa"/>
          <w:tcBorders>
            <w:top w:val="single" w:sz="4" w:space="0" w:color="auto"/>
          </w:tcBorders>
          <w:shd w:val="clear" w:color="auto" w:fill="auto"/>
        </w:tcPr>
        <w:p w14:paraId="674A7184"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501</w:t>
          </w:r>
          <w:r>
            <w:rPr>
              <w:rStyle w:val="PageNumber"/>
            </w:rPr>
            <w:fldChar w:fldCharType="end"/>
          </w:r>
        </w:p>
      </w:tc>
    </w:tr>
  </w:tbl>
  <w:p w14:paraId="2E74B4C5" w14:textId="77777777" w:rsidR="00C32625" w:rsidRPr="00DE1537" w:rsidRDefault="00C32625" w:rsidP="00DE1537">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A3F0295" w14:textId="77777777" w:rsidTr="00DE1537">
      <w:trPr>
        <w:trHeight w:val="567"/>
      </w:trPr>
      <w:tc>
        <w:tcPr>
          <w:tcW w:w="510" w:type="dxa"/>
          <w:tcBorders>
            <w:top w:val="single" w:sz="4" w:space="0" w:color="auto"/>
          </w:tcBorders>
          <w:shd w:val="clear" w:color="auto" w:fill="auto"/>
        </w:tcPr>
        <w:p w14:paraId="08DE7BED"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538</w:t>
          </w:r>
          <w:r>
            <w:rPr>
              <w:rStyle w:val="PageNumber"/>
            </w:rPr>
            <w:fldChar w:fldCharType="end"/>
          </w:r>
        </w:p>
      </w:tc>
      <w:tc>
        <w:tcPr>
          <w:tcW w:w="7767" w:type="dxa"/>
          <w:tcBorders>
            <w:top w:val="single" w:sz="4" w:space="0" w:color="auto"/>
          </w:tcBorders>
          <w:shd w:val="clear" w:color="auto" w:fill="auto"/>
        </w:tcPr>
        <w:p w14:paraId="5A44D69D" w14:textId="5C82071A"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1DEA229F" w14:textId="77777777" w:rsidR="00C32625" w:rsidRDefault="00C32625" w:rsidP="00DE1537">
          <w:pPr>
            <w:pStyle w:val="Footer"/>
            <w:rPr>
              <w:rStyle w:val="PageNumber"/>
              <w:b w:val="0"/>
            </w:rPr>
          </w:pPr>
        </w:p>
      </w:tc>
    </w:tr>
  </w:tbl>
  <w:p w14:paraId="1E52D949" w14:textId="77777777" w:rsidR="00C32625" w:rsidRPr="00DE1537" w:rsidRDefault="00C32625" w:rsidP="00DE1537">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750205D3" w14:textId="77777777" w:rsidTr="00DE1537">
      <w:trPr>
        <w:trHeight w:val="567"/>
      </w:trPr>
      <w:tc>
        <w:tcPr>
          <w:tcW w:w="510" w:type="dxa"/>
          <w:tcBorders>
            <w:top w:val="single" w:sz="4" w:space="0" w:color="auto"/>
          </w:tcBorders>
          <w:shd w:val="clear" w:color="auto" w:fill="auto"/>
        </w:tcPr>
        <w:p w14:paraId="564DB406"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7E001BC6" w14:textId="77777777" w:rsidR="00C32625" w:rsidRDefault="00C32625" w:rsidP="00DE1537">
          <w:pPr>
            <w:pStyle w:val="Footer"/>
            <w:jc w:val="right"/>
            <w:rPr>
              <w:rStyle w:val="PageNumber"/>
              <w:b w:val="0"/>
            </w:rPr>
          </w:pPr>
          <w:r>
            <w:rPr>
              <w:rStyle w:val="PageNumber"/>
              <w:b w:val="0"/>
            </w:rPr>
            <w:t>A QUANTITATIVE ASSESSMENT OF FUNDING ARRANGEMENTS</w:t>
          </w:r>
        </w:p>
      </w:tc>
      <w:tc>
        <w:tcPr>
          <w:tcW w:w="510" w:type="dxa"/>
          <w:tcBorders>
            <w:top w:val="single" w:sz="4" w:space="0" w:color="auto"/>
          </w:tcBorders>
          <w:shd w:val="clear" w:color="auto" w:fill="auto"/>
        </w:tcPr>
        <w:p w14:paraId="653673B6"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539</w:t>
          </w:r>
          <w:r>
            <w:rPr>
              <w:rStyle w:val="PageNumber"/>
            </w:rPr>
            <w:fldChar w:fldCharType="end"/>
          </w:r>
        </w:p>
      </w:tc>
    </w:tr>
  </w:tbl>
  <w:p w14:paraId="69A66164" w14:textId="77777777" w:rsidR="00C32625" w:rsidRPr="00DE1537" w:rsidRDefault="00C32625" w:rsidP="00DE1537">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10B6DB16" w14:textId="77777777" w:rsidTr="00DE1537">
      <w:trPr>
        <w:trHeight w:val="567"/>
      </w:trPr>
      <w:tc>
        <w:tcPr>
          <w:tcW w:w="510" w:type="dxa"/>
          <w:tcBorders>
            <w:top w:val="single" w:sz="4" w:space="0" w:color="auto"/>
          </w:tcBorders>
          <w:shd w:val="clear" w:color="auto" w:fill="auto"/>
        </w:tcPr>
        <w:p w14:paraId="436E6639"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554</w:t>
          </w:r>
          <w:r>
            <w:rPr>
              <w:rStyle w:val="PageNumber"/>
            </w:rPr>
            <w:fldChar w:fldCharType="end"/>
          </w:r>
        </w:p>
      </w:tc>
      <w:tc>
        <w:tcPr>
          <w:tcW w:w="7767" w:type="dxa"/>
          <w:tcBorders>
            <w:top w:val="single" w:sz="4" w:space="0" w:color="auto"/>
          </w:tcBorders>
          <w:shd w:val="clear" w:color="auto" w:fill="auto"/>
        </w:tcPr>
        <w:p w14:paraId="7D547EAE" w14:textId="5EE4589D" w:rsidR="00C32625" w:rsidRDefault="00C32625" w:rsidP="00DE1537">
          <w:pPr>
            <w:pStyle w:val="Footer"/>
          </w:pPr>
          <w:r>
            <w:t>NATURAL DISASTER FUNDING: supplement</w:t>
          </w:r>
        </w:p>
      </w:tc>
      <w:tc>
        <w:tcPr>
          <w:tcW w:w="510" w:type="dxa"/>
          <w:tcBorders>
            <w:top w:val="single" w:sz="4" w:space="0" w:color="auto"/>
          </w:tcBorders>
          <w:shd w:val="clear" w:color="auto" w:fill="auto"/>
        </w:tcPr>
        <w:p w14:paraId="2D8CE195" w14:textId="77777777" w:rsidR="00C32625" w:rsidRDefault="00C32625" w:rsidP="00DE1537">
          <w:pPr>
            <w:pStyle w:val="Footer"/>
          </w:pPr>
        </w:p>
      </w:tc>
    </w:tr>
  </w:tbl>
  <w:p w14:paraId="51FF992F" w14:textId="77777777" w:rsidR="00C32625" w:rsidRPr="00DE1537" w:rsidRDefault="00C32625" w:rsidP="00DE1537">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24259B8" w14:textId="77777777" w:rsidTr="00DE1537">
      <w:trPr>
        <w:trHeight w:val="567"/>
      </w:trPr>
      <w:tc>
        <w:tcPr>
          <w:tcW w:w="510" w:type="dxa"/>
          <w:tcBorders>
            <w:top w:val="single" w:sz="4" w:space="0" w:color="auto"/>
          </w:tcBorders>
          <w:shd w:val="clear" w:color="auto" w:fill="auto"/>
        </w:tcPr>
        <w:p w14:paraId="20872776" w14:textId="77777777" w:rsidR="00C32625" w:rsidRDefault="00C32625" w:rsidP="00DE1537">
          <w:pPr>
            <w:pStyle w:val="Footer"/>
          </w:pPr>
        </w:p>
      </w:tc>
      <w:tc>
        <w:tcPr>
          <w:tcW w:w="7767" w:type="dxa"/>
          <w:tcBorders>
            <w:top w:val="single" w:sz="4" w:space="0" w:color="auto"/>
          </w:tcBorders>
          <w:shd w:val="clear" w:color="auto" w:fill="auto"/>
        </w:tcPr>
        <w:p w14:paraId="7C0190F0" w14:textId="77777777" w:rsidR="00C32625" w:rsidRDefault="00C32625" w:rsidP="00DE1537">
          <w:pPr>
            <w:pStyle w:val="Footer"/>
            <w:jc w:val="right"/>
          </w:pPr>
          <w:r>
            <w:t>LESSONS FROM OTHER COUNTRIES</w:t>
          </w:r>
        </w:p>
      </w:tc>
      <w:tc>
        <w:tcPr>
          <w:tcW w:w="510" w:type="dxa"/>
          <w:tcBorders>
            <w:top w:val="single" w:sz="4" w:space="0" w:color="auto"/>
          </w:tcBorders>
          <w:shd w:val="clear" w:color="auto" w:fill="auto"/>
        </w:tcPr>
        <w:p w14:paraId="6322346E"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553</w:t>
          </w:r>
          <w:r>
            <w:rPr>
              <w:rStyle w:val="PageNumber"/>
            </w:rPr>
            <w:fldChar w:fldCharType="end"/>
          </w:r>
        </w:p>
      </w:tc>
    </w:tr>
  </w:tbl>
  <w:p w14:paraId="3678C80D" w14:textId="77777777" w:rsidR="00C32625" w:rsidRPr="00DE1537" w:rsidRDefault="00C32625" w:rsidP="00DE1537">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CAEF78"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556</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17884D"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555</w:t>
    </w:r>
    <w:r>
      <w:rPr>
        <w:rStyle w:val="PageNumber"/>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6A6E9837" w14:textId="77777777" w:rsidTr="00DE1537">
      <w:trPr>
        <w:trHeight w:val="567"/>
      </w:trPr>
      <w:tc>
        <w:tcPr>
          <w:tcW w:w="510" w:type="dxa"/>
          <w:tcBorders>
            <w:top w:val="single" w:sz="4" w:space="0" w:color="auto"/>
          </w:tcBorders>
          <w:shd w:val="clear" w:color="auto" w:fill="auto"/>
        </w:tcPr>
        <w:p w14:paraId="2930B36B"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570</w:t>
          </w:r>
          <w:r>
            <w:rPr>
              <w:rStyle w:val="PageNumber"/>
            </w:rPr>
            <w:fldChar w:fldCharType="end"/>
          </w:r>
        </w:p>
      </w:tc>
      <w:tc>
        <w:tcPr>
          <w:tcW w:w="7767" w:type="dxa"/>
          <w:tcBorders>
            <w:top w:val="single" w:sz="4" w:space="0" w:color="auto"/>
          </w:tcBorders>
          <w:shd w:val="clear" w:color="auto" w:fill="auto"/>
        </w:tcPr>
        <w:p w14:paraId="4C5FD6E7" w14:textId="73E68E61"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13C43D41" w14:textId="77777777" w:rsidR="00C32625" w:rsidRDefault="00C32625" w:rsidP="00DE1537">
          <w:pPr>
            <w:pStyle w:val="Footer"/>
            <w:rPr>
              <w:rStyle w:val="PageNumber"/>
              <w:b w:val="0"/>
            </w:rPr>
          </w:pPr>
        </w:p>
      </w:tc>
    </w:tr>
  </w:tbl>
  <w:p w14:paraId="2FD25943" w14:textId="77777777" w:rsidR="00C32625" w:rsidRPr="00DE1537" w:rsidRDefault="00C32625" w:rsidP="00DE1537">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4ABF00A1" w14:textId="77777777" w:rsidTr="00DE1537">
      <w:trPr>
        <w:trHeight w:val="567"/>
      </w:trPr>
      <w:tc>
        <w:tcPr>
          <w:tcW w:w="510" w:type="dxa"/>
          <w:tcBorders>
            <w:top w:val="single" w:sz="4" w:space="0" w:color="auto"/>
          </w:tcBorders>
          <w:shd w:val="clear" w:color="auto" w:fill="auto"/>
        </w:tcPr>
        <w:p w14:paraId="153960FC"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554A5440" w14:textId="4F6674A3" w:rsidR="00C32625" w:rsidRDefault="00C32625" w:rsidP="00DE1537">
          <w:pPr>
            <w:pStyle w:val="Footer"/>
            <w:jc w:val="right"/>
            <w:rPr>
              <w:rStyle w:val="PageNumber"/>
              <w:b w:val="0"/>
            </w:rPr>
          </w:pPr>
          <w:r>
            <w:rPr>
              <w:rStyle w:val="PageNumber"/>
              <w:b w:val="0"/>
            </w:rPr>
            <w:t>lessons from other countries</w:t>
          </w:r>
        </w:p>
      </w:tc>
      <w:tc>
        <w:tcPr>
          <w:tcW w:w="510" w:type="dxa"/>
          <w:tcBorders>
            <w:top w:val="single" w:sz="4" w:space="0" w:color="auto"/>
          </w:tcBorders>
          <w:shd w:val="clear" w:color="auto" w:fill="auto"/>
        </w:tcPr>
        <w:p w14:paraId="1F8EF7A4"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571</w:t>
          </w:r>
          <w:r>
            <w:rPr>
              <w:rStyle w:val="PageNumber"/>
            </w:rPr>
            <w:fldChar w:fldCharType="end"/>
          </w:r>
        </w:p>
      </w:tc>
    </w:tr>
  </w:tbl>
  <w:p w14:paraId="1C880738" w14:textId="77777777" w:rsidR="00C32625" w:rsidRPr="00DE1537" w:rsidRDefault="00C32625" w:rsidP="00DE1537">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3466F65D" w14:textId="77777777" w:rsidTr="00DE1537">
      <w:trPr>
        <w:trHeight w:val="567"/>
      </w:trPr>
      <w:tc>
        <w:tcPr>
          <w:tcW w:w="510" w:type="dxa"/>
          <w:tcBorders>
            <w:top w:val="single" w:sz="4" w:space="0" w:color="auto"/>
          </w:tcBorders>
          <w:shd w:val="clear" w:color="auto" w:fill="auto"/>
        </w:tcPr>
        <w:p w14:paraId="70475575" w14:textId="77777777" w:rsidR="00C32625" w:rsidRPr="00DE1537" w:rsidRDefault="00C32625" w:rsidP="00DE153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598</w:t>
          </w:r>
          <w:r>
            <w:rPr>
              <w:rStyle w:val="PageNumber"/>
            </w:rPr>
            <w:fldChar w:fldCharType="end"/>
          </w:r>
        </w:p>
      </w:tc>
      <w:tc>
        <w:tcPr>
          <w:tcW w:w="7767" w:type="dxa"/>
          <w:tcBorders>
            <w:top w:val="single" w:sz="4" w:space="0" w:color="auto"/>
          </w:tcBorders>
          <w:shd w:val="clear" w:color="auto" w:fill="auto"/>
        </w:tcPr>
        <w:p w14:paraId="7BA66CED" w14:textId="4813A43B" w:rsidR="00C32625" w:rsidRDefault="00C32625" w:rsidP="00DE1537">
          <w:pPr>
            <w:pStyle w:val="Footer"/>
            <w:rPr>
              <w:rStyle w:val="PageNumber"/>
              <w:b w:val="0"/>
            </w:rPr>
          </w:pPr>
          <w:r>
            <w:t>NATURAL DISASTER FUNDING: supplement</w:t>
          </w:r>
        </w:p>
      </w:tc>
      <w:tc>
        <w:tcPr>
          <w:tcW w:w="510" w:type="dxa"/>
          <w:tcBorders>
            <w:top w:val="single" w:sz="4" w:space="0" w:color="auto"/>
          </w:tcBorders>
          <w:shd w:val="clear" w:color="auto" w:fill="auto"/>
        </w:tcPr>
        <w:p w14:paraId="3AADB0DE" w14:textId="77777777" w:rsidR="00C32625" w:rsidRDefault="00C32625" w:rsidP="00DE1537">
          <w:pPr>
            <w:pStyle w:val="Footer"/>
            <w:rPr>
              <w:rStyle w:val="PageNumber"/>
              <w:b w:val="0"/>
            </w:rPr>
          </w:pPr>
        </w:p>
      </w:tc>
    </w:tr>
  </w:tbl>
  <w:p w14:paraId="6D060CB9" w14:textId="77777777" w:rsidR="00C32625" w:rsidRPr="00DE1537" w:rsidRDefault="00C32625" w:rsidP="00DE1537">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32625" w14:paraId="5BCCA0EB" w14:textId="77777777" w:rsidTr="00DE1537">
      <w:trPr>
        <w:trHeight w:val="567"/>
      </w:trPr>
      <w:tc>
        <w:tcPr>
          <w:tcW w:w="510" w:type="dxa"/>
          <w:tcBorders>
            <w:top w:val="single" w:sz="4" w:space="0" w:color="auto"/>
          </w:tcBorders>
          <w:shd w:val="clear" w:color="auto" w:fill="auto"/>
        </w:tcPr>
        <w:p w14:paraId="068C4AD4" w14:textId="77777777" w:rsidR="00C32625" w:rsidRDefault="00C32625" w:rsidP="00DE1537">
          <w:pPr>
            <w:pStyle w:val="Footer"/>
            <w:rPr>
              <w:rStyle w:val="PageNumber"/>
              <w:b w:val="0"/>
            </w:rPr>
          </w:pPr>
        </w:p>
      </w:tc>
      <w:tc>
        <w:tcPr>
          <w:tcW w:w="7767" w:type="dxa"/>
          <w:tcBorders>
            <w:top w:val="single" w:sz="4" w:space="0" w:color="auto"/>
          </w:tcBorders>
          <w:shd w:val="clear" w:color="auto" w:fill="auto"/>
        </w:tcPr>
        <w:p w14:paraId="4F1F68CD" w14:textId="77777777" w:rsidR="00C32625" w:rsidRDefault="00C32625" w:rsidP="00DE1537">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14:paraId="03046CC0" w14:textId="77777777" w:rsidR="00C32625" w:rsidRPr="00DE1537" w:rsidRDefault="00C32625" w:rsidP="00DE153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159F5">
            <w:rPr>
              <w:rStyle w:val="PageNumber"/>
              <w:noProof/>
            </w:rPr>
            <w:t>597</w:t>
          </w:r>
          <w:r>
            <w:rPr>
              <w:rStyle w:val="PageNumber"/>
            </w:rPr>
            <w:fldChar w:fldCharType="end"/>
          </w:r>
        </w:p>
      </w:tc>
    </w:tr>
  </w:tbl>
  <w:p w14:paraId="544646CA" w14:textId="77777777" w:rsidR="00C32625" w:rsidRPr="00DE1537" w:rsidRDefault="00C32625" w:rsidP="00DE1537">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E9D7E0" w14:textId="77777777" w:rsidR="00C32625" w:rsidRDefault="00C32625">
      <w:r>
        <w:separator/>
      </w:r>
    </w:p>
  </w:footnote>
  <w:footnote w:type="continuationSeparator" w:id="0">
    <w:p w14:paraId="27E8FDF8" w14:textId="77777777" w:rsidR="00C32625" w:rsidRDefault="00C32625">
      <w:r>
        <w:continuationSeparator/>
      </w:r>
    </w:p>
  </w:footnote>
  <w:footnote w:id="1">
    <w:p w14:paraId="5DCB987C" w14:textId="77777777" w:rsidR="00C32625" w:rsidRDefault="00C32625" w:rsidP="00343F3E">
      <w:pPr>
        <w:pStyle w:val="FootnoteText"/>
      </w:pPr>
      <w:r w:rsidRPr="003E3C4A">
        <w:rPr>
          <w:rStyle w:val="FootnoteReference"/>
        </w:rPr>
        <w:footnoteRef/>
      </w:r>
      <w:r>
        <w:tab/>
        <w:t>The tsunami event refers to the 2004 Indian Ocean tsunami. While it occurred overseas, it caused damage in Australia that gave rise to insurance claims.</w:t>
      </w:r>
    </w:p>
  </w:footnote>
  <w:footnote w:id="2">
    <w:p w14:paraId="66A5AE4D" w14:textId="77777777" w:rsidR="00C32625" w:rsidRDefault="00C32625">
      <w:pPr>
        <w:pStyle w:val="FootnoteText"/>
      </w:pPr>
      <w:r w:rsidRPr="003E3C4A">
        <w:rPr>
          <w:rStyle w:val="FootnoteReference"/>
        </w:rPr>
        <w:footnoteRef/>
      </w:r>
      <w:r>
        <w:tab/>
        <w:t>Over time, the ICA’s loss threshold for defining a natural disaster has changed.</w:t>
      </w:r>
    </w:p>
  </w:footnote>
  <w:footnote w:id="3">
    <w:p w14:paraId="7D1CB754" w14:textId="77777777" w:rsidR="00C32625" w:rsidRDefault="00C32625" w:rsidP="00343F3E">
      <w:pPr>
        <w:pStyle w:val="FootnoteText"/>
      </w:pPr>
      <w:r w:rsidRPr="003E3C4A">
        <w:rPr>
          <w:rStyle w:val="FootnoteReference"/>
        </w:rPr>
        <w:footnoteRef/>
      </w:r>
      <w:r>
        <w:tab/>
        <w:t>The deadliest natural disaster on record is Cyclone Mahina, which in 1899 caused approximately 400 deaths.</w:t>
      </w:r>
    </w:p>
  </w:footnote>
  <w:footnote w:id="4">
    <w:p w14:paraId="51B21F47" w14:textId="63D66834" w:rsidR="00C32625" w:rsidRDefault="00C32625">
      <w:pPr>
        <w:pStyle w:val="FootnoteText"/>
      </w:pPr>
      <w:r w:rsidRPr="003E3C4A">
        <w:rPr>
          <w:rStyle w:val="FootnoteReference"/>
        </w:rPr>
        <w:footnoteRef/>
      </w:r>
      <w:r>
        <w:tab/>
        <w:t xml:space="preserve">The statistical value of a lost life can be defined as ‘the financial value society places on reducing the average number of deaths by one’ </w:t>
      </w:r>
      <w:r>
        <w:fldChar w:fldCharType="begin"/>
      </w:r>
      <w:r>
        <w:instrText xml:space="preserve"> ADDIN ZOTERO_ITEM CSL_CITATION {"citationID":"g3kv0m81e","properties":{"formattedCitation":"{\\rtf (OBPR\\uc0\\u160{}2008, p.\\uc0\\u160{}1)}","plainCitation":"(OBPR 2008, p. 1)"},"citationItems":[{"id":2712,"uris":["http://zotero.org/groups/242685/items/6JFFGV8X"],"uri":["http://zotero.org/groups/242685/items/6JFFGV8X"],"itemData":{"id":2712,"type":"report","title":"Best Practice Regulation Guidance Note - Value of Statistical Life","publisher-place":"Canberra","event-place":"Canberra","author":[{"family":"Office of Best Practice Regulation","given":""}],"translator":[{"family":"OBPR","given":""}],"issued":{"date-parts":[["2008"]]}},"locator":"1"}],"schema":"https://github.com/citation-style-language/schema/raw/master/csl-citation.json"} </w:instrText>
      </w:r>
      <w:r>
        <w:fldChar w:fldCharType="separate"/>
      </w:r>
      <w:r w:rsidRPr="00DC1A7F">
        <w:rPr>
          <w:szCs w:val="24"/>
        </w:rPr>
        <w:t>(OBPR 2008, p. 1)</w:t>
      </w:r>
      <w:r>
        <w:fldChar w:fldCharType="end"/>
      </w:r>
      <w:r>
        <w:t>.</w:t>
      </w:r>
    </w:p>
  </w:footnote>
  <w:footnote w:id="5">
    <w:p w14:paraId="3966DA1C" w14:textId="77777777" w:rsidR="00C32625" w:rsidRPr="005B2B33" w:rsidRDefault="00C32625">
      <w:pPr>
        <w:pStyle w:val="FootnoteText"/>
      </w:pPr>
      <w:r w:rsidRPr="003E3C4A">
        <w:rPr>
          <w:rStyle w:val="FootnoteReference"/>
        </w:rPr>
        <w:footnoteRef/>
      </w:r>
      <w:r>
        <w:tab/>
      </w:r>
      <w:proofErr w:type="gramStart"/>
      <w:r w:rsidRPr="00B21542">
        <w:t xml:space="preserve">The Centre for Risk and Community Safety at RMIT </w:t>
      </w:r>
      <w:r w:rsidRPr="00775C31">
        <w:t>University</w:t>
      </w:r>
      <w:r>
        <w:t xml:space="preserve"> </w:t>
      </w:r>
      <w:r w:rsidRPr="00775C31">
        <w:t>(sub.</w:t>
      </w:r>
      <w:proofErr w:type="gramEnd"/>
      <w:r w:rsidRPr="00775C31">
        <w:t xml:space="preserve"> DR225) is</w:t>
      </w:r>
      <w:r w:rsidRPr="00E838D9">
        <w:t xml:space="preserve"> </w:t>
      </w:r>
      <w:r w:rsidRPr="00D94099">
        <w:t xml:space="preserve">currently working on a project that includes new estimates of the economic costs of natural disasters in Australia. </w:t>
      </w:r>
      <w:r>
        <w:t xml:space="preserve">It examines three different approaches for estimating disaster losses for specific events and will include estimates of some intangible and indirect costs. </w:t>
      </w:r>
      <w:r w:rsidRPr="00B21542">
        <w:t xml:space="preserve">This project is funded by the </w:t>
      </w:r>
      <w:r w:rsidRPr="005B2B33">
        <w:t>Attorney-General’s Department through the National Emergency Management</w:t>
      </w:r>
      <w:r>
        <w:t xml:space="preserve"> Projects</w:t>
      </w:r>
      <w:r w:rsidRPr="005B2B33">
        <w:t xml:space="preserve"> </w:t>
      </w:r>
      <w:r>
        <w:t>p</w:t>
      </w:r>
      <w:r w:rsidRPr="005B2B33">
        <w:t>rogram and is expected to finish in 2015</w:t>
      </w:r>
      <w:r>
        <w:t>.</w:t>
      </w:r>
    </w:p>
  </w:footnote>
  <w:footnote w:id="6">
    <w:p w14:paraId="39CA2C8E" w14:textId="77777777" w:rsidR="00C32625" w:rsidRPr="00F60A40" w:rsidRDefault="00C32625">
      <w:pPr>
        <w:pStyle w:val="FootnoteText"/>
      </w:pPr>
      <w:r w:rsidRPr="003E3C4A">
        <w:rPr>
          <w:rStyle w:val="FootnoteReference"/>
        </w:rPr>
        <w:footnoteRef/>
      </w:r>
      <w:r>
        <w:tab/>
      </w:r>
      <w:r w:rsidRPr="00F60A40">
        <w:t>Th</w:t>
      </w:r>
      <w:r w:rsidRPr="00BD4B6F">
        <w:t xml:space="preserve">ese estimates are based on incomplete </w:t>
      </w:r>
      <w:r>
        <w:t>information from NPANDR implementation plans</w:t>
      </w:r>
      <w:r w:rsidRPr="00BD4B6F">
        <w:t xml:space="preserve">. </w:t>
      </w:r>
    </w:p>
  </w:footnote>
  <w:footnote w:id="7">
    <w:p w14:paraId="1C1C08E6" w14:textId="77777777" w:rsidR="00C32625" w:rsidRDefault="00C32625">
      <w:pPr>
        <w:pStyle w:val="FootnoteText"/>
      </w:pPr>
      <w:r w:rsidRPr="00A30E0C">
        <w:rPr>
          <w:rStyle w:val="FootnoteReference"/>
        </w:rPr>
        <w:footnoteRef/>
      </w:r>
      <w:r>
        <w:tab/>
        <w:t>On 25 </w:t>
      </w:r>
      <w:r w:rsidRPr="00835CA6">
        <w:t>July 2012</w:t>
      </w:r>
      <w:r>
        <w:t>,</w:t>
      </w:r>
      <w:r w:rsidRPr="00835CA6">
        <w:t xml:space="preserve"> New Zealand was included as a member of the National Emergency Management Committee. The name was subsequently changed to </w:t>
      </w:r>
      <w:r>
        <w:t xml:space="preserve">the </w:t>
      </w:r>
      <w:r w:rsidRPr="00835CA6">
        <w:t>Australia–New Zealand Emergency Management Committee.</w:t>
      </w:r>
    </w:p>
  </w:footnote>
  <w:footnote w:id="8">
    <w:p w14:paraId="7A8E13B4" w14:textId="77777777" w:rsidR="00C32625" w:rsidRDefault="00C32625">
      <w:pPr>
        <w:pStyle w:val="FootnoteText"/>
      </w:pPr>
      <w:r w:rsidRPr="00A30E0C">
        <w:rPr>
          <w:rStyle w:val="FootnoteReference"/>
        </w:rPr>
        <w:footnoteRef/>
      </w:r>
      <w:r>
        <w:tab/>
        <w:t>The agreement took effect from 2009 and was amended in 2011.</w:t>
      </w:r>
    </w:p>
  </w:footnote>
  <w:footnote w:id="9">
    <w:p w14:paraId="3796CA6A" w14:textId="77777777" w:rsidR="00C32625" w:rsidRDefault="00C32625">
      <w:pPr>
        <w:pStyle w:val="FootnoteText"/>
      </w:pPr>
      <w:r w:rsidRPr="00A30E0C">
        <w:rPr>
          <w:rStyle w:val="FootnoteReference"/>
        </w:rPr>
        <w:footnoteRef/>
      </w:r>
      <w:r>
        <w:tab/>
        <w:t>Prior to the 2007 NDRRA Determination, these were called the Natural Disaster Relief Arrangements.</w:t>
      </w:r>
    </w:p>
  </w:footnote>
  <w:footnote w:id="10">
    <w:p w14:paraId="2EE01F3F" w14:textId="77777777" w:rsidR="00C32625" w:rsidRDefault="00C32625" w:rsidP="00343F3E">
      <w:pPr>
        <w:pStyle w:val="FootnoteText"/>
      </w:pPr>
      <w:r w:rsidRPr="00A30E0C">
        <w:rPr>
          <w:rStyle w:val="FootnoteReference"/>
        </w:rPr>
        <w:footnoteRef/>
      </w:r>
      <w:r>
        <w:tab/>
      </w:r>
      <w:r w:rsidRPr="00EE2E18">
        <w:t>In this report, ‘Betterment’ is the specific provision under the NDRRA, whereas ‘betterment’ can refer to any increase in asset resilience.</w:t>
      </w:r>
      <w:r>
        <w:t xml:space="preserve"> The cost of ‘betterment’ is considered</w:t>
      </w:r>
      <w:r w:rsidRPr="00EE2E18">
        <w:t xml:space="preserve"> the difference between the cost of restoring an asset to its pre-disaster condition and restoring </w:t>
      </w:r>
      <w:r>
        <w:t>the</w:t>
      </w:r>
      <w:r w:rsidRPr="00EE2E18">
        <w:t xml:space="preserve"> asset to a more disaster-resilient standard.</w:t>
      </w:r>
    </w:p>
  </w:footnote>
  <w:footnote w:id="11">
    <w:p w14:paraId="671B8C73" w14:textId="4E6D50FF" w:rsidR="00C32625" w:rsidRDefault="00C32625" w:rsidP="007D10FC">
      <w:pPr>
        <w:pStyle w:val="FootnoteText"/>
      </w:pPr>
      <w:r w:rsidRPr="00340997">
        <w:rPr>
          <w:rStyle w:val="FootnoteReference"/>
        </w:rPr>
        <w:footnoteRef/>
      </w:r>
      <w:r>
        <w:tab/>
        <w:t>In this report, ‘Betterment’ is the specific provision under the Natural Disaster Relief and Recovery Arrangements, whereas ‘betterment’ can refer more generally to measures that increase the resilience of assets to disasters.</w:t>
      </w:r>
    </w:p>
  </w:footnote>
  <w:footnote w:id="12">
    <w:p w14:paraId="26E80C71" w14:textId="77777777" w:rsidR="00C32625" w:rsidRDefault="00C32625">
      <w:pPr>
        <w:pStyle w:val="FootnoteText"/>
      </w:pPr>
      <w:r>
        <w:rPr>
          <w:rStyle w:val="FootnoteReference"/>
        </w:rPr>
        <w:footnoteRef/>
      </w:r>
      <w:r>
        <w:tab/>
        <w:t>Economic principles suggest that mitigation benefits should reflect society’s willingness to pay to avoid natural disaster costs. However, in practice, benefits are typically estimated as the discounted value of future avoided costs.</w:t>
      </w:r>
    </w:p>
  </w:footnote>
  <w:footnote w:id="13">
    <w:p w14:paraId="2F321DC6" w14:textId="77777777" w:rsidR="00C32625" w:rsidRDefault="00C32625" w:rsidP="00343F3E">
      <w:pPr>
        <w:pStyle w:val="FootnoteText"/>
      </w:pPr>
      <w:r w:rsidRPr="00340997">
        <w:rPr>
          <w:rStyle w:val="FootnoteReference"/>
        </w:rPr>
        <w:footnoteRef/>
      </w:r>
      <w:r>
        <w:tab/>
        <w:t xml:space="preserve">The Queensland Reconstruction Authority assessed applications based on completeness, eligibility and value for money. Value for money is defined as ‘a determination of the outcomes of an individual reconstruction project assessed against how it has contributed to the advancement of government priorities, as well as cost and non-cost factors that include, but are not limited to whole-of-life and transaction costs and fitness for purpose’ (Queensland Government, sub. 31, attachment 4, p. v). </w:t>
      </w:r>
    </w:p>
  </w:footnote>
  <w:footnote w:id="14">
    <w:p w14:paraId="30ACFCCA" w14:textId="77777777" w:rsidR="00C32625" w:rsidRDefault="00C32625">
      <w:pPr>
        <w:pStyle w:val="FootnoteText"/>
      </w:pPr>
      <w:r>
        <w:rPr>
          <w:rStyle w:val="FootnoteReference"/>
        </w:rPr>
        <w:footnoteRef/>
      </w:r>
      <w:r>
        <w:tab/>
        <w:t>Percentage shares are calculated based on a measure of own-source revenue which includes rates and annual charges, user charges and fees and other revenue (not including grants for capital and operating purposes).</w:t>
      </w:r>
    </w:p>
  </w:footnote>
  <w:footnote w:id="15">
    <w:p w14:paraId="776A8C46" w14:textId="7F95ECFA" w:rsidR="00C32625" w:rsidRDefault="00C32625" w:rsidP="00343F3E">
      <w:pPr>
        <w:pStyle w:val="FootnoteText"/>
      </w:pPr>
      <w:r>
        <w:rPr>
          <w:rStyle w:val="FootnoteReference"/>
        </w:rPr>
        <w:footnoteRef/>
      </w:r>
      <w:r>
        <w:tab/>
        <w:t xml:space="preserve">These amendments followed the ABCB’s regulatory impact analysis processes, with the final regulatory impact statement including detailed analysis of the impact of the amendments on new buildings, justifying why the chosen regulatory proposal would be likely to result in greater net community benefits than the identified alternatives. The ABCB noted that </w:t>
      </w:r>
      <w:r w:rsidRPr="00E31761">
        <w:t xml:space="preserve">the </w:t>
      </w:r>
      <w:r>
        <w:t xml:space="preserve">amendments </w:t>
      </w:r>
      <w:r w:rsidRPr="00E31761">
        <w:t xml:space="preserve">would </w:t>
      </w:r>
      <w:r>
        <w:t xml:space="preserve">only affect </w:t>
      </w:r>
      <w:r w:rsidRPr="00E31761">
        <w:t xml:space="preserve">existing building alterations and additions in certain circumstances, depending on jurisdictional legislation and local building approval authorities, and so the impact on existing buildings was not included in the </w:t>
      </w:r>
      <w:r>
        <w:t>regulatory impact statement</w:t>
      </w:r>
      <w:r w:rsidRPr="00E31761">
        <w:t xml:space="preserve"> </w:t>
      </w:r>
      <w:r w:rsidRPr="00E31761">
        <w:fldChar w:fldCharType="begin"/>
      </w:r>
      <w:r>
        <w:instrText xml:space="preserve"> ADDIN ZOTERO_ITEM CSL_CITATION {"citationID":"cqj9voq2e","properties":{"formattedCitation":"{\\rtf (ABCB\\uc0\\u160{}2009)}","plainCitation":"(ABCB 2009)"},"citationItems":[{"id":3026,"uris":["http://zotero.org/groups/242685/items/5HDXWBZ8"],"uri":["http://zotero.org/groups/242685/items/5HDXWBZ8"],"itemData":{"id":3026,"type":"report","title":"Proposal to Revise the Building Code of Australia Requirements for Construction in Bushfire Prone Areas","publisher-place":"Canberra","genre":"Final Regulatory Impact Statement for Decision (RIS 2009-02)","event-place":"Canberra","URL":"http://www.abcb.gov.au/~/media/Files/Download%20Documents/Archived/Consultation/Bushfire%20Construction%20Final%20Decision%20RIS.ashx","author":[{"family":"Australian Building Codes Board","given":""}],"translator":[{"family":"ABCB","given":""}],"issued":{"date-parts":[["2009"]]}}}],"schema":"https://github.com/citation-style-language/schema/raw/master/csl-citation.json"} </w:instrText>
      </w:r>
      <w:r w:rsidRPr="00E31761">
        <w:fldChar w:fldCharType="separate"/>
      </w:r>
      <w:r w:rsidRPr="00362A7A">
        <w:rPr>
          <w:szCs w:val="24"/>
        </w:rPr>
        <w:t>(ABCB 2009)</w:t>
      </w:r>
      <w:r w:rsidRPr="00E31761">
        <w:fldChar w:fldCharType="end"/>
      </w:r>
      <w:r w:rsidRPr="00795C57">
        <w:t>.</w:t>
      </w:r>
    </w:p>
  </w:footnote>
  <w:footnote w:id="16">
    <w:p w14:paraId="4D9450CA" w14:textId="77777777" w:rsidR="00C32625" w:rsidRDefault="00C32625" w:rsidP="00343F3E">
      <w:pPr>
        <w:pStyle w:val="FootnoteText"/>
      </w:pPr>
      <w:r>
        <w:rPr>
          <w:rStyle w:val="FootnoteReference"/>
        </w:rPr>
        <w:footnoteRef/>
      </w:r>
      <w:r>
        <w:tab/>
        <w:t>A previous version of</w:t>
      </w:r>
      <w:r w:rsidRPr="00576376">
        <w:t xml:space="preserve"> this paper benefited from independent review: exter</w:t>
      </w:r>
      <w:r>
        <w:t>nally by Professor John Handmer of</w:t>
      </w:r>
      <w:r w:rsidRPr="00576376">
        <w:t xml:space="preserve"> RMIT University; and internally by Dr Patrick Jomini</w:t>
      </w:r>
      <w:r>
        <w:t xml:space="preserve"> of the</w:t>
      </w:r>
      <w:r w:rsidRPr="00576376">
        <w:t xml:space="preserve"> Productivity Commission</w:t>
      </w:r>
      <w:r>
        <w:t>.</w:t>
      </w:r>
    </w:p>
  </w:footnote>
  <w:footnote w:id="17">
    <w:p w14:paraId="4DEC3CDC" w14:textId="68FAF473" w:rsidR="00C32625" w:rsidRDefault="00C32625">
      <w:pPr>
        <w:pStyle w:val="FootnoteText"/>
      </w:pPr>
      <w:r w:rsidRPr="00181401">
        <w:rPr>
          <w:rStyle w:val="FootnoteReference"/>
        </w:rPr>
        <w:footnoteRef/>
      </w:r>
      <w:r>
        <w:tab/>
        <w:t xml:space="preserve">The value of statistical life can be defined as ‘the financial value society places on reducing the average number of deaths by one. A related concept is the value of [a] statistical life year, which estimates the value society places on reducing the risk of premature death, expressed in terms of saving a statistical life year’ </w:t>
      </w:r>
      <w:r>
        <w:fldChar w:fldCharType="begin"/>
      </w:r>
      <w:r>
        <w:instrText xml:space="preserve"> ADDIN ZOTERO_ITEM CSL_CITATION {"citationID":"9dcatlbn","properties":{"formattedCitation":"{\\rtf (OBPR\\uc0\\u160{}2008, p.\\uc0\\u160{}1)}","plainCitation":"(OBPR 2008, p. 1)"},"citationItems":[{"id":2712,"uris":["http://zotero.org/groups/242685/items/6JFFGV8X"],"uri":["http://zotero.org/groups/242685/items/6JFFGV8X"],"itemData":{"id":2712,"type":"report","title":"Best Practice Regulation Guidance Note - Value of Statistical Life","publisher-place":"Canberra","event-place":"Canberra","author":[{"family":"Office of Best Practice Regulation","given":""}],"translator":[{"family":"OBPR","given":""}],"issued":{"date-parts":[["2008"]]}},"locator":"1"}],"schema":"https://github.com/citation-style-language/schema/raw/master/csl-citation.json"} </w:instrText>
      </w:r>
      <w:r>
        <w:fldChar w:fldCharType="separate"/>
      </w:r>
      <w:r w:rsidRPr="00D163C1">
        <w:rPr>
          <w:szCs w:val="24"/>
        </w:rPr>
        <w:t>(OBPR 2008, p. 1)</w:t>
      </w:r>
      <w:r>
        <w:fldChar w:fldCharType="end"/>
      </w:r>
      <w:r>
        <w:t>.</w:t>
      </w:r>
    </w:p>
  </w:footnote>
  <w:footnote w:id="18">
    <w:p w14:paraId="7AE797D7" w14:textId="7D821DB9" w:rsidR="00C32625" w:rsidRDefault="00C32625" w:rsidP="00343F3E">
      <w:pPr>
        <w:pStyle w:val="FootnoteText"/>
      </w:pPr>
      <w:r>
        <w:rPr>
          <w:rStyle w:val="FootnoteReference"/>
        </w:rPr>
        <w:footnoteRef/>
      </w:r>
      <w:r>
        <w:tab/>
        <w:t xml:space="preserve">A catastrophe model is a computerised system that produces ‘a robust set of simulated events and estimates the magnitude, intensity, and location of the event to determine the amount of damage and calculate the insured loss as a result of a catastrophic event such as a hurricane or an earthquake’ </w:t>
      </w:r>
      <w:r>
        <w:fldChar w:fldCharType="begin"/>
      </w:r>
      <w:r>
        <w:instrText xml:space="preserve"> ADDIN ZOTERO_ITEM CSL_CITATION {"citationID":"26dnff3k9s","properties":{"formattedCitation":"{\\rtf (Lloyd\\uc0\\u8217{}s Market Association\\uc0\\u160{}2013, p.\\uc0\\u160{}1)}","plainCitation":"(Lloyd’s Market Association 2013, p. 1)"},"citationItems":[{"id":3286,"uris":["http://zotero.org/groups/242685/items/Q4SM6UQJ"],"uri":["http://zotero.org/groups/242685/items/Q4SM6UQJ"],"itemData":{"id":3286,"type":"report","title":"Catastrophe Modelling: Guidance for Non-Catastrophe Modellers","publisher-place":"London","event-place":"London","author":[{"family":"Lloyd's Market Association","given":""}],"issued":{"date-parts":[["2013"]]}},"locator":"1"}],"schema":"https://github.com/citation-style-language/schema/raw/master/csl-citation.json"} </w:instrText>
      </w:r>
      <w:r>
        <w:fldChar w:fldCharType="separate"/>
      </w:r>
      <w:r w:rsidRPr="005279C6">
        <w:rPr>
          <w:szCs w:val="24"/>
        </w:rPr>
        <w:t>(Lloyd’s Market Association 2013, p. 1)</w:t>
      </w:r>
      <w:r>
        <w:fldChar w:fldCharType="end"/>
      </w:r>
      <w:r>
        <w:t>.</w:t>
      </w:r>
    </w:p>
  </w:footnote>
  <w:footnote w:id="19">
    <w:p w14:paraId="21B8FDBB" w14:textId="673C8E2D" w:rsidR="00C32625" w:rsidRDefault="00C32625">
      <w:pPr>
        <w:pStyle w:val="FootnoteText"/>
      </w:pPr>
      <w:r>
        <w:rPr>
          <w:rStyle w:val="FootnoteReference"/>
        </w:rPr>
        <w:footnoteRef/>
      </w:r>
      <w:r>
        <w:tab/>
        <w:t xml:space="preserve">Insurance losses are sourced from the Insurance Council of Australia </w:t>
      </w:r>
      <w:r>
        <w:fldChar w:fldCharType="begin"/>
      </w:r>
      <w:r>
        <w:instrText xml:space="preserve"> ADDIN ZOTERO_ITEM CSL_CITATION {"citationID":"KaOXhw1S","properties":{"formattedCitation":"(2014e)","plainCitation":"(2014e)"},"citationItems":[{"id":2474,"uris":["http://zotero.org/groups/242685/items/CK8SMURJ"],"uri":["http://zotero.org/groups/242685/items/CK8SMURJ"],"itemData":{"id":2474,"type":"webpage","title":"Historical Disaster Statistics","URL":"http://www.insurancecouncil.com.au/industry-statistics-data/disaster-statistics/historical-disaster-statistics","author":[{"family":"Insurance Council of Australia","given":""}],"translator":[{"family":"ICA","given":""}],"issued":{"date-parts":[["2014"]]},"accessed":{"date-parts":[["2014",9,11]]}},"suppress-author":true}],"schema":"https://github.com/citation-style-language/schema/raw/master/csl-citation.json"} </w:instrText>
      </w:r>
      <w:r>
        <w:fldChar w:fldCharType="separate"/>
      </w:r>
      <w:r w:rsidRPr="007C5656">
        <w:t>(2014e)</w:t>
      </w:r>
      <w:r>
        <w:fldChar w:fldCharType="end"/>
      </w:r>
      <w:r>
        <w:t xml:space="preserve"> and are assumed to occur in the same year as the natural disasters they relate to.</w:t>
      </w:r>
    </w:p>
  </w:footnote>
  <w:footnote w:id="20">
    <w:p w14:paraId="50EAB4B1" w14:textId="77777777" w:rsidR="00C32625" w:rsidRDefault="00C32625" w:rsidP="00343F3E">
      <w:pPr>
        <w:pStyle w:val="FootnoteText"/>
      </w:pPr>
      <w:r w:rsidRPr="00181401">
        <w:rPr>
          <w:rStyle w:val="FootnoteReference"/>
        </w:rPr>
        <w:footnoteRef/>
      </w:r>
      <w:r>
        <w:tab/>
        <w:t>A growth rate of this magnitude is consistent with the trend growth rate in nominal GDP, which picks up the influences of projected growth in population (including changes in settlement patterns), wealth and prices.</w:t>
      </w:r>
    </w:p>
  </w:footnote>
  <w:footnote w:id="21">
    <w:p w14:paraId="5722C843" w14:textId="77777777" w:rsidR="00C32625" w:rsidRDefault="00C32625" w:rsidP="00343F3E">
      <w:pPr>
        <w:pStyle w:val="FootnoteText"/>
      </w:pPr>
      <w:r w:rsidRPr="00181401">
        <w:rPr>
          <w:rStyle w:val="FootnoteReference"/>
        </w:rPr>
        <w:footnoteRef/>
      </w:r>
      <w:r w:rsidRPr="00826958">
        <w:tab/>
        <w:t>Using data on the NDRRA</w:t>
      </w:r>
      <w:r>
        <w:t xml:space="preserve"> only</w:t>
      </w:r>
      <w:r w:rsidRPr="00826958">
        <w:t xml:space="preserve"> instead</w:t>
      </w:r>
      <w:r>
        <w:t xml:space="preserve"> of</w:t>
      </w:r>
      <w:r w:rsidRPr="00826958">
        <w:t xml:space="preserve"> total pre- and post-disaster expenditure would only extend the sample period by a few years (</w:t>
      </w:r>
      <w:r>
        <w:t xml:space="preserve">back to </w:t>
      </w:r>
      <w:r w:rsidRPr="00826958">
        <w:t>1998-99).</w:t>
      </w:r>
    </w:p>
  </w:footnote>
  <w:footnote w:id="22">
    <w:p w14:paraId="6C6983A2" w14:textId="77777777" w:rsidR="00C32625" w:rsidRDefault="00C32625" w:rsidP="00343F3E">
      <w:pPr>
        <w:pStyle w:val="FootnoteText"/>
      </w:pPr>
      <w:r>
        <w:rPr>
          <w:rStyle w:val="FootnoteReference"/>
        </w:rPr>
        <w:footnoteRef/>
      </w:r>
      <w:r>
        <w:tab/>
        <w:t>The top-up fiscal support element was not modelled because it as an optional component of the Commission’s reform. Data on its cost and potential impacts do not exist at this time but could be estimated based on catastrophe loss modelling at the state and territory level</w:t>
      </w:r>
      <w:r w:rsidDel="00E056C2">
        <w:t>, coupled with an understanding of the agreed policy parameters</w:t>
      </w:r>
      <w:r>
        <w:t>.</w:t>
      </w:r>
    </w:p>
  </w:footnote>
  <w:footnote w:id="23">
    <w:p w14:paraId="26EBE121" w14:textId="77777777" w:rsidR="00C32625" w:rsidRDefault="00C32625" w:rsidP="00343F3E">
      <w:pPr>
        <w:pStyle w:val="FootnoteText"/>
      </w:pPr>
      <w:r w:rsidRPr="00181401">
        <w:rPr>
          <w:rStyle w:val="FootnoteReference"/>
        </w:rPr>
        <w:footnoteRef/>
      </w:r>
      <w:r>
        <w:tab/>
        <w:t>Category D expenditure is excluded from this assessment due to the discretionary elements of its arrangements and therefore unclear impacts on total expenditure.</w:t>
      </w:r>
    </w:p>
  </w:footnote>
  <w:footnote w:id="24">
    <w:p w14:paraId="42286B75" w14:textId="77777777" w:rsidR="00C32625" w:rsidRDefault="00C32625">
      <w:pPr>
        <w:pStyle w:val="FootnoteText"/>
      </w:pPr>
      <w:r>
        <w:rPr>
          <w:rStyle w:val="FootnoteReference"/>
        </w:rPr>
        <w:footnoteRef/>
      </w:r>
      <w:r>
        <w:tab/>
        <w:t>The Commission’s funding model adopts a principles-based approach to what expenditure is eligible under ‘community recovery’ (chapter 3). However,</w:t>
      </w:r>
      <w:r w:rsidDel="005D5082">
        <w:t xml:space="preserve"> </w:t>
      </w:r>
      <w:r>
        <w:t xml:space="preserve">for this modelling exercise, the Commission had to make assumptions about what items of community recovery expenditure to include based on the current structure on the NDRRA. </w:t>
      </w:r>
    </w:p>
  </w:footnote>
  <w:footnote w:id="25">
    <w:p w14:paraId="23AF3163" w14:textId="77777777" w:rsidR="00C32625" w:rsidRDefault="00C32625">
      <w:pPr>
        <w:pStyle w:val="FootnoteText"/>
      </w:pPr>
      <w:r>
        <w:rPr>
          <w:rStyle w:val="FootnoteReference"/>
        </w:rPr>
        <w:footnoteRef/>
      </w:r>
      <w:r>
        <w:tab/>
      </w:r>
      <w:proofErr w:type="gramStart"/>
      <w:r>
        <w:t>The Queensland Government (sub.</w:t>
      </w:r>
      <w:proofErr w:type="gramEnd"/>
      <w:r>
        <w:t xml:space="preserve"> DR184) reported a total fiscal impact of $5.3 billion in their submission. This estimate included the costs of removing insurance duty. In the draft report, the Commission recommended replacing insurance duty with more efficient revenue sources.</w:t>
      </w:r>
    </w:p>
  </w:footnote>
  <w:footnote w:id="26">
    <w:p w14:paraId="13065A31" w14:textId="6735EFCB" w:rsidR="00C32625" w:rsidRPr="009B5B18" w:rsidRDefault="00C32625">
      <w:pPr>
        <w:pStyle w:val="FootnoteText"/>
      </w:pPr>
      <w:r>
        <w:rPr>
          <w:rStyle w:val="FootnoteReference"/>
        </w:rPr>
        <w:footnoteRef/>
      </w:r>
      <w:r>
        <w:tab/>
        <w:t>The Victorian and Queensland Governments estimates are the first-round impacts, and do not take into account the second round effect of cost-sharing through the horizontal fiscal equalisation process.</w:t>
      </w:r>
    </w:p>
  </w:footnote>
  <w:footnote w:id="27">
    <w:p w14:paraId="75BEB841" w14:textId="29E9CFFA" w:rsidR="00C32625" w:rsidRDefault="00C32625">
      <w:pPr>
        <w:pStyle w:val="FootnoteText"/>
      </w:pPr>
      <w:r>
        <w:rPr>
          <w:rStyle w:val="FootnoteReference"/>
        </w:rPr>
        <w:footnoteRef/>
      </w:r>
      <w:r>
        <w:tab/>
        <w:t>The Commission’s estimate for Victoria differs from the Victorian Government’s estimate ($850 million) because different datasets were used.</w:t>
      </w:r>
    </w:p>
  </w:footnote>
  <w:footnote w:id="28">
    <w:p w14:paraId="30AF8722" w14:textId="77777777" w:rsidR="00C32625" w:rsidRDefault="00C32625">
      <w:pPr>
        <w:pStyle w:val="FootnoteText"/>
      </w:pPr>
      <w:r w:rsidRPr="00181401">
        <w:rPr>
          <w:rStyle w:val="FootnoteReference"/>
        </w:rPr>
        <w:footnoteRef/>
      </w:r>
      <w:r>
        <w:tab/>
        <w:t>The time period 2007-08 to 2013-14 captures the high variability in fiscal costs. It includes the low expenditure years of 2007-08 and 2008-09, and the high expenditure years following the severe natural disasters that occurred in 2009, 2010 and 2011.</w:t>
      </w:r>
    </w:p>
  </w:footnote>
  <w:footnote w:id="29">
    <w:p w14:paraId="58DFDE05" w14:textId="77777777" w:rsidR="00C32625" w:rsidRDefault="00C32625">
      <w:pPr>
        <w:pStyle w:val="FootnoteText"/>
      </w:pPr>
      <w:r>
        <w:rPr>
          <w:rStyle w:val="FootnoteReference"/>
        </w:rPr>
        <w:footnoteRef/>
      </w:r>
      <w:r>
        <w:tab/>
        <w:t>This is a different dataset from the one used to assess the Commission’s funding model in section 7.5.</w:t>
      </w:r>
    </w:p>
  </w:footnote>
  <w:footnote w:id="30">
    <w:p w14:paraId="1F554846" w14:textId="07464D23" w:rsidR="00C32625" w:rsidRDefault="00C32625">
      <w:pPr>
        <w:pStyle w:val="FootnoteText"/>
      </w:pPr>
      <w:r>
        <w:rPr>
          <w:rStyle w:val="FootnoteReference"/>
        </w:rPr>
        <w:footnoteRef/>
      </w:r>
      <w:r>
        <w:tab/>
      </w:r>
      <w:r w:rsidRPr="00F85E44">
        <w:t xml:space="preserve">Exponential smoothing </w:t>
      </w:r>
      <w:r>
        <w:t>is not appropriate for this analysis because it cannot be used for producing medium- and long-term projections. It will generate the same value for all the projections — represented by a horizontal straight line. This is incompatible with the reasonable expectation that nominal insurance losses will continue to increase in the future.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4DEB6455" w14:textId="77777777" w:rsidTr="00DE1537">
      <w:trPr>
        <w:trHeight w:val="300"/>
      </w:trPr>
      <w:tc>
        <w:tcPr>
          <w:tcW w:w="2154" w:type="dxa"/>
          <w:tcBorders>
            <w:top w:val="single" w:sz="24" w:space="0" w:color="auto"/>
          </w:tcBorders>
          <w:shd w:val="clear" w:color="auto" w:fill="auto"/>
        </w:tcPr>
        <w:p w14:paraId="7D401F5F" w14:textId="77777777" w:rsidR="00C32625" w:rsidRDefault="00C32625" w:rsidP="00DE1537">
          <w:pPr>
            <w:pStyle w:val="HeaderEven"/>
          </w:pPr>
        </w:p>
      </w:tc>
      <w:tc>
        <w:tcPr>
          <w:tcW w:w="6633" w:type="dxa"/>
          <w:tcBorders>
            <w:top w:val="single" w:sz="6" w:space="0" w:color="auto"/>
          </w:tcBorders>
          <w:shd w:val="clear" w:color="auto" w:fill="auto"/>
        </w:tcPr>
        <w:p w14:paraId="20007DEB" w14:textId="77777777" w:rsidR="00C32625" w:rsidRDefault="00C32625" w:rsidP="00DE1537">
          <w:pPr>
            <w:pStyle w:val="HeaderEven"/>
          </w:pPr>
        </w:p>
      </w:tc>
    </w:tr>
  </w:tbl>
  <w:p w14:paraId="5A74E10D" w14:textId="77777777" w:rsidR="00C32625" w:rsidRPr="00DE1537" w:rsidRDefault="00C32625" w:rsidP="00DE1537">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202B7052" w14:textId="77777777" w:rsidTr="00DE1537">
      <w:trPr>
        <w:trHeight w:val="300"/>
      </w:trPr>
      <w:tc>
        <w:tcPr>
          <w:tcW w:w="6633" w:type="dxa"/>
          <w:tcBorders>
            <w:top w:val="single" w:sz="6" w:space="0" w:color="auto"/>
          </w:tcBorders>
          <w:shd w:val="clear" w:color="auto" w:fill="auto"/>
        </w:tcPr>
        <w:p w14:paraId="52B75372" w14:textId="77777777" w:rsidR="00C32625" w:rsidRDefault="00C32625" w:rsidP="00DE1537">
          <w:pPr>
            <w:pStyle w:val="HeaderOdd"/>
          </w:pPr>
        </w:p>
      </w:tc>
      <w:tc>
        <w:tcPr>
          <w:tcW w:w="2154" w:type="dxa"/>
          <w:tcBorders>
            <w:top w:val="single" w:sz="24" w:space="0" w:color="auto"/>
          </w:tcBorders>
          <w:shd w:val="clear" w:color="auto" w:fill="auto"/>
        </w:tcPr>
        <w:p w14:paraId="5E092709" w14:textId="77777777" w:rsidR="00C32625" w:rsidRDefault="00C32625" w:rsidP="00DE1537">
          <w:pPr>
            <w:pStyle w:val="HeaderOdd"/>
          </w:pPr>
        </w:p>
      </w:tc>
    </w:tr>
  </w:tbl>
  <w:p w14:paraId="3D80AA6B" w14:textId="77777777" w:rsidR="00C32625" w:rsidRPr="00DE1537" w:rsidRDefault="00C32625" w:rsidP="00DE1537">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21F4D7" w14:textId="77777777" w:rsidR="00C32625" w:rsidRPr="00DE1537" w:rsidRDefault="00C32625" w:rsidP="00DE1537">
    <w:pPr>
      <w:pStyle w:val="Header"/>
      <w:spacing w:line="2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D6A911" w14:textId="77777777" w:rsidR="00C32625" w:rsidRPr="00DE1537" w:rsidRDefault="00C32625" w:rsidP="00DE1537">
    <w:pPr>
      <w:pStyle w:val="Header"/>
      <w:spacing w:line="2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12700343" w14:textId="77777777" w:rsidTr="00DE1537">
      <w:trPr>
        <w:trHeight w:val="300"/>
      </w:trPr>
      <w:tc>
        <w:tcPr>
          <w:tcW w:w="2154" w:type="dxa"/>
          <w:tcBorders>
            <w:top w:val="single" w:sz="24" w:space="0" w:color="auto"/>
          </w:tcBorders>
          <w:shd w:val="clear" w:color="auto" w:fill="auto"/>
        </w:tcPr>
        <w:p w14:paraId="7DF48D30" w14:textId="77777777" w:rsidR="00C32625" w:rsidRDefault="00C32625" w:rsidP="00DE1537">
          <w:pPr>
            <w:pStyle w:val="HeaderEven"/>
          </w:pPr>
        </w:p>
      </w:tc>
      <w:tc>
        <w:tcPr>
          <w:tcW w:w="6633" w:type="dxa"/>
          <w:tcBorders>
            <w:top w:val="single" w:sz="6" w:space="0" w:color="auto"/>
          </w:tcBorders>
          <w:shd w:val="clear" w:color="auto" w:fill="auto"/>
        </w:tcPr>
        <w:p w14:paraId="29D95A75" w14:textId="77777777" w:rsidR="00C32625" w:rsidRDefault="00C32625" w:rsidP="00DE1537">
          <w:pPr>
            <w:pStyle w:val="HeaderEven"/>
          </w:pPr>
        </w:p>
      </w:tc>
    </w:tr>
  </w:tbl>
  <w:p w14:paraId="6E39E320" w14:textId="77777777" w:rsidR="00C32625" w:rsidRPr="00DE1537" w:rsidRDefault="00C32625" w:rsidP="00DE1537">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5D123DB2" w14:textId="77777777" w:rsidTr="00DE1537">
      <w:trPr>
        <w:trHeight w:val="300"/>
      </w:trPr>
      <w:tc>
        <w:tcPr>
          <w:tcW w:w="6633" w:type="dxa"/>
          <w:tcBorders>
            <w:top w:val="single" w:sz="6" w:space="0" w:color="auto"/>
          </w:tcBorders>
          <w:shd w:val="clear" w:color="auto" w:fill="auto"/>
        </w:tcPr>
        <w:p w14:paraId="36D2F32A" w14:textId="77777777" w:rsidR="00C32625" w:rsidRDefault="00C32625" w:rsidP="00DE1537">
          <w:pPr>
            <w:pStyle w:val="HeaderOdd"/>
          </w:pPr>
        </w:p>
      </w:tc>
      <w:tc>
        <w:tcPr>
          <w:tcW w:w="2154" w:type="dxa"/>
          <w:tcBorders>
            <w:top w:val="single" w:sz="24" w:space="0" w:color="auto"/>
          </w:tcBorders>
          <w:shd w:val="clear" w:color="auto" w:fill="auto"/>
        </w:tcPr>
        <w:p w14:paraId="55C76248" w14:textId="77777777" w:rsidR="00C32625" w:rsidRDefault="00C32625" w:rsidP="00DE1537">
          <w:pPr>
            <w:pStyle w:val="HeaderOdd"/>
          </w:pPr>
        </w:p>
      </w:tc>
    </w:tr>
  </w:tbl>
  <w:p w14:paraId="1FD5B1D4" w14:textId="77777777" w:rsidR="00C32625" w:rsidRPr="00DE1537" w:rsidRDefault="00C32625" w:rsidP="00DE1537">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6116C0D7" w14:textId="77777777" w:rsidTr="00DE1537">
      <w:trPr>
        <w:trHeight w:val="300"/>
      </w:trPr>
      <w:tc>
        <w:tcPr>
          <w:tcW w:w="2154" w:type="dxa"/>
          <w:tcBorders>
            <w:top w:val="single" w:sz="24" w:space="0" w:color="auto"/>
          </w:tcBorders>
          <w:shd w:val="clear" w:color="auto" w:fill="auto"/>
        </w:tcPr>
        <w:p w14:paraId="3E551C96" w14:textId="77777777" w:rsidR="00C32625" w:rsidRDefault="00C32625" w:rsidP="00DE1537">
          <w:pPr>
            <w:pStyle w:val="HeaderEven"/>
          </w:pPr>
        </w:p>
      </w:tc>
      <w:tc>
        <w:tcPr>
          <w:tcW w:w="6633" w:type="dxa"/>
          <w:tcBorders>
            <w:top w:val="single" w:sz="6" w:space="0" w:color="auto"/>
          </w:tcBorders>
          <w:shd w:val="clear" w:color="auto" w:fill="auto"/>
        </w:tcPr>
        <w:p w14:paraId="62368846" w14:textId="77777777" w:rsidR="00C32625" w:rsidRDefault="00C32625" w:rsidP="00DE1537">
          <w:pPr>
            <w:pStyle w:val="HeaderEven"/>
          </w:pPr>
        </w:p>
      </w:tc>
    </w:tr>
  </w:tbl>
  <w:p w14:paraId="40F0E906" w14:textId="77777777" w:rsidR="00C32625" w:rsidRPr="00DE1537" w:rsidRDefault="00C32625" w:rsidP="00DE1537">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6A2E10CA" w14:textId="77777777" w:rsidTr="00DE1537">
      <w:trPr>
        <w:trHeight w:val="300"/>
      </w:trPr>
      <w:tc>
        <w:tcPr>
          <w:tcW w:w="6633" w:type="dxa"/>
          <w:tcBorders>
            <w:top w:val="single" w:sz="6" w:space="0" w:color="auto"/>
          </w:tcBorders>
          <w:shd w:val="clear" w:color="auto" w:fill="auto"/>
        </w:tcPr>
        <w:p w14:paraId="282E7435" w14:textId="77777777" w:rsidR="00C32625" w:rsidRDefault="00C32625" w:rsidP="00DE1537">
          <w:pPr>
            <w:pStyle w:val="HeaderOdd"/>
          </w:pPr>
        </w:p>
      </w:tc>
      <w:tc>
        <w:tcPr>
          <w:tcW w:w="2154" w:type="dxa"/>
          <w:tcBorders>
            <w:top w:val="single" w:sz="24" w:space="0" w:color="auto"/>
          </w:tcBorders>
          <w:shd w:val="clear" w:color="auto" w:fill="auto"/>
        </w:tcPr>
        <w:p w14:paraId="192CE3DB" w14:textId="77777777" w:rsidR="00C32625" w:rsidRDefault="00C32625" w:rsidP="00DE1537">
          <w:pPr>
            <w:pStyle w:val="HeaderOdd"/>
          </w:pPr>
        </w:p>
      </w:tc>
    </w:tr>
  </w:tbl>
  <w:p w14:paraId="0446F31F" w14:textId="77777777" w:rsidR="00C32625" w:rsidRPr="00DE1537" w:rsidRDefault="00C32625" w:rsidP="00DE1537">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9F621E" w14:textId="77777777" w:rsidR="00C32625" w:rsidRPr="00DE1537" w:rsidRDefault="00C32625" w:rsidP="00DE1537">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B671D3" w14:textId="77777777" w:rsidR="00C32625" w:rsidRPr="00DE1537" w:rsidRDefault="00C32625" w:rsidP="00DE1537">
    <w:pPr>
      <w:pStyle w:val="Header"/>
      <w:spacing w:line="2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196C2F0D" w14:textId="77777777" w:rsidTr="00DE1537">
      <w:trPr>
        <w:trHeight w:val="300"/>
      </w:trPr>
      <w:tc>
        <w:tcPr>
          <w:tcW w:w="2154" w:type="dxa"/>
          <w:tcBorders>
            <w:top w:val="single" w:sz="24" w:space="0" w:color="auto"/>
          </w:tcBorders>
          <w:shd w:val="clear" w:color="auto" w:fill="auto"/>
        </w:tcPr>
        <w:p w14:paraId="64EA6FE4" w14:textId="77777777" w:rsidR="00C32625" w:rsidRDefault="00C32625" w:rsidP="00DE1537">
          <w:pPr>
            <w:pStyle w:val="HeaderEven"/>
          </w:pPr>
        </w:p>
      </w:tc>
      <w:tc>
        <w:tcPr>
          <w:tcW w:w="6633" w:type="dxa"/>
          <w:tcBorders>
            <w:top w:val="single" w:sz="6" w:space="0" w:color="auto"/>
          </w:tcBorders>
          <w:shd w:val="clear" w:color="auto" w:fill="auto"/>
        </w:tcPr>
        <w:p w14:paraId="10D368E7" w14:textId="77777777" w:rsidR="00C32625" w:rsidRDefault="00C32625" w:rsidP="00DE1537">
          <w:pPr>
            <w:pStyle w:val="HeaderEven"/>
          </w:pPr>
        </w:p>
      </w:tc>
    </w:tr>
  </w:tbl>
  <w:p w14:paraId="6655C3FC" w14:textId="77777777" w:rsidR="00C32625" w:rsidRPr="00DE1537" w:rsidRDefault="00C32625" w:rsidP="00DE1537">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6C2D4278" w14:textId="77777777" w:rsidTr="00DE1537">
      <w:trPr>
        <w:trHeight w:val="300"/>
      </w:trPr>
      <w:tc>
        <w:tcPr>
          <w:tcW w:w="6633" w:type="dxa"/>
          <w:tcBorders>
            <w:top w:val="single" w:sz="6" w:space="0" w:color="auto"/>
          </w:tcBorders>
          <w:shd w:val="clear" w:color="auto" w:fill="auto"/>
        </w:tcPr>
        <w:p w14:paraId="2C862D2C" w14:textId="77777777" w:rsidR="00C32625" w:rsidRDefault="00C32625" w:rsidP="00DE1537">
          <w:pPr>
            <w:pStyle w:val="HeaderOdd"/>
          </w:pPr>
        </w:p>
      </w:tc>
      <w:tc>
        <w:tcPr>
          <w:tcW w:w="2154" w:type="dxa"/>
          <w:tcBorders>
            <w:top w:val="single" w:sz="24" w:space="0" w:color="auto"/>
          </w:tcBorders>
          <w:shd w:val="clear" w:color="auto" w:fill="auto"/>
        </w:tcPr>
        <w:p w14:paraId="327FCECC" w14:textId="77777777" w:rsidR="00C32625" w:rsidRDefault="00C32625" w:rsidP="00DE1537">
          <w:pPr>
            <w:pStyle w:val="HeaderOdd"/>
          </w:pPr>
        </w:p>
      </w:tc>
    </w:tr>
  </w:tbl>
  <w:p w14:paraId="1F5BF80C" w14:textId="77777777" w:rsidR="00C32625" w:rsidRPr="00DE1537" w:rsidRDefault="00C32625" w:rsidP="00DE1537">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68EAEBEB" w14:textId="77777777" w:rsidTr="00DE1537">
      <w:trPr>
        <w:trHeight w:val="300"/>
      </w:trPr>
      <w:tc>
        <w:tcPr>
          <w:tcW w:w="2154" w:type="dxa"/>
          <w:tcBorders>
            <w:top w:val="single" w:sz="24" w:space="0" w:color="auto"/>
          </w:tcBorders>
          <w:shd w:val="clear" w:color="auto" w:fill="auto"/>
        </w:tcPr>
        <w:p w14:paraId="0F69817F" w14:textId="77777777" w:rsidR="00C32625" w:rsidRDefault="00C32625" w:rsidP="00DE1537">
          <w:pPr>
            <w:pStyle w:val="HeaderEven"/>
          </w:pPr>
        </w:p>
      </w:tc>
      <w:tc>
        <w:tcPr>
          <w:tcW w:w="6633" w:type="dxa"/>
          <w:tcBorders>
            <w:top w:val="single" w:sz="6" w:space="0" w:color="auto"/>
          </w:tcBorders>
          <w:shd w:val="clear" w:color="auto" w:fill="auto"/>
        </w:tcPr>
        <w:p w14:paraId="5D999B62" w14:textId="77777777" w:rsidR="00C32625" w:rsidRDefault="00C32625" w:rsidP="00DE1537">
          <w:pPr>
            <w:pStyle w:val="HeaderEven"/>
          </w:pPr>
        </w:p>
      </w:tc>
    </w:tr>
  </w:tbl>
  <w:p w14:paraId="1769971A" w14:textId="77777777" w:rsidR="00C32625" w:rsidRPr="00DE1537" w:rsidRDefault="00C32625" w:rsidP="00DE1537">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4B63454B" w14:textId="77777777" w:rsidTr="00DE1537">
      <w:trPr>
        <w:trHeight w:val="300"/>
      </w:trPr>
      <w:tc>
        <w:tcPr>
          <w:tcW w:w="6633" w:type="dxa"/>
          <w:tcBorders>
            <w:top w:val="single" w:sz="6" w:space="0" w:color="auto"/>
          </w:tcBorders>
          <w:shd w:val="clear" w:color="auto" w:fill="auto"/>
        </w:tcPr>
        <w:p w14:paraId="66803286" w14:textId="77777777" w:rsidR="00C32625" w:rsidRDefault="00C32625" w:rsidP="00DE1537">
          <w:pPr>
            <w:pStyle w:val="HeaderOdd"/>
          </w:pPr>
        </w:p>
      </w:tc>
      <w:tc>
        <w:tcPr>
          <w:tcW w:w="2154" w:type="dxa"/>
          <w:tcBorders>
            <w:top w:val="single" w:sz="24" w:space="0" w:color="auto"/>
          </w:tcBorders>
          <w:shd w:val="clear" w:color="auto" w:fill="auto"/>
        </w:tcPr>
        <w:p w14:paraId="5F1F35E4" w14:textId="77777777" w:rsidR="00C32625" w:rsidRDefault="00C32625" w:rsidP="00DE1537">
          <w:pPr>
            <w:pStyle w:val="HeaderOdd"/>
          </w:pPr>
        </w:p>
      </w:tc>
    </w:tr>
  </w:tbl>
  <w:p w14:paraId="3A662371" w14:textId="77777777" w:rsidR="00C32625" w:rsidRPr="00DE1537" w:rsidRDefault="00C32625" w:rsidP="00DE1537">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060769A8" w14:textId="77777777" w:rsidTr="00DE1537">
      <w:trPr>
        <w:trHeight w:val="300"/>
      </w:trPr>
      <w:tc>
        <w:tcPr>
          <w:tcW w:w="2154" w:type="dxa"/>
          <w:tcBorders>
            <w:top w:val="single" w:sz="24" w:space="0" w:color="auto"/>
          </w:tcBorders>
          <w:shd w:val="clear" w:color="auto" w:fill="auto"/>
        </w:tcPr>
        <w:p w14:paraId="5C71F46C" w14:textId="77777777" w:rsidR="00C32625" w:rsidRDefault="00C32625" w:rsidP="00DE1537">
          <w:pPr>
            <w:pStyle w:val="HeaderEven"/>
          </w:pPr>
        </w:p>
      </w:tc>
      <w:tc>
        <w:tcPr>
          <w:tcW w:w="6633" w:type="dxa"/>
          <w:tcBorders>
            <w:top w:val="single" w:sz="6" w:space="0" w:color="auto"/>
          </w:tcBorders>
          <w:shd w:val="clear" w:color="auto" w:fill="auto"/>
        </w:tcPr>
        <w:p w14:paraId="1ABAA98E" w14:textId="77777777" w:rsidR="00C32625" w:rsidRDefault="00C32625" w:rsidP="00DE1537">
          <w:pPr>
            <w:pStyle w:val="HeaderEven"/>
          </w:pPr>
        </w:p>
      </w:tc>
    </w:tr>
  </w:tbl>
  <w:p w14:paraId="656D06EE" w14:textId="77777777" w:rsidR="00C32625" w:rsidRPr="00DE1537" w:rsidRDefault="00C32625" w:rsidP="00DE1537">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6ABD17D7" w14:textId="77777777" w:rsidTr="00DE1537">
      <w:trPr>
        <w:trHeight w:val="300"/>
      </w:trPr>
      <w:tc>
        <w:tcPr>
          <w:tcW w:w="6633" w:type="dxa"/>
          <w:tcBorders>
            <w:top w:val="single" w:sz="6" w:space="0" w:color="auto"/>
          </w:tcBorders>
          <w:shd w:val="clear" w:color="auto" w:fill="auto"/>
        </w:tcPr>
        <w:p w14:paraId="4AB6B5DE" w14:textId="77777777" w:rsidR="00C32625" w:rsidRDefault="00C32625" w:rsidP="00DE1537">
          <w:pPr>
            <w:pStyle w:val="HeaderOdd"/>
          </w:pPr>
        </w:p>
      </w:tc>
      <w:tc>
        <w:tcPr>
          <w:tcW w:w="2154" w:type="dxa"/>
          <w:tcBorders>
            <w:top w:val="single" w:sz="24" w:space="0" w:color="auto"/>
          </w:tcBorders>
          <w:shd w:val="clear" w:color="auto" w:fill="auto"/>
        </w:tcPr>
        <w:p w14:paraId="5E6BDAFD" w14:textId="77777777" w:rsidR="00C32625" w:rsidRDefault="00C32625" w:rsidP="00DE1537">
          <w:pPr>
            <w:pStyle w:val="HeaderOdd"/>
          </w:pPr>
        </w:p>
      </w:tc>
    </w:tr>
  </w:tbl>
  <w:p w14:paraId="73487D93" w14:textId="77777777" w:rsidR="00C32625" w:rsidRPr="00DE1537" w:rsidRDefault="00C32625" w:rsidP="00DE1537">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69E55E06" w14:textId="77777777" w:rsidTr="00DE1537">
      <w:trPr>
        <w:trHeight w:val="300"/>
      </w:trPr>
      <w:tc>
        <w:tcPr>
          <w:tcW w:w="2154" w:type="dxa"/>
          <w:tcBorders>
            <w:top w:val="single" w:sz="24" w:space="0" w:color="auto"/>
          </w:tcBorders>
          <w:shd w:val="clear" w:color="auto" w:fill="auto"/>
        </w:tcPr>
        <w:p w14:paraId="34F23D60" w14:textId="77777777" w:rsidR="00C32625" w:rsidRDefault="00C32625" w:rsidP="00DE1537">
          <w:pPr>
            <w:pStyle w:val="HeaderEven"/>
          </w:pPr>
        </w:p>
      </w:tc>
      <w:tc>
        <w:tcPr>
          <w:tcW w:w="6633" w:type="dxa"/>
          <w:tcBorders>
            <w:top w:val="single" w:sz="6" w:space="0" w:color="auto"/>
          </w:tcBorders>
          <w:shd w:val="clear" w:color="auto" w:fill="auto"/>
        </w:tcPr>
        <w:p w14:paraId="4C295D19" w14:textId="77777777" w:rsidR="00C32625" w:rsidRDefault="00C32625" w:rsidP="00DE1537">
          <w:pPr>
            <w:pStyle w:val="HeaderEven"/>
          </w:pPr>
        </w:p>
      </w:tc>
    </w:tr>
  </w:tbl>
  <w:p w14:paraId="1F54F322" w14:textId="77777777" w:rsidR="00C32625" w:rsidRPr="00DE1537" w:rsidRDefault="00C32625" w:rsidP="00DE1537">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2043555B" w14:textId="77777777" w:rsidTr="00DE1537">
      <w:trPr>
        <w:trHeight w:val="300"/>
      </w:trPr>
      <w:tc>
        <w:tcPr>
          <w:tcW w:w="6633" w:type="dxa"/>
          <w:tcBorders>
            <w:top w:val="single" w:sz="6" w:space="0" w:color="auto"/>
          </w:tcBorders>
          <w:shd w:val="clear" w:color="auto" w:fill="auto"/>
        </w:tcPr>
        <w:p w14:paraId="362C3AAB" w14:textId="77777777" w:rsidR="00C32625" w:rsidRDefault="00C32625" w:rsidP="00DE1537">
          <w:pPr>
            <w:pStyle w:val="HeaderOdd"/>
          </w:pPr>
        </w:p>
      </w:tc>
      <w:tc>
        <w:tcPr>
          <w:tcW w:w="2154" w:type="dxa"/>
          <w:tcBorders>
            <w:top w:val="single" w:sz="24" w:space="0" w:color="auto"/>
          </w:tcBorders>
          <w:shd w:val="clear" w:color="auto" w:fill="auto"/>
        </w:tcPr>
        <w:p w14:paraId="59D3752E" w14:textId="77777777" w:rsidR="00C32625" w:rsidRDefault="00C32625" w:rsidP="00DE1537">
          <w:pPr>
            <w:pStyle w:val="HeaderOdd"/>
          </w:pPr>
        </w:p>
      </w:tc>
    </w:tr>
  </w:tbl>
  <w:p w14:paraId="522E5043" w14:textId="77777777" w:rsidR="00C32625" w:rsidRPr="00DE1537" w:rsidRDefault="00C32625" w:rsidP="00DE1537">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6DE74B9F" w14:textId="77777777" w:rsidTr="00DE1537">
      <w:trPr>
        <w:trHeight w:val="300"/>
      </w:trPr>
      <w:tc>
        <w:tcPr>
          <w:tcW w:w="2154" w:type="dxa"/>
          <w:tcBorders>
            <w:top w:val="single" w:sz="24" w:space="0" w:color="auto"/>
          </w:tcBorders>
          <w:shd w:val="clear" w:color="auto" w:fill="auto"/>
        </w:tcPr>
        <w:p w14:paraId="04C387A9" w14:textId="77777777" w:rsidR="00C32625" w:rsidRDefault="00C32625" w:rsidP="00DE1537">
          <w:pPr>
            <w:pStyle w:val="HeaderEven"/>
          </w:pPr>
        </w:p>
      </w:tc>
      <w:tc>
        <w:tcPr>
          <w:tcW w:w="6633" w:type="dxa"/>
          <w:tcBorders>
            <w:top w:val="single" w:sz="6" w:space="0" w:color="auto"/>
          </w:tcBorders>
          <w:shd w:val="clear" w:color="auto" w:fill="auto"/>
        </w:tcPr>
        <w:p w14:paraId="5C3810BF" w14:textId="77777777" w:rsidR="00C32625" w:rsidRDefault="00C32625" w:rsidP="00DE1537">
          <w:pPr>
            <w:pStyle w:val="HeaderEven"/>
          </w:pPr>
        </w:p>
      </w:tc>
    </w:tr>
  </w:tbl>
  <w:p w14:paraId="5D4D039A" w14:textId="77777777" w:rsidR="00C32625" w:rsidRPr="00DE1537" w:rsidRDefault="00C32625" w:rsidP="00DE1537">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0275B4B6" w14:textId="77777777" w:rsidTr="00DE1537">
      <w:trPr>
        <w:trHeight w:val="300"/>
      </w:trPr>
      <w:tc>
        <w:tcPr>
          <w:tcW w:w="6633" w:type="dxa"/>
          <w:tcBorders>
            <w:top w:val="single" w:sz="6" w:space="0" w:color="auto"/>
          </w:tcBorders>
          <w:shd w:val="clear" w:color="auto" w:fill="auto"/>
        </w:tcPr>
        <w:p w14:paraId="293F0039" w14:textId="77777777" w:rsidR="00C32625" w:rsidRDefault="00C32625" w:rsidP="00DE1537">
          <w:pPr>
            <w:pStyle w:val="HeaderOdd"/>
          </w:pPr>
        </w:p>
      </w:tc>
      <w:tc>
        <w:tcPr>
          <w:tcW w:w="2154" w:type="dxa"/>
          <w:tcBorders>
            <w:top w:val="single" w:sz="24" w:space="0" w:color="auto"/>
          </w:tcBorders>
          <w:shd w:val="clear" w:color="auto" w:fill="auto"/>
        </w:tcPr>
        <w:p w14:paraId="70F858DB" w14:textId="77777777" w:rsidR="00C32625" w:rsidRDefault="00C32625" w:rsidP="00DE1537">
          <w:pPr>
            <w:pStyle w:val="HeaderOdd"/>
          </w:pPr>
        </w:p>
      </w:tc>
    </w:tr>
  </w:tbl>
  <w:p w14:paraId="78A253D9" w14:textId="77777777" w:rsidR="00C32625" w:rsidRPr="00DE1537" w:rsidRDefault="00C32625" w:rsidP="00DE1537">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421DCBC4" w14:textId="77777777" w:rsidTr="00DE1537">
      <w:trPr>
        <w:trHeight w:val="300"/>
      </w:trPr>
      <w:tc>
        <w:tcPr>
          <w:tcW w:w="2154" w:type="dxa"/>
          <w:tcBorders>
            <w:top w:val="single" w:sz="24" w:space="0" w:color="auto"/>
          </w:tcBorders>
          <w:shd w:val="clear" w:color="auto" w:fill="auto"/>
        </w:tcPr>
        <w:p w14:paraId="2F6B7D9F" w14:textId="77777777" w:rsidR="00C32625" w:rsidRDefault="00C32625" w:rsidP="00DE1537">
          <w:pPr>
            <w:pStyle w:val="HeaderEven"/>
          </w:pPr>
        </w:p>
      </w:tc>
      <w:tc>
        <w:tcPr>
          <w:tcW w:w="6633" w:type="dxa"/>
          <w:tcBorders>
            <w:top w:val="single" w:sz="6" w:space="0" w:color="auto"/>
          </w:tcBorders>
          <w:shd w:val="clear" w:color="auto" w:fill="auto"/>
        </w:tcPr>
        <w:p w14:paraId="49BF11E1" w14:textId="77777777" w:rsidR="00C32625" w:rsidRDefault="00C32625" w:rsidP="00DE1537">
          <w:pPr>
            <w:pStyle w:val="HeaderEven"/>
          </w:pPr>
        </w:p>
      </w:tc>
    </w:tr>
  </w:tbl>
  <w:p w14:paraId="0C1EEEAE" w14:textId="77777777" w:rsidR="00C32625" w:rsidRPr="00DE1537" w:rsidRDefault="00C32625" w:rsidP="00DE1537">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4DC0138E" w14:textId="77777777" w:rsidTr="00DE1537">
      <w:trPr>
        <w:trHeight w:val="300"/>
      </w:trPr>
      <w:tc>
        <w:tcPr>
          <w:tcW w:w="6633" w:type="dxa"/>
          <w:tcBorders>
            <w:top w:val="single" w:sz="6" w:space="0" w:color="auto"/>
          </w:tcBorders>
          <w:shd w:val="clear" w:color="auto" w:fill="auto"/>
        </w:tcPr>
        <w:p w14:paraId="2618B82E" w14:textId="77777777" w:rsidR="00C32625" w:rsidRDefault="00C32625" w:rsidP="00DE1537">
          <w:pPr>
            <w:pStyle w:val="HeaderOdd"/>
          </w:pPr>
        </w:p>
      </w:tc>
      <w:tc>
        <w:tcPr>
          <w:tcW w:w="2154" w:type="dxa"/>
          <w:tcBorders>
            <w:top w:val="single" w:sz="24" w:space="0" w:color="auto"/>
          </w:tcBorders>
          <w:shd w:val="clear" w:color="auto" w:fill="auto"/>
        </w:tcPr>
        <w:p w14:paraId="1D5E8279" w14:textId="77777777" w:rsidR="00C32625" w:rsidRDefault="00C32625" w:rsidP="00DE1537">
          <w:pPr>
            <w:pStyle w:val="HeaderOdd"/>
          </w:pPr>
        </w:p>
      </w:tc>
    </w:tr>
  </w:tbl>
  <w:p w14:paraId="5CBAFFE2" w14:textId="77777777" w:rsidR="00C32625" w:rsidRPr="00DE1537" w:rsidRDefault="00C32625" w:rsidP="00DE1537">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49D45F46" w14:textId="77777777" w:rsidTr="00DE1537">
      <w:trPr>
        <w:trHeight w:val="300"/>
      </w:trPr>
      <w:tc>
        <w:tcPr>
          <w:tcW w:w="2154" w:type="dxa"/>
          <w:tcBorders>
            <w:top w:val="single" w:sz="24" w:space="0" w:color="auto"/>
          </w:tcBorders>
          <w:shd w:val="clear" w:color="auto" w:fill="auto"/>
        </w:tcPr>
        <w:p w14:paraId="426639ED" w14:textId="77777777" w:rsidR="00C32625" w:rsidRDefault="00C32625" w:rsidP="00DE1537">
          <w:pPr>
            <w:pStyle w:val="HeaderEven"/>
          </w:pPr>
        </w:p>
      </w:tc>
      <w:tc>
        <w:tcPr>
          <w:tcW w:w="6633" w:type="dxa"/>
          <w:tcBorders>
            <w:top w:val="single" w:sz="6" w:space="0" w:color="auto"/>
          </w:tcBorders>
          <w:shd w:val="clear" w:color="auto" w:fill="auto"/>
        </w:tcPr>
        <w:p w14:paraId="66C90BBE" w14:textId="77777777" w:rsidR="00C32625" w:rsidRDefault="00C32625" w:rsidP="00DE1537">
          <w:pPr>
            <w:pStyle w:val="HeaderEven"/>
          </w:pPr>
        </w:p>
      </w:tc>
    </w:tr>
  </w:tbl>
  <w:p w14:paraId="7357E5CE" w14:textId="77777777" w:rsidR="00C32625" w:rsidRPr="00DE1537" w:rsidRDefault="00C32625" w:rsidP="00DE1537">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03C0D2DC" w14:textId="77777777" w:rsidTr="00DE1537">
      <w:trPr>
        <w:trHeight w:val="300"/>
      </w:trPr>
      <w:tc>
        <w:tcPr>
          <w:tcW w:w="6633" w:type="dxa"/>
          <w:tcBorders>
            <w:top w:val="single" w:sz="6" w:space="0" w:color="auto"/>
          </w:tcBorders>
          <w:shd w:val="clear" w:color="auto" w:fill="auto"/>
        </w:tcPr>
        <w:p w14:paraId="4ACA9136" w14:textId="77777777" w:rsidR="00C32625" w:rsidRDefault="00C32625" w:rsidP="00DE1537">
          <w:pPr>
            <w:pStyle w:val="HeaderOdd"/>
          </w:pPr>
        </w:p>
      </w:tc>
      <w:tc>
        <w:tcPr>
          <w:tcW w:w="2154" w:type="dxa"/>
          <w:tcBorders>
            <w:top w:val="single" w:sz="24" w:space="0" w:color="auto"/>
          </w:tcBorders>
          <w:shd w:val="clear" w:color="auto" w:fill="auto"/>
        </w:tcPr>
        <w:p w14:paraId="5831A62C" w14:textId="77777777" w:rsidR="00C32625" w:rsidRDefault="00C32625" w:rsidP="00DE1537">
          <w:pPr>
            <w:pStyle w:val="HeaderOdd"/>
          </w:pPr>
        </w:p>
      </w:tc>
    </w:tr>
  </w:tbl>
  <w:p w14:paraId="1765F27A" w14:textId="77777777" w:rsidR="00C32625" w:rsidRPr="00DE1537" w:rsidRDefault="00C32625" w:rsidP="00DE1537">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4FAFB" w14:textId="77777777" w:rsidR="00C32625" w:rsidRPr="00DE1537" w:rsidRDefault="00C32625" w:rsidP="00DE1537">
    <w:pPr>
      <w:pStyle w:val="Header"/>
      <w:spacing w:line="20" w:lineRule="exac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9F59EF" w14:textId="77777777" w:rsidR="00C32625" w:rsidRPr="00DE1537" w:rsidRDefault="00C32625" w:rsidP="00DE1537">
    <w:pPr>
      <w:pStyle w:val="Header"/>
      <w:spacing w:line="20" w:lineRule="exac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4F6A350A" w14:textId="77777777" w:rsidTr="00DE1537">
      <w:trPr>
        <w:trHeight w:val="300"/>
      </w:trPr>
      <w:tc>
        <w:tcPr>
          <w:tcW w:w="2154" w:type="dxa"/>
          <w:tcBorders>
            <w:top w:val="single" w:sz="24" w:space="0" w:color="auto"/>
          </w:tcBorders>
          <w:shd w:val="clear" w:color="auto" w:fill="auto"/>
        </w:tcPr>
        <w:p w14:paraId="70F86622" w14:textId="77777777" w:rsidR="00C32625" w:rsidRDefault="00C32625" w:rsidP="00DE1537">
          <w:pPr>
            <w:pStyle w:val="HeaderEven"/>
          </w:pPr>
        </w:p>
      </w:tc>
      <w:tc>
        <w:tcPr>
          <w:tcW w:w="6633" w:type="dxa"/>
          <w:tcBorders>
            <w:top w:val="single" w:sz="6" w:space="0" w:color="auto"/>
          </w:tcBorders>
          <w:shd w:val="clear" w:color="auto" w:fill="auto"/>
        </w:tcPr>
        <w:p w14:paraId="04731E9E" w14:textId="77777777" w:rsidR="00C32625" w:rsidRDefault="00C32625" w:rsidP="00DE1537">
          <w:pPr>
            <w:pStyle w:val="HeaderEven"/>
          </w:pPr>
        </w:p>
      </w:tc>
    </w:tr>
  </w:tbl>
  <w:p w14:paraId="3881AFD4" w14:textId="77777777" w:rsidR="00C32625" w:rsidRPr="00DE1537" w:rsidRDefault="00C32625" w:rsidP="00DE1537">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2BF9DEA6" w14:textId="77777777" w:rsidTr="00DE1537">
      <w:trPr>
        <w:trHeight w:val="300"/>
      </w:trPr>
      <w:tc>
        <w:tcPr>
          <w:tcW w:w="6633" w:type="dxa"/>
          <w:tcBorders>
            <w:top w:val="single" w:sz="6" w:space="0" w:color="auto"/>
          </w:tcBorders>
          <w:shd w:val="clear" w:color="auto" w:fill="auto"/>
        </w:tcPr>
        <w:p w14:paraId="444D0DB7" w14:textId="77777777" w:rsidR="00C32625" w:rsidRDefault="00C32625" w:rsidP="00DE1537">
          <w:pPr>
            <w:pStyle w:val="HeaderOdd"/>
          </w:pPr>
        </w:p>
      </w:tc>
      <w:tc>
        <w:tcPr>
          <w:tcW w:w="2154" w:type="dxa"/>
          <w:tcBorders>
            <w:top w:val="single" w:sz="24" w:space="0" w:color="auto"/>
          </w:tcBorders>
          <w:shd w:val="clear" w:color="auto" w:fill="auto"/>
        </w:tcPr>
        <w:p w14:paraId="5B1411C0" w14:textId="77777777" w:rsidR="00C32625" w:rsidRDefault="00C32625" w:rsidP="00DE1537">
          <w:pPr>
            <w:pStyle w:val="HeaderOdd"/>
          </w:pPr>
        </w:p>
      </w:tc>
    </w:tr>
  </w:tbl>
  <w:p w14:paraId="2BDF4F5D" w14:textId="77777777" w:rsidR="00C32625" w:rsidRPr="00DE1537" w:rsidRDefault="00C32625" w:rsidP="00DE1537">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32625" w14:paraId="69A02CBE" w14:textId="77777777" w:rsidTr="00DE1537">
      <w:trPr>
        <w:trHeight w:val="300"/>
      </w:trPr>
      <w:tc>
        <w:tcPr>
          <w:tcW w:w="2154" w:type="dxa"/>
          <w:tcBorders>
            <w:top w:val="single" w:sz="24" w:space="0" w:color="auto"/>
          </w:tcBorders>
          <w:shd w:val="clear" w:color="auto" w:fill="auto"/>
        </w:tcPr>
        <w:p w14:paraId="20634206" w14:textId="77777777" w:rsidR="00C32625" w:rsidRDefault="00C32625" w:rsidP="00DE1537">
          <w:pPr>
            <w:pStyle w:val="HeaderEven"/>
          </w:pPr>
        </w:p>
      </w:tc>
      <w:tc>
        <w:tcPr>
          <w:tcW w:w="6633" w:type="dxa"/>
          <w:tcBorders>
            <w:top w:val="single" w:sz="6" w:space="0" w:color="auto"/>
          </w:tcBorders>
          <w:shd w:val="clear" w:color="auto" w:fill="auto"/>
        </w:tcPr>
        <w:p w14:paraId="1AE8A21F" w14:textId="77777777" w:rsidR="00C32625" w:rsidRDefault="00C32625" w:rsidP="00DE1537">
          <w:pPr>
            <w:pStyle w:val="HeaderEven"/>
          </w:pPr>
        </w:p>
      </w:tc>
    </w:tr>
  </w:tbl>
  <w:p w14:paraId="40E158AE" w14:textId="77777777" w:rsidR="00C32625" w:rsidRPr="00DE1537" w:rsidRDefault="00C32625" w:rsidP="00DE1537">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32625" w14:paraId="256ED177" w14:textId="77777777" w:rsidTr="00DE1537">
      <w:trPr>
        <w:trHeight w:val="300"/>
      </w:trPr>
      <w:tc>
        <w:tcPr>
          <w:tcW w:w="6633" w:type="dxa"/>
          <w:tcBorders>
            <w:top w:val="single" w:sz="6" w:space="0" w:color="auto"/>
          </w:tcBorders>
          <w:shd w:val="clear" w:color="auto" w:fill="auto"/>
        </w:tcPr>
        <w:p w14:paraId="33DFD112" w14:textId="77777777" w:rsidR="00C32625" w:rsidRDefault="00C32625" w:rsidP="00DE1537">
          <w:pPr>
            <w:pStyle w:val="HeaderOdd"/>
          </w:pPr>
        </w:p>
      </w:tc>
      <w:tc>
        <w:tcPr>
          <w:tcW w:w="2154" w:type="dxa"/>
          <w:tcBorders>
            <w:top w:val="single" w:sz="24" w:space="0" w:color="auto"/>
          </w:tcBorders>
          <w:shd w:val="clear" w:color="auto" w:fill="auto"/>
        </w:tcPr>
        <w:p w14:paraId="2C64787B" w14:textId="77777777" w:rsidR="00C32625" w:rsidRDefault="00C32625" w:rsidP="00DE1537">
          <w:pPr>
            <w:pStyle w:val="HeaderOdd"/>
          </w:pPr>
        </w:p>
      </w:tc>
    </w:tr>
  </w:tbl>
  <w:p w14:paraId="27668059" w14:textId="77777777" w:rsidR="00C32625" w:rsidRPr="00DE1537" w:rsidRDefault="00C32625" w:rsidP="00DE1537">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19CAC02"/>
    <w:lvl w:ilvl="0">
      <w:start w:val="1"/>
      <w:numFmt w:val="decimal"/>
      <w:lvlText w:val="%1."/>
      <w:lvlJc w:val="left"/>
      <w:pPr>
        <w:tabs>
          <w:tab w:val="num" w:pos="1492"/>
        </w:tabs>
        <w:ind w:left="1492" w:hanging="360"/>
      </w:pPr>
    </w:lvl>
  </w:abstractNum>
  <w:abstractNum w:abstractNumId="1">
    <w:nsid w:val="FFFFFF7D"/>
    <w:multiLevelType w:val="singleLevel"/>
    <w:tmpl w:val="E73C7FC8"/>
    <w:lvl w:ilvl="0">
      <w:start w:val="1"/>
      <w:numFmt w:val="decimal"/>
      <w:lvlText w:val="%1."/>
      <w:lvlJc w:val="left"/>
      <w:pPr>
        <w:tabs>
          <w:tab w:val="num" w:pos="1209"/>
        </w:tabs>
        <w:ind w:left="1209" w:hanging="360"/>
      </w:pPr>
    </w:lvl>
  </w:abstractNum>
  <w:abstractNum w:abstractNumId="2">
    <w:nsid w:val="FFFFFF80"/>
    <w:multiLevelType w:val="singleLevel"/>
    <w:tmpl w:val="C610E0D4"/>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1CB0DF22"/>
    <w:lvl w:ilvl="0">
      <w:start w:val="1"/>
      <w:numFmt w:val="bullet"/>
      <w:lvlText w:val=""/>
      <w:lvlJc w:val="left"/>
      <w:pPr>
        <w:tabs>
          <w:tab w:val="num" w:pos="1209"/>
        </w:tabs>
        <w:ind w:left="1209" w:hanging="360"/>
      </w:pPr>
      <w:rPr>
        <w:rFonts w:ascii="Symbol" w:hAnsi="Symbol" w:hint="default"/>
      </w:rPr>
    </w:lvl>
  </w:abstractNum>
  <w:abstractNum w:abstractNumId="4">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5">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9">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5"/>
  </w:num>
  <w:num w:numId="3">
    <w:abstractNumId w:val="16"/>
  </w:num>
  <w:num w:numId="4">
    <w:abstractNumId w:val="6"/>
  </w:num>
  <w:num w:numId="5">
    <w:abstractNumId w:val="21"/>
  </w:num>
  <w:num w:numId="6">
    <w:abstractNumId w:val="18"/>
  </w:num>
  <w:num w:numId="7">
    <w:abstractNumId w:val="10"/>
  </w:num>
  <w:num w:numId="8">
    <w:abstractNumId w:val="17"/>
  </w:num>
  <w:num w:numId="9">
    <w:abstractNumId w:val="9"/>
  </w:num>
  <w:num w:numId="10">
    <w:abstractNumId w:val="8"/>
  </w:num>
  <w:num w:numId="11">
    <w:abstractNumId w:val="12"/>
  </w:num>
  <w:num w:numId="12">
    <w:abstractNumId w:val="13"/>
  </w:num>
  <w:num w:numId="13">
    <w:abstractNumId w:val="7"/>
  </w:num>
  <w:num w:numId="14">
    <w:abstractNumId w:val="19"/>
  </w:num>
  <w:num w:numId="15">
    <w:abstractNumId w:val="22"/>
  </w:num>
  <w:num w:numId="16">
    <w:abstractNumId w:val="15"/>
  </w:num>
  <w:num w:numId="17">
    <w:abstractNumId w:val="23"/>
  </w:num>
  <w:num w:numId="18">
    <w:abstractNumId w:val="20"/>
  </w:num>
  <w:num w:numId="19">
    <w:abstractNumId w:val="11"/>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num>
  <w:num w:numId="22">
    <w:abstractNumId w:val="3"/>
  </w:num>
  <w:num w:numId="23">
    <w:abstractNumId w:val="2"/>
  </w:num>
  <w:num w:numId="24">
    <w:abstractNumId w:val="1"/>
  </w:num>
  <w:num w:numId="25">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proofState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DE1537"/>
    <w:rsid w:val="000227D5"/>
    <w:rsid w:val="000245AA"/>
    <w:rsid w:val="0003664B"/>
    <w:rsid w:val="0004111F"/>
    <w:rsid w:val="00055077"/>
    <w:rsid w:val="000565B3"/>
    <w:rsid w:val="000613E9"/>
    <w:rsid w:val="0007150B"/>
    <w:rsid w:val="000938F5"/>
    <w:rsid w:val="000942D6"/>
    <w:rsid w:val="00095663"/>
    <w:rsid w:val="00096E55"/>
    <w:rsid w:val="0009783E"/>
    <w:rsid w:val="000B1022"/>
    <w:rsid w:val="000B601B"/>
    <w:rsid w:val="000C207E"/>
    <w:rsid w:val="000C6117"/>
    <w:rsid w:val="000D41E9"/>
    <w:rsid w:val="000E162B"/>
    <w:rsid w:val="000E511E"/>
    <w:rsid w:val="000F0035"/>
    <w:rsid w:val="000F04E7"/>
    <w:rsid w:val="000F060A"/>
    <w:rsid w:val="000F420B"/>
    <w:rsid w:val="00110116"/>
    <w:rsid w:val="001117AC"/>
    <w:rsid w:val="00120072"/>
    <w:rsid w:val="00126EB8"/>
    <w:rsid w:val="001274D4"/>
    <w:rsid w:val="001363AA"/>
    <w:rsid w:val="0013739A"/>
    <w:rsid w:val="00142165"/>
    <w:rsid w:val="00162434"/>
    <w:rsid w:val="00171375"/>
    <w:rsid w:val="00173EEE"/>
    <w:rsid w:val="00181A1A"/>
    <w:rsid w:val="00183E82"/>
    <w:rsid w:val="001878BB"/>
    <w:rsid w:val="00191AE0"/>
    <w:rsid w:val="0019293B"/>
    <w:rsid w:val="0019426B"/>
    <w:rsid w:val="001A6A4B"/>
    <w:rsid w:val="001C0865"/>
    <w:rsid w:val="001C0AED"/>
    <w:rsid w:val="001C3ABA"/>
    <w:rsid w:val="001C5111"/>
    <w:rsid w:val="001E7BE8"/>
    <w:rsid w:val="001F0248"/>
    <w:rsid w:val="001F3989"/>
    <w:rsid w:val="001F3EB3"/>
    <w:rsid w:val="001F4F86"/>
    <w:rsid w:val="00202C2C"/>
    <w:rsid w:val="00203050"/>
    <w:rsid w:val="002135AB"/>
    <w:rsid w:val="002144BE"/>
    <w:rsid w:val="002159F5"/>
    <w:rsid w:val="00221E05"/>
    <w:rsid w:val="00242279"/>
    <w:rsid w:val="00243997"/>
    <w:rsid w:val="0024516C"/>
    <w:rsid w:val="00245C82"/>
    <w:rsid w:val="002724BA"/>
    <w:rsid w:val="00291B40"/>
    <w:rsid w:val="002B4008"/>
    <w:rsid w:val="002C439F"/>
    <w:rsid w:val="002D0C42"/>
    <w:rsid w:val="002D0E8E"/>
    <w:rsid w:val="00301189"/>
    <w:rsid w:val="00301E4A"/>
    <w:rsid w:val="003168B8"/>
    <w:rsid w:val="00322D64"/>
    <w:rsid w:val="00323E09"/>
    <w:rsid w:val="0032743D"/>
    <w:rsid w:val="00330FC2"/>
    <w:rsid w:val="00333932"/>
    <w:rsid w:val="00343F3E"/>
    <w:rsid w:val="003518AA"/>
    <w:rsid w:val="00352165"/>
    <w:rsid w:val="00353182"/>
    <w:rsid w:val="003565D9"/>
    <w:rsid w:val="003602E1"/>
    <w:rsid w:val="0037026F"/>
    <w:rsid w:val="00371240"/>
    <w:rsid w:val="00374731"/>
    <w:rsid w:val="00376E59"/>
    <w:rsid w:val="00377EC1"/>
    <w:rsid w:val="00380340"/>
    <w:rsid w:val="00380F08"/>
    <w:rsid w:val="003919F9"/>
    <w:rsid w:val="003920CF"/>
    <w:rsid w:val="003B23C2"/>
    <w:rsid w:val="003C38B5"/>
    <w:rsid w:val="003C5D99"/>
    <w:rsid w:val="003D1087"/>
    <w:rsid w:val="003E2F59"/>
    <w:rsid w:val="003E746B"/>
    <w:rsid w:val="003F0789"/>
    <w:rsid w:val="00401882"/>
    <w:rsid w:val="004100C8"/>
    <w:rsid w:val="004111C2"/>
    <w:rsid w:val="00411DBD"/>
    <w:rsid w:val="00412ACE"/>
    <w:rsid w:val="004145D2"/>
    <w:rsid w:val="00426CB4"/>
    <w:rsid w:val="00431249"/>
    <w:rsid w:val="00434C19"/>
    <w:rsid w:val="004506DA"/>
    <w:rsid w:val="00450810"/>
    <w:rsid w:val="004578C1"/>
    <w:rsid w:val="00457EA7"/>
    <w:rsid w:val="00462C59"/>
    <w:rsid w:val="00470737"/>
    <w:rsid w:val="00477144"/>
    <w:rsid w:val="00491380"/>
    <w:rsid w:val="0049459F"/>
    <w:rsid w:val="004A38DD"/>
    <w:rsid w:val="004B1EBB"/>
    <w:rsid w:val="004B43AE"/>
    <w:rsid w:val="004C30ED"/>
    <w:rsid w:val="004D5675"/>
    <w:rsid w:val="004F4CCE"/>
    <w:rsid w:val="00517795"/>
    <w:rsid w:val="00523639"/>
    <w:rsid w:val="00525827"/>
    <w:rsid w:val="00531FE5"/>
    <w:rsid w:val="00535C96"/>
    <w:rsid w:val="005402FA"/>
    <w:rsid w:val="005729BD"/>
    <w:rsid w:val="00580154"/>
    <w:rsid w:val="005812DD"/>
    <w:rsid w:val="00583C39"/>
    <w:rsid w:val="00586A90"/>
    <w:rsid w:val="00587F28"/>
    <w:rsid w:val="005909CF"/>
    <w:rsid w:val="0059167F"/>
    <w:rsid w:val="00591E71"/>
    <w:rsid w:val="005978C6"/>
    <w:rsid w:val="005A0D41"/>
    <w:rsid w:val="005A2F91"/>
    <w:rsid w:val="005D329F"/>
    <w:rsid w:val="005F48ED"/>
    <w:rsid w:val="00606E78"/>
    <w:rsid w:val="00607BF1"/>
    <w:rsid w:val="00630D4D"/>
    <w:rsid w:val="00631D0B"/>
    <w:rsid w:val="00632A74"/>
    <w:rsid w:val="00654D42"/>
    <w:rsid w:val="00666E02"/>
    <w:rsid w:val="006A4655"/>
    <w:rsid w:val="006B0F4F"/>
    <w:rsid w:val="006B2B3C"/>
    <w:rsid w:val="006C1D81"/>
    <w:rsid w:val="006C7038"/>
    <w:rsid w:val="006C7489"/>
    <w:rsid w:val="006E66CA"/>
    <w:rsid w:val="006E73EF"/>
    <w:rsid w:val="007079C9"/>
    <w:rsid w:val="00707FAA"/>
    <w:rsid w:val="00714D4D"/>
    <w:rsid w:val="007266D3"/>
    <w:rsid w:val="00732029"/>
    <w:rsid w:val="007604BB"/>
    <w:rsid w:val="00772909"/>
    <w:rsid w:val="00785232"/>
    <w:rsid w:val="0079701E"/>
    <w:rsid w:val="007A21EB"/>
    <w:rsid w:val="007A28F5"/>
    <w:rsid w:val="007B1A93"/>
    <w:rsid w:val="007C36C9"/>
    <w:rsid w:val="007C5656"/>
    <w:rsid w:val="007D10FC"/>
    <w:rsid w:val="007D6401"/>
    <w:rsid w:val="007E01E4"/>
    <w:rsid w:val="007E7A12"/>
    <w:rsid w:val="007F7107"/>
    <w:rsid w:val="00800D4C"/>
    <w:rsid w:val="0081030F"/>
    <w:rsid w:val="00812F4A"/>
    <w:rsid w:val="0082087D"/>
    <w:rsid w:val="00835771"/>
    <w:rsid w:val="00842933"/>
    <w:rsid w:val="0085453F"/>
    <w:rsid w:val="0086082C"/>
    <w:rsid w:val="00864ADC"/>
    <w:rsid w:val="00880153"/>
    <w:rsid w:val="00880F97"/>
    <w:rsid w:val="0088133A"/>
    <w:rsid w:val="00887D04"/>
    <w:rsid w:val="0089285E"/>
    <w:rsid w:val="0089436C"/>
    <w:rsid w:val="008C7CBF"/>
    <w:rsid w:val="008D2869"/>
    <w:rsid w:val="008D365C"/>
    <w:rsid w:val="008D7622"/>
    <w:rsid w:val="009021A6"/>
    <w:rsid w:val="009030BF"/>
    <w:rsid w:val="00903B52"/>
    <w:rsid w:val="0091032F"/>
    <w:rsid w:val="00914368"/>
    <w:rsid w:val="0091765F"/>
    <w:rsid w:val="00931076"/>
    <w:rsid w:val="009345D9"/>
    <w:rsid w:val="00934B15"/>
    <w:rsid w:val="00940C87"/>
    <w:rsid w:val="00942B62"/>
    <w:rsid w:val="0095323B"/>
    <w:rsid w:val="00954645"/>
    <w:rsid w:val="00956A0C"/>
    <w:rsid w:val="00956BD9"/>
    <w:rsid w:val="00962489"/>
    <w:rsid w:val="00967CD3"/>
    <w:rsid w:val="00990C2C"/>
    <w:rsid w:val="009A5171"/>
    <w:rsid w:val="009C1AE3"/>
    <w:rsid w:val="009E1844"/>
    <w:rsid w:val="009F0D1B"/>
    <w:rsid w:val="009F5BBD"/>
    <w:rsid w:val="009F696D"/>
    <w:rsid w:val="009F6BC6"/>
    <w:rsid w:val="009F74EF"/>
    <w:rsid w:val="00A02826"/>
    <w:rsid w:val="00A15D5A"/>
    <w:rsid w:val="00A17328"/>
    <w:rsid w:val="00A200BF"/>
    <w:rsid w:val="00A23A20"/>
    <w:rsid w:val="00A24443"/>
    <w:rsid w:val="00A268B9"/>
    <w:rsid w:val="00A2703A"/>
    <w:rsid w:val="00A33DFF"/>
    <w:rsid w:val="00A35115"/>
    <w:rsid w:val="00A36D9A"/>
    <w:rsid w:val="00A40291"/>
    <w:rsid w:val="00A451DC"/>
    <w:rsid w:val="00A554AB"/>
    <w:rsid w:val="00A57062"/>
    <w:rsid w:val="00A67781"/>
    <w:rsid w:val="00A761F9"/>
    <w:rsid w:val="00A92B53"/>
    <w:rsid w:val="00A94FA6"/>
    <w:rsid w:val="00AA49A0"/>
    <w:rsid w:val="00AA6710"/>
    <w:rsid w:val="00AB0681"/>
    <w:rsid w:val="00AC3A15"/>
    <w:rsid w:val="00AD520B"/>
    <w:rsid w:val="00AE3BCC"/>
    <w:rsid w:val="00AF1C48"/>
    <w:rsid w:val="00B004A2"/>
    <w:rsid w:val="00B425C3"/>
    <w:rsid w:val="00B440AD"/>
    <w:rsid w:val="00B479BB"/>
    <w:rsid w:val="00B53E7E"/>
    <w:rsid w:val="00B6342E"/>
    <w:rsid w:val="00B7113F"/>
    <w:rsid w:val="00B741DF"/>
    <w:rsid w:val="00B75190"/>
    <w:rsid w:val="00BA22B4"/>
    <w:rsid w:val="00BA2BCF"/>
    <w:rsid w:val="00BA5B14"/>
    <w:rsid w:val="00BA73B6"/>
    <w:rsid w:val="00BA7E27"/>
    <w:rsid w:val="00BB2603"/>
    <w:rsid w:val="00BB4FCD"/>
    <w:rsid w:val="00BC04E9"/>
    <w:rsid w:val="00BD13EA"/>
    <w:rsid w:val="00BE3808"/>
    <w:rsid w:val="00C03B88"/>
    <w:rsid w:val="00C062E9"/>
    <w:rsid w:val="00C07B64"/>
    <w:rsid w:val="00C11F03"/>
    <w:rsid w:val="00C13721"/>
    <w:rsid w:val="00C14FE4"/>
    <w:rsid w:val="00C3066D"/>
    <w:rsid w:val="00C30937"/>
    <w:rsid w:val="00C32625"/>
    <w:rsid w:val="00C40826"/>
    <w:rsid w:val="00C44CEE"/>
    <w:rsid w:val="00C52416"/>
    <w:rsid w:val="00C543F4"/>
    <w:rsid w:val="00C6291C"/>
    <w:rsid w:val="00C633CB"/>
    <w:rsid w:val="00C664CD"/>
    <w:rsid w:val="00C736B7"/>
    <w:rsid w:val="00C81D4A"/>
    <w:rsid w:val="00C82E98"/>
    <w:rsid w:val="00C8762C"/>
    <w:rsid w:val="00CA00F9"/>
    <w:rsid w:val="00CA2961"/>
    <w:rsid w:val="00CB413F"/>
    <w:rsid w:val="00CB50D7"/>
    <w:rsid w:val="00CB7177"/>
    <w:rsid w:val="00CB7CED"/>
    <w:rsid w:val="00CC070F"/>
    <w:rsid w:val="00CC1998"/>
    <w:rsid w:val="00CC4946"/>
    <w:rsid w:val="00CC64A1"/>
    <w:rsid w:val="00CE306F"/>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934BA"/>
    <w:rsid w:val="00DA0E95"/>
    <w:rsid w:val="00DA5BBA"/>
    <w:rsid w:val="00DB26D2"/>
    <w:rsid w:val="00DB67C9"/>
    <w:rsid w:val="00DC0C95"/>
    <w:rsid w:val="00DC4F0B"/>
    <w:rsid w:val="00DD6580"/>
    <w:rsid w:val="00DE1537"/>
    <w:rsid w:val="00DE46F5"/>
    <w:rsid w:val="00DE605D"/>
    <w:rsid w:val="00E01D7F"/>
    <w:rsid w:val="00E05C03"/>
    <w:rsid w:val="00E174F7"/>
    <w:rsid w:val="00E17C72"/>
    <w:rsid w:val="00E21FC6"/>
    <w:rsid w:val="00E431A9"/>
    <w:rsid w:val="00E44CD0"/>
    <w:rsid w:val="00E669E2"/>
    <w:rsid w:val="00E75910"/>
    <w:rsid w:val="00E76135"/>
    <w:rsid w:val="00E82F4F"/>
    <w:rsid w:val="00E864DF"/>
    <w:rsid w:val="00EB2CC3"/>
    <w:rsid w:val="00EC2844"/>
    <w:rsid w:val="00EC5500"/>
    <w:rsid w:val="00ED18F8"/>
    <w:rsid w:val="00EE6EDA"/>
    <w:rsid w:val="00EE778E"/>
    <w:rsid w:val="00EF6719"/>
    <w:rsid w:val="00EF6C6C"/>
    <w:rsid w:val="00F056FC"/>
    <w:rsid w:val="00F0632F"/>
    <w:rsid w:val="00F069AE"/>
    <w:rsid w:val="00F10476"/>
    <w:rsid w:val="00F135D8"/>
    <w:rsid w:val="00F22BA1"/>
    <w:rsid w:val="00F31299"/>
    <w:rsid w:val="00F3534A"/>
    <w:rsid w:val="00F35BFB"/>
    <w:rsid w:val="00F36ACC"/>
    <w:rsid w:val="00F51609"/>
    <w:rsid w:val="00F55C25"/>
    <w:rsid w:val="00F701D4"/>
    <w:rsid w:val="00F73727"/>
    <w:rsid w:val="00F766A7"/>
    <w:rsid w:val="00F81006"/>
    <w:rsid w:val="00F8532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14:docId w14:val="18ACD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ListParagraph">
    <w:name w:val="List Paragraph"/>
    <w:basedOn w:val="Normal"/>
    <w:link w:val="ListParagraphChar"/>
    <w:uiPriority w:val="99"/>
    <w:qFormat/>
    <w:rsid w:val="00DE1537"/>
    <w:pPr>
      <w:ind w:left="720"/>
      <w:contextualSpacing/>
    </w:pPr>
  </w:style>
  <w:style w:type="paragraph" w:styleId="CommentSubject">
    <w:name w:val="annotation subject"/>
    <w:basedOn w:val="CommentText"/>
    <w:next w:val="CommentText"/>
    <w:link w:val="CommentSubjectChar"/>
    <w:rsid w:val="00DE1537"/>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E1537"/>
    <w:rPr>
      <w:szCs w:val="24"/>
    </w:rPr>
  </w:style>
  <w:style w:type="character" w:customStyle="1" w:styleId="CommentSubjectChar">
    <w:name w:val="Comment Subject Char"/>
    <w:basedOn w:val="CommentTextChar"/>
    <w:link w:val="CommentSubject"/>
    <w:rsid w:val="00DE1537"/>
    <w:rPr>
      <w:b/>
      <w:bCs/>
      <w:szCs w:val="24"/>
    </w:rPr>
  </w:style>
  <w:style w:type="character" w:customStyle="1" w:styleId="QuoteChar">
    <w:name w:val="Quote Char"/>
    <w:basedOn w:val="DefaultParagraphFont"/>
    <w:link w:val="Quote"/>
    <w:rsid w:val="00DE1537"/>
    <w:rPr>
      <w:sz w:val="22"/>
    </w:rPr>
  </w:style>
  <w:style w:type="paragraph" w:styleId="Bibliography">
    <w:name w:val="Bibliography"/>
    <w:basedOn w:val="Normal"/>
    <w:next w:val="Normal"/>
    <w:uiPriority w:val="37"/>
    <w:unhideWhenUsed/>
    <w:rsid w:val="00DE1537"/>
    <w:pPr>
      <w:spacing w:after="240"/>
      <w:ind w:left="720" w:hanging="720"/>
    </w:pPr>
  </w:style>
  <w:style w:type="character" w:styleId="EndnoteReference">
    <w:name w:val="endnote reference"/>
    <w:basedOn w:val="DefaultParagraphFont"/>
    <w:rsid w:val="00DE1537"/>
    <w:rPr>
      <w:vertAlign w:val="superscript"/>
    </w:rPr>
  </w:style>
  <w:style w:type="character" w:customStyle="1" w:styleId="Heading4Char">
    <w:name w:val="Heading 4 Char"/>
    <w:basedOn w:val="DefaultParagraphFont"/>
    <w:link w:val="Heading4"/>
    <w:rsid w:val="00DE1537"/>
    <w:rPr>
      <w:rFonts w:ascii="Arial" w:hAnsi="Arial"/>
      <w:sz w:val="24"/>
    </w:rPr>
  </w:style>
  <w:style w:type="character" w:customStyle="1" w:styleId="Heading3Char">
    <w:name w:val="Heading 3 Char"/>
    <w:basedOn w:val="DefaultParagraphFont"/>
    <w:link w:val="Heading3"/>
    <w:rsid w:val="00DE1537"/>
    <w:rPr>
      <w:rFonts w:ascii="Arial" w:hAnsi="Arial"/>
      <w:b/>
      <w:sz w:val="26"/>
    </w:rPr>
  </w:style>
  <w:style w:type="paragraph" w:styleId="NormalWeb">
    <w:name w:val="Normal (Web)"/>
    <w:basedOn w:val="Normal"/>
    <w:uiPriority w:val="99"/>
    <w:unhideWhenUsed/>
    <w:rsid w:val="00DE1537"/>
    <w:pPr>
      <w:spacing w:before="100" w:beforeAutospacing="1" w:after="100" w:afterAutospacing="1"/>
    </w:pPr>
  </w:style>
  <w:style w:type="paragraph" w:customStyle="1" w:styleId="Default">
    <w:name w:val="Default"/>
    <w:rsid w:val="00DE1537"/>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DE1537"/>
  </w:style>
  <w:style w:type="character" w:styleId="Hyperlink">
    <w:name w:val="Hyperlink"/>
    <w:basedOn w:val="DefaultParagraphFont"/>
    <w:unhideWhenUsed/>
    <w:rsid w:val="00DE1537"/>
    <w:rPr>
      <w:color w:val="0000FF"/>
      <w:u w:val="single"/>
    </w:rPr>
  </w:style>
  <w:style w:type="paragraph" w:styleId="Revision">
    <w:name w:val="Revision"/>
    <w:hidden/>
    <w:uiPriority w:val="99"/>
    <w:semiHidden/>
    <w:rsid w:val="00DE1537"/>
    <w:rPr>
      <w:rFonts w:asciiTheme="minorHAnsi" w:eastAsiaTheme="minorHAnsi" w:hAnsiTheme="minorHAnsi" w:cstheme="minorBidi"/>
      <w:sz w:val="22"/>
      <w:szCs w:val="22"/>
      <w:lang w:eastAsia="en-US"/>
    </w:rPr>
  </w:style>
  <w:style w:type="paragraph" w:customStyle="1" w:styleId="BoxSpaceAboveElement">
    <w:name w:val="Box Space Above Element"/>
    <w:basedOn w:val="BoxSpaceAbove"/>
    <w:link w:val="BoxSpaceAboveElementChar"/>
    <w:qFormat/>
    <w:rsid w:val="00DE1537"/>
    <w:pPr>
      <w:spacing w:before="240"/>
    </w:pPr>
    <w:rPr>
      <w:b/>
      <w:vanish/>
      <w:color w:val="FF00FF"/>
      <w:sz w:val="14"/>
    </w:rPr>
  </w:style>
  <w:style w:type="character" w:customStyle="1" w:styleId="BoxSpaceAboveElementChar">
    <w:name w:val="Box Space Above Element Char"/>
    <w:basedOn w:val="DefaultParagraphFont"/>
    <w:link w:val="BoxSpaceAboveElement"/>
    <w:rsid w:val="00DE1537"/>
    <w:rPr>
      <w:b/>
      <w:vanish/>
      <w:color w:val="FF00FF"/>
      <w:sz w:val="14"/>
    </w:rPr>
  </w:style>
  <w:style w:type="paragraph" w:customStyle="1" w:styleId="EBL">
    <w:name w:val="EBL"/>
    <w:basedOn w:val="Rec"/>
    <w:rsid w:val="00DE1537"/>
    <w:rPr>
      <w:b/>
      <w:i/>
    </w:rPr>
  </w:style>
  <w:style w:type="character" w:customStyle="1" w:styleId="ListBulletChar">
    <w:name w:val="List Bullet Char"/>
    <w:link w:val="ListBullet"/>
    <w:rsid w:val="00DE1537"/>
    <w:rPr>
      <w:sz w:val="24"/>
    </w:rPr>
  </w:style>
  <w:style w:type="character" w:styleId="FollowedHyperlink">
    <w:name w:val="FollowedHyperlink"/>
    <w:basedOn w:val="DefaultParagraphFont"/>
    <w:rsid w:val="00DE1537"/>
    <w:rPr>
      <w:color w:val="387DD2" w:themeColor="followedHyperlink"/>
      <w:u w:val="single"/>
    </w:rPr>
  </w:style>
  <w:style w:type="paragraph" w:customStyle="1" w:styleId="Arial">
    <w:name w:val="Arial"/>
    <w:basedOn w:val="BoxTitle"/>
    <w:rsid w:val="00DE1537"/>
    <w:rPr>
      <w:b w:val="0"/>
    </w:rPr>
  </w:style>
  <w:style w:type="character" w:customStyle="1" w:styleId="Heading2Char">
    <w:name w:val="Heading 2 Char"/>
    <w:basedOn w:val="DefaultParagraphFont"/>
    <w:link w:val="Heading2"/>
    <w:rsid w:val="00DE1537"/>
    <w:rPr>
      <w:rFonts w:ascii="Arial" w:hAnsi="Arial"/>
      <w:b/>
      <w:sz w:val="32"/>
    </w:rPr>
  </w:style>
  <w:style w:type="paragraph" w:customStyle="1" w:styleId="BoxSpace">
    <w:name w:val="Box Space"/>
    <w:basedOn w:val="BodyText"/>
    <w:rsid w:val="00DE1537"/>
    <w:pPr>
      <w:keepNext/>
      <w:spacing w:before="360" w:line="80" w:lineRule="exact"/>
      <w:jc w:val="left"/>
    </w:pPr>
  </w:style>
  <w:style w:type="paragraph" w:styleId="PlainText">
    <w:name w:val="Plain Text"/>
    <w:basedOn w:val="Normal"/>
    <w:link w:val="PlainTextChar"/>
    <w:uiPriority w:val="99"/>
    <w:unhideWhenUsed/>
    <w:rsid w:val="00DE1537"/>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E1537"/>
    <w:rPr>
      <w:rFonts w:ascii="Calibri" w:eastAsiaTheme="minorHAnsi" w:hAnsi="Calibri" w:cstheme="minorBidi"/>
      <w:sz w:val="22"/>
      <w:szCs w:val="21"/>
      <w:lang w:eastAsia="en-US"/>
    </w:rPr>
  </w:style>
  <w:style w:type="character" w:customStyle="1" w:styleId="ListParagraphChar">
    <w:name w:val="List Paragraph Char"/>
    <w:link w:val="ListParagraph"/>
    <w:uiPriority w:val="99"/>
    <w:locked/>
    <w:rsid w:val="00DE1537"/>
    <w:rPr>
      <w:sz w:val="24"/>
      <w:szCs w:val="24"/>
    </w:rPr>
  </w:style>
  <w:style w:type="paragraph" w:customStyle="1" w:styleId="textboxmaterial">
    <w:name w:val="text box material"/>
    <w:basedOn w:val="Normal"/>
    <w:rsid w:val="00DE1537"/>
    <w:pPr>
      <w:spacing w:before="60" w:after="60" w:line="180" w:lineRule="atLeast"/>
    </w:pPr>
    <w:rPr>
      <w:rFonts w:ascii="Calibri" w:eastAsia="SimSun" w:hAnsi="Calibri"/>
      <w:bCs/>
      <w:sz w:val="18"/>
      <w:szCs w:val="16"/>
      <w:lang w:val="en-US" w:eastAsia="zh-CN"/>
    </w:rPr>
  </w:style>
  <w:style w:type="character" w:customStyle="1" w:styleId="BoxChar">
    <w:name w:val="Box Char"/>
    <w:basedOn w:val="BodyTextChar"/>
    <w:link w:val="Box"/>
    <w:locked/>
    <w:rsid w:val="00DE1537"/>
    <w:rPr>
      <w:rFonts w:ascii="Arial" w:hAnsi="Arial"/>
      <w:sz w:val="24"/>
    </w:rPr>
  </w:style>
  <w:style w:type="character" w:customStyle="1" w:styleId="s16">
    <w:name w:val="s16"/>
    <w:basedOn w:val="DefaultParagraphFont"/>
    <w:rsid w:val="00DE1537"/>
  </w:style>
  <w:style w:type="character" w:customStyle="1" w:styleId="s38">
    <w:name w:val="s38"/>
    <w:basedOn w:val="DefaultParagraphFont"/>
    <w:rsid w:val="00DE1537"/>
  </w:style>
  <w:style w:type="character" w:customStyle="1" w:styleId="Heading1Char">
    <w:name w:val="Heading 1 Char"/>
    <w:basedOn w:val="DefaultParagraphFont"/>
    <w:link w:val="Heading1"/>
    <w:rsid w:val="00DE1537"/>
    <w:rPr>
      <w:sz w:val="52"/>
    </w:rPr>
  </w:style>
  <w:style w:type="paragraph" w:customStyle="1" w:styleId="Pa3">
    <w:name w:val="Pa3"/>
    <w:basedOn w:val="Default"/>
    <w:next w:val="Default"/>
    <w:uiPriority w:val="99"/>
    <w:rsid w:val="00DE1537"/>
    <w:pPr>
      <w:spacing w:line="191" w:lineRule="atLeast"/>
    </w:pPr>
    <w:rPr>
      <w:rFonts w:ascii="BFCPZ Y+ Meta" w:hAnsi="BFCPZ Y+ Meta" w:cs="Times New Roman"/>
      <w:color w:val="auto"/>
    </w:rPr>
  </w:style>
  <w:style w:type="paragraph" w:customStyle="1" w:styleId="Pa14">
    <w:name w:val="Pa14"/>
    <w:basedOn w:val="Default"/>
    <w:next w:val="Default"/>
    <w:uiPriority w:val="99"/>
    <w:rsid w:val="00DE1537"/>
    <w:pPr>
      <w:spacing w:line="201" w:lineRule="atLeast"/>
    </w:pPr>
    <w:rPr>
      <w:rFonts w:ascii="BFCPZ Y+ Meta" w:hAnsi="BFCPZ Y+ Meta" w:cs="Times New Roman"/>
      <w:color w:val="auto"/>
    </w:rPr>
  </w:style>
  <w:style w:type="character" w:customStyle="1" w:styleId="A4">
    <w:name w:val="A4"/>
    <w:uiPriority w:val="99"/>
    <w:rsid w:val="00DE1537"/>
    <w:rPr>
      <w:rFonts w:cs="BFCPZ Y+ Meta"/>
      <w:color w:val="000000"/>
      <w:sz w:val="19"/>
      <w:szCs w:val="19"/>
    </w:rPr>
  </w:style>
  <w:style w:type="paragraph" w:customStyle="1" w:styleId="Pa7">
    <w:name w:val="Pa7"/>
    <w:basedOn w:val="Default"/>
    <w:next w:val="Default"/>
    <w:uiPriority w:val="99"/>
    <w:rsid w:val="00DE1537"/>
    <w:pPr>
      <w:spacing w:line="191" w:lineRule="atLeast"/>
    </w:pPr>
    <w:rPr>
      <w:rFonts w:ascii="BFCPZ Y+ Meta" w:hAnsi="BFCPZ Y+ Meta" w:cs="Times New Roman"/>
      <w:color w:val="auto"/>
    </w:rPr>
  </w:style>
  <w:style w:type="character" w:customStyle="1" w:styleId="A14">
    <w:name w:val="A14"/>
    <w:uiPriority w:val="99"/>
    <w:rsid w:val="00DE1537"/>
    <w:rPr>
      <w:rFonts w:cs="BFCPZ Y+ Meta"/>
      <w:color w:val="000000"/>
      <w:sz w:val="11"/>
      <w:szCs w:val="11"/>
    </w:rPr>
  </w:style>
  <w:style w:type="paragraph" w:customStyle="1" w:styleId="Pa27">
    <w:name w:val="Pa27"/>
    <w:basedOn w:val="Default"/>
    <w:next w:val="Default"/>
    <w:uiPriority w:val="99"/>
    <w:rsid w:val="00DE1537"/>
    <w:pPr>
      <w:spacing w:line="191" w:lineRule="atLeast"/>
    </w:pPr>
    <w:rPr>
      <w:rFonts w:ascii="BFCPZ Y+ Meta" w:hAnsi="BFCPZ Y+ Meta" w:cs="Times New Roman"/>
      <w:color w:val="auto"/>
    </w:rPr>
  </w:style>
  <w:style w:type="character" w:styleId="PlaceholderText">
    <w:name w:val="Placeholder Text"/>
    <w:basedOn w:val="DefaultParagraphFont"/>
    <w:uiPriority w:val="99"/>
    <w:semiHidden/>
    <w:rsid w:val="00DE1537"/>
    <w:rPr>
      <w:color w:val="808080"/>
    </w:rPr>
  </w:style>
  <w:style w:type="character" w:customStyle="1" w:styleId="CommentTextChar1">
    <w:name w:val="Comment Text Char1"/>
    <w:basedOn w:val="DefaultParagraphFont"/>
    <w:semiHidden/>
    <w:rsid w:val="00DE1537"/>
    <w:rPr>
      <w:szCs w:val="24"/>
    </w:rPr>
  </w:style>
  <w:style w:type="paragraph" w:customStyle="1" w:styleId="Heading1NotTOC">
    <w:name w:val="Heading 1 Not TOC"/>
    <w:basedOn w:val="Heading1"/>
    <w:next w:val="BodyText"/>
    <w:rsid w:val="00C11F03"/>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ListParagraph">
    <w:name w:val="List Paragraph"/>
    <w:basedOn w:val="Normal"/>
    <w:link w:val="ListParagraphChar"/>
    <w:uiPriority w:val="99"/>
    <w:qFormat/>
    <w:rsid w:val="00DE1537"/>
    <w:pPr>
      <w:ind w:left="720"/>
      <w:contextualSpacing/>
    </w:pPr>
  </w:style>
  <w:style w:type="paragraph" w:styleId="CommentSubject">
    <w:name w:val="annotation subject"/>
    <w:basedOn w:val="CommentText"/>
    <w:next w:val="CommentText"/>
    <w:link w:val="CommentSubjectChar"/>
    <w:rsid w:val="00DE1537"/>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E1537"/>
    <w:rPr>
      <w:szCs w:val="24"/>
    </w:rPr>
  </w:style>
  <w:style w:type="character" w:customStyle="1" w:styleId="CommentSubjectChar">
    <w:name w:val="Comment Subject Char"/>
    <w:basedOn w:val="CommentTextChar"/>
    <w:link w:val="CommentSubject"/>
    <w:rsid w:val="00DE1537"/>
    <w:rPr>
      <w:b/>
      <w:bCs/>
      <w:szCs w:val="24"/>
    </w:rPr>
  </w:style>
  <w:style w:type="character" w:customStyle="1" w:styleId="QuoteChar">
    <w:name w:val="Quote Char"/>
    <w:basedOn w:val="DefaultParagraphFont"/>
    <w:link w:val="Quote"/>
    <w:rsid w:val="00DE1537"/>
    <w:rPr>
      <w:sz w:val="22"/>
    </w:rPr>
  </w:style>
  <w:style w:type="paragraph" w:styleId="Bibliography">
    <w:name w:val="Bibliography"/>
    <w:basedOn w:val="Normal"/>
    <w:next w:val="Normal"/>
    <w:uiPriority w:val="37"/>
    <w:unhideWhenUsed/>
    <w:rsid w:val="00DE1537"/>
    <w:pPr>
      <w:spacing w:after="240"/>
      <w:ind w:left="720" w:hanging="720"/>
    </w:pPr>
  </w:style>
  <w:style w:type="character" w:styleId="EndnoteReference">
    <w:name w:val="endnote reference"/>
    <w:basedOn w:val="DefaultParagraphFont"/>
    <w:rsid w:val="00DE1537"/>
    <w:rPr>
      <w:vertAlign w:val="superscript"/>
    </w:rPr>
  </w:style>
  <w:style w:type="character" w:customStyle="1" w:styleId="Heading4Char">
    <w:name w:val="Heading 4 Char"/>
    <w:basedOn w:val="DefaultParagraphFont"/>
    <w:link w:val="Heading4"/>
    <w:rsid w:val="00DE1537"/>
    <w:rPr>
      <w:rFonts w:ascii="Arial" w:hAnsi="Arial"/>
      <w:sz w:val="24"/>
    </w:rPr>
  </w:style>
  <w:style w:type="character" w:customStyle="1" w:styleId="Heading3Char">
    <w:name w:val="Heading 3 Char"/>
    <w:basedOn w:val="DefaultParagraphFont"/>
    <w:link w:val="Heading3"/>
    <w:rsid w:val="00DE1537"/>
    <w:rPr>
      <w:rFonts w:ascii="Arial" w:hAnsi="Arial"/>
      <w:b/>
      <w:sz w:val="26"/>
    </w:rPr>
  </w:style>
  <w:style w:type="paragraph" w:styleId="NormalWeb">
    <w:name w:val="Normal (Web)"/>
    <w:basedOn w:val="Normal"/>
    <w:uiPriority w:val="99"/>
    <w:unhideWhenUsed/>
    <w:rsid w:val="00DE1537"/>
    <w:pPr>
      <w:spacing w:before="100" w:beforeAutospacing="1" w:after="100" w:afterAutospacing="1"/>
    </w:pPr>
  </w:style>
  <w:style w:type="paragraph" w:customStyle="1" w:styleId="Default">
    <w:name w:val="Default"/>
    <w:rsid w:val="00DE1537"/>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DE1537"/>
  </w:style>
  <w:style w:type="character" w:styleId="Hyperlink">
    <w:name w:val="Hyperlink"/>
    <w:basedOn w:val="DefaultParagraphFont"/>
    <w:unhideWhenUsed/>
    <w:rsid w:val="00DE1537"/>
    <w:rPr>
      <w:color w:val="0000FF"/>
      <w:u w:val="single"/>
    </w:rPr>
  </w:style>
  <w:style w:type="paragraph" w:styleId="Revision">
    <w:name w:val="Revision"/>
    <w:hidden/>
    <w:uiPriority w:val="99"/>
    <w:semiHidden/>
    <w:rsid w:val="00DE1537"/>
    <w:rPr>
      <w:rFonts w:asciiTheme="minorHAnsi" w:eastAsiaTheme="minorHAnsi" w:hAnsiTheme="minorHAnsi" w:cstheme="minorBidi"/>
      <w:sz w:val="22"/>
      <w:szCs w:val="22"/>
      <w:lang w:eastAsia="en-US"/>
    </w:rPr>
  </w:style>
  <w:style w:type="paragraph" w:customStyle="1" w:styleId="BoxSpaceAboveElement">
    <w:name w:val="Box Space Above Element"/>
    <w:basedOn w:val="BoxSpaceAbove"/>
    <w:link w:val="BoxSpaceAboveElementChar"/>
    <w:qFormat/>
    <w:rsid w:val="00DE1537"/>
    <w:pPr>
      <w:spacing w:before="240"/>
    </w:pPr>
    <w:rPr>
      <w:b/>
      <w:vanish/>
      <w:color w:val="FF00FF"/>
      <w:sz w:val="14"/>
    </w:rPr>
  </w:style>
  <w:style w:type="character" w:customStyle="1" w:styleId="BoxSpaceAboveElementChar">
    <w:name w:val="Box Space Above Element Char"/>
    <w:basedOn w:val="DefaultParagraphFont"/>
    <w:link w:val="BoxSpaceAboveElement"/>
    <w:rsid w:val="00DE1537"/>
    <w:rPr>
      <w:b/>
      <w:vanish/>
      <w:color w:val="FF00FF"/>
      <w:sz w:val="14"/>
    </w:rPr>
  </w:style>
  <w:style w:type="paragraph" w:customStyle="1" w:styleId="EBL">
    <w:name w:val="EBL"/>
    <w:basedOn w:val="Rec"/>
    <w:rsid w:val="00DE1537"/>
    <w:rPr>
      <w:b/>
      <w:i/>
    </w:rPr>
  </w:style>
  <w:style w:type="character" w:customStyle="1" w:styleId="ListBulletChar">
    <w:name w:val="List Bullet Char"/>
    <w:link w:val="ListBullet"/>
    <w:rsid w:val="00DE1537"/>
    <w:rPr>
      <w:sz w:val="24"/>
    </w:rPr>
  </w:style>
  <w:style w:type="character" w:styleId="FollowedHyperlink">
    <w:name w:val="FollowedHyperlink"/>
    <w:basedOn w:val="DefaultParagraphFont"/>
    <w:rsid w:val="00DE1537"/>
    <w:rPr>
      <w:color w:val="387DD2" w:themeColor="followedHyperlink"/>
      <w:u w:val="single"/>
    </w:rPr>
  </w:style>
  <w:style w:type="paragraph" w:customStyle="1" w:styleId="Arial">
    <w:name w:val="Arial"/>
    <w:basedOn w:val="BoxTitle"/>
    <w:rsid w:val="00DE1537"/>
    <w:rPr>
      <w:b w:val="0"/>
    </w:rPr>
  </w:style>
  <w:style w:type="character" w:customStyle="1" w:styleId="Heading2Char">
    <w:name w:val="Heading 2 Char"/>
    <w:basedOn w:val="DefaultParagraphFont"/>
    <w:link w:val="Heading2"/>
    <w:rsid w:val="00DE1537"/>
    <w:rPr>
      <w:rFonts w:ascii="Arial" w:hAnsi="Arial"/>
      <w:b/>
      <w:sz w:val="32"/>
    </w:rPr>
  </w:style>
  <w:style w:type="paragraph" w:customStyle="1" w:styleId="BoxSpace">
    <w:name w:val="Box Space"/>
    <w:basedOn w:val="BodyText"/>
    <w:rsid w:val="00DE1537"/>
    <w:pPr>
      <w:keepNext/>
      <w:spacing w:before="360" w:line="80" w:lineRule="exact"/>
      <w:jc w:val="left"/>
    </w:pPr>
  </w:style>
  <w:style w:type="paragraph" w:styleId="PlainText">
    <w:name w:val="Plain Text"/>
    <w:basedOn w:val="Normal"/>
    <w:link w:val="PlainTextChar"/>
    <w:uiPriority w:val="99"/>
    <w:unhideWhenUsed/>
    <w:rsid w:val="00DE1537"/>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E1537"/>
    <w:rPr>
      <w:rFonts w:ascii="Calibri" w:eastAsiaTheme="minorHAnsi" w:hAnsi="Calibri" w:cstheme="minorBidi"/>
      <w:sz w:val="22"/>
      <w:szCs w:val="21"/>
      <w:lang w:eastAsia="en-US"/>
    </w:rPr>
  </w:style>
  <w:style w:type="character" w:customStyle="1" w:styleId="ListParagraphChar">
    <w:name w:val="List Paragraph Char"/>
    <w:link w:val="ListParagraph"/>
    <w:uiPriority w:val="99"/>
    <w:locked/>
    <w:rsid w:val="00DE1537"/>
    <w:rPr>
      <w:sz w:val="24"/>
      <w:szCs w:val="24"/>
    </w:rPr>
  </w:style>
  <w:style w:type="paragraph" w:customStyle="1" w:styleId="textboxmaterial">
    <w:name w:val="text box material"/>
    <w:basedOn w:val="Normal"/>
    <w:rsid w:val="00DE1537"/>
    <w:pPr>
      <w:spacing w:before="60" w:after="60" w:line="180" w:lineRule="atLeast"/>
    </w:pPr>
    <w:rPr>
      <w:rFonts w:ascii="Calibri" w:eastAsia="SimSun" w:hAnsi="Calibri"/>
      <w:bCs/>
      <w:sz w:val="18"/>
      <w:szCs w:val="16"/>
      <w:lang w:val="en-US" w:eastAsia="zh-CN"/>
    </w:rPr>
  </w:style>
  <w:style w:type="character" w:customStyle="1" w:styleId="BoxChar">
    <w:name w:val="Box Char"/>
    <w:basedOn w:val="BodyTextChar"/>
    <w:link w:val="Box"/>
    <w:locked/>
    <w:rsid w:val="00DE1537"/>
    <w:rPr>
      <w:rFonts w:ascii="Arial" w:hAnsi="Arial"/>
      <w:sz w:val="24"/>
    </w:rPr>
  </w:style>
  <w:style w:type="character" w:customStyle="1" w:styleId="s16">
    <w:name w:val="s16"/>
    <w:basedOn w:val="DefaultParagraphFont"/>
    <w:rsid w:val="00DE1537"/>
  </w:style>
  <w:style w:type="character" w:customStyle="1" w:styleId="s38">
    <w:name w:val="s38"/>
    <w:basedOn w:val="DefaultParagraphFont"/>
    <w:rsid w:val="00DE1537"/>
  </w:style>
  <w:style w:type="character" w:customStyle="1" w:styleId="Heading1Char">
    <w:name w:val="Heading 1 Char"/>
    <w:basedOn w:val="DefaultParagraphFont"/>
    <w:link w:val="Heading1"/>
    <w:rsid w:val="00DE1537"/>
    <w:rPr>
      <w:sz w:val="52"/>
    </w:rPr>
  </w:style>
  <w:style w:type="paragraph" w:customStyle="1" w:styleId="Pa3">
    <w:name w:val="Pa3"/>
    <w:basedOn w:val="Default"/>
    <w:next w:val="Default"/>
    <w:uiPriority w:val="99"/>
    <w:rsid w:val="00DE1537"/>
    <w:pPr>
      <w:spacing w:line="191" w:lineRule="atLeast"/>
    </w:pPr>
    <w:rPr>
      <w:rFonts w:ascii="BFCPZ Y+ Meta" w:hAnsi="BFCPZ Y+ Meta" w:cs="Times New Roman"/>
      <w:color w:val="auto"/>
    </w:rPr>
  </w:style>
  <w:style w:type="paragraph" w:customStyle="1" w:styleId="Pa14">
    <w:name w:val="Pa14"/>
    <w:basedOn w:val="Default"/>
    <w:next w:val="Default"/>
    <w:uiPriority w:val="99"/>
    <w:rsid w:val="00DE1537"/>
    <w:pPr>
      <w:spacing w:line="201" w:lineRule="atLeast"/>
    </w:pPr>
    <w:rPr>
      <w:rFonts w:ascii="BFCPZ Y+ Meta" w:hAnsi="BFCPZ Y+ Meta" w:cs="Times New Roman"/>
      <w:color w:val="auto"/>
    </w:rPr>
  </w:style>
  <w:style w:type="character" w:customStyle="1" w:styleId="A4">
    <w:name w:val="A4"/>
    <w:uiPriority w:val="99"/>
    <w:rsid w:val="00DE1537"/>
    <w:rPr>
      <w:rFonts w:cs="BFCPZ Y+ Meta"/>
      <w:color w:val="000000"/>
      <w:sz w:val="19"/>
      <w:szCs w:val="19"/>
    </w:rPr>
  </w:style>
  <w:style w:type="paragraph" w:customStyle="1" w:styleId="Pa7">
    <w:name w:val="Pa7"/>
    <w:basedOn w:val="Default"/>
    <w:next w:val="Default"/>
    <w:uiPriority w:val="99"/>
    <w:rsid w:val="00DE1537"/>
    <w:pPr>
      <w:spacing w:line="191" w:lineRule="atLeast"/>
    </w:pPr>
    <w:rPr>
      <w:rFonts w:ascii="BFCPZ Y+ Meta" w:hAnsi="BFCPZ Y+ Meta" w:cs="Times New Roman"/>
      <w:color w:val="auto"/>
    </w:rPr>
  </w:style>
  <w:style w:type="character" w:customStyle="1" w:styleId="A14">
    <w:name w:val="A14"/>
    <w:uiPriority w:val="99"/>
    <w:rsid w:val="00DE1537"/>
    <w:rPr>
      <w:rFonts w:cs="BFCPZ Y+ Meta"/>
      <w:color w:val="000000"/>
      <w:sz w:val="11"/>
      <w:szCs w:val="11"/>
    </w:rPr>
  </w:style>
  <w:style w:type="paragraph" w:customStyle="1" w:styleId="Pa27">
    <w:name w:val="Pa27"/>
    <w:basedOn w:val="Default"/>
    <w:next w:val="Default"/>
    <w:uiPriority w:val="99"/>
    <w:rsid w:val="00DE1537"/>
    <w:pPr>
      <w:spacing w:line="191" w:lineRule="atLeast"/>
    </w:pPr>
    <w:rPr>
      <w:rFonts w:ascii="BFCPZ Y+ Meta" w:hAnsi="BFCPZ Y+ Meta" w:cs="Times New Roman"/>
      <w:color w:val="auto"/>
    </w:rPr>
  </w:style>
  <w:style w:type="character" w:styleId="PlaceholderText">
    <w:name w:val="Placeholder Text"/>
    <w:basedOn w:val="DefaultParagraphFont"/>
    <w:uiPriority w:val="99"/>
    <w:semiHidden/>
    <w:rsid w:val="00DE1537"/>
    <w:rPr>
      <w:color w:val="808080"/>
    </w:rPr>
  </w:style>
  <w:style w:type="character" w:customStyle="1" w:styleId="CommentTextChar1">
    <w:name w:val="Comment Text Char1"/>
    <w:basedOn w:val="DefaultParagraphFont"/>
    <w:semiHidden/>
    <w:rsid w:val="00DE1537"/>
    <w:rPr>
      <w:szCs w:val="24"/>
    </w:rPr>
  </w:style>
  <w:style w:type="paragraph" w:customStyle="1" w:styleId="Heading1NotTOC">
    <w:name w:val="Heading 1 Not TOC"/>
    <w:basedOn w:val="Heading1"/>
    <w:next w:val="BodyText"/>
    <w:rsid w:val="00C11F03"/>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3.xml"/><Relationship Id="rId117" Type="http://schemas.openxmlformats.org/officeDocument/2006/relationships/footer" Target="footer29.xml"/><Relationship Id="rId21" Type="http://schemas.openxmlformats.org/officeDocument/2006/relationships/image" Target="media/image8.emf"/><Relationship Id="rId42" Type="http://schemas.openxmlformats.org/officeDocument/2006/relationships/footer" Target="footer9.xml"/><Relationship Id="rId47" Type="http://schemas.openxmlformats.org/officeDocument/2006/relationships/image" Target="media/image14.emf"/><Relationship Id="rId63" Type="http://schemas.openxmlformats.org/officeDocument/2006/relationships/header" Target="header13.xml"/><Relationship Id="rId68" Type="http://schemas.openxmlformats.org/officeDocument/2006/relationships/header" Target="header15.xml"/><Relationship Id="rId84" Type="http://schemas.openxmlformats.org/officeDocument/2006/relationships/header" Target="header20.xml"/><Relationship Id="rId89" Type="http://schemas.openxmlformats.org/officeDocument/2006/relationships/image" Target="media/image35.emf"/><Relationship Id="rId112" Type="http://schemas.openxmlformats.org/officeDocument/2006/relationships/header" Target="header28.xml"/><Relationship Id="rId16" Type="http://schemas.openxmlformats.org/officeDocument/2006/relationships/image" Target="media/image3.emf"/><Relationship Id="rId107" Type="http://schemas.openxmlformats.org/officeDocument/2006/relationships/footer" Target="footer25.xml"/><Relationship Id="rId11" Type="http://schemas.openxmlformats.org/officeDocument/2006/relationships/webSettings" Target="webSettings.xml"/><Relationship Id="rId24" Type="http://schemas.openxmlformats.org/officeDocument/2006/relationships/footer" Target="footer1.xml"/><Relationship Id="rId32" Type="http://schemas.openxmlformats.org/officeDocument/2006/relationships/footer" Target="footer5.xml"/><Relationship Id="rId37" Type="http://schemas.openxmlformats.org/officeDocument/2006/relationships/footer" Target="footer7.xml"/><Relationship Id="rId40" Type="http://schemas.openxmlformats.org/officeDocument/2006/relationships/header" Target="header9.xml"/><Relationship Id="rId45" Type="http://schemas.openxmlformats.org/officeDocument/2006/relationships/image" Target="media/image12.emf"/><Relationship Id="rId53" Type="http://schemas.openxmlformats.org/officeDocument/2006/relationships/image" Target="media/image20.emf"/><Relationship Id="rId58" Type="http://schemas.openxmlformats.org/officeDocument/2006/relationships/image" Target="media/image21.emf"/><Relationship Id="rId66" Type="http://schemas.openxmlformats.org/officeDocument/2006/relationships/footer" Target="footer14.xml"/><Relationship Id="rId74" Type="http://schemas.openxmlformats.org/officeDocument/2006/relationships/image" Target="media/image28.emf"/><Relationship Id="rId79" Type="http://schemas.openxmlformats.org/officeDocument/2006/relationships/image" Target="media/image29.emf"/><Relationship Id="rId87" Type="http://schemas.openxmlformats.org/officeDocument/2006/relationships/image" Target="media/image33.emf"/><Relationship Id="rId102" Type="http://schemas.openxmlformats.org/officeDocument/2006/relationships/header" Target="header24.xml"/><Relationship Id="rId110" Type="http://schemas.openxmlformats.org/officeDocument/2006/relationships/image" Target="media/image44.emf"/><Relationship Id="rId115" Type="http://schemas.openxmlformats.org/officeDocument/2006/relationships/header" Target="header29.xml"/><Relationship Id="rId5" Type="http://schemas.openxmlformats.org/officeDocument/2006/relationships/customXml" Target="../customXml/item5.xml"/><Relationship Id="rId61" Type="http://schemas.openxmlformats.org/officeDocument/2006/relationships/image" Target="media/image24.emf"/><Relationship Id="rId82" Type="http://schemas.openxmlformats.org/officeDocument/2006/relationships/image" Target="media/image32.png"/><Relationship Id="rId90" Type="http://schemas.openxmlformats.org/officeDocument/2006/relationships/image" Target="media/image36.emf"/><Relationship Id="rId95" Type="http://schemas.openxmlformats.org/officeDocument/2006/relationships/image" Target="media/image41.emf"/><Relationship Id="rId19" Type="http://schemas.openxmlformats.org/officeDocument/2006/relationships/image" Target="media/image6.png"/><Relationship Id="rId14" Type="http://schemas.openxmlformats.org/officeDocument/2006/relationships/image" Target="media/image1.emf"/><Relationship Id="rId22" Type="http://schemas.openxmlformats.org/officeDocument/2006/relationships/header" Target="header1.xml"/><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header" Target="header7.xml"/><Relationship Id="rId43" Type="http://schemas.openxmlformats.org/officeDocument/2006/relationships/footer" Target="footer10.xml"/><Relationship Id="rId48" Type="http://schemas.openxmlformats.org/officeDocument/2006/relationships/image" Target="media/image15.emf"/><Relationship Id="rId56" Type="http://schemas.openxmlformats.org/officeDocument/2006/relationships/footer" Target="footer11.xml"/><Relationship Id="rId64" Type="http://schemas.openxmlformats.org/officeDocument/2006/relationships/header" Target="header14.xml"/><Relationship Id="rId69" Type="http://schemas.openxmlformats.org/officeDocument/2006/relationships/header" Target="header16.xml"/><Relationship Id="rId77" Type="http://schemas.openxmlformats.org/officeDocument/2006/relationships/footer" Target="footer17.xml"/><Relationship Id="rId100" Type="http://schemas.openxmlformats.org/officeDocument/2006/relationships/footer" Target="footer22.xml"/><Relationship Id="rId105" Type="http://schemas.openxmlformats.org/officeDocument/2006/relationships/header" Target="header25.xml"/><Relationship Id="rId113" Type="http://schemas.openxmlformats.org/officeDocument/2006/relationships/footer" Target="footer27.xml"/><Relationship Id="rId118" Type="http://schemas.openxmlformats.org/officeDocument/2006/relationships/footer" Target="footer30.xml"/><Relationship Id="rId8" Type="http://schemas.openxmlformats.org/officeDocument/2006/relationships/styles" Target="styles.xml"/><Relationship Id="rId51" Type="http://schemas.openxmlformats.org/officeDocument/2006/relationships/image" Target="media/image18.emf"/><Relationship Id="rId72" Type="http://schemas.openxmlformats.org/officeDocument/2006/relationships/image" Target="media/image26.emf"/><Relationship Id="rId80" Type="http://schemas.openxmlformats.org/officeDocument/2006/relationships/image" Target="media/image30.emf"/><Relationship Id="rId85" Type="http://schemas.openxmlformats.org/officeDocument/2006/relationships/footer" Target="footer19.xml"/><Relationship Id="rId93" Type="http://schemas.openxmlformats.org/officeDocument/2006/relationships/image" Target="media/image39.emf"/><Relationship Id="rId98" Type="http://schemas.openxmlformats.org/officeDocument/2006/relationships/header" Target="header22.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emf"/><Relationship Id="rId25" Type="http://schemas.openxmlformats.org/officeDocument/2006/relationships/footer" Target="footer2.xml"/><Relationship Id="rId33" Type="http://schemas.openxmlformats.org/officeDocument/2006/relationships/footer" Target="footer6.xml"/><Relationship Id="rId38" Type="http://schemas.openxmlformats.org/officeDocument/2006/relationships/footer" Target="footer8.xml"/><Relationship Id="rId46" Type="http://schemas.openxmlformats.org/officeDocument/2006/relationships/image" Target="media/image13.emf"/><Relationship Id="rId59" Type="http://schemas.openxmlformats.org/officeDocument/2006/relationships/image" Target="media/image22.emf"/><Relationship Id="rId67" Type="http://schemas.openxmlformats.org/officeDocument/2006/relationships/chart" Target="charts/chart1.xml"/><Relationship Id="rId103" Type="http://schemas.openxmlformats.org/officeDocument/2006/relationships/footer" Target="footer23.xml"/><Relationship Id="rId108" Type="http://schemas.openxmlformats.org/officeDocument/2006/relationships/footer" Target="footer26.xml"/><Relationship Id="rId116" Type="http://schemas.openxmlformats.org/officeDocument/2006/relationships/header" Target="header30.xml"/><Relationship Id="rId20" Type="http://schemas.openxmlformats.org/officeDocument/2006/relationships/image" Target="media/image7.emf"/><Relationship Id="rId41" Type="http://schemas.openxmlformats.org/officeDocument/2006/relationships/header" Target="header10.xml"/><Relationship Id="rId54" Type="http://schemas.openxmlformats.org/officeDocument/2006/relationships/header" Target="header11.xml"/><Relationship Id="rId62" Type="http://schemas.openxmlformats.org/officeDocument/2006/relationships/image" Target="media/image25.emf"/><Relationship Id="rId70" Type="http://schemas.openxmlformats.org/officeDocument/2006/relationships/footer" Target="footer15.xml"/><Relationship Id="rId75" Type="http://schemas.openxmlformats.org/officeDocument/2006/relationships/header" Target="header17.xml"/><Relationship Id="rId83" Type="http://schemas.openxmlformats.org/officeDocument/2006/relationships/header" Target="header19.xml"/><Relationship Id="rId88" Type="http://schemas.openxmlformats.org/officeDocument/2006/relationships/image" Target="media/image34.emf"/><Relationship Id="rId91" Type="http://schemas.openxmlformats.org/officeDocument/2006/relationships/image" Target="media/image37.emf"/><Relationship Id="rId96" Type="http://schemas.openxmlformats.org/officeDocument/2006/relationships/image" Target="media/image42.emf"/><Relationship Id="rId111" Type="http://schemas.openxmlformats.org/officeDocument/2006/relationships/header" Target="header27.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emf"/><Relationship Id="rId23" Type="http://schemas.openxmlformats.org/officeDocument/2006/relationships/header" Target="header2.xml"/><Relationship Id="rId28" Type="http://schemas.openxmlformats.org/officeDocument/2006/relationships/footer" Target="footer3.xml"/><Relationship Id="rId36" Type="http://schemas.openxmlformats.org/officeDocument/2006/relationships/header" Target="header8.xml"/><Relationship Id="rId49" Type="http://schemas.openxmlformats.org/officeDocument/2006/relationships/image" Target="media/image16.emf"/><Relationship Id="rId57" Type="http://schemas.openxmlformats.org/officeDocument/2006/relationships/footer" Target="footer12.xml"/><Relationship Id="rId106" Type="http://schemas.openxmlformats.org/officeDocument/2006/relationships/header" Target="header26.xml"/><Relationship Id="rId114" Type="http://schemas.openxmlformats.org/officeDocument/2006/relationships/footer" Target="footer28.xml"/><Relationship Id="rId119" Type="http://schemas.openxmlformats.org/officeDocument/2006/relationships/fontTable" Target="fontTable.xml"/><Relationship Id="rId10" Type="http://schemas.openxmlformats.org/officeDocument/2006/relationships/settings" Target="settings.xml"/><Relationship Id="rId31" Type="http://schemas.openxmlformats.org/officeDocument/2006/relationships/header" Target="header6.xml"/><Relationship Id="rId44" Type="http://schemas.openxmlformats.org/officeDocument/2006/relationships/image" Target="media/image11.emf"/><Relationship Id="rId52" Type="http://schemas.openxmlformats.org/officeDocument/2006/relationships/image" Target="media/image19.emf"/><Relationship Id="rId60" Type="http://schemas.openxmlformats.org/officeDocument/2006/relationships/image" Target="media/image23.emf"/><Relationship Id="rId65" Type="http://schemas.openxmlformats.org/officeDocument/2006/relationships/footer" Target="footer13.xml"/><Relationship Id="rId73" Type="http://schemas.openxmlformats.org/officeDocument/2006/relationships/image" Target="media/image27.emf"/><Relationship Id="rId78" Type="http://schemas.openxmlformats.org/officeDocument/2006/relationships/footer" Target="footer18.xml"/><Relationship Id="rId81" Type="http://schemas.openxmlformats.org/officeDocument/2006/relationships/image" Target="media/image31.emf"/><Relationship Id="rId86" Type="http://schemas.openxmlformats.org/officeDocument/2006/relationships/footer" Target="footer20.xml"/><Relationship Id="rId94" Type="http://schemas.openxmlformats.org/officeDocument/2006/relationships/image" Target="media/image40.emf"/><Relationship Id="rId99" Type="http://schemas.openxmlformats.org/officeDocument/2006/relationships/footer" Target="footer21.xml"/><Relationship Id="rId101" Type="http://schemas.openxmlformats.org/officeDocument/2006/relationships/header" Target="header23.xml"/><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image" Target="media/image5.emf"/><Relationship Id="rId39" Type="http://schemas.openxmlformats.org/officeDocument/2006/relationships/image" Target="media/image10.emf"/><Relationship Id="rId109" Type="http://schemas.openxmlformats.org/officeDocument/2006/relationships/image" Target="media/image43.emf"/><Relationship Id="rId34" Type="http://schemas.openxmlformats.org/officeDocument/2006/relationships/image" Target="media/image9.emf"/><Relationship Id="rId50" Type="http://schemas.openxmlformats.org/officeDocument/2006/relationships/image" Target="media/image17.emf"/><Relationship Id="rId55" Type="http://schemas.openxmlformats.org/officeDocument/2006/relationships/header" Target="header12.xml"/><Relationship Id="rId76" Type="http://schemas.openxmlformats.org/officeDocument/2006/relationships/header" Target="header18.xml"/><Relationship Id="rId97" Type="http://schemas.openxmlformats.org/officeDocument/2006/relationships/header" Target="header21.xml"/><Relationship Id="rId104" Type="http://schemas.openxmlformats.org/officeDocument/2006/relationships/footer" Target="footer24.xml"/><Relationship Id="rId120" Type="http://schemas.openxmlformats.org/officeDocument/2006/relationships/theme" Target="theme/theme1.xml"/><Relationship Id="rId7" Type="http://schemas.openxmlformats.org/officeDocument/2006/relationships/numbering" Target="numbering.xml"/><Relationship Id="rId71" Type="http://schemas.openxmlformats.org/officeDocument/2006/relationships/footer" Target="footer16.xml"/><Relationship Id="rId92" Type="http://schemas.openxmlformats.org/officeDocument/2006/relationships/image" Target="media/image38.emf"/><Relationship Id="rId2" Type="http://schemas.openxmlformats.org/officeDocument/2006/relationships/customXml" Target="../customXml/item2.xml"/><Relationship Id="rId29"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http://pc/gcp/nd/Reporting/Draft%20report/Chapter%20materials/SP%205/Figure%20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126196312371461E-2"/>
          <c:y val="8.8091744871472102E-2"/>
          <c:w val="0.91687370370370369"/>
          <c:h val="0.83216597222222222"/>
        </c:manualLayout>
      </c:layout>
      <c:lineChart>
        <c:grouping val="standard"/>
        <c:varyColors val="0"/>
        <c:ser>
          <c:idx val="1"/>
          <c:order val="0"/>
          <c:spPr>
            <a:ln>
              <a:solidFill>
                <a:schemeClr val="accent3">
                  <a:lumMod val="75000"/>
                </a:schemeClr>
              </a:solidFill>
            </a:ln>
          </c:spPr>
          <c:marker>
            <c:symbol val="none"/>
          </c:marker>
          <c:val>
            <c:numRef>
              <c:f>Sheet1!$B$1:$B$15</c:f>
              <c:numCache>
                <c:formatCode>General</c:formatCode>
                <c:ptCount val="15"/>
                <c:pt idx="0">
                  <c:v>10</c:v>
                </c:pt>
                <c:pt idx="1">
                  <c:v>10</c:v>
                </c:pt>
                <c:pt idx="2">
                  <c:v>10</c:v>
                </c:pt>
                <c:pt idx="3">
                  <c:v>10</c:v>
                </c:pt>
                <c:pt idx="4">
                  <c:v>3</c:v>
                </c:pt>
                <c:pt idx="5">
                  <c:v>4</c:v>
                </c:pt>
                <c:pt idx="6">
                  <c:v>5</c:v>
                </c:pt>
                <c:pt idx="7">
                  <c:v>6</c:v>
                </c:pt>
                <c:pt idx="8">
                  <c:v>7</c:v>
                </c:pt>
                <c:pt idx="9">
                  <c:v>8</c:v>
                </c:pt>
                <c:pt idx="10">
                  <c:v>8</c:v>
                </c:pt>
                <c:pt idx="11">
                  <c:v>8</c:v>
                </c:pt>
                <c:pt idx="12">
                  <c:v>8</c:v>
                </c:pt>
                <c:pt idx="13">
                  <c:v>8</c:v>
                </c:pt>
                <c:pt idx="14">
                  <c:v>8</c:v>
                </c:pt>
              </c:numCache>
            </c:numRef>
          </c:val>
          <c:smooth val="0"/>
        </c:ser>
        <c:ser>
          <c:idx val="2"/>
          <c:order val="1"/>
          <c:spPr>
            <a:ln>
              <a:solidFill>
                <a:schemeClr val="tx1"/>
              </a:solidFill>
            </a:ln>
          </c:spPr>
          <c:marker>
            <c:symbol val="none"/>
          </c:marker>
          <c:val>
            <c:numRef>
              <c:f>Sheet1!$C$1:$C$15</c:f>
              <c:numCache>
                <c:formatCode>General</c:formatCode>
                <c:ptCount val="15"/>
                <c:pt idx="0">
                  <c:v>10</c:v>
                </c:pt>
                <c:pt idx="1">
                  <c:v>10</c:v>
                </c:pt>
                <c:pt idx="2">
                  <c:v>10</c:v>
                </c:pt>
                <c:pt idx="3">
                  <c:v>10</c:v>
                </c:pt>
                <c:pt idx="4">
                  <c:v>5</c:v>
                </c:pt>
                <c:pt idx="5">
                  <c:v>6.5</c:v>
                </c:pt>
                <c:pt idx="6">
                  <c:v>8</c:v>
                </c:pt>
                <c:pt idx="7">
                  <c:v>9.5</c:v>
                </c:pt>
                <c:pt idx="8">
                  <c:v>10</c:v>
                </c:pt>
                <c:pt idx="9">
                  <c:v>10</c:v>
                </c:pt>
                <c:pt idx="10">
                  <c:v>10</c:v>
                </c:pt>
                <c:pt idx="11">
                  <c:v>10</c:v>
                </c:pt>
                <c:pt idx="12">
                  <c:v>10</c:v>
                </c:pt>
                <c:pt idx="13">
                  <c:v>10</c:v>
                </c:pt>
                <c:pt idx="14">
                  <c:v>10</c:v>
                </c:pt>
              </c:numCache>
            </c:numRef>
          </c:val>
          <c:smooth val="0"/>
        </c:ser>
        <c:ser>
          <c:idx val="3"/>
          <c:order val="2"/>
          <c:spPr>
            <a:ln w="28575">
              <a:solidFill>
                <a:schemeClr val="tx1"/>
              </a:solidFill>
              <a:prstDash val="sysDash"/>
            </a:ln>
          </c:spPr>
          <c:marker>
            <c:symbol val="none"/>
          </c:marker>
          <c:val>
            <c:numRef>
              <c:f>Sheet1!$D$1:$D$15</c:f>
              <c:numCache>
                <c:formatCode>General</c:formatCode>
                <c:ptCount val="15"/>
                <c:pt idx="0">
                  <c:v>10</c:v>
                </c:pt>
                <c:pt idx="1">
                  <c:v>10</c:v>
                </c:pt>
                <c:pt idx="2">
                  <c:v>10</c:v>
                </c:pt>
                <c:pt idx="3">
                  <c:v>10</c:v>
                </c:pt>
                <c:pt idx="4">
                  <c:v>5</c:v>
                </c:pt>
                <c:pt idx="5">
                  <c:v>6.5</c:v>
                </c:pt>
                <c:pt idx="6">
                  <c:v>8</c:v>
                </c:pt>
                <c:pt idx="7">
                  <c:v>9.5</c:v>
                </c:pt>
                <c:pt idx="8">
                  <c:v>11</c:v>
                </c:pt>
                <c:pt idx="9">
                  <c:v>11</c:v>
                </c:pt>
                <c:pt idx="10">
                  <c:v>11</c:v>
                </c:pt>
                <c:pt idx="11">
                  <c:v>11</c:v>
                </c:pt>
                <c:pt idx="12">
                  <c:v>11</c:v>
                </c:pt>
                <c:pt idx="13">
                  <c:v>11</c:v>
                </c:pt>
                <c:pt idx="14">
                  <c:v>11</c:v>
                </c:pt>
              </c:numCache>
            </c:numRef>
          </c:val>
          <c:smooth val="0"/>
        </c:ser>
        <c:dLbls>
          <c:showLegendKey val="0"/>
          <c:showVal val="0"/>
          <c:showCatName val="0"/>
          <c:showSerName val="0"/>
          <c:showPercent val="0"/>
          <c:showBubbleSize val="0"/>
        </c:dLbls>
        <c:marker val="1"/>
        <c:smooth val="0"/>
        <c:axId val="116303360"/>
        <c:axId val="116305280"/>
      </c:lineChart>
      <c:catAx>
        <c:axId val="116303360"/>
        <c:scaling>
          <c:orientation val="minMax"/>
        </c:scaling>
        <c:delete val="0"/>
        <c:axPos val="b"/>
        <c:title>
          <c:tx>
            <c:rich>
              <a:bodyPr/>
              <a:lstStyle/>
              <a:p>
                <a:pPr algn="ctr">
                  <a:defRPr>
                    <a:solidFill>
                      <a:sysClr val="windowText" lastClr="000000"/>
                    </a:solidFill>
                  </a:defRPr>
                </a:pPr>
                <a:r>
                  <a:rPr lang="en-US">
                    <a:solidFill>
                      <a:sysClr val="windowText" lastClr="000000"/>
                    </a:solidFill>
                  </a:rPr>
                  <a:t>Time</a:t>
                </a:r>
              </a:p>
            </c:rich>
          </c:tx>
          <c:layout>
            <c:manualLayout>
              <c:xMode val="edge"/>
              <c:yMode val="edge"/>
              <c:x val="0.43524577946275234"/>
              <c:y val="0.93571156968113278"/>
            </c:manualLayout>
          </c:layout>
          <c:overlay val="0"/>
        </c:title>
        <c:majorTickMark val="none"/>
        <c:minorTickMark val="none"/>
        <c:tickLblPos val="none"/>
        <c:crossAx val="116305280"/>
        <c:crosses val="autoZero"/>
        <c:auto val="1"/>
        <c:lblAlgn val="ctr"/>
        <c:lblOffset val="100"/>
        <c:noMultiLvlLbl val="0"/>
      </c:catAx>
      <c:valAx>
        <c:axId val="116305280"/>
        <c:scaling>
          <c:orientation val="minMax"/>
          <c:max val="15"/>
          <c:min val="0"/>
        </c:scaling>
        <c:delete val="0"/>
        <c:axPos val="l"/>
        <c:title>
          <c:tx>
            <c:rich>
              <a:bodyPr rot="-5400000" vert="horz"/>
              <a:lstStyle/>
              <a:p>
                <a:pPr>
                  <a:defRPr>
                    <a:solidFill>
                      <a:sysClr val="windowText" lastClr="000000"/>
                    </a:solidFill>
                  </a:defRPr>
                </a:pPr>
                <a:r>
                  <a:rPr lang="en-US">
                    <a:solidFill>
                      <a:sysClr val="windowText" lastClr="000000"/>
                    </a:solidFill>
                  </a:rPr>
                  <a:t>Wellbeing</a:t>
                </a:r>
              </a:p>
            </c:rich>
          </c:tx>
          <c:layout>
            <c:manualLayout>
              <c:xMode val="edge"/>
              <c:yMode val="edge"/>
              <c:x val="2.4653770130585527E-2"/>
              <c:y val="0.37717664013056801"/>
            </c:manualLayout>
          </c:layout>
          <c:overlay val="0"/>
        </c:title>
        <c:numFmt formatCode="General" sourceLinked="0"/>
        <c:majorTickMark val="none"/>
        <c:minorTickMark val="none"/>
        <c:tickLblPos val="none"/>
        <c:crossAx val="116303360"/>
        <c:crosses val="autoZero"/>
        <c:crossBetween val="between"/>
      </c:valAx>
    </c:plotArea>
    <c:plotVisOnly val="1"/>
    <c:dispBlanksAs val="gap"/>
    <c:showDLblsOverMax val="0"/>
  </c:chart>
  <c:spPr>
    <a:ln>
      <a:noFill/>
    </a:ln>
  </c:spPr>
  <c:txPr>
    <a:bodyPr/>
    <a:lstStyle/>
    <a:p>
      <a:pPr>
        <a:defRPr sz="900"/>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0.56803</cdr:x>
      <cdr:y>0.07938</cdr:y>
    </cdr:from>
    <cdr:to>
      <cdr:x>0.90487</cdr:x>
      <cdr:y>0.24805</cdr:y>
    </cdr:to>
    <cdr:sp macro="" textlink="">
      <cdr:nvSpPr>
        <cdr:cNvPr id="2" name="TextBox 1"/>
        <cdr:cNvSpPr txBox="1"/>
      </cdr:nvSpPr>
      <cdr:spPr>
        <a:xfrm xmlns:a="http://schemas.openxmlformats.org/drawingml/2006/main">
          <a:off x="3067050" y="228600"/>
          <a:ext cx="1818710" cy="4857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spc="20" baseline="0"/>
            <a:t>Resilient individuals/communities</a:t>
          </a:r>
        </a:p>
      </cdr:txBody>
    </cdr:sp>
  </cdr:relSizeAnchor>
  <cdr:relSizeAnchor xmlns:cdr="http://schemas.openxmlformats.org/drawingml/2006/chartDrawing">
    <cdr:from>
      <cdr:x>0.59802</cdr:x>
      <cdr:y>0.55899</cdr:y>
    </cdr:from>
    <cdr:to>
      <cdr:x>0.88724</cdr:x>
      <cdr:y>0.7376</cdr:y>
    </cdr:to>
    <cdr:sp macro="" textlink="">
      <cdr:nvSpPr>
        <cdr:cNvPr id="3" name="TextBox 1"/>
        <cdr:cNvSpPr txBox="1"/>
      </cdr:nvSpPr>
      <cdr:spPr>
        <a:xfrm xmlns:a="http://schemas.openxmlformats.org/drawingml/2006/main">
          <a:off x="3228974" y="1609724"/>
          <a:ext cx="1561593" cy="514351"/>
        </a:xfrm>
        <a:prstGeom xmlns:a="http://schemas.openxmlformats.org/drawingml/2006/main" prst="rect">
          <a:avLst/>
        </a:prstGeom>
        <a:ln xmlns:a="http://schemas.openxmlformats.org/drawingml/2006/main">
          <a:noFill/>
        </a:ln>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spc="20" baseline="0">
              <a:solidFill>
                <a:sysClr val="windowText" lastClr="000000"/>
              </a:solidFill>
            </a:rPr>
            <a:t>Not resilient individuals/communities</a:t>
          </a:r>
        </a:p>
      </cdr:txBody>
    </cdr:sp>
  </cdr:relSizeAnchor>
  <cdr:relSizeAnchor xmlns:cdr="http://schemas.openxmlformats.org/drawingml/2006/chartDrawing">
    <cdr:from>
      <cdr:x>0.19344</cdr:x>
      <cdr:y>0.07938</cdr:y>
    </cdr:from>
    <cdr:to>
      <cdr:x>0.35905</cdr:x>
      <cdr:y>0.22492</cdr:y>
    </cdr:to>
    <cdr:sp macro="" textlink="">
      <cdr:nvSpPr>
        <cdr:cNvPr id="6" name="TextBox 1"/>
        <cdr:cNvSpPr txBox="1"/>
      </cdr:nvSpPr>
      <cdr:spPr>
        <a:xfrm xmlns:a="http://schemas.openxmlformats.org/drawingml/2006/main">
          <a:off x="1044461" y="228600"/>
          <a:ext cx="894195" cy="41909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spc="20" baseline="0"/>
            <a:t>Natural disaster event</a:t>
          </a:r>
        </a:p>
      </cdr:txBody>
    </cdr:sp>
  </cdr:relSizeAnchor>
  <cdr:relSizeAnchor xmlns:cdr="http://schemas.openxmlformats.org/drawingml/2006/chartDrawing">
    <cdr:from>
      <cdr:x>0.29692</cdr:x>
      <cdr:y>0.22858</cdr:y>
    </cdr:from>
    <cdr:to>
      <cdr:x>0.2979</cdr:x>
      <cdr:y>0.9176</cdr:y>
    </cdr:to>
    <cdr:cxnSp macro="">
      <cdr:nvCxnSpPr>
        <cdr:cNvPr id="9" name="Straight Connector 8" descr="Vertical line depicting point in time of Natural disaster event"/>
        <cdr:cNvCxnSpPr/>
      </cdr:nvCxnSpPr>
      <cdr:spPr>
        <a:xfrm xmlns:a="http://schemas.openxmlformats.org/drawingml/2006/main">
          <a:off x="1603186" y="658244"/>
          <a:ext cx="5291" cy="1984188"/>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0.49747</cdr:x>
      <cdr:y>0.3043</cdr:y>
    </cdr:from>
    <cdr:to>
      <cdr:x>0.54687</cdr:x>
      <cdr:y>0.40684</cdr:y>
    </cdr:to>
    <cdr:sp macro="" textlink="">
      <cdr:nvSpPr>
        <cdr:cNvPr id="8" name="TextBox 1"/>
        <cdr:cNvSpPr txBox="1"/>
      </cdr:nvSpPr>
      <cdr:spPr>
        <a:xfrm xmlns:a="http://schemas.openxmlformats.org/drawingml/2006/main">
          <a:off x="2686050" y="876299"/>
          <a:ext cx="266700" cy="2952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1100" b="1" spc="0" baseline="0">
              <a:effectLst/>
              <a:latin typeface="+mn-lt"/>
              <a:ea typeface="+mn-ea"/>
              <a:cs typeface="+mn-cs"/>
            </a:rPr>
            <a:t>B</a:t>
          </a:r>
          <a:endParaRPr lang="en-AU" sz="900" spc="20" baseline="0"/>
        </a:p>
      </cdr:txBody>
    </cdr:sp>
  </cdr:relSizeAnchor>
  <cdr:relSizeAnchor xmlns:cdr="http://schemas.openxmlformats.org/drawingml/2006/chartDrawing">
    <cdr:from>
      <cdr:x>0.34752</cdr:x>
      <cdr:y>0.46118</cdr:y>
    </cdr:from>
    <cdr:to>
      <cdr:x>0.39339</cdr:x>
      <cdr:y>0.55305</cdr:y>
    </cdr:to>
    <cdr:sp macro="" textlink="">
      <cdr:nvSpPr>
        <cdr:cNvPr id="11" name="TextBox 1"/>
        <cdr:cNvSpPr txBox="1"/>
      </cdr:nvSpPr>
      <cdr:spPr>
        <a:xfrm xmlns:a="http://schemas.openxmlformats.org/drawingml/2006/main">
          <a:off x="1876426" y="1328072"/>
          <a:ext cx="247650" cy="2645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1100" b="1">
              <a:effectLst/>
              <a:latin typeface="+mn-lt"/>
              <a:ea typeface="+mn-ea"/>
              <a:cs typeface="+mn-cs"/>
            </a:rPr>
            <a:t>A</a:t>
          </a:r>
          <a:endParaRPr lang="en-AU" sz="900" spc="20" baseline="0"/>
        </a:p>
      </cdr:txBody>
    </cdr:sp>
  </cdr:relSizeAnchor>
  <cdr:relSizeAnchor xmlns:cdr="http://schemas.openxmlformats.org/drawingml/2006/chartDrawing">
    <cdr:from>
      <cdr:x>0.57333</cdr:x>
      <cdr:y>0.22492</cdr:y>
    </cdr:from>
    <cdr:to>
      <cdr:x>0.63507</cdr:x>
      <cdr:y>0.33738</cdr:y>
    </cdr:to>
    <cdr:sp macro="" textlink="">
      <cdr:nvSpPr>
        <cdr:cNvPr id="12" name="TextBox 1"/>
        <cdr:cNvSpPr txBox="1"/>
      </cdr:nvSpPr>
      <cdr:spPr>
        <a:xfrm xmlns:a="http://schemas.openxmlformats.org/drawingml/2006/main">
          <a:off x="3095625" y="647700"/>
          <a:ext cx="333375" cy="323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1100" b="1" spc="20" baseline="0">
              <a:effectLst/>
              <a:latin typeface="+mn-lt"/>
              <a:ea typeface="+mn-ea"/>
              <a:cs typeface="+mn-cs"/>
            </a:rPr>
            <a:t>C</a:t>
          </a:r>
          <a:endParaRPr lang="en-AU" sz="1100" b="1" spc="20" baseline="0"/>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Final Report" ma:contentTypeID="0x01010066EDC8E18BFE9C418F00295EA55D44EA00BC1898756A9F48459333297EB68257DD0042B2E9122C34AF43AC4ED9B718CEDD9E" ma:contentTypeVersion="10" ma:contentTypeDescription="" ma:contentTypeScope="" ma:versionID="754bb91a5efc0aa4e8920019e828b478">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customXsn xmlns="http://schemas.microsoft.com/office/2006/metadata/customXsn">
  <xsnLocation/>
  <cached>True</cached>
  <openByDefault>False</openByDefault>
  <xsnScope/>
</customXs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3EDDDD-98AC-4A69-AA96-E6BFA23A8114}">
  <ds:schemaRefs>
    <ds:schemaRef ds:uri="http://schemas.microsoft.com/sharepoint/v3/contenttype/forms"/>
  </ds:schemaRefs>
</ds:datastoreItem>
</file>

<file path=customXml/itemProps2.xml><?xml version="1.0" encoding="utf-8"?>
<ds:datastoreItem xmlns:ds="http://schemas.openxmlformats.org/officeDocument/2006/customXml" ds:itemID="{CA9C5C88-6DB1-44A5-9AB0-D1FAE0EDEE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6380C30-8EED-4FF8-83BD-37261CCB4E35}">
  <ds:schemaRefs>
    <ds:schemaRef ds:uri="http://schemas.microsoft.com/office/2006/metadata/customXsn"/>
  </ds:schemaRefs>
</ds:datastoreItem>
</file>

<file path=customXml/itemProps4.xml><?xml version="1.0" encoding="utf-8"?>
<ds:datastoreItem xmlns:ds="http://schemas.openxmlformats.org/officeDocument/2006/customXml" ds:itemID="{D99C2FC0-E65F-471F-B22B-C8BDEB39C382}">
  <ds:schemaRefs>
    <ds:schemaRef ds:uri="http://www.w3.org/XML/1998/namespace"/>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purl.org/dc/terms/"/>
    <ds:schemaRef ds:uri="http://schemas.microsoft.com/office/2006/metadata/properties"/>
  </ds:schemaRefs>
</ds:datastoreItem>
</file>

<file path=customXml/itemProps5.xml><?xml version="1.0" encoding="utf-8"?>
<ds:datastoreItem xmlns:ds="http://schemas.openxmlformats.org/officeDocument/2006/customXml" ds:itemID="{622C0443-B404-47F6-9268-8B28ED7D95CF}">
  <ds:schemaRefs>
    <ds:schemaRef ds:uri="http://schemas.microsoft.com/sharepoint/events"/>
  </ds:schemaRefs>
</ds:datastoreItem>
</file>

<file path=customXml/itemProps6.xml><?xml version="1.0" encoding="utf-8"?>
<ds:datastoreItem xmlns:ds="http://schemas.openxmlformats.org/officeDocument/2006/customXml" ds:itemID="{DE8DAA57-4BC1-4A92-A12B-42669AE57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16</TotalTime>
  <Pages>332</Pages>
  <Words>123445</Words>
  <Characters>725052</Characters>
  <Application>Microsoft Office Word</Application>
  <DocSecurity>0</DocSecurity>
  <Lines>6042</Lines>
  <Paragraphs>1693</Paragraphs>
  <ScaleCrop>false</ScaleCrop>
  <HeadingPairs>
    <vt:vector size="2" baseType="variant">
      <vt:variant>
        <vt:lpstr>Title</vt:lpstr>
      </vt:variant>
      <vt:variant>
        <vt:i4>1</vt:i4>
      </vt:variant>
    </vt:vector>
  </HeadingPairs>
  <TitlesOfParts>
    <vt:vector size="1" baseType="lpstr">
      <vt:lpstr>Volume 2 - Inquiry report - Natural Disaster Funding Arrangements</vt:lpstr>
    </vt:vector>
  </TitlesOfParts>
  <Company>Productivity Commission</Company>
  <LinksUpToDate>false</LinksUpToDate>
  <CharactersWithSpaces>846804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2 - Inquiry report - Natural Disaster Funding Arrangements</dc:title>
  <dc:subject>Report</dc:subject>
  <dc:creator>Productivity Commission</dc:creator>
  <cp:lastModifiedBy>Mark Pimperl</cp:lastModifiedBy>
  <cp:revision>15</cp:revision>
  <cp:lastPrinted>2014-12-15T23:39:00Z</cp:lastPrinted>
  <dcterms:created xsi:type="dcterms:W3CDTF">2014-12-16T01:28:00Z</dcterms:created>
  <dcterms:modified xsi:type="dcterms:W3CDTF">2015-02-10T04:47:00Z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0x01010066EDC8E18BFE9C418F00295EA55D44EA00BC1898756A9F48459333297EB68257DD0042B2E9122C34AF43AC4ED9B718CEDD9E</vt:lpwstr>
  </property>
  <property fmtid="{D5CDD505-2E9C-101B-9397-08002B2CF9AE}" pid="3" name="RecordPoint_ActiveItemUniqueId">
    <vt:lpwstr>{aaa2a117-495a-4c74-aad8-70642bff0e94}</vt:lpwstr>
  </property>
  <property fmtid="{D5CDD505-2E9C-101B-9397-08002B2CF9AE}" pid="4" name="RecordPoint_SubmissionCompleted">
    <vt:lpwstr>2014-12-16T12:53:26.9036001+11:00</vt:lpwstr>
  </property>
  <property fmtid="{D5CDD505-2E9C-101B-9397-08002B2CF9AE}" pid="5" name="RecordPoint_WorkflowType">
    <vt:lpwstr>ActiveSubmitStub</vt:lpwstr>
  </property>
  <property fmtid="{D5CDD505-2E9C-101B-9397-08002B2CF9AE}" pid="6" name="RecordPoint_ActiveItemSiteId">
    <vt:lpwstr>{5750d626-0aa0-474c-a55f-8063909d4906}</vt:lpwstr>
  </property>
  <property fmtid="{D5CDD505-2E9C-101B-9397-08002B2CF9AE}" pid="7" name="RecordPoint_ActiveItemListId">
    <vt:lpwstr>{4738c35e-c63e-40d3-9e42-73573b5223a6}</vt:lpwstr>
  </property>
  <property fmtid="{D5CDD505-2E9C-101B-9397-08002B2CF9AE}" pid="8" name="RecordPoint_ActiveItemWebId">
    <vt:lpwstr>{2159b2f9-a7b8-4f1e-afd4-3e549d486baf}</vt:lpwstr>
  </property>
  <property fmtid="{D5CDD505-2E9C-101B-9397-08002B2CF9AE}" pid="9" name="IconOverlay">
    <vt:lpwstr/>
  </property>
  <property fmtid="{D5CDD505-2E9C-101B-9397-08002B2CF9AE}" pid="10" name="RecordPoint_RecordNumberSubmitted">
    <vt:lpwstr>R0000002959</vt:lpwstr>
  </property>
  <property fmtid="{D5CDD505-2E9C-101B-9397-08002B2CF9AE}" pid="11" name="ZOTERO_PREF_1">
    <vt:lpwstr>&lt;data data-version="3" zotero-version="4.0.20"&gt;&lt;session id="OJU34LZe"/&gt;&lt;style id="http://www.zotero.org/styles/unisa-harvard" hasBibliography="1" bibliographyStyleHasBeenSet="0"/&gt;&lt;prefs&gt;&lt;pref name="fieldType" value="Field"/&gt;&lt;pref name="storeReferences" va</vt:lpwstr>
  </property>
  <property fmtid="{D5CDD505-2E9C-101B-9397-08002B2CF9AE}" pid="12" name="ZOTERO_PREF_2">
    <vt:lpwstr>lue="true"/&gt;&lt;pref name="automaticJournalAbbreviations" value="true"/&gt;&lt;pref name="noteType" value="0"/&gt;&lt;/prefs&gt;&lt;/data&gt;</vt:lpwstr>
  </property>
  <property fmtid="{D5CDD505-2E9C-101B-9397-08002B2CF9AE}" pid="13" name="RecordPoint_SubmissionDate">
    <vt:lpwstr/>
  </property>
  <property fmtid="{D5CDD505-2E9C-101B-9397-08002B2CF9AE}" pid="14" name="RecordPoint_ActiveItemMoved">
    <vt:lpwstr/>
  </property>
  <property fmtid="{D5CDD505-2E9C-101B-9397-08002B2CF9AE}" pid="15" name="RecordPoint_RecordFormat">
    <vt:lpwstr/>
  </property>
</Properties>
</file>