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DD" w:rsidRDefault="00975DDD" w:rsidP="00F43C83">
      <w:pPr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Attachment </w:t>
      </w:r>
      <w:r w:rsidR="00167B56">
        <w:rPr>
          <w:rFonts w:ascii="Arial" w:hAnsi="Arial" w:cs="Arial"/>
          <w:b/>
          <w:color w:val="1F497D" w:themeColor="text2"/>
          <w:sz w:val="24"/>
          <w:szCs w:val="24"/>
        </w:rPr>
        <w:t>to Mitchell Shire Council Submission to Disaster Funding Inquiry</w:t>
      </w:r>
    </w:p>
    <w:p w:rsidR="00F43C83" w:rsidRPr="008960CD" w:rsidRDefault="00F43C83" w:rsidP="00F43C83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Seymour</w:t>
      </w:r>
    </w:p>
    <w:p w:rsidR="00601B46" w:rsidRDefault="00F43C83" w:rsidP="00F43C83">
      <w:pPr>
        <w:rPr>
          <w:rFonts w:ascii="Arial" w:hAnsi="Arial" w:cs="Arial"/>
          <w:color w:val="000000" w:themeColor="text1"/>
        </w:rPr>
      </w:pPr>
      <w:r w:rsidRPr="00F7329B">
        <w:rPr>
          <w:rFonts w:ascii="Arial" w:hAnsi="Arial" w:cs="Arial"/>
          <w:color w:val="000000" w:themeColor="text1"/>
        </w:rPr>
        <w:t>The town of Seymour has a long history of flooding</w:t>
      </w:r>
      <w:r w:rsidR="00601B46">
        <w:rPr>
          <w:rFonts w:ascii="Arial" w:hAnsi="Arial" w:cs="Arial"/>
          <w:color w:val="000000" w:themeColor="text1"/>
        </w:rPr>
        <w:t xml:space="preserve"> dating back to its establishment in the 1800s</w:t>
      </w:r>
      <w:r w:rsidRPr="00F7329B">
        <w:rPr>
          <w:rFonts w:ascii="Arial" w:hAnsi="Arial" w:cs="Arial"/>
          <w:color w:val="000000" w:themeColor="text1"/>
        </w:rPr>
        <w:t xml:space="preserve">. </w:t>
      </w:r>
      <w:r w:rsidR="00601B46">
        <w:rPr>
          <w:rFonts w:ascii="Arial" w:hAnsi="Arial" w:cs="Arial"/>
          <w:color w:val="000000" w:themeColor="text1"/>
        </w:rPr>
        <w:t>The 1870 flood resulted in significant inundation of the entire town. Further major floods took place in 1916, 1917 and 1974.</w:t>
      </w:r>
    </w:p>
    <w:p w:rsidR="003709F7" w:rsidRPr="003709F7" w:rsidRDefault="003709F7" w:rsidP="003709F7">
      <w:pPr>
        <w:rPr>
          <w:rFonts w:ascii="Arial" w:hAnsi="Arial" w:cs="Arial"/>
          <w:color w:val="000000" w:themeColor="text1"/>
        </w:rPr>
      </w:pPr>
      <w:r w:rsidRPr="003709F7">
        <w:rPr>
          <w:rFonts w:ascii="Arial" w:hAnsi="Arial" w:cs="Arial"/>
          <w:color w:val="000000" w:themeColor="text1"/>
        </w:rPr>
        <w:t xml:space="preserve">The flood-affected area of Seymour is considered the operational centre for the town. This area is </w:t>
      </w:r>
      <w:r>
        <w:rPr>
          <w:rFonts w:ascii="Arial" w:hAnsi="Arial" w:cs="Arial"/>
          <w:color w:val="000000" w:themeColor="text1"/>
        </w:rPr>
        <w:t xml:space="preserve">a </w:t>
      </w:r>
      <w:r w:rsidRPr="003709F7">
        <w:rPr>
          <w:rFonts w:ascii="Arial" w:hAnsi="Arial" w:cs="Arial"/>
          <w:color w:val="000000" w:themeColor="text1"/>
        </w:rPr>
        <w:t xml:space="preserve">retail, commercial and industry </w:t>
      </w:r>
      <w:r>
        <w:rPr>
          <w:rFonts w:ascii="Arial" w:hAnsi="Arial" w:cs="Arial"/>
          <w:color w:val="000000" w:themeColor="text1"/>
        </w:rPr>
        <w:t xml:space="preserve">focus, </w:t>
      </w:r>
      <w:r w:rsidRPr="003709F7">
        <w:rPr>
          <w:rFonts w:ascii="Arial" w:hAnsi="Arial" w:cs="Arial"/>
          <w:color w:val="000000" w:themeColor="text1"/>
        </w:rPr>
        <w:t xml:space="preserve">supplying goods and services for the town and its region, all of which is severely disrupted in the case of a flood. </w:t>
      </w:r>
    </w:p>
    <w:p w:rsidR="00F43C83" w:rsidRDefault="003709F7" w:rsidP="003709F7">
      <w:pPr>
        <w:rPr>
          <w:rFonts w:ascii="Arial" w:hAnsi="Arial" w:cs="Arial"/>
          <w:color w:val="000000" w:themeColor="text1"/>
        </w:rPr>
      </w:pPr>
      <w:r w:rsidRPr="003709F7">
        <w:rPr>
          <w:rFonts w:ascii="Arial" w:hAnsi="Arial" w:cs="Arial"/>
          <w:color w:val="000000" w:themeColor="text1"/>
        </w:rPr>
        <w:t>Disruption to the community including clean</w:t>
      </w:r>
      <w:r>
        <w:rPr>
          <w:rFonts w:ascii="Arial" w:hAnsi="Arial" w:cs="Arial"/>
          <w:color w:val="000000" w:themeColor="text1"/>
        </w:rPr>
        <w:t>-</w:t>
      </w:r>
      <w:r w:rsidRPr="003709F7">
        <w:rPr>
          <w:rFonts w:ascii="Arial" w:hAnsi="Arial" w:cs="Arial"/>
          <w:color w:val="000000" w:themeColor="text1"/>
        </w:rPr>
        <w:t>up costs, loss of income, costs of removal, temporary accommodation, interruption to schooling, and loss of personal items are all factors leading to social disruption and human suffering</w:t>
      </w:r>
      <w:r>
        <w:rPr>
          <w:rFonts w:ascii="Arial" w:hAnsi="Arial" w:cs="Arial"/>
          <w:color w:val="000000" w:themeColor="text1"/>
        </w:rPr>
        <w:t xml:space="preserve"> and a decrease in community resilience</w:t>
      </w:r>
      <w:r w:rsidRPr="003709F7">
        <w:rPr>
          <w:rFonts w:ascii="Arial" w:hAnsi="Arial" w:cs="Arial"/>
          <w:color w:val="000000" w:themeColor="text1"/>
        </w:rPr>
        <w:t xml:space="preserve">. Another major social issue is that the operations </w:t>
      </w:r>
      <w:r w:rsidR="00975DDD">
        <w:rPr>
          <w:rFonts w:ascii="Arial" w:hAnsi="Arial" w:cs="Arial"/>
          <w:color w:val="000000" w:themeColor="text1"/>
        </w:rPr>
        <w:t xml:space="preserve">of </w:t>
      </w:r>
      <w:r w:rsidRPr="003709F7">
        <w:rPr>
          <w:rFonts w:ascii="Arial" w:hAnsi="Arial" w:cs="Arial"/>
          <w:color w:val="000000" w:themeColor="text1"/>
        </w:rPr>
        <w:t xml:space="preserve">and access to both the hospital and police station are </w:t>
      </w:r>
      <w:r w:rsidR="00975DDD">
        <w:rPr>
          <w:rFonts w:ascii="Arial" w:hAnsi="Arial" w:cs="Arial"/>
          <w:color w:val="000000" w:themeColor="text1"/>
        </w:rPr>
        <w:t xml:space="preserve">severely </w:t>
      </w:r>
      <w:r w:rsidRPr="003709F7">
        <w:rPr>
          <w:rFonts w:ascii="Arial" w:hAnsi="Arial" w:cs="Arial"/>
          <w:color w:val="000000" w:themeColor="text1"/>
        </w:rPr>
        <w:t>disrupted.</w:t>
      </w:r>
    </w:p>
    <w:p w:rsidR="003709F7" w:rsidRPr="003709F7" w:rsidRDefault="003709F7" w:rsidP="003709F7">
      <w:pPr>
        <w:rPr>
          <w:rFonts w:ascii="Arial" w:hAnsi="Arial" w:cs="Arial"/>
          <w:color w:val="000000" w:themeColor="text1"/>
        </w:rPr>
      </w:pPr>
    </w:p>
    <w:p w:rsidR="00F43C83" w:rsidRPr="00752B68" w:rsidRDefault="00752B68" w:rsidP="00F43C83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Mitigation is very</w:t>
      </w:r>
      <w:r w:rsidR="00F43C83" w:rsidRPr="00752B68">
        <w:rPr>
          <w:rFonts w:ascii="Arial" w:hAnsi="Arial" w:cs="Arial"/>
          <w:b/>
          <w:color w:val="1F497D" w:themeColor="text2"/>
          <w:sz w:val="24"/>
          <w:szCs w:val="24"/>
        </w:rPr>
        <w:t xml:space="preserve"> likely to reduce the risk of damage from natural disasters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and thereby</w:t>
      </w:r>
      <w:r w:rsidR="00F43C83" w:rsidRPr="00752B68">
        <w:rPr>
          <w:rFonts w:ascii="Arial" w:hAnsi="Arial" w:cs="Arial"/>
          <w:b/>
          <w:color w:val="1F497D" w:themeColor="text2"/>
          <w:sz w:val="24"/>
          <w:szCs w:val="24"/>
        </w:rPr>
        <w:t xml:space="preserve"> result in lower insurance premiums for home building, home contents, or commercial property insurance</w:t>
      </w:r>
    </w:p>
    <w:p w:rsidR="00F43C83" w:rsidRPr="00F7329B" w:rsidRDefault="00F43C83" w:rsidP="00F43C83">
      <w:pPr>
        <w:rPr>
          <w:rFonts w:ascii="Arial" w:hAnsi="Arial" w:cs="Arial"/>
          <w:color w:val="000000" w:themeColor="text1"/>
        </w:rPr>
      </w:pPr>
      <w:r w:rsidRPr="00F7329B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2013</w:t>
      </w:r>
      <w:r w:rsidRPr="00F7329B">
        <w:rPr>
          <w:rFonts w:ascii="Arial" w:hAnsi="Arial" w:cs="Arial"/>
          <w:color w:val="000000" w:themeColor="text1"/>
        </w:rPr>
        <w:t xml:space="preserve"> ANUFLOOD flood damage assessment has conservatively estimated the cost of flood damage in Seymour at $21.3 million for a 1 in 100 year flood from the Goulburn River. The estimated </w:t>
      </w:r>
      <w:r w:rsidR="003709F7">
        <w:rPr>
          <w:rFonts w:ascii="Arial" w:hAnsi="Arial" w:cs="Arial"/>
          <w:color w:val="000000" w:themeColor="text1"/>
        </w:rPr>
        <w:t>Annual Average Damages for Seymour is</w:t>
      </w:r>
      <w:r w:rsidRPr="00F7329B">
        <w:rPr>
          <w:rFonts w:ascii="Arial" w:hAnsi="Arial" w:cs="Arial"/>
          <w:color w:val="000000" w:themeColor="text1"/>
        </w:rPr>
        <w:t xml:space="preserve"> $490,000. </w:t>
      </w:r>
      <w:r w:rsidR="003709F7">
        <w:rPr>
          <w:rFonts w:ascii="Arial" w:hAnsi="Arial" w:cs="Arial"/>
          <w:color w:val="000000" w:themeColor="text1"/>
        </w:rPr>
        <w:t>This figure represents, on average, the damage bill that the community incurs each year as a result of flooding.</w:t>
      </w:r>
    </w:p>
    <w:p w:rsidR="00F43C83" w:rsidRPr="00F7329B" w:rsidRDefault="00F43C83" w:rsidP="00F43C83">
      <w:pPr>
        <w:rPr>
          <w:rFonts w:ascii="Arial" w:hAnsi="Arial" w:cs="Arial"/>
          <w:color w:val="000000" w:themeColor="text1"/>
        </w:rPr>
      </w:pPr>
      <w:r w:rsidRPr="00F7329B">
        <w:rPr>
          <w:rFonts w:ascii="Arial" w:hAnsi="Arial" w:cs="Arial"/>
          <w:color w:val="000000" w:themeColor="text1"/>
        </w:rPr>
        <w:t>Additionally, statistics from the Insurance Council of Australia estimate the normalised cost of the 1974 flood event that affected Seymour as being $117 million for the north-east Victoria region.</w:t>
      </w:r>
    </w:p>
    <w:p w:rsidR="003709F7" w:rsidRDefault="003709F7" w:rsidP="003709F7">
      <w:pPr>
        <w:rPr>
          <w:rFonts w:ascii="Arial" w:hAnsi="Arial" w:cs="Arial"/>
          <w:color w:val="000000" w:themeColor="text1"/>
        </w:rPr>
      </w:pPr>
      <w:r w:rsidRPr="00F7329B">
        <w:rPr>
          <w:rFonts w:ascii="Arial" w:hAnsi="Arial" w:cs="Arial"/>
          <w:color w:val="000000" w:themeColor="text1"/>
        </w:rPr>
        <w:t xml:space="preserve">The Seymour Flood Mitigation Project </w:t>
      </w:r>
      <w:r>
        <w:rPr>
          <w:rFonts w:ascii="Arial" w:hAnsi="Arial" w:cs="Arial"/>
          <w:color w:val="000000" w:themeColor="text1"/>
        </w:rPr>
        <w:t>is designed to</w:t>
      </w:r>
      <w:r w:rsidRPr="00F7329B">
        <w:rPr>
          <w:rFonts w:ascii="Arial" w:hAnsi="Arial" w:cs="Arial"/>
          <w:color w:val="000000" w:themeColor="text1"/>
        </w:rPr>
        <w:t xml:space="preserve"> mitigate the risk of damage to </w:t>
      </w:r>
      <w:r>
        <w:rPr>
          <w:rFonts w:ascii="Arial" w:hAnsi="Arial" w:cs="Arial"/>
          <w:color w:val="000000" w:themeColor="text1"/>
        </w:rPr>
        <w:t>400</w:t>
      </w:r>
      <w:r w:rsidRPr="00F7329B">
        <w:rPr>
          <w:rFonts w:ascii="Arial" w:hAnsi="Arial" w:cs="Arial"/>
          <w:color w:val="000000" w:themeColor="text1"/>
        </w:rPr>
        <w:t xml:space="preserve"> private properties and public infrastructure within the Seymour flood zone</w:t>
      </w:r>
      <w:r>
        <w:rPr>
          <w:rFonts w:ascii="Arial" w:hAnsi="Arial" w:cs="Arial"/>
          <w:color w:val="000000" w:themeColor="text1"/>
        </w:rPr>
        <w:t xml:space="preserve"> by constructing a </w:t>
      </w:r>
      <w:r w:rsidRPr="00F7329B">
        <w:rPr>
          <w:rFonts w:ascii="Arial" w:hAnsi="Arial" w:cs="Arial"/>
          <w:color w:val="000000" w:themeColor="text1"/>
        </w:rPr>
        <w:t xml:space="preserve">levee bank. </w:t>
      </w:r>
    </w:p>
    <w:p w:rsidR="00F43C83" w:rsidRPr="00F7329B" w:rsidRDefault="00F43C83" w:rsidP="00F43C83">
      <w:pPr>
        <w:rPr>
          <w:rFonts w:ascii="Arial" w:hAnsi="Arial" w:cs="Arial"/>
          <w:color w:val="000000" w:themeColor="text1"/>
        </w:rPr>
      </w:pPr>
      <w:r w:rsidRPr="00F7329B">
        <w:rPr>
          <w:rFonts w:ascii="Arial" w:hAnsi="Arial" w:cs="Arial"/>
          <w:color w:val="000000" w:themeColor="text1"/>
        </w:rPr>
        <w:t>Th</w:t>
      </w:r>
      <w:r w:rsidR="003709F7">
        <w:rPr>
          <w:rFonts w:ascii="Arial" w:hAnsi="Arial" w:cs="Arial"/>
          <w:color w:val="000000" w:themeColor="text1"/>
        </w:rPr>
        <w:t>is</w:t>
      </w:r>
      <w:r w:rsidRPr="00F7329B">
        <w:rPr>
          <w:rFonts w:ascii="Arial" w:hAnsi="Arial" w:cs="Arial"/>
          <w:color w:val="000000" w:themeColor="text1"/>
        </w:rPr>
        <w:t xml:space="preserve"> will eliminate flood damage from the Goulburn River for all floods of 1 in 100 year severity and less in Seymour. </w:t>
      </w:r>
      <w:r w:rsidR="003709F7">
        <w:rPr>
          <w:rFonts w:ascii="Arial" w:hAnsi="Arial" w:cs="Arial"/>
          <w:color w:val="000000" w:themeColor="text1"/>
        </w:rPr>
        <w:t>It</w:t>
      </w:r>
      <w:r w:rsidRPr="00F7329B">
        <w:rPr>
          <w:rFonts w:ascii="Arial" w:hAnsi="Arial" w:cs="Arial"/>
          <w:color w:val="000000" w:themeColor="text1"/>
        </w:rPr>
        <w:t xml:space="preserve"> will have a major impact in reducing flood insurance claims and can be expected to lower flood insurance premiums as a result.</w:t>
      </w:r>
    </w:p>
    <w:p w:rsidR="00F43C83" w:rsidRDefault="00F43C83" w:rsidP="00F43C83">
      <w:pPr>
        <w:rPr>
          <w:rFonts w:ascii="Arial" w:hAnsi="Arial" w:cs="Arial"/>
          <w:color w:val="000000" w:themeColor="text1"/>
        </w:rPr>
      </w:pPr>
      <w:r w:rsidRPr="00F7329B">
        <w:rPr>
          <w:rFonts w:ascii="Arial" w:hAnsi="Arial" w:cs="Arial"/>
          <w:color w:val="000000" w:themeColor="text1"/>
        </w:rPr>
        <w:t xml:space="preserve">Climate change research has predicted an increased frequency of floods in the future which, if realised, would see the proposed levee bank preventing a </w:t>
      </w:r>
      <w:r w:rsidR="00975DDD">
        <w:rPr>
          <w:rFonts w:ascii="Arial" w:hAnsi="Arial" w:cs="Arial"/>
          <w:color w:val="000000" w:themeColor="text1"/>
        </w:rPr>
        <w:t>higher level</w:t>
      </w:r>
      <w:r w:rsidRPr="00F7329B">
        <w:rPr>
          <w:rFonts w:ascii="Arial" w:hAnsi="Arial" w:cs="Arial"/>
          <w:color w:val="000000" w:themeColor="text1"/>
        </w:rPr>
        <w:t xml:space="preserve"> of flood damage and insurance claims than currently predicted.</w:t>
      </w:r>
    </w:p>
    <w:p w:rsidR="00F43C83" w:rsidRDefault="00F43C83" w:rsidP="00F43C83">
      <w:pPr>
        <w:rPr>
          <w:rFonts w:ascii="Arial" w:hAnsi="Arial" w:cs="Arial"/>
          <w:b/>
          <w:color w:val="1F497D" w:themeColor="text2"/>
        </w:rPr>
      </w:pPr>
    </w:p>
    <w:p w:rsidR="003709F7" w:rsidRDefault="003709F7" w:rsidP="00F43C83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Economic Impact of Flood</w:t>
      </w:r>
    </w:p>
    <w:p w:rsidR="00E1696C" w:rsidRDefault="00E1696C" w:rsidP="00E1696C">
      <w:pPr>
        <w:pStyle w:val="Pa1"/>
        <w:rPr>
          <w:rFonts w:cs="TradeGothic LT"/>
          <w:color w:val="000000"/>
          <w:sz w:val="22"/>
          <w:szCs w:val="22"/>
        </w:rPr>
      </w:pPr>
      <w:r w:rsidRPr="00E1696C">
        <w:rPr>
          <w:rStyle w:val="A6"/>
          <w:rFonts w:ascii="Arial" w:hAnsi="Arial" w:cs="Arial"/>
        </w:rPr>
        <w:t xml:space="preserve">The town of Seymour has been identified as a potential strategic employment hub in the </w:t>
      </w:r>
      <w:r w:rsidRPr="00E1696C">
        <w:rPr>
          <w:rStyle w:val="A6"/>
          <w:rFonts w:ascii="Arial" w:hAnsi="Arial" w:cs="Arial"/>
          <w:i/>
        </w:rPr>
        <w:t>Hume Regional Growth Plan</w:t>
      </w:r>
      <w:r w:rsidRPr="00E1696C">
        <w:rPr>
          <w:rStyle w:val="A6"/>
          <w:rFonts w:ascii="Arial" w:hAnsi="Arial" w:cs="Arial"/>
        </w:rPr>
        <w:t xml:space="preserve"> which argues that investment in physical and social infrastructure is needed to support increased future demand. </w:t>
      </w:r>
      <w:r>
        <w:rPr>
          <w:rStyle w:val="A6"/>
          <w:rFonts w:ascii="Arial" w:hAnsi="Arial" w:cs="Arial"/>
        </w:rPr>
        <w:t>However t</w:t>
      </w:r>
      <w:r>
        <w:rPr>
          <w:rStyle w:val="A6"/>
        </w:rPr>
        <w:t xml:space="preserve">he </w:t>
      </w:r>
      <w:r w:rsidRPr="003709F7">
        <w:rPr>
          <w:rStyle w:val="A6"/>
          <w:i/>
        </w:rPr>
        <w:t xml:space="preserve">Mitchell Shire </w:t>
      </w:r>
      <w:r w:rsidRPr="003709F7">
        <w:rPr>
          <w:rStyle w:val="A6"/>
          <w:i/>
        </w:rPr>
        <w:lastRenderedPageBreak/>
        <w:t>Economic Development and Tourism Strategy Background and Issues Paper 2010</w:t>
      </w:r>
      <w:r>
        <w:rPr>
          <w:rStyle w:val="A6"/>
        </w:rPr>
        <w:t xml:space="preserve">, </w:t>
      </w:r>
      <w:r w:rsidRPr="00E1696C">
        <w:rPr>
          <w:rStyle w:val="A6"/>
          <w:rFonts w:ascii="Arial" w:hAnsi="Arial" w:cs="Arial"/>
        </w:rPr>
        <w:t xml:space="preserve">identifies that development in Seymour is hindered by </w:t>
      </w:r>
      <w:r>
        <w:rPr>
          <w:rStyle w:val="A6"/>
          <w:rFonts w:ascii="Arial" w:hAnsi="Arial" w:cs="Arial"/>
        </w:rPr>
        <w:t xml:space="preserve">the existing </w:t>
      </w:r>
      <w:r w:rsidRPr="00E1696C">
        <w:rPr>
          <w:rStyle w:val="A6"/>
          <w:rFonts w:ascii="Arial" w:hAnsi="Arial" w:cs="Arial"/>
        </w:rPr>
        <w:t>flood</w:t>
      </w:r>
      <w:r>
        <w:rPr>
          <w:rStyle w:val="A6"/>
          <w:rFonts w:ascii="Arial" w:hAnsi="Arial" w:cs="Arial"/>
        </w:rPr>
        <w:t xml:space="preserve"> risk. That apart, </w:t>
      </w:r>
      <w:r w:rsidRPr="00E1696C">
        <w:rPr>
          <w:rStyle w:val="A6"/>
          <w:rFonts w:ascii="Arial" w:hAnsi="Arial" w:cs="Arial"/>
        </w:rPr>
        <w:t xml:space="preserve">Seymour is an ideal place for industrial development in view of </w:t>
      </w:r>
      <w:r>
        <w:rPr>
          <w:rStyle w:val="A6"/>
          <w:rFonts w:ascii="Arial" w:hAnsi="Arial" w:cs="Arial"/>
        </w:rPr>
        <w:t xml:space="preserve">its </w:t>
      </w:r>
      <w:r w:rsidRPr="00E1696C">
        <w:rPr>
          <w:rStyle w:val="A6"/>
          <w:rFonts w:ascii="Arial" w:hAnsi="Arial" w:cs="Arial"/>
        </w:rPr>
        <w:t>location</w:t>
      </w:r>
      <w:r>
        <w:rPr>
          <w:rStyle w:val="A6"/>
          <w:rFonts w:ascii="Arial" w:hAnsi="Arial" w:cs="Arial"/>
        </w:rPr>
        <w:t xml:space="preserve"> on</w:t>
      </w:r>
      <w:r w:rsidRPr="00E1696C">
        <w:rPr>
          <w:rStyle w:val="A6"/>
          <w:rFonts w:ascii="Arial" w:hAnsi="Arial" w:cs="Arial"/>
        </w:rPr>
        <w:t xml:space="preserve"> a major regional development corridor</w:t>
      </w:r>
      <w:r>
        <w:rPr>
          <w:rStyle w:val="A6"/>
          <w:rFonts w:ascii="Arial" w:hAnsi="Arial" w:cs="Arial"/>
        </w:rPr>
        <w:t>. T</w:t>
      </w:r>
      <w:r w:rsidRPr="00E1696C">
        <w:rPr>
          <w:rStyle w:val="A6"/>
          <w:rFonts w:ascii="Arial" w:hAnsi="Arial" w:cs="Arial"/>
        </w:rPr>
        <w:t xml:space="preserve">he hinterland (100km) from Melbourne </w:t>
      </w:r>
      <w:r>
        <w:rPr>
          <w:rStyle w:val="A6"/>
          <w:rFonts w:ascii="Arial" w:hAnsi="Arial" w:cs="Arial"/>
        </w:rPr>
        <w:t xml:space="preserve">is considered to </w:t>
      </w:r>
      <w:r w:rsidRPr="00E1696C">
        <w:rPr>
          <w:rStyle w:val="A6"/>
          <w:rFonts w:ascii="Arial" w:hAnsi="Arial" w:cs="Arial"/>
        </w:rPr>
        <w:t>be a primary area of population growth outside the metropolis..</w:t>
      </w:r>
    </w:p>
    <w:p w:rsidR="003709F7" w:rsidRDefault="003709F7" w:rsidP="00F43C83">
      <w:pPr>
        <w:rPr>
          <w:rFonts w:ascii="Arial" w:hAnsi="Arial" w:cs="Arial"/>
          <w:b/>
          <w:color w:val="1F497D" w:themeColor="text2"/>
        </w:rPr>
      </w:pPr>
    </w:p>
    <w:p w:rsidR="00F43C83" w:rsidRPr="00FA4F75" w:rsidRDefault="00F43C83" w:rsidP="00F43C83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b/>
          <w:color w:val="1F497D" w:themeColor="text2"/>
        </w:rPr>
        <w:t>Flood Overlay Map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43C83" w:rsidTr="00601B46">
        <w:trPr>
          <w:trHeight w:val="516"/>
        </w:trPr>
        <w:tc>
          <w:tcPr>
            <w:tcW w:w="9242" w:type="dxa"/>
          </w:tcPr>
          <w:p w:rsidR="00F43C83" w:rsidRPr="00396792" w:rsidRDefault="00F43C83" w:rsidP="00601B4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          </w:t>
            </w:r>
            <w:r>
              <w:rPr>
                <w:rFonts w:ascii="Arial" w:hAnsi="Arial" w:cs="Arial"/>
                <w:b/>
                <w:color w:val="000000" w:themeColor="text1"/>
              </w:rPr>
              <w:t>Planning Z</w:t>
            </w:r>
            <w:r w:rsidRPr="00396792">
              <w:rPr>
                <w:rFonts w:ascii="Arial" w:hAnsi="Arial" w:cs="Arial"/>
                <w:b/>
                <w:color w:val="000000" w:themeColor="text1"/>
              </w:rPr>
              <w:t xml:space="preserve">ones in Seymour </w:t>
            </w:r>
          </w:p>
          <w:p w:rsidR="00F43C83" w:rsidRDefault="00F43C83" w:rsidP="00601B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Tahoma" w:hAnsi="Tahoma" w:cs="Tahoma"/>
                <w:noProof/>
                <w:sz w:val="16"/>
              </w:rPr>
              <w:drawing>
                <wp:inline distT="0" distB="0" distL="0" distR="0" wp14:anchorId="5D4955A4" wp14:editId="61676CD6">
                  <wp:extent cx="3990975" cy="2550845"/>
                  <wp:effectExtent l="0" t="0" r="0" b="1905"/>
                  <wp:docPr id="1" name="Picture 1" descr="2146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146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207" cy="254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C83" w:rsidRDefault="00F43C83" w:rsidP="00601B4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43C83" w:rsidTr="00601B46">
        <w:trPr>
          <w:trHeight w:val="516"/>
        </w:trPr>
        <w:tc>
          <w:tcPr>
            <w:tcW w:w="9242" w:type="dxa"/>
          </w:tcPr>
          <w:p w:rsidR="00F43C83" w:rsidRPr="002B0355" w:rsidRDefault="00F43C83" w:rsidP="00601B46">
            <w:pPr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 xml:space="preserve">                      Flood Zone </w:t>
            </w:r>
            <w:r w:rsidRPr="002B0355">
              <w:rPr>
                <w:rFonts w:ascii="Arial" w:hAnsi="Arial" w:cs="Arial"/>
                <w:i/>
                <w:color w:val="000000" w:themeColor="text1"/>
              </w:rPr>
              <w:t>delineated in blue</w:t>
            </w:r>
          </w:p>
        </w:tc>
      </w:tr>
    </w:tbl>
    <w:p w:rsidR="00F43C83" w:rsidRDefault="00F43C83" w:rsidP="00F43C83">
      <w:pPr>
        <w:autoSpaceDE w:val="0"/>
        <w:autoSpaceDN w:val="0"/>
        <w:spacing w:after="0"/>
        <w:rPr>
          <w:rFonts w:ascii="Arial" w:hAnsi="Arial" w:cs="Arial"/>
          <w:color w:val="000000"/>
          <w:lang w:val="en-GB"/>
        </w:rPr>
      </w:pPr>
    </w:p>
    <w:p w:rsidR="003709F7" w:rsidRDefault="003709F7" w:rsidP="00F43C83">
      <w:pPr>
        <w:autoSpaceDE w:val="0"/>
        <w:autoSpaceDN w:val="0"/>
        <w:spacing w:after="0"/>
        <w:rPr>
          <w:rFonts w:ascii="Arial" w:hAnsi="Arial" w:cs="Arial"/>
          <w:color w:val="000000"/>
          <w:lang w:val="en-GB"/>
        </w:rPr>
      </w:pPr>
    </w:p>
    <w:p w:rsidR="003709F7" w:rsidRDefault="003709F7" w:rsidP="003709F7">
      <w:pPr>
        <w:pStyle w:val="Pa1"/>
        <w:rPr>
          <w:rStyle w:val="A6"/>
          <w:rFonts w:ascii="Arial" w:hAnsi="Arial" w:cs="Arial"/>
        </w:rPr>
      </w:pPr>
    </w:p>
    <w:p w:rsidR="00167B56" w:rsidRDefault="00167B56" w:rsidP="00167B56">
      <w:pPr>
        <w:rPr>
          <w:lang w:eastAsia="en-US"/>
        </w:rPr>
      </w:pPr>
    </w:p>
    <w:p w:rsidR="00167B56" w:rsidRDefault="00167B56" w:rsidP="00167B56">
      <w:pPr>
        <w:rPr>
          <w:lang w:eastAsia="en-US"/>
        </w:rPr>
      </w:pPr>
    </w:p>
    <w:p w:rsidR="00167B56" w:rsidRDefault="00167B56" w:rsidP="00167B56">
      <w:pPr>
        <w:rPr>
          <w:lang w:eastAsia="en-US"/>
        </w:rPr>
      </w:pPr>
    </w:p>
    <w:p w:rsidR="00167B56" w:rsidRDefault="00167B56" w:rsidP="00167B56">
      <w:pPr>
        <w:rPr>
          <w:lang w:eastAsia="en-US"/>
        </w:rPr>
      </w:pPr>
    </w:p>
    <w:p w:rsidR="00167B56" w:rsidRDefault="00167B56" w:rsidP="00167B56">
      <w:pPr>
        <w:rPr>
          <w:lang w:eastAsia="en-US"/>
        </w:rPr>
      </w:pPr>
    </w:p>
    <w:p w:rsidR="00167B56" w:rsidRDefault="00167B56" w:rsidP="00167B56">
      <w:pPr>
        <w:rPr>
          <w:lang w:eastAsia="en-US"/>
        </w:rPr>
      </w:pPr>
    </w:p>
    <w:p w:rsidR="00167B56" w:rsidRDefault="00167B56" w:rsidP="00167B56">
      <w:pPr>
        <w:rPr>
          <w:lang w:eastAsia="en-US"/>
        </w:rPr>
      </w:pPr>
    </w:p>
    <w:p w:rsidR="00167B56" w:rsidRDefault="00167B56" w:rsidP="00167B56">
      <w:pPr>
        <w:rPr>
          <w:lang w:eastAsia="en-US"/>
        </w:rPr>
      </w:pPr>
    </w:p>
    <w:p w:rsidR="00167B56" w:rsidRPr="00167B56" w:rsidRDefault="00167B56" w:rsidP="00167B56">
      <w:pPr>
        <w:rPr>
          <w:lang w:eastAsia="en-US"/>
        </w:rPr>
      </w:pPr>
    </w:p>
    <w:p w:rsidR="00601B46" w:rsidRPr="00E1696C" w:rsidRDefault="00167B56" w:rsidP="00167B56">
      <w:pPr>
        <w:jc w:val="center"/>
        <w:rPr>
          <w:rStyle w:val="A6"/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noProof/>
          <w:color w:val="000000"/>
        </w:rPr>
        <w:drawing>
          <wp:inline distT="0" distB="0" distL="0" distR="0">
            <wp:extent cx="3824577" cy="53991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MSC_Logo_CMY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666" cy="53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B46" w:rsidRPr="00E1696C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9F7" w:rsidRDefault="003709F7" w:rsidP="0077786E">
      <w:pPr>
        <w:spacing w:after="0" w:line="240" w:lineRule="auto"/>
      </w:pPr>
      <w:r>
        <w:separator/>
      </w:r>
    </w:p>
  </w:endnote>
  <w:endnote w:type="continuationSeparator" w:id="0">
    <w:p w:rsidR="003709F7" w:rsidRDefault="003709F7" w:rsidP="0077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T">
    <w:altName w:val="TradeGothic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884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09F7" w:rsidRDefault="003709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A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09F7" w:rsidRDefault="00370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9F7" w:rsidRDefault="003709F7" w:rsidP="0077786E">
      <w:pPr>
        <w:spacing w:after="0" w:line="240" w:lineRule="auto"/>
      </w:pPr>
      <w:r>
        <w:separator/>
      </w:r>
    </w:p>
  </w:footnote>
  <w:footnote w:type="continuationSeparator" w:id="0">
    <w:p w:rsidR="003709F7" w:rsidRDefault="003709F7" w:rsidP="0077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3B07"/>
    <w:multiLevelType w:val="hybridMultilevel"/>
    <w:tmpl w:val="9A78983E"/>
    <w:lvl w:ilvl="0" w:tplc="2C4A77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83"/>
    <w:rsid w:val="000C248B"/>
    <w:rsid w:val="00167B56"/>
    <w:rsid w:val="003709F7"/>
    <w:rsid w:val="00503AE7"/>
    <w:rsid w:val="00601B46"/>
    <w:rsid w:val="00752B68"/>
    <w:rsid w:val="0077786E"/>
    <w:rsid w:val="00975DDD"/>
    <w:rsid w:val="00B36838"/>
    <w:rsid w:val="00E1696C"/>
    <w:rsid w:val="00F4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83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C83"/>
    <w:pPr>
      <w:ind w:left="720"/>
      <w:contextualSpacing/>
    </w:pPr>
  </w:style>
  <w:style w:type="table" w:styleId="TableGrid">
    <w:name w:val="Table Grid"/>
    <w:basedOn w:val="TableNormal"/>
    <w:uiPriority w:val="59"/>
    <w:rsid w:val="00F43C83"/>
    <w:pPr>
      <w:spacing w:after="0" w:line="240" w:lineRule="auto"/>
    </w:pPr>
    <w:rPr>
      <w:rFonts w:eastAsiaTheme="minorEastAsia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83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86E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7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86E"/>
    <w:rPr>
      <w:rFonts w:eastAsiaTheme="minorEastAsia"/>
      <w:lang w:eastAsia="en-AU"/>
    </w:rPr>
  </w:style>
  <w:style w:type="paragraph" w:customStyle="1" w:styleId="Pa1">
    <w:name w:val="Pa1"/>
    <w:basedOn w:val="Normal"/>
    <w:next w:val="Normal"/>
    <w:uiPriority w:val="99"/>
    <w:rsid w:val="003709F7"/>
    <w:pPr>
      <w:autoSpaceDE w:val="0"/>
      <w:autoSpaceDN w:val="0"/>
      <w:adjustRightInd w:val="0"/>
      <w:spacing w:after="0" w:line="241" w:lineRule="atLeast"/>
    </w:pPr>
    <w:rPr>
      <w:rFonts w:ascii="TradeGothic LT" w:eastAsiaTheme="minorHAnsi" w:hAnsi="TradeGothic LT"/>
      <w:sz w:val="24"/>
      <w:szCs w:val="24"/>
      <w:lang w:eastAsia="en-US"/>
    </w:rPr>
  </w:style>
  <w:style w:type="character" w:customStyle="1" w:styleId="A6">
    <w:name w:val="A6"/>
    <w:uiPriority w:val="99"/>
    <w:rsid w:val="003709F7"/>
    <w:rPr>
      <w:rFonts w:cs="TradeGothic 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83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C83"/>
    <w:pPr>
      <w:ind w:left="720"/>
      <w:contextualSpacing/>
    </w:pPr>
  </w:style>
  <w:style w:type="table" w:styleId="TableGrid">
    <w:name w:val="Table Grid"/>
    <w:basedOn w:val="TableNormal"/>
    <w:uiPriority w:val="59"/>
    <w:rsid w:val="00F43C83"/>
    <w:pPr>
      <w:spacing w:after="0" w:line="240" w:lineRule="auto"/>
    </w:pPr>
    <w:rPr>
      <w:rFonts w:eastAsiaTheme="minorEastAsia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83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86E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7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86E"/>
    <w:rPr>
      <w:rFonts w:eastAsiaTheme="minorEastAsia"/>
      <w:lang w:eastAsia="en-AU"/>
    </w:rPr>
  </w:style>
  <w:style w:type="paragraph" w:customStyle="1" w:styleId="Pa1">
    <w:name w:val="Pa1"/>
    <w:basedOn w:val="Normal"/>
    <w:next w:val="Normal"/>
    <w:uiPriority w:val="99"/>
    <w:rsid w:val="003709F7"/>
    <w:pPr>
      <w:autoSpaceDE w:val="0"/>
      <w:autoSpaceDN w:val="0"/>
      <w:adjustRightInd w:val="0"/>
      <w:spacing w:after="0" w:line="241" w:lineRule="atLeast"/>
    </w:pPr>
    <w:rPr>
      <w:rFonts w:ascii="TradeGothic LT" w:eastAsiaTheme="minorHAnsi" w:hAnsi="TradeGothic LT"/>
      <w:sz w:val="24"/>
      <w:szCs w:val="24"/>
      <w:lang w:eastAsia="en-US"/>
    </w:rPr>
  </w:style>
  <w:style w:type="character" w:customStyle="1" w:styleId="A6">
    <w:name w:val="A6"/>
    <w:uiPriority w:val="99"/>
    <w:rsid w:val="003709F7"/>
    <w:rPr>
      <w:rFonts w:cs="TradeGothic 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FA055CF3113ACE489CC83C69505D2DFE" ma:contentTypeVersion="6" ma:contentTypeDescription="" ma:contentTypeScope="" ma:versionID="62ccce76cdb607479054b4b9d5eb4125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65ebb6cd10f8a82259486540d0a3c719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FAEA1-FBD7-4268-BDAB-52400A08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63259-0684-434D-AC60-6BDD325A261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sharepoint/v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B610331-527C-446F-9D1A-06E325FD58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8638CC-D084-4677-905A-AD088A8D100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A11A1B1-F8A1-466F-A796-93163EEFD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496</Words>
  <Characters>2633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5 - Attachment - Mitchell Shire Council - Natural Disaster Funding - Public inquiry</vt:lpstr>
    </vt:vector>
  </TitlesOfParts>
  <Company>Mitchell Shire Council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5 - Attachment - Mitchell Shire Council - Natural Disaster Funding - Public inquiry</dc:title>
  <dc:creator>Mitchell Shire Council</dc:creator>
  <cp:lastModifiedBy>Productivity Commission</cp:lastModifiedBy>
  <cp:revision>7</cp:revision>
  <dcterms:created xsi:type="dcterms:W3CDTF">2014-05-20T05:35:00Z</dcterms:created>
  <dcterms:modified xsi:type="dcterms:W3CDTF">2014-05-27T02:25:00Z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0x01010066EDC8E18BFE9C418F00295EA55D44EA0015EE9FD84A134F42A8E78176E2093D4400FA055CF3113ACE489CC83C69505D2DFE</vt:lpwstr>
  </property>
  <property fmtid="{D5CDD505-2E9C-101B-9397-08002B2CF9AE}" pid="3" name="Order">
    <vt:r8>2300</vt:r8>
  </property>
  <property fmtid="{D5CDD505-2E9C-101B-9397-08002B2CF9AE}" pid="4" name="RecordPoint_SubmissionDate">
    <vt:lpwstr/>
  </property>
  <property fmtid="{D5CDD505-2E9C-101B-9397-08002B2CF9AE}" pid="5" name="RecordPoint_RecordNumberSubmitted">
    <vt:lpwstr/>
  </property>
  <property fmtid="{D5CDD505-2E9C-101B-9397-08002B2CF9AE}" pid="6" name="RecordPoint_ActiveItemSiteId">
    <vt:lpwstr>{5750d626-0aa0-474c-a55f-8063909d4906}</vt:lpwstr>
  </property>
  <property fmtid="{D5CDD505-2E9C-101B-9397-08002B2CF9AE}" pid="7" name="RecordPoint_ActiveItemListId">
    <vt:lpwstr>{5ddcf88e-8444-4ec5-9e6b-ef3ebb4e4a49}</vt:lpwstr>
  </property>
  <property fmtid="{D5CDD505-2E9C-101B-9397-08002B2CF9AE}" pid="8" name="RecordPoint_ActiveItemMoved">
    <vt:lpwstr/>
  </property>
  <property fmtid="{D5CDD505-2E9C-101B-9397-08002B2CF9AE}" pid="9" name="RecordPoint_RecordFormat">
    <vt:lpwstr/>
  </property>
  <property fmtid="{D5CDD505-2E9C-101B-9397-08002B2CF9AE}" pid="10" name="RecordPoint_SubmissionCompleted">
    <vt:lpwstr>2014-05-27T11:57:46.1570614+10:00</vt:lpwstr>
  </property>
  <property fmtid="{D5CDD505-2E9C-101B-9397-08002B2CF9AE}" pid="11" name="RecordPoint_ActiveItemUniqueId">
    <vt:lpwstr>{c2b2cb42-aa14-4ecd-8361-983085064fc3}</vt:lpwstr>
  </property>
  <property fmtid="{D5CDD505-2E9C-101B-9397-08002B2CF9AE}" pid="12" name="RecordPoint_ActiveItemWebId">
    <vt:lpwstr>{2159b2f9-a7b8-4f1e-afd4-3e549d486baf}</vt:lpwstr>
  </property>
  <property fmtid="{D5CDD505-2E9C-101B-9397-08002B2CF9AE}" pid="13" name="RecordPoint_WorkflowType">
    <vt:lpwstr>ActiveSubmitStub</vt:lpwstr>
  </property>
</Properties>
</file>