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AB814" w14:textId="77777777" w:rsidR="00204A3D" w:rsidRDefault="00204A3D" w:rsidP="001325DE">
      <w:pPr>
        <w:pStyle w:val="Title"/>
      </w:pPr>
      <w:bookmarkStart w:id="0" w:name="_GoBack"/>
      <w:bookmarkEnd w:id="0"/>
    </w:p>
    <w:p w14:paraId="44A48CD7" w14:textId="77777777" w:rsidR="00404D0E" w:rsidRPr="001325DE" w:rsidRDefault="00404D0E" w:rsidP="001325DE">
      <w:pPr>
        <w:pStyle w:val="Title"/>
      </w:pPr>
      <w:r w:rsidRPr="001325DE">
        <w:t>Risk Frontiers</w:t>
      </w:r>
      <w:r w:rsidR="000E4202">
        <w:t>’</w:t>
      </w:r>
      <w:r w:rsidRPr="001325DE">
        <w:t xml:space="preserve"> Submission to the Productivity </w:t>
      </w:r>
      <w:r w:rsidR="00825866" w:rsidRPr="001325DE">
        <w:t xml:space="preserve">Commission in respect of </w:t>
      </w:r>
      <w:r w:rsidR="00D03141" w:rsidRPr="001325DE">
        <w:t>Natural Disaster Funding Arrangements</w:t>
      </w:r>
    </w:p>
    <w:p w14:paraId="77BBE912" w14:textId="77777777" w:rsidR="00404D0E" w:rsidRPr="00825866" w:rsidRDefault="00404D0E" w:rsidP="00AB7CA0">
      <w:pPr>
        <w:rPr>
          <w:rFonts w:ascii="Calibri" w:hAnsi="Calibri"/>
        </w:rPr>
      </w:pPr>
    </w:p>
    <w:p w14:paraId="7EE956FD" w14:textId="77777777" w:rsidR="001325DE" w:rsidRPr="00825866" w:rsidRDefault="001325DE" w:rsidP="001325DE">
      <w:pPr>
        <w:spacing w:after="120" w:line="360" w:lineRule="auto"/>
        <w:rPr>
          <w:rFonts w:ascii="Calibri" w:hAnsi="Calibri"/>
        </w:rPr>
      </w:pPr>
      <w:r w:rsidRPr="00825866">
        <w:rPr>
          <w:rFonts w:ascii="Calibri" w:hAnsi="Calibri"/>
        </w:rPr>
        <w:t xml:space="preserve">The Productivity Commissions Issues Paper poses questions regarding private individuals’ investment in disaster risk reduction, whether or not governments provide the right framework for effective risk management by individuals and businesses, and if not, what could be done differently. </w:t>
      </w:r>
    </w:p>
    <w:p w14:paraId="58BB2710" w14:textId="77777777" w:rsidR="001325DE" w:rsidRDefault="001325DE" w:rsidP="001325DE">
      <w:pPr>
        <w:pStyle w:val="Heading1"/>
      </w:pPr>
      <w:r>
        <w:t>Part A: Community response issues</w:t>
      </w:r>
      <w:r w:rsidR="00146BEA">
        <w:t xml:space="preserve"> (Drs Deanne Bird and Katharine Haynes)</w:t>
      </w:r>
    </w:p>
    <w:p w14:paraId="1ED67418" w14:textId="77777777" w:rsidR="001325DE" w:rsidRPr="00D779DA" w:rsidRDefault="001325DE" w:rsidP="005702DD">
      <w:pPr>
        <w:spacing w:after="120" w:line="360" w:lineRule="auto"/>
        <w:rPr>
          <w:rFonts w:ascii="Calibri" w:hAnsi="Calibri"/>
          <w:sz w:val="18"/>
        </w:rPr>
      </w:pPr>
    </w:p>
    <w:p w14:paraId="24308A0C" w14:textId="77777777" w:rsidR="00393CA7" w:rsidRPr="00825866" w:rsidRDefault="00404D0E" w:rsidP="005702DD">
      <w:pPr>
        <w:spacing w:after="120" w:line="360" w:lineRule="auto"/>
        <w:rPr>
          <w:rFonts w:ascii="Calibri" w:hAnsi="Calibri"/>
        </w:rPr>
      </w:pPr>
      <w:r w:rsidRPr="00825866">
        <w:rPr>
          <w:rFonts w:ascii="Calibri" w:hAnsi="Calibri"/>
        </w:rPr>
        <w:t>In our view at Risk Frontiers, m</w:t>
      </w:r>
      <w:r w:rsidR="00D07623" w:rsidRPr="00825866">
        <w:rPr>
          <w:rFonts w:ascii="Calibri" w:hAnsi="Calibri"/>
        </w:rPr>
        <w:t xml:space="preserve">any risk mitigation initiatives </w:t>
      </w:r>
      <w:r w:rsidRPr="00825866">
        <w:rPr>
          <w:rFonts w:ascii="Calibri" w:hAnsi="Calibri"/>
        </w:rPr>
        <w:t xml:space="preserve">fail because they </w:t>
      </w:r>
      <w:r w:rsidR="00D07623" w:rsidRPr="00825866">
        <w:rPr>
          <w:rFonts w:ascii="Calibri" w:hAnsi="Calibri"/>
        </w:rPr>
        <w:t xml:space="preserve">have been developed </w:t>
      </w:r>
      <w:r w:rsidR="009F07BD" w:rsidRPr="00825866">
        <w:rPr>
          <w:rFonts w:ascii="Calibri" w:hAnsi="Calibri"/>
        </w:rPr>
        <w:t>without</w:t>
      </w:r>
      <w:r w:rsidR="00D07623" w:rsidRPr="00825866">
        <w:rPr>
          <w:rFonts w:ascii="Calibri" w:hAnsi="Calibri"/>
        </w:rPr>
        <w:t xml:space="preserve"> community engagement and consultation. In these cases, risk communication with the public </w:t>
      </w:r>
      <w:r w:rsidR="005702DD">
        <w:rPr>
          <w:rFonts w:ascii="Calibri" w:hAnsi="Calibri"/>
        </w:rPr>
        <w:t>is not considered</w:t>
      </w:r>
      <w:r w:rsidR="00D07623" w:rsidRPr="00825866">
        <w:rPr>
          <w:rFonts w:ascii="Calibri" w:hAnsi="Calibri"/>
        </w:rPr>
        <w:t xml:space="preserve"> until strategies and plans have been </w:t>
      </w:r>
      <w:r w:rsidRPr="00825866">
        <w:rPr>
          <w:rFonts w:ascii="Calibri" w:hAnsi="Calibri"/>
        </w:rPr>
        <w:t xml:space="preserve">already </w:t>
      </w:r>
      <w:r w:rsidR="00D07623" w:rsidRPr="00825866">
        <w:rPr>
          <w:rFonts w:ascii="Calibri" w:hAnsi="Calibri"/>
        </w:rPr>
        <w:t>d</w:t>
      </w:r>
      <w:r w:rsidR="00E641C9" w:rsidRPr="00825866">
        <w:rPr>
          <w:rFonts w:ascii="Calibri" w:hAnsi="Calibri"/>
        </w:rPr>
        <w:t xml:space="preserve">eveloped. This communication </w:t>
      </w:r>
      <w:r w:rsidR="00D07623" w:rsidRPr="00825866">
        <w:rPr>
          <w:rFonts w:ascii="Calibri" w:hAnsi="Calibri"/>
        </w:rPr>
        <w:t xml:space="preserve">often </w:t>
      </w:r>
      <w:r w:rsidRPr="00825866">
        <w:rPr>
          <w:rFonts w:ascii="Calibri" w:hAnsi="Calibri"/>
        </w:rPr>
        <w:t>fails to reach</w:t>
      </w:r>
      <w:r w:rsidR="00D07623" w:rsidRPr="00825866">
        <w:rPr>
          <w:rFonts w:ascii="Calibri" w:hAnsi="Calibri"/>
        </w:rPr>
        <w:t xml:space="preserve"> the desired population</w:t>
      </w:r>
      <w:r w:rsidRPr="00825866">
        <w:rPr>
          <w:rFonts w:ascii="Calibri" w:hAnsi="Calibri"/>
        </w:rPr>
        <w:t xml:space="preserve"> </w:t>
      </w:r>
      <w:r w:rsidR="00E641C9" w:rsidRPr="00825866">
        <w:rPr>
          <w:rFonts w:ascii="Calibri" w:hAnsi="Calibri"/>
        </w:rPr>
        <w:t>or fails to</w:t>
      </w:r>
      <w:r w:rsidR="00D07623" w:rsidRPr="00825866">
        <w:rPr>
          <w:rFonts w:ascii="Calibri" w:hAnsi="Calibri"/>
        </w:rPr>
        <w:t xml:space="preserve"> </w:t>
      </w:r>
      <w:r w:rsidRPr="00825866">
        <w:rPr>
          <w:rFonts w:ascii="Calibri" w:hAnsi="Calibri"/>
        </w:rPr>
        <w:t xml:space="preserve">motivate </w:t>
      </w:r>
      <w:r w:rsidR="00D07623" w:rsidRPr="00825866">
        <w:rPr>
          <w:rFonts w:ascii="Calibri" w:hAnsi="Calibri"/>
        </w:rPr>
        <w:t xml:space="preserve">them to take action, and as a consequence, the public </w:t>
      </w:r>
      <w:r w:rsidR="00E641C9" w:rsidRPr="00825866">
        <w:rPr>
          <w:rFonts w:ascii="Calibri" w:hAnsi="Calibri"/>
        </w:rPr>
        <w:t>do not</w:t>
      </w:r>
      <w:r w:rsidR="00D07623" w:rsidRPr="00825866">
        <w:rPr>
          <w:rFonts w:ascii="Calibri" w:hAnsi="Calibri"/>
        </w:rPr>
        <w:t xml:space="preserve"> adhere to and implement official advice.</w:t>
      </w:r>
      <w:r w:rsidRPr="00825866">
        <w:rPr>
          <w:rFonts w:ascii="Calibri" w:hAnsi="Calibri"/>
        </w:rPr>
        <w:t xml:space="preserve"> </w:t>
      </w:r>
    </w:p>
    <w:p w14:paraId="752CB337" w14:textId="77777777" w:rsidR="00D07623" w:rsidRPr="00825866" w:rsidRDefault="00404D0E" w:rsidP="005702DD">
      <w:pPr>
        <w:spacing w:after="120" w:line="360" w:lineRule="auto"/>
        <w:rPr>
          <w:rFonts w:ascii="Calibri" w:hAnsi="Calibri"/>
        </w:rPr>
      </w:pPr>
      <w:r w:rsidRPr="00825866">
        <w:rPr>
          <w:rFonts w:ascii="Calibri" w:hAnsi="Calibri"/>
        </w:rPr>
        <w:t xml:space="preserve">This practice also ignores the heterogeneity of many Australian communities </w:t>
      </w:r>
      <w:r w:rsidR="00393CA7" w:rsidRPr="00825866">
        <w:rPr>
          <w:rFonts w:ascii="Calibri" w:hAnsi="Calibri"/>
        </w:rPr>
        <w:t xml:space="preserve">– language, ethnicity and social disadvantage </w:t>
      </w:r>
      <w:r w:rsidR="00825866" w:rsidRPr="00825866">
        <w:rPr>
          <w:rFonts w:ascii="Calibri" w:hAnsi="Calibri"/>
        </w:rPr>
        <w:t xml:space="preserve">– </w:t>
      </w:r>
      <w:r w:rsidRPr="00825866">
        <w:rPr>
          <w:rFonts w:ascii="Calibri" w:hAnsi="Calibri"/>
        </w:rPr>
        <w:t>that means that there is not one single public view or perception of risk.</w:t>
      </w:r>
    </w:p>
    <w:p w14:paraId="4EE44269" w14:textId="77777777" w:rsidR="00B26AA2" w:rsidRDefault="00393CA7" w:rsidP="005702DD">
      <w:pPr>
        <w:spacing w:after="120" w:line="360" w:lineRule="auto"/>
        <w:rPr>
          <w:rFonts w:ascii="Calibri" w:hAnsi="Calibri"/>
        </w:rPr>
      </w:pPr>
      <w:r w:rsidRPr="00825866">
        <w:rPr>
          <w:rFonts w:ascii="Calibri" w:hAnsi="Calibri"/>
        </w:rPr>
        <w:t>In view of past failures in risk communication, new</w:t>
      </w:r>
      <w:r w:rsidR="00404D0E" w:rsidRPr="00825866">
        <w:rPr>
          <w:rFonts w:ascii="Calibri" w:hAnsi="Calibri"/>
        </w:rPr>
        <w:t xml:space="preserve"> approaches are needed. </w:t>
      </w:r>
    </w:p>
    <w:p w14:paraId="25D492AF" w14:textId="77777777" w:rsidR="00F603FB" w:rsidRPr="00825866" w:rsidRDefault="00404D0E" w:rsidP="005702DD">
      <w:pPr>
        <w:spacing w:after="120" w:line="360" w:lineRule="auto"/>
        <w:rPr>
          <w:rFonts w:ascii="Calibri" w:hAnsi="Calibri"/>
        </w:rPr>
      </w:pPr>
      <w:r w:rsidRPr="00825866">
        <w:rPr>
          <w:rFonts w:ascii="Calibri" w:hAnsi="Calibri"/>
        </w:rPr>
        <w:t>M</w:t>
      </w:r>
      <w:r w:rsidR="00D07623" w:rsidRPr="00825866">
        <w:rPr>
          <w:rFonts w:ascii="Calibri" w:hAnsi="Calibri"/>
        </w:rPr>
        <w:t xml:space="preserve">ore inclusive, participatory methods for community consultation </w:t>
      </w:r>
      <w:r w:rsidR="00DB7955">
        <w:rPr>
          <w:rFonts w:ascii="Calibri" w:hAnsi="Calibri"/>
        </w:rPr>
        <w:t>should</w:t>
      </w:r>
      <w:r w:rsidR="00D07623" w:rsidRPr="00825866">
        <w:rPr>
          <w:rFonts w:ascii="Calibri" w:hAnsi="Calibri"/>
        </w:rPr>
        <w:t xml:space="preserve"> be implemented to ensure that the public buy into risk reduction solutions. </w:t>
      </w:r>
      <w:r w:rsidR="00F603FB" w:rsidRPr="00825866">
        <w:rPr>
          <w:rFonts w:ascii="Calibri" w:hAnsi="Calibri"/>
        </w:rPr>
        <w:t>M</w:t>
      </w:r>
      <w:r w:rsidR="00393CA7" w:rsidRPr="00825866">
        <w:rPr>
          <w:rFonts w:ascii="Calibri" w:hAnsi="Calibri"/>
        </w:rPr>
        <w:t xml:space="preserve">ethods such as </w:t>
      </w:r>
      <w:r w:rsidR="00F603FB" w:rsidRPr="00DB7955">
        <w:rPr>
          <w:rFonts w:ascii="Calibri" w:hAnsi="Calibri"/>
          <w:i/>
        </w:rPr>
        <w:t>citizen juries</w:t>
      </w:r>
      <w:r w:rsidR="00F603FB" w:rsidRPr="00825866">
        <w:rPr>
          <w:rFonts w:ascii="Calibri" w:hAnsi="Calibri"/>
        </w:rPr>
        <w:t xml:space="preserve"> or </w:t>
      </w:r>
      <w:r w:rsidR="00F603FB" w:rsidRPr="00DB7955">
        <w:rPr>
          <w:rFonts w:ascii="Calibri" w:hAnsi="Calibri"/>
          <w:i/>
        </w:rPr>
        <w:t>citizen science</w:t>
      </w:r>
      <w:r w:rsidR="00F603FB" w:rsidRPr="00825866">
        <w:rPr>
          <w:rFonts w:ascii="Calibri" w:hAnsi="Calibri"/>
        </w:rPr>
        <w:t xml:space="preserve"> </w:t>
      </w:r>
      <w:r w:rsidR="00393CA7" w:rsidRPr="00825866">
        <w:rPr>
          <w:rFonts w:ascii="Calibri" w:hAnsi="Calibri"/>
        </w:rPr>
        <w:t>need to be explored.</w:t>
      </w:r>
      <w:r w:rsidR="005702DD">
        <w:rPr>
          <w:rFonts w:ascii="Calibri" w:hAnsi="Calibri"/>
        </w:rPr>
        <w:t xml:space="preserve"> </w:t>
      </w:r>
      <w:r w:rsidR="005702DD" w:rsidRPr="00825866">
        <w:rPr>
          <w:rFonts w:ascii="Calibri" w:hAnsi="Calibri"/>
        </w:rPr>
        <w:t>Put simply, communities must be engaged throughout the development of risk mitigation plans that effect areas in which they live.</w:t>
      </w:r>
    </w:p>
    <w:p w14:paraId="670C0390" w14:textId="77777777" w:rsidR="00D07623" w:rsidRPr="00825866" w:rsidRDefault="00D07623" w:rsidP="005702DD">
      <w:pPr>
        <w:spacing w:after="120" w:line="360" w:lineRule="auto"/>
        <w:rPr>
          <w:rFonts w:ascii="Calibri" w:hAnsi="Calibri"/>
        </w:rPr>
      </w:pPr>
      <w:r w:rsidRPr="00825866">
        <w:rPr>
          <w:rFonts w:ascii="Calibri" w:hAnsi="Calibri"/>
        </w:rPr>
        <w:lastRenderedPageBreak/>
        <w:t xml:space="preserve">In relation to </w:t>
      </w:r>
      <w:r w:rsidR="004400CD" w:rsidRPr="000E4202">
        <w:rPr>
          <w:rFonts w:ascii="Calibri" w:hAnsi="Calibri"/>
          <w:i/>
        </w:rPr>
        <w:t>charity hazard</w:t>
      </w:r>
      <w:r w:rsidR="004400CD" w:rsidRPr="00825866">
        <w:rPr>
          <w:rFonts w:ascii="Calibri" w:hAnsi="Calibri"/>
        </w:rPr>
        <w:t xml:space="preserve"> raised in the PC Issues Paper, there is certainly anecdotal evidence </w:t>
      </w:r>
      <w:r w:rsidR="008E6B7A" w:rsidRPr="00825866">
        <w:rPr>
          <w:rFonts w:ascii="Calibri" w:hAnsi="Calibri"/>
        </w:rPr>
        <w:t xml:space="preserve">to </w:t>
      </w:r>
      <w:r w:rsidR="004400CD" w:rsidRPr="00825866">
        <w:rPr>
          <w:rFonts w:ascii="Calibri" w:hAnsi="Calibri"/>
        </w:rPr>
        <w:t xml:space="preserve">suggest this does </w:t>
      </w:r>
      <w:r w:rsidR="008E6B7A" w:rsidRPr="00825866">
        <w:rPr>
          <w:rFonts w:ascii="Calibri" w:hAnsi="Calibri"/>
        </w:rPr>
        <w:t>happen</w:t>
      </w:r>
      <w:r w:rsidR="004400CD" w:rsidRPr="00825866">
        <w:rPr>
          <w:rFonts w:ascii="Calibri" w:hAnsi="Calibri"/>
        </w:rPr>
        <w:t xml:space="preserve">. </w:t>
      </w:r>
      <w:r w:rsidR="008E6B7A" w:rsidRPr="00825866">
        <w:rPr>
          <w:rFonts w:ascii="Calibri" w:hAnsi="Calibri"/>
        </w:rPr>
        <w:t>Risk Frontiers’</w:t>
      </w:r>
      <w:r w:rsidR="004400CD" w:rsidRPr="00825866">
        <w:rPr>
          <w:rFonts w:ascii="Calibri" w:hAnsi="Calibri"/>
        </w:rPr>
        <w:t xml:space="preserve"> research </w:t>
      </w:r>
      <w:r w:rsidR="008E6B7A" w:rsidRPr="00825866">
        <w:rPr>
          <w:rFonts w:ascii="Calibri" w:hAnsi="Calibri"/>
        </w:rPr>
        <w:t>following</w:t>
      </w:r>
      <w:r w:rsidR="00393CA7" w:rsidRPr="00825866">
        <w:rPr>
          <w:rFonts w:ascii="Calibri" w:hAnsi="Calibri"/>
        </w:rPr>
        <w:t xml:space="preserve"> the Queensland and Victorian floods of 2011 found </w:t>
      </w:r>
      <w:r w:rsidR="008E6B7A" w:rsidRPr="00825866">
        <w:rPr>
          <w:rFonts w:ascii="Calibri" w:hAnsi="Calibri"/>
        </w:rPr>
        <w:t>few</w:t>
      </w:r>
      <w:r w:rsidR="00393CA7" w:rsidRPr="00825866">
        <w:rPr>
          <w:rFonts w:ascii="Calibri" w:hAnsi="Calibri"/>
        </w:rPr>
        <w:t xml:space="preserve"> </w:t>
      </w:r>
      <w:r w:rsidR="00E641C9" w:rsidRPr="00825866">
        <w:rPr>
          <w:rFonts w:ascii="Calibri" w:hAnsi="Calibri"/>
        </w:rPr>
        <w:t>people</w:t>
      </w:r>
      <w:r w:rsidR="00393CA7" w:rsidRPr="00825866">
        <w:rPr>
          <w:rFonts w:ascii="Calibri" w:hAnsi="Calibri"/>
        </w:rPr>
        <w:t xml:space="preserve"> in</w:t>
      </w:r>
      <w:r w:rsidR="008E6B7A" w:rsidRPr="00825866">
        <w:rPr>
          <w:rFonts w:ascii="Calibri" w:hAnsi="Calibri"/>
        </w:rPr>
        <w:t>terested in</w:t>
      </w:r>
      <w:r w:rsidR="00393CA7" w:rsidRPr="00825866">
        <w:rPr>
          <w:rFonts w:ascii="Calibri" w:hAnsi="Calibri"/>
        </w:rPr>
        <w:t xml:space="preserve"> </w:t>
      </w:r>
      <w:r w:rsidR="0070124F" w:rsidRPr="00825866">
        <w:rPr>
          <w:rFonts w:ascii="Calibri" w:hAnsi="Calibri"/>
        </w:rPr>
        <w:t xml:space="preserve">flood proofing their homes </w:t>
      </w:r>
      <w:r w:rsidR="00825866" w:rsidRPr="00825866">
        <w:rPr>
          <w:rFonts w:ascii="Calibri" w:hAnsi="Calibri"/>
        </w:rPr>
        <w:t>from future floods</w:t>
      </w:r>
      <w:r w:rsidR="00393CA7" w:rsidRPr="00825866">
        <w:rPr>
          <w:rFonts w:ascii="Calibri" w:hAnsi="Calibri"/>
        </w:rPr>
        <w:t xml:space="preserve">. </w:t>
      </w:r>
      <w:r w:rsidR="00AA04EA" w:rsidRPr="00825866">
        <w:rPr>
          <w:rFonts w:ascii="Calibri" w:hAnsi="Calibri"/>
        </w:rPr>
        <w:t>Details of barriers preventing people to implement risk reduction measures at the household level can be found in Chapter 9 of:</w:t>
      </w:r>
    </w:p>
    <w:p w14:paraId="52F189CC" w14:textId="77777777" w:rsidR="00AB7CA0" w:rsidRPr="00825866" w:rsidRDefault="00AB7CA0" w:rsidP="00890372">
      <w:pPr>
        <w:spacing w:after="120"/>
        <w:ind w:left="426" w:hanging="426"/>
        <w:rPr>
          <w:rFonts w:ascii="Calibri" w:hAnsi="Calibri" w:cs="Arial"/>
        </w:rPr>
      </w:pPr>
      <w:r w:rsidRPr="00825866">
        <w:rPr>
          <w:rFonts w:ascii="Calibri" w:hAnsi="Calibri" w:cs="Arial"/>
        </w:rPr>
        <w:t xml:space="preserve">Bird, D., King, D., Haynes, K., Box, P., Okada, T. and Nairn, K. 2013. Investigating factors that inhibit and enable adaptation strategies following the 2010/11 floods. </w:t>
      </w:r>
      <w:r w:rsidRPr="00825866">
        <w:rPr>
          <w:rFonts w:ascii="Calibri" w:hAnsi="Calibri" w:cs="Arial"/>
          <w:i/>
        </w:rPr>
        <w:t>Report for the National Climate Change Adaptation Research Facility (NCCARF) synthesis and integrative research project</w:t>
      </w:r>
      <w:r w:rsidR="00AA04EA" w:rsidRPr="00825866">
        <w:rPr>
          <w:rFonts w:ascii="Calibri" w:hAnsi="Calibri" w:cs="Arial"/>
        </w:rPr>
        <w:t xml:space="preserve">, Gold Coast. </w:t>
      </w:r>
      <w:hyperlink r:id="rId14" w:history="1">
        <w:r w:rsidR="00AA04EA" w:rsidRPr="00825866">
          <w:rPr>
            <w:rStyle w:val="Hyperlink"/>
            <w:rFonts w:ascii="Calibri" w:hAnsi="Calibri" w:cs="Arial"/>
          </w:rPr>
          <w:t>http://www.nccarf.edu.au/publications/floods-household-adaptation-strategies</w:t>
        </w:r>
      </w:hyperlink>
      <w:r w:rsidR="00AA04EA" w:rsidRPr="00825866">
        <w:rPr>
          <w:rFonts w:ascii="Calibri" w:hAnsi="Calibri" w:cs="Arial"/>
        </w:rPr>
        <w:t xml:space="preserve">. </w:t>
      </w:r>
    </w:p>
    <w:p w14:paraId="174032D3" w14:textId="77777777" w:rsidR="001325DE" w:rsidRDefault="001325DE" w:rsidP="005702DD">
      <w:pPr>
        <w:spacing w:before="120" w:after="120" w:line="360" w:lineRule="auto"/>
        <w:rPr>
          <w:rFonts w:ascii="Calibri" w:hAnsi="Calibri"/>
        </w:rPr>
      </w:pPr>
    </w:p>
    <w:p w14:paraId="14EA88B8" w14:textId="77777777" w:rsidR="00DB7955" w:rsidRDefault="00DB7955" w:rsidP="005702DD">
      <w:pPr>
        <w:spacing w:before="120" w:after="120" w:line="360" w:lineRule="auto"/>
        <w:rPr>
          <w:rFonts w:ascii="Calibri" w:hAnsi="Calibri"/>
        </w:rPr>
      </w:pPr>
      <w:r>
        <w:rPr>
          <w:rFonts w:ascii="Calibri" w:hAnsi="Calibri"/>
        </w:rPr>
        <w:t>(</w:t>
      </w:r>
      <w:r w:rsidR="000E4202">
        <w:rPr>
          <w:rFonts w:ascii="Calibri" w:hAnsi="Calibri"/>
        </w:rPr>
        <w:t xml:space="preserve">For an </w:t>
      </w:r>
      <w:r>
        <w:rPr>
          <w:rFonts w:ascii="Calibri" w:hAnsi="Calibri"/>
        </w:rPr>
        <w:t xml:space="preserve">analysis of the </w:t>
      </w:r>
      <w:r w:rsidR="000E4202" w:rsidRPr="000E4202">
        <w:rPr>
          <w:rFonts w:ascii="Calibri" w:hAnsi="Calibri"/>
          <w:i/>
        </w:rPr>
        <w:t>c</w:t>
      </w:r>
      <w:r w:rsidRPr="000E4202">
        <w:rPr>
          <w:rFonts w:ascii="Calibri" w:hAnsi="Calibri"/>
          <w:i/>
        </w:rPr>
        <w:t xml:space="preserve">harity </w:t>
      </w:r>
      <w:r w:rsidR="000E4202" w:rsidRPr="000E4202">
        <w:rPr>
          <w:rFonts w:ascii="Calibri" w:hAnsi="Calibri"/>
          <w:i/>
        </w:rPr>
        <w:t>h</w:t>
      </w:r>
      <w:r w:rsidRPr="000E4202">
        <w:rPr>
          <w:rFonts w:ascii="Calibri" w:hAnsi="Calibri"/>
          <w:i/>
        </w:rPr>
        <w:t>azard</w:t>
      </w:r>
      <w:r w:rsidR="000E4202">
        <w:rPr>
          <w:rFonts w:ascii="Calibri" w:hAnsi="Calibri"/>
        </w:rPr>
        <w:t xml:space="preserve"> or </w:t>
      </w:r>
      <w:r w:rsidR="000E4202" w:rsidRPr="000E4202">
        <w:rPr>
          <w:rFonts w:ascii="Calibri" w:hAnsi="Calibri"/>
          <w:i/>
        </w:rPr>
        <w:t>Samaritan Dilemma</w:t>
      </w:r>
      <w:r w:rsidR="000E4202">
        <w:rPr>
          <w:rFonts w:ascii="Calibri" w:hAnsi="Calibri"/>
        </w:rPr>
        <w:t>, in the parlance of Game Theory, the reader is referred to Appendix 1. It is the form</w:t>
      </w:r>
      <w:r>
        <w:rPr>
          <w:rFonts w:ascii="Calibri" w:hAnsi="Calibri"/>
        </w:rPr>
        <w:t xml:space="preserve"> </w:t>
      </w:r>
      <w:r w:rsidR="000E4202">
        <w:rPr>
          <w:rFonts w:ascii="Calibri" w:hAnsi="Calibri"/>
        </w:rPr>
        <w:t xml:space="preserve">of </w:t>
      </w:r>
      <w:r>
        <w:rPr>
          <w:rFonts w:ascii="Calibri" w:hAnsi="Calibri"/>
        </w:rPr>
        <w:t>a Briefing Note to Risk Frontiers’ insurance clients.)</w:t>
      </w:r>
    </w:p>
    <w:p w14:paraId="048BB9F0" w14:textId="77777777" w:rsidR="00D0736F" w:rsidRPr="00825866" w:rsidRDefault="00D0736F" w:rsidP="005702DD">
      <w:pPr>
        <w:spacing w:after="120" w:line="360" w:lineRule="auto"/>
        <w:rPr>
          <w:rFonts w:ascii="Calibri" w:hAnsi="Calibri"/>
        </w:rPr>
      </w:pPr>
      <w:r w:rsidRPr="00825866">
        <w:rPr>
          <w:rFonts w:ascii="Calibri" w:hAnsi="Calibri"/>
        </w:rPr>
        <w:t xml:space="preserve">From a </w:t>
      </w:r>
      <w:r w:rsidR="008E6B7A" w:rsidRPr="00825866">
        <w:rPr>
          <w:rFonts w:ascii="Calibri" w:hAnsi="Calibri"/>
        </w:rPr>
        <w:t xml:space="preserve">land-use planning and local government </w:t>
      </w:r>
      <w:r w:rsidRPr="00825866">
        <w:rPr>
          <w:rFonts w:ascii="Calibri" w:hAnsi="Calibri"/>
        </w:rPr>
        <w:t>perspective, local residents questioned the continued construction of ‘slab-on-ground’ homes on floodplains and</w:t>
      </w:r>
      <w:r w:rsidR="008E6B7A" w:rsidRPr="00825866">
        <w:rPr>
          <w:rFonts w:ascii="Calibri" w:hAnsi="Calibri"/>
        </w:rPr>
        <w:t>,</w:t>
      </w:r>
      <w:r w:rsidRPr="00825866">
        <w:rPr>
          <w:rFonts w:ascii="Calibri" w:hAnsi="Calibri"/>
        </w:rPr>
        <w:t xml:space="preserve"> in one particular case, the reconstruction of a shopping complex </w:t>
      </w:r>
      <w:r w:rsidR="008E6B7A" w:rsidRPr="00825866">
        <w:rPr>
          <w:rFonts w:ascii="Calibri" w:hAnsi="Calibri"/>
        </w:rPr>
        <w:t xml:space="preserve">in Emerald </w:t>
      </w:r>
      <w:r w:rsidRPr="00825866">
        <w:rPr>
          <w:rFonts w:ascii="Calibri" w:hAnsi="Calibri"/>
        </w:rPr>
        <w:t xml:space="preserve">that was gutted in 2008 and </w:t>
      </w:r>
      <w:r w:rsidR="00393CA7" w:rsidRPr="00825866">
        <w:rPr>
          <w:rFonts w:ascii="Calibri" w:hAnsi="Calibri"/>
        </w:rPr>
        <w:t xml:space="preserve">then </w:t>
      </w:r>
      <w:r w:rsidRPr="00825866">
        <w:rPr>
          <w:rFonts w:ascii="Calibri" w:hAnsi="Calibri"/>
        </w:rPr>
        <w:t>again in 2010 by floods</w:t>
      </w:r>
      <w:r w:rsidR="000027D9" w:rsidRPr="00825866">
        <w:rPr>
          <w:rFonts w:ascii="Calibri" w:hAnsi="Calibri"/>
        </w:rPr>
        <w:t>.</w:t>
      </w:r>
      <w:r w:rsidR="005702DD">
        <w:rPr>
          <w:rFonts w:ascii="Calibri" w:hAnsi="Calibri"/>
        </w:rPr>
        <w:t xml:space="preserve"> Again</w:t>
      </w:r>
      <w:r w:rsidR="000E4202">
        <w:rPr>
          <w:rFonts w:ascii="Calibri" w:hAnsi="Calibri"/>
        </w:rPr>
        <w:t>,</w:t>
      </w:r>
      <w:r w:rsidR="005702DD">
        <w:rPr>
          <w:rFonts w:ascii="Calibri" w:hAnsi="Calibri"/>
        </w:rPr>
        <w:t xml:space="preserve"> the insurer Suncorp has baulked at rebuilding Roma a third time in the absence of a levee.</w:t>
      </w:r>
    </w:p>
    <w:p w14:paraId="7F68DD69" w14:textId="77777777" w:rsidR="00DB7955" w:rsidRDefault="00AB7CA0" w:rsidP="00204A3D">
      <w:pPr>
        <w:spacing w:after="120" w:line="360" w:lineRule="auto"/>
        <w:rPr>
          <w:rFonts w:asciiTheme="majorHAnsi" w:eastAsiaTheme="majorEastAsia" w:hAnsiTheme="majorHAnsi" w:cstheme="majorBidi"/>
          <w:b/>
          <w:bCs/>
          <w:color w:val="345A8A" w:themeColor="accent1" w:themeShade="B5"/>
          <w:sz w:val="32"/>
          <w:szCs w:val="32"/>
        </w:rPr>
      </w:pPr>
      <w:r w:rsidRPr="00825866">
        <w:rPr>
          <w:rFonts w:ascii="Calibri" w:hAnsi="Calibri"/>
        </w:rPr>
        <w:t xml:space="preserve">Other publications relating to disaster risk reduction in Australia that might be of interest </w:t>
      </w:r>
      <w:r w:rsidR="00715CD4">
        <w:rPr>
          <w:rFonts w:ascii="Calibri" w:hAnsi="Calibri"/>
        </w:rPr>
        <w:t>are listed</w:t>
      </w:r>
      <w:r w:rsidR="00FA3182" w:rsidRPr="00825866">
        <w:rPr>
          <w:rFonts w:ascii="Calibri" w:hAnsi="Calibri"/>
        </w:rPr>
        <w:t>:</w:t>
      </w:r>
    </w:p>
    <w:p w14:paraId="7503124E" w14:textId="77777777" w:rsidR="005702DD" w:rsidRDefault="000E4202" w:rsidP="001112CA">
      <w:pPr>
        <w:pStyle w:val="Heading1"/>
      </w:pPr>
      <w:r>
        <w:t>Bibliography</w:t>
      </w:r>
    </w:p>
    <w:p w14:paraId="11E242A2" w14:textId="77777777" w:rsidR="001112CA" w:rsidRPr="001112CA" w:rsidRDefault="001112CA" w:rsidP="001112CA"/>
    <w:p w14:paraId="302303EA" w14:textId="77777777" w:rsidR="009F07BD" w:rsidRPr="00DB7955" w:rsidRDefault="009F07BD" w:rsidP="00890372">
      <w:pPr>
        <w:spacing w:after="120"/>
        <w:ind w:left="426" w:hanging="426"/>
        <w:rPr>
          <w:rFonts w:ascii="Calibri" w:hAnsi="Calibri"/>
          <w:sz w:val="22"/>
          <w:szCs w:val="22"/>
        </w:rPr>
      </w:pPr>
      <w:r w:rsidRPr="00DB7955">
        <w:rPr>
          <w:rFonts w:ascii="Calibri" w:hAnsi="Calibri" w:cs="Calibri"/>
          <w:sz w:val="22"/>
          <w:szCs w:val="22"/>
        </w:rPr>
        <w:t xml:space="preserve">Bird, D., Govan, J., Murphy, H., Harwood, S., Haynes, K., Carson, D., Russell, S., King, D., Wensing, E., Tsakissiris, N., Larkin, S., 2013. </w:t>
      </w:r>
      <w:r w:rsidRPr="00DB7955">
        <w:rPr>
          <w:rFonts w:ascii="Calibri" w:hAnsi="Calibri" w:cs="Calibri"/>
          <w:i/>
          <w:sz w:val="22"/>
          <w:szCs w:val="22"/>
        </w:rPr>
        <w:t>Future change in ancient worlds: Indigenous adaptation in northern Australia</w:t>
      </w:r>
      <w:r w:rsidRPr="00DB7955">
        <w:rPr>
          <w:rFonts w:ascii="Calibri" w:hAnsi="Calibri" w:cs="Calibri"/>
          <w:sz w:val="22"/>
          <w:szCs w:val="22"/>
        </w:rPr>
        <w:t xml:space="preserve">, </w:t>
      </w:r>
      <w:r w:rsidRPr="00DB7955">
        <w:rPr>
          <w:rFonts w:ascii="Calibri" w:hAnsi="Calibri" w:cs="Arial"/>
          <w:sz w:val="22"/>
          <w:szCs w:val="22"/>
        </w:rPr>
        <w:t>National Climate Change Adaptation</w:t>
      </w:r>
      <w:r w:rsidR="00AA04EA" w:rsidRPr="00DB7955">
        <w:rPr>
          <w:rFonts w:ascii="Calibri" w:hAnsi="Calibri" w:cs="Arial"/>
          <w:sz w:val="22"/>
          <w:szCs w:val="22"/>
        </w:rPr>
        <w:t xml:space="preserve"> Research Facility, Gold Coast. </w:t>
      </w:r>
      <w:hyperlink r:id="rId15" w:history="1">
        <w:r w:rsidR="00AA04EA" w:rsidRPr="00DB7955">
          <w:rPr>
            <w:rStyle w:val="Hyperlink"/>
            <w:rFonts w:ascii="Calibri" w:hAnsi="Calibri" w:cs="Arial"/>
            <w:sz w:val="22"/>
            <w:szCs w:val="22"/>
          </w:rPr>
          <w:t>http://www.nccarf.edu.au/content/future-change-ancient-worlds-indigenous-adaptation-northern-australia</w:t>
        </w:r>
      </w:hyperlink>
      <w:r w:rsidR="00AA04EA" w:rsidRPr="00DB7955">
        <w:rPr>
          <w:rFonts w:ascii="Calibri" w:hAnsi="Calibri" w:cs="Arial"/>
          <w:sz w:val="22"/>
          <w:szCs w:val="22"/>
        </w:rPr>
        <w:t xml:space="preserve">. </w:t>
      </w:r>
    </w:p>
    <w:p w14:paraId="4A59F14A" w14:textId="77777777" w:rsidR="006F6A3C" w:rsidRPr="00DB7955" w:rsidRDefault="006F6A3C" w:rsidP="00890372">
      <w:pPr>
        <w:widowControl w:val="0"/>
        <w:autoSpaceDE w:val="0"/>
        <w:autoSpaceDN w:val="0"/>
        <w:adjustRightInd w:val="0"/>
        <w:spacing w:after="120"/>
        <w:ind w:left="426" w:hanging="426"/>
        <w:rPr>
          <w:rFonts w:ascii="Calibri" w:hAnsi="Calibri" w:cs="Helvetica"/>
          <w:i/>
          <w:sz w:val="22"/>
          <w:szCs w:val="22"/>
          <w:lang w:val="en-US"/>
        </w:rPr>
      </w:pPr>
      <w:r w:rsidRPr="00DB7955">
        <w:rPr>
          <w:rFonts w:ascii="Calibri" w:hAnsi="Calibri" w:cs="Helvetica"/>
          <w:sz w:val="22"/>
          <w:szCs w:val="22"/>
          <w:lang w:val="en-US"/>
        </w:rPr>
        <w:t>Coates, L., Haynes, K., O’Brien, J., McAneney, J</w:t>
      </w:r>
      <w:r w:rsidR="008E6B7A" w:rsidRPr="00DB7955">
        <w:rPr>
          <w:rFonts w:ascii="Calibri" w:hAnsi="Calibri" w:cs="Helvetica"/>
          <w:sz w:val="22"/>
          <w:szCs w:val="22"/>
          <w:lang w:val="en-US"/>
        </w:rPr>
        <w:t xml:space="preserve">. and </w:t>
      </w:r>
      <w:r w:rsidRPr="00DB7955">
        <w:rPr>
          <w:rFonts w:ascii="Calibri" w:hAnsi="Calibri" w:cs="Helvetica"/>
          <w:sz w:val="22"/>
          <w:szCs w:val="22"/>
          <w:lang w:val="en-US"/>
        </w:rPr>
        <w:t>Dimer de Oliveira, F</w:t>
      </w:r>
      <w:r w:rsidR="008E6B7A" w:rsidRPr="00DB7955">
        <w:rPr>
          <w:rFonts w:ascii="Calibri" w:hAnsi="Calibri" w:cs="Helvetica"/>
          <w:sz w:val="22"/>
          <w:szCs w:val="22"/>
          <w:lang w:val="en-US"/>
        </w:rPr>
        <w:t xml:space="preserve">. 2014.  </w:t>
      </w:r>
      <w:r w:rsidRPr="00DB7955">
        <w:rPr>
          <w:rFonts w:ascii="Calibri" w:hAnsi="Calibri" w:cs="Helvetica"/>
          <w:sz w:val="22"/>
          <w:szCs w:val="22"/>
          <w:lang w:val="en-US"/>
        </w:rPr>
        <w:t xml:space="preserve">An examination of extreme heat events in Australia 1844-2010: exploring 167 years of vulnerability. </w:t>
      </w:r>
      <w:r w:rsidRPr="00DB7955">
        <w:rPr>
          <w:rFonts w:ascii="Calibri" w:hAnsi="Calibri" w:cs="Helvetica"/>
          <w:i/>
          <w:sz w:val="22"/>
          <w:szCs w:val="22"/>
          <w:lang w:val="en-US"/>
        </w:rPr>
        <w:t>Environmental Science and Policy</w:t>
      </w:r>
      <w:r w:rsidR="008E6B7A" w:rsidRPr="00DB7955">
        <w:rPr>
          <w:rFonts w:ascii="Calibri" w:hAnsi="Calibri" w:cs="Helvetica"/>
          <w:sz w:val="22"/>
          <w:szCs w:val="22"/>
          <w:lang w:val="en-US"/>
        </w:rPr>
        <w:t xml:space="preserve"> (in press).</w:t>
      </w:r>
    </w:p>
    <w:p w14:paraId="778A7015" w14:textId="77777777" w:rsidR="006F6A3C" w:rsidRPr="00DB7955" w:rsidRDefault="006F6A3C" w:rsidP="00890372">
      <w:pPr>
        <w:spacing w:after="120"/>
        <w:ind w:left="426" w:hanging="426"/>
        <w:rPr>
          <w:rFonts w:ascii="Calibri" w:hAnsi="Calibri" w:cs="Arial"/>
          <w:sz w:val="22"/>
          <w:szCs w:val="22"/>
        </w:rPr>
      </w:pPr>
      <w:r w:rsidRPr="00DB7955">
        <w:rPr>
          <w:rFonts w:ascii="Calibri" w:hAnsi="Calibri" w:cs="Arial"/>
          <w:sz w:val="22"/>
          <w:szCs w:val="22"/>
        </w:rPr>
        <w:t xml:space="preserve">Coates, L. Haynes, K. Bird, D. and McAneney, J. 2011. Adaptation to Climate Change, </w:t>
      </w:r>
      <w:r w:rsidRPr="00DB7955">
        <w:rPr>
          <w:rFonts w:ascii="Calibri" w:hAnsi="Calibri" w:cs="Arial"/>
          <w:i/>
          <w:sz w:val="22"/>
          <w:szCs w:val="22"/>
        </w:rPr>
        <w:t>Learning from Extreme Events.</w:t>
      </w:r>
      <w:r w:rsidRPr="00DB7955">
        <w:rPr>
          <w:rFonts w:ascii="Calibri" w:hAnsi="Calibri" w:cs="Arial"/>
          <w:sz w:val="22"/>
          <w:szCs w:val="22"/>
        </w:rPr>
        <w:t xml:space="preserve"> Report</w:t>
      </w:r>
      <w:r w:rsidR="008E6B7A" w:rsidRPr="00DB7955">
        <w:rPr>
          <w:rFonts w:ascii="Calibri" w:hAnsi="Calibri" w:cs="Arial"/>
          <w:sz w:val="22"/>
          <w:szCs w:val="22"/>
        </w:rPr>
        <w:t xml:space="preserve"> prepared for</w:t>
      </w:r>
      <w:r w:rsidR="008E6B7A" w:rsidRPr="00DB7955">
        <w:rPr>
          <w:rFonts w:ascii="Calibri" w:hAnsi="Calibri" w:cs="Arial"/>
          <w:i/>
          <w:sz w:val="22"/>
          <w:szCs w:val="22"/>
        </w:rPr>
        <w:t xml:space="preserve"> Sydney Water, </w:t>
      </w:r>
      <w:r w:rsidR="008E6B7A" w:rsidRPr="00DB7955">
        <w:rPr>
          <w:rFonts w:ascii="Calibri" w:hAnsi="Calibri" w:cs="Arial"/>
          <w:sz w:val="22"/>
          <w:szCs w:val="22"/>
        </w:rPr>
        <w:t>Risk Frontiers.</w:t>
      </w:r>
    </w:p>
    <w:p w14:paraId="14FACB6B" w14:textId="77777777" w:rsidR="006F6A3C" w:rsidRPr="00DB7955" w:rsidRDefault="006F6A3C" w:rsidP="00890372">
      <w:pPr>
        <w:spacing w:after="120"/>
        <w:ind w:left="426" w:hanging="426"/>
        <w:outlineLvl w:val="0"/>
        <w:rPr>
          <w:rFonts w:ascii="Calibri" w:hAnsi="Calibri" w:cs="Arial"/>
          <w:sz w:val="22"/>
          <w:szCs w:val="22"/>
        </w:rPr>
      </w:pPr>
      <w:r w:rsidRPr="00DB7955">
        <w:rPr>
          <w:rFonts w:ascii="Calibri" w:hAnsi="Calibri" w:cs="Arial"/>
          <w:sz w:val="22"/>
          <w:szCs w:val="22"/>
        </w:rPr>
        <w:lastRenderedPageBreak/>
        <w:t xml:space="preserve">Haynes, K. Bird, D., McAneney. 2013. </w:t>
      </w:r>
      <w:r w:rsidRPr="00DB7955">
        <w:rPr>
          <w:rFonts w:ascii="Calibri" w:hAnsi="Calibri" w:cs="Helvetica"/>
          <w:sz w:val="22"/>
          <w:szCs w:val="22"/>
          <w:lang w:val="en-US"/>
        </w:rPr>
        <w:t xml:space="preserve">Mitigate damage risk from bush fires. </w:t>
      </w:r>
      <w:r w:rsidRPr="00DB7955">
        <w:rPr>
          <w:rFonts w:ascii="Calibri" w:hAnsi="Calibri" w:cs="Helvetica"/>
          <w:i/>
          <w:iCs/>
          <w:sz w:val="22"/>
          <w:szCs w:val="22"/>
          <w:lang w:val="en-US"/>
        </w:rPr>
        <w:t>Nature,</w:t>
      </w:r>
      <w:r w:rsidRPr="00DB7955">
        <w:rPr>
          <w:rFonts w:ascii="Calibri" w:hAnsi="Calibri" w:cs="Helvetica"/>
          <w:sz w:val="22"/>
          <w:szCs w:val="22"/>
          <w:lang w:val="en-US"/>
        </w:rPr>
        <w:t xml:space="preserve"> 503</w:t>
      </w:r>
      <w:r w:rsidR="00715CD4" w:rsidRPr="00DB7955">
        <w:rPr>
          <w:rFonts w:ascii="Calibri" w:hAnsi="Calibri" w:cs="Helvetica"/>
          <w:sz w:val="22"/>
          <w:szCs w:val="22"/>
          <w:lang w:val="en-US"/>
        </w:rPr>
        <w:t xml:space="preserve"> </w:t>
      </w:r>
      <w:r w:rsidRPr="00DB7955">
        <w:rPr>
          <w:rFonts w:ascii="Calibri" w:hAnsi="Calibri" w:cs="Helvetica"/>
          <w:sz w:val="22"/>
          <w:szCs w:val="22"/>
          <w:lang w:val="en-US"/>
        </w:rPr>
        <w:t>(7477)</w:t>
      </w:r>
      <w:r w:rsidRPr="00DB7955">
        <w:rPr>
          <w:rFonts w:ascii="Calibri" w:hAnsi="Calibri" w:cs="Helvetica"/>
          <w:bCs/>
          <w:sz w:val="22"/>
          <w:szCs w:val="22"/>
          <w:lang w:val="en-US"/>
        </w:rPr>
        <w:t>,</w:t>
      </w:r>
      <w:r w:rsidRPr="00DB7955">
        <w:rPr>
          <w:rFonts w:ascii="Calibri" w:hAnsi="Calibri" w:cs="Helvetica"/>
          <w:sz w:val="22"/>
          <w:szCs w:val="22"/>
          <w:lang w:val="en-US"/>
        </w:rPr>
        <w:t xml:space="preserve"> 469-469.</w:t>
      </w:r>
    </w:p>
    <w:p w14:paraId="745A9006" w14:textId="77777777" w:rsidR="006F6A3C" w:rsidRPr="00DB7955" w:rsidRDefault="006F6A3C" w:rsidP="00890372">
      <w:pPr>
        <w:spacing w:after="120"/>
        <w:ind w:left="426" w:hanging="426"/>
        <w:rPr>
          <w:rFonts w:ascii="Calibri" w:hAnsi="Calibri" w:cs="Arial"/>
          <w:sz w:val="22"/>
          <w:szCs w:val="22"/>
        </w:rPr>
      </w:pPr>
      <w:r w:rsidRPr="00DB7955">
        <w:rPr>
          <w:rFonts w:ascii="Calibri" w:hAnsi="Calibri" w:cs="Arial"/>
          <w:sz w:val="22"/>
          <w:szCs w:val="22"/>
        </w:rPr>
        <w:t xml:space="preserve">Haynes, K. Bird, D.K., Carson, D., Larkin, S. and Mason, M. 2011. Institutional response and Indigenous experience of Cyclone Tracy. </w:t>
      </w:r>
      <w:r w:rsidRPr="00DB7955">
        <w:rPr>
          <w:rFonts w:ascii="Calibri" w:hAnsi="Calibri" w:cs="Arial"/>
          <w:i/>
          <w:sz w:val="22"/>
          <w:szCs w:val="22"/>
        </w:rPr>
        <w:t>Report for the National Climate Change Adaptation Research Facility (NCCARF)</w:t>
      </w:r>
      <w:r w:rsidRPr="00DB7955">
        <w:rPr>
          <w:rFonts w:ascii="Calibri" w:hAnsi="Calibri" w:cs="Arial"/>
          <w:sz w:val="22"/>
          <w:szCs w:val="22"/>
        </w:rPr>
        <w:t xml:space="preserve">, </w:t>
      </w:r>
      <w:r w:rsidR="00AA04EA" w:rsidRPr="00DB7955">
        <w:rPr>
          <w:rFonts w:ascii="Calibri" w:hAnsi="Calibri" w:cs="Arial"/>
          <w:sz w:val="22"/>
          <w:szCs w:val="22"/>
        </w:rPr>
        <w:t>Gold Coast</w:t>
      </w:r>
      <w:r w:rsidRPr="00DB7955">
        <w:rPr>
          <w:rFonts w:ascii="Calibri" w:hAnsi="Calibri" w:cs="Arial"/>
          <w:sz w:val="22"/>
          <w:szCs w:val="22"/>
        </w:rPr>
        <w:t>.</w:t>
      </w:r>
      <w:r w:rsidRPr="00DB7955">
        <w:rPr>
          <w:rFonts w:ascii="Calibri" w:hAnsi="Calibri" w:cs="Arial"/>
          <w:i/>
          <w:sz w:val="22"/>
          <w:szCs w:val="22"/>
        </w:rPr>
        <w:t xml:space="preserve"> </w:t>
      </w:r>
      <w:hyperlink r:id="rId16" w:history="1">
        <w:r w:rsidR="00AA04EA" w:rsidRPr="00DB7955">
          <w:rPr>
            <w:rStyle w:val="Hyperlink"/>
            <w:rFonts w:ascii="Calibri" w:hAnsi="Calibri" w:cs="Arial"/>
            <w:i/>
            <w:sz w:val="22"/>
            <w:szCs w:val="22"/>
          </w:rPr>
          <w:t>http://www.nccarf.edu.au/publications/adaptation-lessons-cyclone-tracy-part-ii-institutional-response-and-indigenous</w:t>
        </w:r>
      </w:hyperlink>
      <w:r w:rsidR="00AA04EA" w:rsidRPr="00DB7955">
        <w:rPr>
          <w:rFonts w:ascii="Calibri" w:hAnsi="Calibri" w:cs="Arial"/>
          <w:i/>
          <w:sz w:val="22"/>
          <w:szCs w:val="22"/>
        </w:rPr>
        <w:t xml:space="preserve">. </w:t>
      </w:r>
    </w:p>
    <w:p w14:paraId="5154334F" w14:textId="77777777" w:rsidR="006F6A3C" w:rsidRPr="00DB7955" w:rsidRDefault="006F6A3C" w:rsidP="00890372">
      <w:pPr>
        <w:spacing w:after="120"/>
        <w:ind w:left="426" w:hanging="426"/>
        <w:rPr>
          <w:rFonts w:ascii="Calibri" w:hAnsi="Calibri" w:cs="Arial"/>
          <w:sz w:val="22"/>
          <w:szCs w:val="22"/>
        </w:rPr>
      </w:pPr>
      <w:r w:rsidRPr="00DB7955">
        <w:rPr>
          <w:rFonts w:ascii="Calibri" w:hAnsi="Calibri" w:cs="Arial"/>
          <w:bCs/>
          <w:sz w:val="22"/>
          <w:szCs w:val="22"/>
        </w:rPr>
        <w:t xml:space="preserve">Haynes, K., </w:t>
      </w:r>
      <w:r w:rsidRPr="00DB7955">
        <w:rPr>
          <w:rFonts w:ascii="Calibri" w:hAnsi="Calibri" w:cs="Arial"/>
          <w:sz w:val="22"/>
          <w:szCs w:val="22"/>
        </w:rPr>
        <w:t xml:space="preserve">Bird, D., Coates, L. and Ling, M. 2010. </w:t>
      </w:r>
      <w:r w:rsidRPr="00DB7955">
        <w:rPr>
          <w:rFonts w:ascii="Calibri" w:hAnsi="Calibri" w:cs="Arial"/>
          <w:iCs/>
          <w:sz w:val="22"/>
          <w:szCs w:val="22"/>
        </w:rPr>
        <w:t xml:space="preserve">Emergency management response to the 2009 heatwave. </w:t>
      </w:r>
      <w:r w:rsidRPr="00DB7955">
        <w:rPr>
          <w:rFonts w:ascii="Calibri" w:hAnsi="Calibri" w:cs="Arial"/>
          <w:iCs/>
          <w:sz w:val="22"/>
          <w:szCs w:val="22"/>
          <w:u w:val="single"/>
        </w:rPr>
        <w:t>In</w:t>
      </w:r>
      <w:r w:rsidRPr="00DB7955">
        <w:rPr>
          <w:rFonts w:ascii="Calibri" w:hAnsi="Calibri" w:cs="Arial"/>
          <w:iCs/>
          <w:sz w:val="22"/>
          <w:szCs w:val="22"/>
        </w:rPr>
        <w:t>: Impacts and adaptation response of infrastructure and communities to heatwaves: the southern Australian experience of 2009</w:t>
      </w:r>
      <w:r w:rsidRPr="00DB7955">
        <w:rPr>
          <w:rFonts w:ascii="Calibri" w:hAnsi="Calibri" w:cs="Arial"/>
          <w:sz w:val="22"/>
          <w:szCs w:val="22"/>
        </w:rPr>
        <w:t xml:space="preserve">. </w:t>
      </w:r>
      <w:r w:rsidRPr="00DB7955">
        <w:rPr>
          <w:rFonts w:ascii="Calibri" w:hAnsi="Calibri" w:cs="Arial"/>
          <w:i/>
          <w:sz w:val="22"/>
          <w:szCs w:val="22"/>
        </w:rPr>
        <w:t>Report for the National Climate Change Adaptation Research Facility (NCCARF) synthesis a</w:t>
      </w:r>
      <w:r w:rsidR="00AA04EA" w:rsidRPr="00DB7955">
        <w:rPr>
          <w:rFonts w:ascii="Calibri" w:hAnsi="Calibri" w:cs="Arial"/>
          <w:i/>
          <w:sz w:val="22"/>
          <w:szCs w:val="22"/>
        </w:rPr>
        <w:t xml:space="preserve">nd integrative research project, </w:t>
      </w:r>
      <w:r w:rsidR="00AA04EA" w:rsidRPr="00DB7955">
        <w:rPr>
          <w:rFonts w:ascii="Calibri" w:hAnsi="Calibri" w:cs="Arial"/>
          <w:sz w:val="22"/>
          <w:szCs w:val="22"/>
        </w:rPr>
        <w:t xml:space="preserve">Gold Coast. </w:t>
      </w:r>
      <w:hyperlink r:id="rId17" w:history="1">
        <w:r w:rsidR="00AA04EA" w:rsidRPr="00DB7955">
          <w:rPr>
            <w:rStyle w:val="Hyperlink"/>
            <w:rFonts w:ascii="Calibri" w:hAnsi="Calibri" w:cs="Arial"/>
            <w:sz w:val="22"/>
            <w:szCs w:val="22"/>
          </w:rPr>
          <w:t>http://www.nccarf.edu.au/publications/impacts-and-adaptation-responses-infrastructure-and-communities-heatwaves</w:t>
        </w:r>
      </w:hyperlink>
      <w:r w:rsidR="00AA04EA" w:rsidRPr="00DB7955">
        <w:rPr>
          <w:rFonts w:ascii="Calibri" w:hAnsi="Calibri" w:cs="Arial"/>
          <w:sz w:val="22"/>
          <w:szCs w:val="22"/>
        </w:rPr>
        <w:t xml:space="preserve">. </w:t>
      </w:r>
    </w:p>
    <w:p w14:paraId="264144BA" w14:textId="77777777" w:rsidR="00AB7CA0" w:rsidRPr="00DB7955" w:rsidRDefault="00AB7CA0" w:rsidP="00890372">
      <w:pPr>
        <w:spacing w:after="120"/>
        <w:ind w:left="426" w:hanging="426"/>
        <w:outlineLvl w:val="0"/>
        <w:rPr>
          <w:rFonts w:ascii="Calibri" w:hAnsi="Calibri" w:cs="Calibri"/>
          <w:sz w:val="22"/>
          <w:szCs w:val="22"/>
        </w:rPr>
      </w:pPr>
      <w:r w:rsidRPr="00DB7955">
        <w:rPr>
          <w:rFonts w:ascii="Calibri" w:hAnsi="Calibri"/>
          <w:sz w:val="22"/>
          <w:szCs w:val="22"/>
        </w:rPr>
        <w:t xml:space="preserve">King, D., Bird, D., Haynes, K., Boon, H., Cottrell, A., Millar, J., Okada, T., Box, P., Keogh, D. and Thomas, M. </w:t>
      </w:r>
      <w:r w:rsidRPr="00DB7955">
        <w:rPr>
          <w:rFonts w:ascii="Calibri" w:hAnsi="Calibri" w:cs="Calibri"/>
          <w:sz w:val="22"/>
          <w:szCs w:val="22"/>
        </w:rPr>
        <w:t xml:space="preserve">2014. </w:t>
      </w:r>
      <w:r w:rsidR="00AA04EA" w:rsidRPr="00DB7955">
        <w:rPr>
          <w:rFonts w:ascii="Calibri" w:hAnsi="Calibri" w:cs="Helvetica"/>
          <w:sz w:val="22"/>
          <w:szCs w:val="22"/>
          <w:lang w:val="en-US"/>
        </w:rPr>
        <w:t xml:space="preserve">Voluntary relocation as an adaptation strategy to extreme weather events. </w:t>
      </w:r>
      <w:r w:rsidR="00AA04EA" w:rsidRPr="00DB7955">
        <w:rPr>
          <w:rFonts w:ascii="Calibri" w:hAnsi="Calibri" w:cs="Helvetica"/>
          <w:i/>
          <w:sz w:val="22"/>
          <w:szCs w:val="22"/>
          <w:lang w:val="en-US"/>
        </w:rPr>
        <w:t>International Journal of Disaster Risk Reduction</w:t>
      </w:r>
      <w:r w:rsidR="00AA04EA" w:rsidRPr="00DB7955">
        <w:rPr>
          <w:rFonts w:ascii="Calibri" w:hAnsi="Calibri" w:cs="Helvetica"/>
          <w:sz w:val="22"/>
          <w:szCs w:val="22"/>
          <w:lang w:val="en-US"/>
        </w:rPr>
        <w:t xml:space="preserve"> 8, 83-90. </w:t>
      </w:r>
    </w:p>
    <w:p w14:paraId="30F6640B" w14:textId="77777777" w:rsidR="00AB7CA0" w:rsidRPr="00DB7955" w:rsidRDefault="00AB7CA0" w:rsidP="00890372">
      <w:pPr>
        <w:spacing w:after="120"/>
        <w:ind w:left="426" w:hanging="426"/>
        <w:outlineLvl w:val="0"/>
        <w:rPr>
          <w:rFonts w:ascii="Calibri" w:hAnsi="Calibri" w:cs="Calibri"/>
          <w:sz w:val="22"/>
          <w:szCs w:val="22"/>
        </w:rPr>
      </w:pPr>
      <w:r w:rsidRPr="00DB7955">
        <w:rPr>
          <w:rFonts w:ascii="Calibri" w:hAnsi="Calibri" w:cs="Calibri"/>
          <w:sz w:val="22"/>
          <w:szCs w:val="22"/>
        </w:rPr>
        <w:t xml:space="preserve">Okada, T., Haynes, K., Bird, D., van den Honert, R., and King, D. 2014. </w:t>
      </w:r>
      <w:r w:rsidR="00F603FB" w:rsidRPr="00DB7955">
        <w:rPr>
          <w:rFonts w:ascii="Calibri" w:hAnsi="Calibri" w:cs="Helvetica"/>
          <w:sz w:val="22"/>
          <w:szCs w:val="22"/>
          <w:lang w:val="en-US"/>
        </w:rPr>
        <w:t xml:space="preserve">Recovery and resettlement following the 2011 flash flooding in the Lockyer Valley. </w:t>
      </w:r>
      <w:r w:rsidR="00F603FB" w:rsidRPr="00DB7955">
        <w:rPr>
          <w:rFonts w:ascii="Calibri" w:hAnsi="Calibri" w:cs="Helvetica"/>
          <w:i/>
          <w:sz w:val="22"/>
          <w:szCs w:val="22"/>
          <w:lang w:val="en-US"/>
        </w:rPr>
        <w:t>International Journal of Disaster Risk Reduction</w:t>
      </w:r>
      <w:r w:rsidR="00F603FB" w:rsidRPr="00DB7955">
        <w:rPr>
          <w:rFonts w:ascii="Calibri" w:hAnsi="Calibri" w:cs="Helvetica"/>
          <w:sz w:val="22"/>
          <w:szCs w:val="22"/>
          <w:lang w:val="en-US"/>
        </w:rPr>
        <w:t xml:space="preserve"> 8, 20-31.</w:t>
      </w:r>
    </w:p>
    <w:p w14:paraId="7768D6FB" w14:textId="77777777" w:rsidR="00FA3182" w:rsidRPr="00DB7955" w:rsidRDefault="00FA3182" w:rsidP="00890372">
      <w:pPr>
        <w:spacing w:after="120"/>
        <w:ind w:left="426" w:hanging="426"/>
        <w:rPr>
          <w:rFonts w:ascii="Calibri" w:hAnsi="Calibri" w:cs="Arial"/>
          <w:i/>
          <w:sz w:val="22"/>
          <w:szCs w:val="22"/>
        </w:rPr>
      </w:pPr>
      <w:r w:rsidRPr="00DB7955">
        <w:rPr>
          <w:rFonts w:ascii="Calibri" w:hAnsi="Calibri" w:cs="Helvetica"/>
          <w:sz w:val="22"/>
          <w:szCs w:val="22"/>
          <w:lang w:val="en-US"/>
        </w:rPr>
        <w:t xml:space="preserve">Phillips, E., Bird, D., O’Brien, J., van den Honert, R., Coates, L., Okada, T., Haynes, K., Roche, K., 2013. An integrated research assessment of the physical and social aspects of the March 2011 flash flooding in Shellharbour, Kiama and Bega Valley, NSW. Report </w:t>
      </w:r>
      <w:r w:rsidR="008E6B7A" w:rsidRPr="00DB7955">
        <w:rPr>
          <w:rFonts w:ascii="Calibri" w:hAnsi="Calibri" w:cs="Helvetica"/>
          <w:sz w:val="22"/>
          <w:szCs w:val="22"/>
          <w:lang w:val="en-US"/>
        </w:rPr>
        <w:t xml:space="preserve">prepared </w:t>
      </w:r>
      <w:r w:rsidRPr="00DB7955">
        <w:rPr>
          <w:rFonts w:ascii="Calibri" w:hAnsi="Calibri" w:cs="Helvetica"/>
          <w:sz w:val="22"/>
          <w:szCs w:val="22"/>
          <w:lang w:val="en-US"/>
        </w:rPr>
        <w:t>for the New South Wales State Emergency Service (NSW SES), Sydney</w:t>
      </w:r>
      <w:r w:rsidR="008E6B7A" w:rsidRPr="00DB7955">
        <w:rPr>
          <w:rFonts w:ascii="Calibri" w:hAnsi="Calibri" w:cs="Helvetica"/>
          <w:sz w:val="22"/>
          <w:szCs w:val="22"/>
          <w:lang w:val="en-US"/>
        </w:rPr>
        <w:t>, Risk Frontiers</w:t>
      </w:r>
      <w:r w:rsidRPr="00DB7955">
        <w:rPr>
          <w:rFonts w:ascii="Calibri" w:hAnsi="Calibri" w:cs="Helvetica"/>
          <w:sz w:val="22"/>
          <w:szCs w:val="22"/>
          <w:lang w:val="en-US"/>
        </w:rPr>
        <w:t>.</w:t>
      </w:r>
    </w:p>
    <w:p w14:paraId="0C0C44FC" w14:textId="77777777" w:rsidR="009E4CD0" w:rsidRPr="00DB7955" w:rsidRDefault="004400CD" w:rsidP="00890372">
      <w:pPr>
        <w:spacing w:after="120"/>
        <w:ind w:left="426" w:hanging="426"/>
        <w:rPr>
          <w:rFonts w:ascii="Calibri" w:hAnsi="Calibri" w:cs="Arial"/>
          <w:sz w:val="22"/>
          <w:szCs w:val="22"/>
        </w:rPr>
      </w:pPr>
      <w:r w:rsidRPr="00DB7955">
        <w:rPr>
          <w:rFonts w:ascii="Calibri" w:hAnsi="Calibri" w:cs="Arial"/>
          <w:sz w:val="22"/>
          <w:szCs w:val="22"/>
        </w:rPr>
        <w:t xml:space="preserve">Phillips, E., Haynes, K., Bird, D. and van den Honert, R. 2012. Review of relevant literature surrounding hazard and risk communication to the public. </w:t>
      </w:r>
      <w:r w:rsidRPr="00DB7955">
        <w:rPr>
          <w:rFonts w:ascii="Calibri" w:hAnsi="Calibri" w:cs="Arial"/>
          <w:i/>
          <w:sz w:val="22"/>
          <w:szCs w:val="22"/>
        </w:rPr>
        <w:t>Report for the Risk Assessment, Measurement and Mitigation Sub-Committee (RAMMS) of the National Emergency Management Committee (NEMC)</w:t>
      </w:r>
      <w:r w:rsidRPr="00DB7955">
        <w:rPr>
          <w:rFonts w:ascii="Calibri" w:hAnsi="Calibri" w:cs="Arial"/>
          <w:sz w:val="22"/>
          <w:szCs w:val="22"/>
        </w:rPr>
        <w:t>.</w:t>
      </w:r>
    </w:p>
    <w:p w14:paraId="4DBF3D4E" w14:textId="77777777" w:rsidR="00890372" w:rsidRDefault="00890372" w:rsidP="00890372">
      <w:pPr>
        <w:spacing w:after="120"/>
        <w:ind w:left="426" w:hanging="426"/>
        <w:rPr>
          <w:rFonts w:ascii="Calibri" w:hAnsi="Calibri" w:cs="Arial"/>
        </w:rPr>
      </w:pPr>
    </w:p>
    <w:p w14:paraId="3C9FB74C" w14:textId="77777777" w:rsidR="008F0967" w:rsidRDefault="008F0967" w:rsidP="00890372">
      <w:pPr>
        <w:spacing w:after="120" w:line="276" w:lineRule="auto"/>
        <w:rPr>
          <w:rFonts w:ascii="Calibri" w:eastAsia="Times New Roman" w:hAnsi="Calibri" w:cs="Calibri"/>
          <w:b/>
          <w:i/>
        </w:rPr>
      </w:pPr>
    </w:p>
    <w:p w14:paraId="5647AFE8" w14:textId="77777777" w:rsidR="000E4202" w:rsidRDefault="000E4202">
      <w:pPr>
        <w:rPr>
          <w:rFonts w:asciiTheme="majorHAnsi" w:eastAsiaTheme="majorEastAsia" w:hAnsiTheme="majorHAnsi" w:cstheme="majorBidi"/>
          <w:b/>
          <w:bCs/>
          <w:color w:val="345A8A" w:themeColor="accent1" w:themeShade="B5"/>
          <w:sz w:val="32"/>
          <w:szCs w:val="32"/>
        </w:rPr>
      </w:pPr>
      <w:r>
        <w:br w:type="page"/>
      </w:r>
    </w:p>
    <w:p w14:paraId="17343432" w14:textId="77777777" w:rsidR="008F0967" w:rsidRDefault="00DB7955" w:rsidP="00DB7955">
      <w:pPr>
        <w:pStyle w:val="Heading1"/>
      </w:pPr>
      <w:r>
        <w:lastRenderedPageBreak/>
        <w:t>Part B: Current Risk Frontiers’ Projects concerning decision making around mitigation and resilience</w:t>
      </w:r>
      <w:r w:rsidR="00146BEA">
        <w:t xml:space="preserve"> (Dr Rob van den Honert)</w:t>
      </w:r>
    </w:p>
    <w:p w14:paraId="48C31EA2" w14:textId="77777777" w:rsidR="008F0967" w:rsidRDefault="008F0967" w:rsidP="00890372">
      <w:pPr>
        <w:spacing w:after="120" w:line="276" w:lineRule="auto"/>
        <w:rPr>
          <w:rFonts w:ascii="Calibri" w:eastAsia="Times New Roman" w:hAnsi="Calibri" w:cs="Calibri"/>
          <w:b/>
          <w:i/>
        </w:rPr>
      </w:pPr>
    </w:p>
    <w:p w14:paraId="007AF6BC" w14:textId="77777777" w:rsidR="008F0967" w:rsidRDefault="008F0967" w:rsidP="00890372">
      <w:pPr>
        <w:spacing w:after="120" w:line="276" w:lineRule="auto"/>
        <w:rPr>
          <w:rFonts w:ascii="Calibri" w:eastAsia="Times New Roman" w:hAnsi="Calibri" w:cs="Calibri"/>
          <w:b/>
          <w:i/>
        </w:rPr>
      </w:pPr>
    </w:p>
    <w:p w14:paraId="08584186" w14:textId="77777777" w:rsidR="00890372" w:rsidRPr="00890372" w:rsidRDefault="00890372" w:rsidP="00890372">
      <w:pPr>
        <w:spacing w:after="120" w:line="276" w:lineRule="auto"/>
        <w:rPr>
          <w:rFonts w:ascii="Calibri" w:eastAsia="Times New Roman" w:hAnsi="Calibri" w:cs="Calibri"/>
          <w:b/>
          <w:i/>
        </w:rPr>
      </w:pPr>
      <w:r w:rsidRPr="00DB7955">
        <w:rPr>
          <w:rFonts w:ascii="Calibri" w:eastAsia="Times New Roman" w:hAnsi="Calibri" w:cs="Calibri"/>
          <w:b/>
        </w:rPr>
        <w:t>(</w:t>
      </w:r>
      <w:r w:rsidR="000E4202">
        <w:rPr>
          <w:rFonts w:ascii="Calibri" w:eastAsia="Times New Roman" w:hAnsi="Calibri" w:cs="Calibri"/>
          <w:b/>
        </w:rPr>
        <w:t xml:space="preserve">Question from </w:t>
      </w:r>
      <w:r w:rsidRPr="00DB7955">
        <w:rPr>
          <w:rFonts w:ascii="Calibri" w:eastAsia="Times New Roman" w:hAnsi="Calibri" w:cs="Calibri"/>
          <w:b/>
        </w:rPr>
        <w:t>Page 27</w:t>
      </w:r>
      <w:r w:rsidR="008F0967" w:rsidRPr="00DB7955">
        <w:rPr>
          <w:rFonts w:ascii="Calibri" w:eastAsia="Times New Roman" w:hAnsi="Calibri" w:cs="Calibri"/>
          <w:b/>
        </w:rPr>
        <w:t xml:space="preserve"> of th</w:t>
      </w:r>
      <w:r w:rsidR="00DB7955">
        <w:rPr>
          <w:rFonts w:ascii="Calibri" w:eastAsia="Times New Roman" w:hAnsi="Calibri" w:cs="Calibri"/>
          <w:b/>
        </w:rPr>
        <w:t xml:space="preserve">e </w:t>
      </w:r>
      <w:r w:rsidR="00DB7955" w:rsidRPr="00DB7955">
        <w:rPr>
          <w:rFonts w:ascii="Calibri" w:eastAsia="Times New Roman" w:hAnsi="Calibri" w:cs="Calibri"/>
          <w:b/>
        </w:rPr>
        <w:t xml:space="preserve">PC </w:t>
      </w:r>
      <w:r w:rsidR="008F0967" w:rsidRPr="00DB7955">
        <w:rPr>
          <w:rFonts w:ascii="Calibri" w:eastAsia="Times New Roman" w:hAnsi="Calibri" w:cs="Calibri"/>
          <w:b/>
        </w:rPr>
        <w:t>Issues Document</w:t>
      </w:r>
      <w:r w:rsidRPr="00DB7955">
        <w:rPr>
          <w:rFonts w:ascii="Calibri" w:eastAsia="Times New Roman" w:hAnsi="Calibri" w:cs="Calibri"/>
          <w:b/>
        </w:rPr>
        <w:t>)</w:t>
      </w:r>
      <w:r w:rsidRPr="00890372">
        <w:rPr>
          <w:rFonts w:ascii="Calibri" w:eastAsia="Times New Roman" w:hAnsi="Calibri" w:cs="Calibri"/>
          <w:b/>
          <w:i/>
        </w:rPr>
        <w:t xml:space="preserve"> What mechanisms and models are governments using to evaluate and prioritise natural disaster mitigation options? What approaches could be used to prioritise mitigation options? </w:t>
      </w:r>
    </w:p>
    <w:p w14:paraId="3CD66023" w14:textId="77777777" w:rsidR="00890372" w:rsidRPr="00890372" w:rsidRDefault="00890372" w:rsidP="005702DD">
      <w:pPr>
        <w:spacing w:after="120" w:line="360" w:lineRule="auto"/>
        <w:rPr>
          <w:rFonts w:ascii="Calibri" w:eastAsia="Times New Roman" w:hAnsi="Calibri" w:cs="Calibri"/>
        </w:rPr>
      </w:pPr>
      <w:r w:rsidRPr="00890372">
        <w:rPr>
          <w:rFonts w:ascii="Calibri" w:eastAsia="Times New Roman" w:hAnsi="Calibri" w:cs="Calibri"/>
        </w:rPr>
        <w:t xml:space="preserve">Natural disaster mitigation aims to reduce the threat to people and assets from natural perils. Selecting the most appropriate mitigation options needs to trade off </w:t>
      </w:r>
      <w:r w:rsidRPr="00890372">
        <w:rPr>
          <w:rFonts w:ascii="Calibri" w:eastAsia="Times New Roman" w:hAnsi="Calibri" w:cs="Calibri"/>
          <w:b/>
          <w:i/>
        </w:rPr>
        <w:t xml:space="preserve">benefits </w:t>
      </w:r>
      <w:r w:rsidRPr="00890372">
        <w:rPr>
          <w:rFonts w:ascii="Calibri" w:eastAsia="Times New Roman" w:hAnsi="Calibri" w:cs="Calibri"/>
        </w:rPr>
        <w:t xml:space="preserve">offered by alternative investments (e.g. fatalities and injuries avoided, potential property and infrastructure losses prevented, reduction in anxiety and safety concerns of citizens, etc.) against the </w:t>
      </w:r>
      <w:r w:rsidRPr="00890372">
        <w:rPr>
          <w:rFonts w:ascii="Calibri" w:eastAsia="Times New Roman" w:hAnsi="Calibri" w:cs="Calibri"/>
          <w:b/>
          <w:i/>
        </w:rPr>
        <w:t>costs</w:t>
      </w:r>
      <w:r w:rsidRPr="00890372">
        <w:rPr>
          <w:rFonts w:ascii="Calibri" w:eastAsia="Times New Roman" w:hAnsi="Calibri" w:cs="Calibri"/>
        </w:rPr>
        <w:t xml:space="preserve"> of investment. Such costs include capital and on-going operational costs, as well as intangible costs</w:t>
      </w:r>
      <w:r w:rsidR="00DB7955">
        <w:rPr>
          <w:rFonts w:ascii="Calibri" w:eastAsia="Times New Roman" w:hAnsi="Calibri" w:cs="Calibri"/>
        </w:rPr>
        <w:t>,</w:t>
      </w:r>
      <w:r w:rsidRPr="00890372">
        <w:rPr>
          <w:rFonts w:ascii="Calibri" w:eastAsia="Times New Roman" w:hAnsi="Calibri" w:cs="Calibri"/>
        </w:rPr>
        <w:t xml:space="preserve"> such as the impact of the project on the visual landscape or the loss of community cohesion in the event of re</w:t>
      </w:r>
      <w:r w:rsidR="00DB7955">
        <w:rPr>
          <w:rFonts w:ascii="Calibri" w:eastAsia="Times New Roman" w:hAnsi="Calibri" w:cs="Calibri"/>
        </w:rPr>
        <w:t>location of part of a community</w:t>
      </w:r>
      <w:r w:rsidRPr="00890372">
        <w:rPr>
          <w:rFonts w:ascii="Calibri" w:eastAsia="Times New Roman" w:hAnsi="Calibri" w:cs="Calibri"/>
        </w:rPr>
        <w:t>. Furthermore dollar costs of any potential project will need to be defined within some prescribed budget and time frame.</w:t>
      </w:r>
    </w:p>
    <w:p w14:paraId="0732F560" w14:textId="77777777" w:rsidR="00890372" w:rsidRPr="00890372" w:rsidRDefault="00890372" w:rsidP="005702DD">
      <w:pPr>
        <w:spacing w:after="120" w:line="360" w:lineRule="auto"/>
        <w:rPr>
          <w:rFonts w:ascii="Calibri" w:eastAsia="Times New Roman" w:hAnsi="Calibri" w:cs="Calibri"/>
        </w:rPr>
      </w:pPr>
      <w:r w:rsidRPr="00890372">
        <w:rPr>
          <w:rFonts w:ascii="Calibri" w:eastAsia="Times New Roman" w:hAnsi="Calibri" w:cs="Calibri"/>
        </w:rPr>
        <w:t xml:space="preserve">RAMMS (Risk Assessment, Mitigation and Measurement Sub-committee of ANZEMC) has embarked on a series of NEMP-funded projects to better evaluate mitigation decisions:  </w:t>
      </w:r>
    </w:p>
    <w:p w14:paraId="48FC06CB" w14:textId="77777777" w:rsidR="00890372" w:rsidRPr="00890372" w:rsidRDefault="00890372" w:rsidP="005702DD">
      <w:pPr>
        <w:pStyle w:val="ListParagraph"/>
        <w:numPr>
          <w:ilvl w:val="0"/>
          <w:numId w:val="2"/>
        </w:numPr>
        <w:spacing w:after="120" w:line="360" w:lineRule="auto"/>
        <w:ind w:left="284" w:hanging="284"/>
        <w:rPr>
          <w:rFonts w:ascii="Calibri" w:eastAsia="Times New Roman" w:hAnsi="Calibri" w:cs="Calibri"/>
          <w:i/>
          <w:lang w:val="en-US"/>
        </w:rPr>
      </w:pPr>
      <w:r w:rsidRPr="00890372">
        <w:rPr>
          <w:rFonts w:ascii="Calibri" w:eastAsia="Times New Roman" w:hAnsi="Calibri" w:cs="Calibri"/>
        </w:rPr>
        <w:t xml:space="preserve">The project </w:t>
      </w:r>
      <w:r w:rsidRPr="00890372">
        <w:rPr>
          <w:rFonts w:ascii="Calibri" w:eastAsiaTheme="minorHAnsi" w:hAnsi="Calibri" w:cs="Calibri"/>
          <w:i/>
        </w:rPr>
        <w:t xml:space="preserve">A Framework for Natural Disaster Mitigation Decision-Making: </w:t>
      </w:r>
      <w:r w:rsidRPr="00890372">
        <w:rPr>
          <w:rFonts w:ascii="Calibri" w:eastAsia="Times New Roman" w:hAnsi="Calibri" w:cs="Calibri"/>
          <w:i/>
        </w:rPr>
        <w:t>A transparent framework for mitigation resource allocation decisions</w:t>
      </w:r>
      <w:r w:rsidRPr="00890372">
        <w:rPr>
          <w:rFonts w:ascii="Calibri" w:eastAsia="Times New Roman" w:hAnsi="Calibri" w:cs="Calibri"/>
        </w:rPr>
        <w:t xml:space="preserve"> is</w:t>
      </w:r>
      <w:r w:rsidRPr="00890372">
        <w:rPr>
          <w:rFonts w:ascii="Calibri" w:eastAsia="Times New Roman" w:hAnsi="Calibri" w:cs="Calibri"/>
          <w:i/>
          <w:lang w:val="en-US"/>
        </w:rPr>
        <w:t xml:space="preserve"> </w:t>
      </w:r>
      <w:r w:rsidRPr="00890372">
        <w:rPr>
          <w:rFonts w:ascii="Calibri" w:eastAsia="Times New Roman" w:hAnsi="Calibri" w:cs="Calibri"/>
          <w:lang w:val="en-US"/>
        </w:rPr>
        <w:t xml:space="preserve">researching and developing a transparent framework within which mitigation resource allocation decision making can proceed. This framework will include approaches and suitable metrics to compare the effectiveness (in terms of costs, benefits and other non-monetary factors, and including uncertainty about future states of nature and confidence </w:t>
      </w:r>
      <w:r w:rsidR="00DC7BAE">
        <w:rPr>
          <w:rFonts w:ascii="Calibri" w:eastAsia="Times New Roman" w:hAnsi="Calibri" w:cs="Calibri"/>
          <w:lang w:val="en-US"/>
        </w:rPr>
        <w:t xml:space="preserve">in </w:t>
      </w:r>
      <w:r w:rsidRPr="00890372">
        <w:rPr>
          <w:rFonts w:ascii="Calibri" w:eastAsia="Times New Roman" w:hAnsi="Calibri" w:cs="Calibri"/>
          <w:lang w:val="en-US"/>
        </w:rPr>
        <w:t>input information) of each element of a set of potential natural disaster mitigation options. The project will also investigate how a limited budget might be allocated amongst competing options.</w:t>
      </w:r>
      <w:r w:rsidRPr="00890372">
        <w:rPr>
          <w:rFonts w:ascii="Calibri" w:eastAsia="Times New Roman" w:hAnsi="Calibri" w:cs="Calibri"/>
          <w:i/>
          <w:lang w:val="en-US"/>
        </w:rPr>
        <w:t xml:space="preserve">  </w:t>
      </w:r>
    </w:p>
    <w:p w14:paraId="079D65F4" w14:textId="77777777" w:rsidR="00890372" w:rsidRPr="00890372" w:rsidRDefault="00890372" w:rsidP="005702DD">
      <w:pPr>
        <w:pStyle w:val="ListParagraph"/>
        <w:numPr>
          <w:ilvl w:val="0"/>
          <w:numId w:val="2"/>
        </w:numPr>
        <w:spacing w:before="120" w:after="120" w:line="360" w:lineRule="auto"/>
        <w:ind w:left="284" w:hanging="284"/>
        <w:rPr>
          <w:rFonts w:ascii="Calibri" w:eastAsia="Calibri" w:hAnsi="Calibri" w:cs="Calibri"/>
        </w:rPr>
      </w:pPr>
      <w:r w:rsidRPr="00890372">
        <w:rPr>
          <w:rFonts w:ascii="Calibri" w:eastAsia="Calibri" w:hAnsi="Calibri" w:cs="Calibri"/>
        </w:rPr>
        <w:t xml:space="preserve">The project </w:t>
      </w:r>
      <w:r w:rsidRPr="00890372">
        <w:rPr>
          <w:rFonts w:ascii="Calibri" w:hAnsi="Calibri" w:cs="Calibri"/>
          <w:bCs/>
          <w:i/>
        </w:rPr>
        <w:t>A multi-criteria decision analysis framework for measuring community resilience to disasters</w:t>
      </w:r>
      <w:r w:rsidRPr="00890372">
        <w:rPr>
          <w:rFonts w:ascii="Calibri" w:hAnsi="Calibri" w:cs="Calibri"/>
          <w:bCs/>
        </w:rPr>
        <w:t xml:space="preserve"> </w:t>
      </w:r>
      <w:r w:rsidRPr="00890372">
        <w:rPr>
          <w:rFonts w:ascii="Calibri" w:eastAsia="Calibri" w:hAnsi="Calibri" w:cs="Calibri"/>
        </w:rPr>
        <w:t xml:space="preserve">will develop a model based on multi-criteria decision </w:t>
      </w:r>
      <w:r w:rsidRPr="00890372">
        <w:rPr>
          <w:rFonts w:ascii="Calibri" w:eastAsia="Calibri" w:hAnsi="Calibri" w:cs="Calibri"/>
        </w:rPr>
        <w:lastRenderedPageBreak/>
        <w:t xml:space="preserve">analysis (MCDA) models for measuring community resilience – the capacity to recover </w:t>
      </w:r>
      <w:r w:rsidR="005702DD">
        <w:rPr>
          <w:rFonts w:ascii="Calibri" w:eastAsia="Calibri" w:hAnsi="Calibri" w:cs="Calibri"/>
        </w:rPr>
        <w:t>following</w:t>
      </w:r>
      <w:r w:rsidRPr="00890372">
        <w:rPr>
          <w:rFonts w:ascii="Calibri" w:eastAsia="Calibri" w:hAnsi="Calibri" w:cs="Calibri"/>
        </w:rPr>
        <w:t xml:space="preserve"> a disaster - and will i</w:t>
      </w:r>
      <w:r w:rsidR="00EF4267">
        <w:rPr>
          <w:rFonts w:ascii="Calibri" w:eastAsia="Calibri" w:hAnsi="Calibri" w:cs="Calibri"/>
        </w:rPr>
        <w:t>n</w:t>
      </w:r>
      <w:r w:rsidRPr="00890372">
        <w:rPr>
          <w:rFonts w:ascii="Calibri" w:eastAsia="Calibri" w:hAnsi="Calibri" w:cs="Calibri"/>
        </w:rPr>
        <w:t xml:space="preserve"> a sense be a measure of the success of any mitigation projects undertaken.</w:t>
      </w:r>
    </w:p>
    <w:p w14:paraId="3C5CEAB4" w14:textId="77777777" w:rsidR="00890372" w:rsidRPr="00890372" w:rsidRDefault="00890372" w:rsidP="005702DD">
      <w:pPr>
        <w:spacing w:before="120" w:after="120" w:line="360" w:lineRule="auto"/>
        <w:rPr>
          <w:rFonts w:ascii="Calibri" w:eastAsia="Calibri" w:hAnsi="Calibri" w:cs="Calibri"/>
        </w:rPr>
      </w:pPr>
      <w:r w:rsidRPr="00890372">
        <w:rPr>
          <w:rFonts w:ascii="Calibri" w:eastAsia="Calibri" w:hAnsi="Calibri" w:cs="Calibri"/>
        </w:rPr>
        <w:t>These projects will be completed by the end of the first quarter in 2015.</w:t>
      </w:r>
    </w:p>
    <w:p w14:paraId="53A4C38C" w14:textId="77777777" w:rsidR="00DC7BAE" w:rsidRDefault="00DC7BAE" w:rsidP="005702DD">
      <w:pPr>
        <w:spacing w:after="120" w:line="360" w:lineRule="auto"/>
        <w:rPr>
          <w:rFonts w:ascii="Calibri" w:eastAsia="Times New Roman" w:hAnsi="Calibri" w:cs="Calibri"/>
          <w:b/>
        </w:rPr>
      </w:pPr>
    </w:p>
    <w:p w14:paraId="72EEA8A0" w14:textId="77777777" w:rsidR="00890372" w:rsidRPr="00890372" w:rsidRDefault="008F0967" w:rsidP="005702DD">
      <w:pPr>
        <w:spacing w:after="120" w:line="360" w:lineRule="auto"/>
        <w:rPr>
          <w:rFonts w:ascii="Calibri" w:eastAsia="Times New Roman" w:hAnsi="Calibri" w:cs="Calibri"/>
          <w:b/>
          <w:i/>
        </w:rPr>
      </w:pPr>
      <w:r w:rsidRPr="00DC7BAE">
        <w:rPr>
          <w:rFonts w:ascii="Calibri" w:eastAsia="Times New Roman" w:hAnsi="Calibri" w:cs="Calibri"/>
          <w:b/>
        </w:rPr>
        <w:t>(</w:t>
      </w:r>
      <w:r w:rsidR="000E4202">
        <w:rPr>
          <w:rFonts w:ascii="Calibri" w:eastAsia="Times New Roman" w:hAnsi="Calibri" w:cs="Calibri"/>
          <w:b/>
        </w:rPr>
        <w:t xml:space="preserve">Question from </w:t>
      </w:r>
      <w:r w:rsidRPr="00DC7BAE">
        <w:rPr>
          <w:rFonts w:ascii="Calibri" w:eastAsia="Times New Roman" w:hAnsi="Calibri" w:cs="Calibri"/>
          <w:b/>
        </w:rPr>
        <w:t xml:space="preserve">Page 21 of the </w:t>
      </w:r>
      <w:r w:rsidR="00DC7BAE">
        <w:rPr>
          <w:rFonts w:ascii="Calibri" w:eastAsia="Times New Roman" w:hAnsi="Calibri" w:cs="Calibri"/>
          <w:b/>
        </w:rPr>
        <w:t xml:space="preserve">PC </w:t>
      </w:r>
      <w:r w:rsidRPr="00DC7BAE">
        <w:rPr>
          <w:rFonts w:ascii="Calibri" w:eastAsia="Times New Roman" w:hAnsi="Calibri" w:cs="Calibri"/>
          <w:b/>
        </w:rPr>
        <w:t>Issues Paper)</w:t>
      </w:r>
      <w:r>
        <w:rPr>
          <w:rFonts w:ascii="Calibri" w:eastAsia="Times New Roman" w:hAnsi="Calibri" w:cs="Calibri"/>
          <w:b/>
          <w:i/>
        </w:rPr>
        <w:t xml:space="preserve"> </w:t>
      </w:r>
      <w:r w:rsidR="00890372" w:rsidRPr="00890372">
        <w:rPr>
          <w:rFonts w:ascii="Calibri" w:eastAsia="Times New Roman" w:hAnsi="Calibri" w:cs="Calibri"/>
          <w:b/>
          <w:i/>
        </w:rPr>
        <w:t>Is there evidence that natural disaster funding arrangements induce ‘moral hazard’ behaviour by governments, households and businesses?</w:t>
      </w:r>
    </w:p>
    <w:p w14:paraId="48C7E900" w14:textId="77777777" w:rsidR="00890372" w:rsidRPr="00890372" w:rsidRDefault="00890372" w:rsidP="005702DD">
      <w:pPr>
        <w:spacing w:after="120" w:line="360" w:lineRule="auto"/>
        <w:rPr>
          <w:rFonts w:ascii="Calibri" w:eastAsia="Times New Roman" w:hAnsi="Calibri" w:cs="Calibri"/>
        </w:rPr>
      </w:pPr>
      <w:r>
        <w:rPr>
          <w:rFonts w:ascii="Calibri" w:eastAsia="Times New Roman" w:hAnsi="Calibri" w:cs="Calibri"/>
        </w:rPr>
        <w:t xml:space="preserve">This point is framed and discussed as a mathematical “game” in </w:t>
      </w:r>
      <w:r w:rsidR="000E4202">
        <w:rPr>
          <w:rFonts w:ascii="Calibri" w:eastAsia="Times New Roman" w:hAnsi="Calibri" w:cs="Calibri"/>
        </w:rPr>
        <w:t>Appendix 1</w:t>
      </w:r>
      <w:r>
        <w:rPr>
          <w:rFonts w:ascii="Calibri" w:eastAsia="Times New Roman" w:hAnsi="Calibri" w:cs="Calibri"/>
        </w:rPr>
        <w:t>.</w:t>
      </w:r>
    </w:p>
    <w:p w14:paraId="38428DFA" w14:textId="77777777" w:rsidR="00890372" w:rsidRDefault="00890372" w:rsidP="00890372">
      <w:pPr>
        <w:spacing w:after="120" w:line="276" w:lineRule="auto"/>
        <w:ind w:left="426" w:hanging="426"/>
        <w:rPr>
          <w:rFonts w:ascii="Calibri" w:hAnsi="Calibri" w:cs="Calibri"/>
        </w:rPr>
      </w:pPr>
    </w:p>
    <w:p w14:paraId="6C4D75A7" w14:textId="77777777" w:rsidR="00B26AA2" w:rsidRDefault="00B26AA2">
      <w:pPr>
        <w:rPr>
          <w:rFonts w:asciiTheme="majorHAnsi" w:eastAsiaTheme="majorEastAsia" w:hAnsiTheme="majorHAnsi" w:cstheme="majorBidi"/>
          <w:b/>
          <w:bCs/>
          <w:color w:val="345A8A" w:themeColor="accent1" w:themeShade="B5"/>
          <w:sz w:val="32"/>
          <w:szCs w:val="32"/>
        </w:rPr>
      </w:pPr>
      <w:r>
        <w:br w:type="page"/>
      </w:r>
    </w:p>
    <w:p w14:paraId="72A76C98" w14:textId="77777777" w:rsidR="00986E1A" w:rsidRDefault="00DC7BAE" w:rsidP="00DC7BAE">
      <w:pPr>
        <w:pStyle w:val="Heading1"/>
      </w:pPr>
      <w:r>
        <w:lastRenderedPageBreak/>
        <w:t xml:space="preserve">Part C: </w:t>
      </w:r>
      <w:r w:rsidR="00986E1A" w:rsidRPr="005D0AB6">
        <w:t xml:space="preserve">Insurance, mitigation and </w:t>
      </w:r>
      <w:r>
        <w:t xml:space="preserve">access to </w:t>
      </w:r>
      <w:r w:rsidR="00986E1A" w:rsidRPr="005D0AB6">
        <w:t>information</w:t>
      </w:r>
      <w:r w:rsidR="00146BEA">
        <w:t xml:space="preserve"> (Dr Kevin Roche and Prof John McAneney)</w:t>
      </w:r>
    </w:p>
    <w:p w14:paraId="1BFDF6D6" w14:textId="77777777" w:rsidR="00DC7BAE" w:rsidRPr="00DC7BAE" w:rsidRDefault="00DC7BAE" w:rsidP="00DC7BAE"/>
    <w:p w14:paraId="78F32DB4" w14:textId="77777777" w:rsidR="00986E1A" w:rsidRPr="00524FF9" w:rsidRDefault="00986E1A" w:rsidP="005702DD">
      <w:pPr>
        <w:spacing w:line="360" w:lineRule="auto"/>
        <w:rPr>
          <w:rFonts w:asciiTheme="majorHAnsi" w:hAnsiTheme="majorHAnsi"/>
        </w:rPr>
      </w:pPr>
      <w:r w:rsidRPr="00524FF9">
        <w:rPr>
          <w:rFonts w:asciiTheme="majorHAnsi" w:hAnsiTheme="majorHAnsi"/>
        </w:rPr>
        <w:t>In much of the developed world, private sector insurance plays an important but often under-appreciated role in the societal risk management of natural disasters. Insurance works by spreading individual and independent risks over a portfolio of policy-holders. This notion works well for uncorrelated risks like theft and motor accidents, but is problematic where risks are high</w:t>
      </w:r>
      <w:r w:rsidR="00DC7BAE">
        <w:rPr>
          <w:rFonts w:asciiTheme="majorHAnsi" w:hAnsiTheme="majorHAnsi"/>
        </w:rPr>
        <w:t>ly correlated in space and time</w:t>
      </w:r>
      <w:r w:rsidRPr="00524FF9">
        <w:rPr>
          <w:rFonts w:asciiTheme="majorHAnsi" w:hAnsiTheme="majorHAnsi"/>
        </w:rPr>
        <w:t xml:space="preserve"> as </w:t>
      </w:r>
      <w:r w:rsidR="00DC7BAE">
        <w:rPr>
          <w:rFonts w:asciiTheme="majorHAnsi" w:hAnsiTheme="majorHAnsi"/>
        </w:rPr>
        <w:t>is</w:t>
      </w:r>
      <w:r w:rsidRPr="00524FF9">
        <w:rPr>
          <w:rFonts w:asciiTheme="majorHAnsi" w:hAnsiTheme="majorHAnsi"/>
        </w:rPr>
        <w:t xml:space="preserve"> the case of severe flooding and other natural hazards.</w:t>
      </w:r>
      <w:r w:rsidR="00146BEA">
        <w:rPr>
          <w:rFonts w:asciiTheme="majorHAnsi" w:hAnsiTheme="majorHAnsi"/>
        </w:rPr>
        <w:t xml:space="preserve"> For this reason much of Australia’s natural hazard risk is transferred off-shore to reinsurance markets who diversify this risk globally.</w:t>
      </w:r>
    </w:p>
    <w:p w14:paraId="242D5AE9" w14:textId="77777777" w:rsidR="00986E1A" w:rsidRDefault="00986E1A" w:rsidP="005702DD">
      <w:pPr>
        <w:spacing w:line="360" w:lineRule="auto"/>
        <w:rPr>
          <w:rFonts w:asciiTheme="majorHAnsi" w:hAnsiTheme="majorHAnsi"/>
        </w:rPr>
      </w:pPr>
    </w:p>
    <w:p w14:paraId="7B0574AF" w14:textId="77777777" w:rsidR="00DC7BAE" w:rsidRDefault="00986E1A" w:rsidP="005702DD">
      <w:pPr>
        <w:spacing w:line="360" w:lineRule="auto"/>
        <w:rPr>
          <w:rFonts w:asciiTheme="majorHAnsi" w:hAnsiTheme="majorHAnsi"/>
        </w:rPr>
      </w:pPr>
      <w:r w:rsidRPr="00524FF9">
        <w:rPr>
          <w:rFonts w:asciiTheme="majorHAnsi" w:hAnsiTheme="majorHAnsi"/>
        </w:rPr>
        <w:t>Australia, as in most other countries, has a legacy of poor land planning decisions by individuals and governments that has resulted in concentrations of exposure in hazard-prone places</w:t>
      </w:r>
      <w:r w:rsidR="00DC7BAE">
        <w:rPr>
          <w:rFonts w:asciiTheme="majorHAnsi" w:hAnsiTheme="majorHAnsi"/>
        </w:rPr>
        <w:t>.  Often</w:t>
      </w:r>
      <w:r w:rsidRPr="00524FF9">
        <w:rPr>
          <w:rFonts w:asciiTheme="majorHAnsi" w:hAnsiTheme="majorHAnsi"/>
        </w:rPr>
        <w:t xml:space="preserve"> </w:t>
      </w:r>
      <w:r w:rsidR="00DC7BAE">
        <w:rPr>
          <w:rFonts w:asciiTheme="majorHAnsi" w:hAnsiTheme="majorHAnsi"/>
        </w:rPr>
        <w:t>these areas</w:t>
      </w:r>
      <w:r w:rsidRPr="00524FF9">
        <w:rPr>
          <w:rFonts w:asciiTheme="majorHAnsi" w:hAnsiTheme="majorHAnsi"/>
        </w:rPr>
        <w:t xml:space="preserve"> </w:t>
      </w:r>
      <w:r w:rsidR="005702DD">
        <w:rPr>
          <w:rFonts w:asciiTheme="majorHAnsi" w:hAnsiTheme="majorHAnsi"/>
        </w:rPr>
        <w:t>have</w:t>
      </w:r>
      <w:r w:rsidRPr="00524FF9">
        <w:rPr>
          <w:rFonts w:asciiTheme="majorHAnsi" w:hAnsiTheme="majorHAnsi"/>
        </w:rPr>
        <w:t xml:space="preserve"> </w:t>
      </w:r>
      <w:r w:rsidR="00146BEA">
        <w:rPr>
          <w:rFonts w:asciiTheme="majorHAnsi" w:hAnsiTheme="majorHAnsi"/>
        </w:rPr>
        <w:t>attractive</w:t>
      </w:r>
      <w:r w:rsidRPr="00524FF9">
        <w:rPr>
          <w:rFonts w:asciiTheme="majorHAnsi" w:hAnsiTheme="majorHAnsi"/>
        </w:rPr>
        <w:t xml:space="preserve"> </w:t>
      </w:r>
      <w:r w:rsidR="005702DD">
        <w:rPr>
          <w:rFonts w:asciiTheme="majorHAnsi" w:hAnsiTheme="majorHAnsi"/>
        </w:rPr>
        <w:t xml:space="preserve">attributes </w:t>
      </w:r>
      <w:r w:rsidR="00DC7BAE">
        <w:rPr>
          <w:rFonts w:asciiTheme="majorHAnsi" w:hAnsiTheme="majorHAnsi"/>
        </w:rPr>
        <w:t xml:space="preserve">such as access to water or bushlands and </w:t>
      </w:r>
      <w:r w:rsidRPr="00524FF9">
        <w:rPr>
          <w:rFonts w:asciiTheme="majorHAnsi" w:hAnsiTheme="majorHAnsi"/>
        </w:rPr>
        <w:t xml:space="preserve">yet </w:t>
      </w:r>
      <w:r w:rsidR="00146BEA">
        <w:rPr>
          <w:rFonts w:asciiTheme="majorHAnsi" w:hAnsiTheme="majorHAnsi"/>
        </w:rPr>
        <w:t xml:space="preserve">by virtue of these same attributes </w:t>
      </w:r>
      <w:r w:rsidRPr="00524FF9">
        <w:rPr>
          <w:rFonts w:asciiTheme="majorHAnsi" w:hAnsiTheme="majorHAnsi"/>
        </w:rPr>
        <w:t>are exposed to one or more perils. Florida is an extreme example where enormous post-World War II population growth</w:t>
      </w:r>
      <w:r w:rsidR="00DC7BAE">
        <w:rPr>
          <w:rFonts w:asciiTheme="majorHAnsi" w:hAnsiTheme="majorHAnsi"/>
        </w:rPr>
        <w:t xml:space="preserve"> and</w:t>
      </w:r>
      <w:r w:rsidRPr="00524FF9">
        <w:rPr>
          <w:rFonts w:asciiTheme="majorHAnsi" w:hAnsiTheme="majorHAnsi"/>
        </w:rPr>
        <w:t xml:space="preserve"> </w:t>
      </w:r>
      <w:r w:rsidR="00DC7BAE">
        <w:rPr>
          <w:rFonts w:asciiTheme="majorHAnsi" w:hAnsiTheme="majorHAnsi"/>
        </w:rPr>
        <w:t>rapid wealth accumulation</w:t>
      </w:r>
      <w:r w:rsidRPr="00524FF9">
        <w:rPr>
          <w:rFonts w:asciiTheme="majorHAnsi" w:hAnsiTheme="majorHAnsi"/>
        </w:rPr>
        <w:t xml:space="preserve"> occurred during a period of below-average hurricane activity</w:t>
      </w:r>
      <w:r w:rsidR="00DC7BAE">
        <w:rPr>
          <w:rFonts w:asciiTheme="majorHAnsi" w:hAnsiTheme="majorHAnsi"/>
        </w:rPr>
        <w:t>.</w:t>
      </w:r>
      <w:r w:rsidRPr="00524FF9">
        <w:rPr>
          <w:rFonts w:asciiTheme="majorHAnsi" w:hAnsiTheme="majorHAnsi"/>
        </w:rPr>
        <w:t xml:space="preserve"> </w:t>
      </w:r>
      <w:r w:rsidR="00DC7BAE">
        <w:rPr>
          <w:rFonts w:asciiTheme="majorHAnsi" w:hAnsiTheme="majorHAnsi"/>
        </w:rPr>
        <w:t>I</w:t>
      </w:r>
      <w:r w:rsidRPr="00524FF9">
        <w:rPr>
          <w:rFonts w:asciiTheme="majorHAnsi" w:hAnsiTheme="majorHAnsi"/>
        </w:rPr>
        <w:t xml:space="preserve">nsurers, with government and consumers </w:t>
      </w:r>
      <w:r w:rsidR="00DC7BAE">
        <w:rPr>
          <w:rFonts w:asciiTheme="majorHAnsi" w:hAnsiTheme="majorHAnsi"/>
        </w:rPr>
        <w:t xml:space="preserve">were </w:t>
      </w:r>
      <w:r w:rsidRPr="00524FF9">
        <w:rPr>
          <w:rFonts w:asciiTheme="majorHAnsi" w:hAnsiTheme="majorHAnsi"/>
        </w:rPr>
        <w:t xml:space="preserve">lulled into a false sense of security </w:t>
      </w:r>
      <w:r w:rsidR="00DC7BAE">
        <w:rPr>
          <w:rFonts w:asciiTheme="majorHAnsi" w:hAnsiTheme="majorHAnsi"/>
        </w:rPr>
        <w:t xml:space="preserve">until Hurricane Andrew made landfall in 1992 and some 11 insurers went bankrupt </w:t>
      </w:r>
      <w:r w:rsidRPr="00524FF9">
        <w:rPr>
          <w:rFonts w:asciiTheme="majorHAnsi" w:hAnsiTheme="majorHAnsi"/>
        </w:rPr>
        <w:fldChar w:fldCharType="begin"/>
      </w:r>
      <w:r w:rsidRPr="00524FF9">
        <w:rPr>
          <w:rFonts w:asciiTheme="majorHAnsi" w:hAnsiTheme="majorHAnsi"/>
        </w:rPr>
        <w:instrText xml:space="preserve"> ADDIN EN.CITE &lt;EndNote&gt;&lt;Cite&gt;&lt;Author&gt;Musulin&lt;/Author&gt;&lt;Year&gt;2009&lt;/Year&gt;&lt;RecNum&gt;109&lt;/RecNum&gt;&lt;record&gt;&lt;rec-number&gt;109&lt;/rec-number&gt;&lt;foreign-keys&gt;&lt;key app="EN" db-id="5dp25dwxcaf0r7epe0dxztvuv9zwsd5s2dws"&gt;109&lt;/key&gt;&lt;/foreign-keys&gt;&lt;ref-type name="Conference Proceedings"&gt;10&lt;/ref-type&gt;&lt;contributors&gt;&lt;authors&gt;&lt;author&gt;Musulin, R. T.&lt;/author&gt;&lt;author&gt;Lin, R.&lt;/author&gt;&lt;author&gt;Frank, S. &lt;/author&gt;&lt;/authors&gt;&lt;secondary-authors&gt;&lt;author&gt;Britton, N&lt;/author&gt;&lt;/secondary-authors&gt;&lt;/contributors&gt;&lt;titles&gt;&lt;title&gt;Dealing with the axis of financial destruction, demographics, development and disasters&lt;/title&gt;&lt;secondary-title&gt;Beyond PML: Frequency vs. Severity &lt;/secondary-title&gt;&lt;/titles&gt;&lt;pages&gt;77- 95&lt;/pages&gt;&lt;dates&gt;&lt;year&gt;2009&lt;/year&gt;&lt;/dates&gt;&lt;pub-location&gt;Gold Coast, Australia&lt;/pub-location&gt;&lt;publisher&gt;Aon Benfield Australia.&lt;/publisher&gt;&lt;urls&gt;&lt;/urls&gt;&lt;/record&gt;&lt;/Cite&gt;&lt;/EndNote&gt;</w:instrText>
      </w:r>
      <w:r w:rsidRPr="00524FF9">
        <w:rPr>
          <w:rFonts w:asciiTheme="majorHAnsi" w:hAnsiTheme="majorHAnsi"/>
        </w:rPr>
        <w:fldChar w:fldCharType="separate"/>
      </w:r>
      <w:r w:rsidRPr="00524FF9">
        <w:rPr>
          <w:rFonts w:asciiTheme="majorHAnsi" w:hAnsiTheme="majorHAnsi"/>
        </w:rPr>
        <w:t>(Musulin, Lin and Frank 2009)</w:t>
      </w:r>
      <w:r w:rsidRPr="00524FF9">
        <w:rPr>
          <w:rFonts w:asciiTheme="majorHAnsi" w:hAnsiTheme="majorHAnsi"/>
        </w:rPr>
        <w:fldChar w:fldCharType="end"/>
      </w:r>
      <w:r w:rsidRPr="00524FF9">
        <w:rPr>
          <w:rFonts w:asciiTheme="majorHAnsi" w:hAnsiTheme="majorHAnsi"/>
        </w:rPr>
        <w:t xml:space="preserve">. </w:t>
      </w:r>
    </w:p>
    <w:p w14:paraId="1B5A47D3" w14:textId="77777777" w:rsidR="00DC7BAE" w:rsidRDefault="00DC7BAE" w:rsidP="005702DD">
      <w:pPr>
        <w:spacing w:line="360" w:lineRule="auto"/>
        <w:rPr>
          <w:rFonts w:asciiTheme="majorHAnsi" w:hAnsiTheme="majorHAnsi"/>
        </w:rPr>
      </w:pPr>
    </w:p>
    <w:p w14:paraId="71823301" w14:textId="77777777" w:rsidR="00986E1A" w:rsidRDefault="00DC7BAE" w:rsidP="005702DD">
      <w:pPr>
        <w:spacing w:line="360" w:lineRule="auto"/>
        <w:rPr>
          <w:rFonts w:asciiTheme="majorHAnsi" w:hAnsiTheme="majorHAnsi"/>
        </w:rPr>
      </w:pPr>
      <w:r>
        <w:rPr>
          <w:rFonts w:asciiTheme="majorHAnsi" w:hAnsiTheme="majorHAnsi"/>
        </w:rPr>
        <w:t>The situation i</w:t>
      </w:r>
      <w:r w:rsidR="00146BEA">
        <w:rPr>
          <w:rFonts w:asciiTheme="majorHAnsi" w:hAnsiTheme="majorHAnsi"/>
        </w:rPr>
        <w:t>n Florida is very</w:t>
      </w:r>
      <w:r>
        <w:rPr>
          <w:rFonts w:asciiTheme="majorHAnsi" w:hAnsiTheme="majorHAnsi"/>
        </w:rPr>
        <w:t xml:space="preserve"> similar to the </w:t>
      </w:r>
      <w:r w:rsidR="00986E1A" w:rsidRPr="00524FF9">
        <w:rPr>
          <w:rFonts w:asciiTheme="majorHAnsi" w:hAnsiTheme="majorHAnsi"/>
        </w:rPr>
        <w:t xml:space="preserve">development </w:t>
      </w:r>
      <w:r>
        <w:rPr>
          <w:rFonts w:asciiTheme="majorHAnsi" w:hAnsiTheme="majorHAnsi"/>
        </w:rPr>
        <w:t>that has occurred</w:t>
      </w:r>
      <w:r w:rsidR="00986E1A" w:rsidRPr="00524FF9">
        <w:rPr>
          <w:rFonts w:asciiTheme="majorHAnsi" w:hAnsiTheme="majorHAnsi"/>
        </w:rPr>
        <w:t xml:space="preserve"> in many coastal </w:t>
      </w:r>
      <w:r w:rsidR="00146BEA">
        <w:rPr>
          <w:rFonts w:asciiTheme="majorHAnsi" w:hAnsiTheme="majorHAnsi"/>
        </w:rPr>
        <w:t xml:space="preserve">and </w:t>
      </w:r>
      <w:r>
        <w:rPr>
          <w:rFonts w:asciiTheme="majorHAnsi" w:hAnsiTheme="majorHAnsi"/>
        </w:rPr>
        <w:t xml:space="preserve">flood prone </w:t>
      </w:r>
      <w:r w:rsidR="00986E1A" w:rsidRPr="00524FF9">
        <w:rPr>
          <w:rFonts w:asciiTheme="majorHAnsi" w:hAnsiTheme="majorHAnsi"/>
        </w:rPr>
        <w:t>areas of Australia</w:t>
      </w:r>
      <w:r>
        <w:rPr>
          <w:rFonts w:asciiTheme="majorHAnsi" w:hAnsiTheme="majorHAnsi"/>
        </w:rPr>
        <w:t>,</w:t>
      </w:r>
      <w:r w:rsidR="00986E1A" w:rsidRPr="00524FF9">
        <w:rPr>
          <w:rFonts w:asciiTheme="majorHAnsi" w:hAnsiTheme="majorHAnsi"/>
        </w:rPr>
        <w:t xml:space="preserve"> such as in northern NSW and South-eastern Queensland</w:t>
      </w:r>
      <w:r>
        <w:rPr>
          <w:rFonts w:asciiTheme="majorHAnsi" w:hAnsiTheme="majorHAnsi"/>
        </w:rPr>
        <w:t xml:space="preserve"> (Figure 1)</w:t>
      </w:r>
      <w:r w:rsidR="00986E1A" w:rsidRPr="00524FF9">
        <w:rPr>
          <w:rFonts w:asciiTheme="majorHAnsi" w:hAnsiTheme="majorHAnsi"/>
        </w:rPr>
        <w:t>.</w:t>
      </w:r>
      <w:r w:rsidR="00146BEA">
        <w:rPr>
          <w:rFonts w:asciiTheme="majorHAnsi" w:hAnsiTheme="majorHAnsi"/>
        </w:rPr>
        <w:t xml:space="preserve"> A repeat of the 1954 flooding caused by a decaying unnamed tropical cyclone has been estimated to cause some $3.</w:t>
      </w:r>
      <w:r w:rsidR="00416A21">
        <w:rPr>
          <w:rFonts w:asciiTheme="majorHAnsi" w:hAnsiTheme="majorHAnsi"/>
        </w:rPr>
        <w:t>8</w:t>
      </w:r>
      <w:r w:rsidR="00146BEA">
        <w:rPr>
          <w:rFonts w:asciiTheme="majorHAnsi" w:hAnsiTheme="majorHAnsi"/>
        </w:rPr>
        <w:t xml:space="preserve"> billion dollars in insurance losses and some two to three times that in economic costs (</w:t>
      </w:r>
      <w:r w:rsidR="00416A21">
        <w:rPr>
          <w:rFonts w:asciiTheme="majorHAnsi" w:hAnsiTheme="majorHAnsi"/>
        </w:rPr>
        <w:t>Roche et al. 2011).</w:t>
      </w:r>
    </w:p>
    <w:p w14:paraId="2AEBA6E6" w14:textId="77777777" w:rsidR="00146BEA" w:rsidRPr="00524FF9" w:rsidRDefault="00146BEA" w:rsidP="005702DD">
      <w:pPr>
        <w:spacing w:line="360" w:lineRule="auto"/>
        <w:rPr>
          <w:rFonts w:asciiTheme="majorHAnsi" w:hAnsiTheme="majorHAnsi"/>
        </w:rPr>
      </w:pPr>
    </w:p>
    <w:p w14:paraId="2D6E9102" w14:textId="77777777" w:rsidR="00986E1A" w:rsidRPr="00524FF9" w:rsidRDefault="00986E1A" w:rsidP="00986E1A">
      <w:pPr>
        <w:rPr>
          <w:rFonts w:asciiTheme="majorHAnsi" w:hAnsiTheme="majorHAnsi"/>
        </w:rPr>
      </w:pPr>
      <w:r w:rsidRPr="00524FF9">
        <w:rPr>
          <w:rFonts w:asciiTheme="majorHAnsi" w:hAnsiTheme="majorHAnsi"/>
          <w:noProof/>
          <w:lang w:eastAsia="en-AU"/>
        </w:rPr>
        <w:lastRenderedPageBreak/>
        <w:drawing>
          <wp:inline distT="0" distB="0" distL="0" distR="0" wp14:anchorId="0A9769D9" wp14:editId="6DC44F85">
            <wp:extent cx="5270500" cy="3234055"/>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6-04 at 11.01.46 am.png"/>
                    <pic:cNvPicPr/>
                  </pic:nvPicPr>
                  <pic:blipFill>
                    <a:blip r:embed="rId18">
                      <a:extLst>
                        <a:ext uri="{28A0092B-C50C-407E-A947-70E740481C1C}">
                          <a14:useLocalDpi xmlns:a14="http://schemas.microsoft.com/office/drawing/2010/main" val="0"/>
                        </a:ext>
                      </a:extLst>
                    </a:blip>
                    <a:stretch>
                      <a:fillRect/>
                    </a:stretch>
                  </pic:blipFill>
                  <pic:spPr>
                    <a:xfrm>
                      <a:off x="0" y="0"/>
                      <a:ext cx="5270500" cy="3234055"/>
                    </a:xfrm>
                    <a:prstGeom prst="rect">
                      <a:avLst/>
                    </a:prstGeom>
                  </pic:spPr>
                </pic:pic>
              </a:graphicData>
            </a:graphic>
          </wp:inline>
        </w:drawing>
      </w:r>
    </w:p>
    <w:p w14:paraId="05BDD033" w14:textId="77777777" w:rsidR="00986E1A" w:rsidRPr="00524FF9" w:rsidRDefault="00986E1A" w:rsidP="00986E1A">
      <w:pPr>
        <w:pStyle w:val="Caption"/>
        <w:rPr>
          <w:rFonts w:asciiTheme="majorHAnsi" w:hAnsiTheme="majorHAnsi"/>
          <w:bCs w:val="0"/>
          <w:sz w:val="24"/>
          <w:szCs w:val="24"/>
        </w:rPr>
      </w:pPr>
      <w:bookmarkStart w:id="1" w:name="_Toc292796644"/>
      <w:r w:rsidRPr="005702DD">
        <w:rPr>
          <w:rFonts w:asciiTheme="majorHAnsi" w:hAnsiTheme="majorHAnsi"/>
          <w:b/>
          <w:bCs w:val="0"/>
          <w:sz w:val="24"/>
          <w:szCs w:val="24"/>
        </w:rPr>
        <w:t xml:space="preserve">Figure </w:t>
      </w:r>
      <w:r w:rsidRPr="005702DD">
        <w:rPr>
          <w:rFonts w:asciiTheme="majorHAnsi" w:hAnsiTheme="majorHAnsi"/>
          <w:b/>
          <w:bCs w:val="0"/>
          <w:sz w:val="24"/>
          <w:szCs w:val="24"/>
        </w:rPr>
        <w:fldChar w:fldCharType="begin"/>
      </w:r>
      <w:r w:rsidRPr="005702DD">
        <w:rPr>
          <w:rFonts w:asciiTheme="majorHAnsi" w:hAnsiTheme="majorHAnsi"/>
          <w:b/>
          <w:bCs w:val="0"/>
          <w:sz w:val="24"/>
          <w:szCs w:val="24"/>
        </w:rPr>
        <w:instrText xml:space="preserve"> SEQ Figure \* ARABIC </w:instrText>
      </w:r>
      <w:r w:rsidRPr="005702DD">
        <w:rPr>
          <w:rFonts w:asciiTheme="majorHAnsi" w:hAnsiTheme="majorHAnsi"/>
          <w:b/>
          <w:bCs w:val="0"/>
          <w:sz w:val="24"/>
          <w:szCs w:val="24"/>
        </w:rPr>
        <w:fldChar w:fldCharType="separate"/>
      </w:r>
      <w:r w:rsidR="00B26AA2">
        <w:rPr>
          <w:rFonts w:asciiTheme="majorHAnsi" w:hAnsiTheme="majorHAnsi"/>
          <w:b/>
          <w:bCs w:val="0"/>
          <w:noProof/>
          <w:sz w:val="24"/>
          <w:szCs w:val="24"/>
        </w:rPr>
        <w:t>1</w:t>
      </w:r>
      <w:r w:rsidRPr="005702DD">
        <w:rPr>
          <w:rFonts w:asciiTheme="majorHAnsi" w:hAnsiTheme="majorHAnsi"/>
          <w:b/>
          <w:bCs w:val="0"/>
          <w:sz w:val="24"/>
          <w:szCs w:val="24"/>
        </w:rPr>
        <w:fldChar w:fldCharType="end"/>
      </w:r>
      <w:r w:rsidRPr="005702DD">
        <w:rPr>
          <w:rFonts w:asciiTheme="majorHAnsi" w:hAnsiTheme="majorHAnsi"/>
          <w:b/>
          <w:bCs w:val="0"/>
          <w:sz w:val="24"/>
          <w:szCs w:val="24"/>
        </w:rPr>
        <w:t>:</w:t>
      </w:r>
      <w:r w:rsidRPr="00524FF9">
        <w:rPr>
          <w:rFonts w:asciiTheme="majorHAnsi" w:hAnsiTheme="majorHAnsi"/>
          <w:bCs w:val="0"/>
          <w:sz w:val="24"/>
          <w:szCs w:val="24"/>
        </w:rPr>
        <w:t xml:space="preserve"> Australian population growth, 1961 – 2007.  (Non City and City refer to rates of population growth in all Regional and Metropolitan areas in Australia as a comparison.) (Adapted from Australian Bureau of Statistics </w:t>
      </w:r>
      <w:r w:rsidRPr="00524FF9">
        <w:rPr>
          <w:rFonts w:asciiTheme="majorHAnsi" w:hAnsiTheme="majorHAnsi"/>
          <w:bCs w:val="0"/>
          <w:sz w:val="24"/>
          <w:szCs w:val="24"/>
        </w:rPr>
        <w:fldChar w:fldCharType="begin"/>
      </w:r>
      <w:r w:rsidRPr="00524FF9">
        <w:rPr>
          <w:rFonts w:asciiTheme="majorHAnsi" w:hAnsiTheme="majorHAnsi"/>
          <w:bCs w:val="0"/>
          <w:sz w:val="24"/>
          <w:szCs w:val="24"/>
        </w:rPr>
        <w:instrText xml:space="preserve"> ADDIN EN.CITE &lt;EndNote&gt;&lt;Cite&gt;&lt;Author&gt;Australian Bureau of Statistics&lt;/Author&gt;&lt;Year&gt;2009&lt;/Year&gt;&lt;RecNum&gt;100&lt;/RecNum&gt;&lt;record&gt;&lt;rec-number&gt;100&lt;/rec-number&gt;&lt;foreign-keys&gt;&lt;key app="EN" db-id="5dp25dwxcaf0r7epe0dxztvuv9zwsd5s2dws"&gt;100&lt;/key&gt;&lt;/foreign-keys&gt;&lt;ref-type name="Web Page"&gt;12&lt;/ref-type&gt;&lt;contributors&gt;&lt;authors&gt;&lt;author&gt;Australian Bureau of Statistics,&lt;/author&gt;&lt;/authors&gt;&lt;/contributors&gt;&lt;titles&gt;&lt;/titles&gt;&lt;number&gt;May 28 2010&lt;/number&gt;&lt;dates&gt;&lt;year&gt;2009&lt;/year&gt;&lt;/dates&gt;&lt;urls&gt;&lt;related-urls&gt;&lt;url&gt;http://www.abs.gov.au/&lt;/url&gt;&lt;/related-urls&gt;&lt;/urls&gt;&lt;custom2&gt;May 28 2010&lt;/custom2&gt;&lt;/record&gt;&lt;/Cite&gt;&lt;/EndNote&gt;</w:instrText>
      </w:r>
      <w:r w:rsidRPr="00524FF9">
        <w:rPr>
          <w:rFonts w:asciiTheme="majorHAnsi" w:hAnsiTheme="majorHAnsi"/>
          <w:bCs w:val="0"/>
          <w:sz w:val="24"/>
          <w:szCs w:val="24"/>
        </w:rPr>
        <w:fldChar w:fldCharType="separate"/>
      </w:r>
      <w:r w:rsidRPr="00524FF9">
        <w:rPr>
          <w:rFonts w:asciiTheme="majorHAnsi" w:hAnsiTheme="majorHAnsi"/>
          <w:bCs w:val="0"/>
          <w:sz w:val="24"/>
          <w:szCs w:val="24"/>
        </w:rPr>
        <w:t>(Australian Bureau of Statistics 2009)</w:t>
      </w:r>
      <w:r w:rsidRPr="00524FF9">
        <w:rPr>
          <w:rFonts w:asciiTheme="majorHAnsi" w:hAnsiTheme="majorHAnsi"/>
          <w:bCs w:val="0"/>
          <w:sz w:val="24"/>
          <w:szCs w:val="24"/>
        </w:rPr>
        <w:fldChar w:fldCharType="end"/>
      </w:r>
      <w:r w:rsidRPr="00524FF9">
        <w:rPr>
          <w:rFonts w:asciiTheme="majorHAnsi" w:hAnsiTheme="majorHAnsi"/>
          <w:bCs w:val="0"/>
          <w:sz w:val="24"/>
          <w:szCs w:val="24"/>
        </w:rPr>
        <w:t>).</w:t>
      </w:r>
      <w:bookmarkEnd w:id="1"/>
    </w:p>
    <w:p w14:paraId="5DE8D92A" w14:textId="77777777" w:rsidR="00DC7BAE" w:rsidRDefault="00DC7BAE" w:rsidP="005702DD">
      <w:pPr>
        <w:spacing w:line="360" w:lineRule="auto"/>
        <w:rPr>
          <w:rFonts w:asciiTheme="majorHAnsi" w:hAnsiTheme="majorHAnsi"/>
        </w:rPr>
      </w:pPr>
    </w:p>
    <w:p w14:paraId="48E019A4" w14:textId="77777777" w:rsidR="00DC7BAE" w:rsidRDefault="00986E1A" w:rsidP="005702DD">
      <w:pPr>
        <w:spacing w:line="360" w:lineRule="auto"/>
        <w:rPr>
          <w:rFonts w:asciiTheme="majorHAnsi" w:hAnsiTheme="majorHAnsi"/>
        </w:rPr>
      </w:pPr>
      <w:r w:rsidRPr="00524FF9">
        <w:rPr>
          <w:rFonts w:asciiTheme="majorHAnsi" w:hAnsiTheme="majorHAnsi"/>
        </w:rPr>
        <w:t xml:space="preserve">In the long run, it might be expected that better knowledge of natural hazard risks would lead to a reduction of development in high risk areas and ultimately lower insurance and economic losses </w:t>
      </w:r>
      <w:r w:rsidRPr="00524FF9">
        <w:rPr>
          <w:rFonts w:asciiTheme="majorHAnsi" w:hAnsiTheme="majorHAnsi"/>
        </w:rPr>
        <w:fldChar w:fldCharType="begin"/>
      </w:r>
      <w:r w:rsidRPr="00524FF9">
        <w:rPr>
          <w:rFonts w:asciiTheme="majorHAnsi" w:hAnsiTheme="majorHAnsi"/>
        </w:rPr>
        <w:instrText xml:space="preserve"> ADDIN EN.CITE &lt;EndNote&gt;&lt;Cite&gt;&lt;Author&gt;Musulin&lt;/Author&gt;&lt;Year&gt;1997&lt;/Year&gt;&lt;RecNum&gt;29&lt;/RecNum&gt;&lt;record&gt;&lt;rec-number&gt;29&lt;/rec-number&gt;&lt;foreign-keys&gt;&lt;key app="EN" db-id="5dp25dwxcaf0r7epe0dxztvuv9zwsd5s2dws"&gt;29&lt;/key&gt;&lt;/foreign-keys&gt;&lt;ref-type name="Journal Article"&gt;17&lt;/ref-type&gt;&lt;contributors&gt;&lt;authors&gt;&lt;author&gt;Musulin, R. T.&lt;/author&gt;&lt;/authors&gt;&lt;/contributors&gt;&lt;titles&gt;&lt;title&gt;Issues in the regulatory acceptance of computer modeling for property insurance ratemaking&lt;/title&gt;&lt;secondary-title&gt;Journal of Insurance Regulation&lt;/secondary-title&gt;&lt;/titles&gt;&lt;periodical&gt;&lt;full-title&gt;Journal of Insurance Regulation&lt;/full-title&gt;&lt;/periodical&gt;&lt;pages&gt;342-359&lt;/pages&gt;&lt;volume&gt;15&lt;/volume&gt;&lt;dates&gt;&lt;year&gt;1997&lt;/year&gt;&lt;/dates&gt;&lt;urls&gt;&lt;/urls&gt;&lt;/record&gt;&lt;/Cite&gt;&lt;/EndNote&gt;</w:instrText>
      </w:r>
      <w:r w:rsidRPr="00524FF9">
        <w:rPr>
          <w:rFonts w:asciiTheme="majorHAnsi" w:hAnsiTheme="majorHAnsi"/>
        </w:rPr>
        <w:fldChar w:fldCharType="separate"/>
      </w:r>
      <w:r w:rsidRPr="00524FF9">
        <w:rPr>
          <w:rFonts w:asciiTheme="majorHAnsi" w:hAnsiTheme="majorHAnsi"/>
        </w:rPr>
        <w:t>(Musulin 1997)</w:t>
      </w:r>
      <w:r w:rsidRPr="00524FF9">
        <w:rPr>
          <w:rFonts w:asciiTheme="majorHAnsi" w:hAnsiTheme="majorHAnsi"/>
        </w:rPr>
        <w:fldChar w:fldCharType="end"/>
      </w:r>
      <w:r w:rsidRPr="00524FF9">
        <w:rPr>
          <w:rFonts w:asciiTheme="majorHAnsi" w:hAnsiTheme="majorHAnsi"/>
        </w:rPr>
        <w:t xml:space="preserve">; however, to date </w:t>
      </w:r>
      <w:r w:rsidR="00416A21">
        <w:rPr>
          <w:rFonts w:asciiTheme="majorHAnsi" w:hAnsiTheme="majorHAnsi"/>
        </w:rPr>
        <w:t xml:space="preserve">there is no evidence that this is happening </w:t>
      </w:r>
      <w:r w:rsidRPr="00524FF9">
        <w:rPr>
          <w:rFonts w:asciiTheme="majorHAnsi" w:hAnsiTheme="majorHAnsi"/>
        </w:rPr>
        <w:t xml:space="preserve">(e.g. Pielke </w:t>
      </w:r>
      <w:r w:rsidRPr="00524FF9">
        <w:rPr>
          <w:rFonts w:asciiTheme="majorHAnsi" w:hAnsiTheme="majorHAnsi"/>
          <w:i/>
        </w:rPr>
        <w:t>et al</w:t>
      </w:r>
      <w:r w:rsidRPr="00524FF9">
        <w:rPr>
          <w:rFonts w:asciiTheme="majorHAnsi" w:hAnsiTheme="majorHAnsi"/>
        </w:rPr>
        <w:t xml:space="preserve">., </w:t>
      </w:r>
      <w:r w:rsidRPr="00524FF9">
        <w:rPr>
          <w:rFonts w:asciiTheme="majorHAnsi" w:hAnsiTheme="majorHAnsi"/>
        </w:rPr>
        <w:fldChar w:fldCharType="begin"/>
      </w:r>
      <w:r w:rsidRPr="00524FF9">
        <w:rPr>
          <w:rFonts w:asciiTheme="majorHAnsi" w:hAnsiTheme="majorHAnsi"/>
        </w:rPr>
        <w:instrText xml:space="preserve"> ADDIN EN.CITE &lt;EndNote&gt;&lt;Cite ExcludeAuth="1"&gt;&lt;Author&gt;Pielke Jr&lt;/Author&gt;&lt;Year&gt;2008&lt;/Year&gt;&lt;RecNum&gt;28&lt;/RecNum&gt;&lt;record&gt;&lt;rec-number&gt;28&lt;/rec-number&gt;&lt;foreign-keys&gt;&lt;key app="EN" db-id="5dp25dwxcaf0r7epe0dxztvuv9zwsd5s2dws"&gt;28&lt;/key&gt;&lt;/foreign-keys&gt;&lt;ref-type name="Journal Article"&gt;17&lt;/ref-type&gt;&lt;contributors&gt;&lt;authors&gt;&lt;author&gt;Pielke Jr, R. A.&lt;/author&gt;&lt;author&gt;Gratz, J.&lt;/author&gt;&lt;author&gt;Landsea, C. W.&lt;/author&gt;&lt;author&gt;Collins, D.&lt;/author&gt;&lt;author&gt;Saunders, M. A.&lt;/author&gt;&lt;author&gt;Musulin, R.&lt;/author&gt;&lt;/authors&gt;&lt;/contributors&gt;&lt;titles&gt;&lt;title&gt;Normalized hurricane damage in the United States: 1900–2005&lt;/title&gt;&lt;secondary-title&gt;Natural Hazards Review&lt;/secondary-title&gt;&lt;/titles&gt;&lt;periodical&gt;&lt;full-title&gt;Natural Hazards Review&lt;/full-title&gt;&lt;/periodical&gt;&lt;pages&gt;29-42&lt;/pages&gt;&lt;volume&gt;9&lt;/volume&gt;&lt;dates&gt;&lt;year&gt;2008&lt;/year&gt;&lt;/dates&gt;&lt;urls&gt;&lt;/urls&gt;&lt;/record&gt;&lt;/Cite&gt;&lt;/EndNote&gt;</w:instrText>
      </w:r>
      <w:r w:rsidRPr="00524FF9">
        <w:rPr>
          <w:rFonts w:asciiTheme="majorHAnsi" w:hAnsiTheme="majorHAnsi"/>
        </w:rPr>
        <w:fldChar w:fldCharType="separate"/>
      </w:r>
      <w:r w:rsidRPr="00524FF9">
        <w:rPr>
          <w:rFonts w:asciiTheme="majorHAnsi" w:hAnsiTheme="majorHAnsi"/>
        </w:rPr>
        <w:t>(2008)</w:t>
      </w:r>
      <w:r w:rsidRPr="00524FF9">
        <w:rPr>
          <w:rFonts w:asciiTheme="majorHAnsi" w:hAnsiTheme="majorHAnsi"/>
        </w:rPr>
        <w:fldChar w:fldCharType="end"/>
      </w:r>
      <w:r w:rsidRPr="00524FF9">
        <w:rPr>
          <w:rFonts w:asciiTheme="majorHAnsi" w:hAnsiTheme="majorHAnsi"/>
        </w:rPr>
        <w:t xml:space="preserve">; Crompton and McAneney </w:t>
      </w:r>
      <w:r w:rsidRPr="00524FF9">
        <w:rPr>
          <w:rFonts w:asciiTheme="majorHAnsi" w:hAnsiTheme="majorHAnsi"/>
        </w:rPr>
        <w:fldChar w:fldCharType="begin"/>
      </w:r>
      <w:r w:rsidRPr="00524FF9">
        <w:rPr>
          <w:rFonts w:asciiTheme="majorHAnsi" w:hAnsiTheme="majorHAnsi"/>
        </w:rPr>
        <w:instrText xml:space="preserve"> ADDIN EN.CITE &lt;EndNote&gt;&lt;Cite ExcludeAuth="1"&gt;&lt;Author&gt;Crompton&lt;/Author&gt;&lt;Year&gt;2008&lt;/Year&gt;&lt;RecNum&gt;6&lt;/RecNum&gt;&lt;record&gt;&lt;rec-number&gt;6&lt;/rec-number&gt;&lt;foreign-keys&gt;&lt;key app="EN" db-id="5dp25dwxcaf0r7epe0dxztvuv9zwsd5s2dws"&gt;6&lt;/key&gt;&lt;/foreign-keys&gt;&lt;ref-type name="Journal Article"&gt;17&lt;/ref-type&gt;&lt;contributors&gt;&lt;authors&gt;&lt;author&gt;Crompton, R. P.&lt;/author&gt;&lt;author&gt;McAneney, K. J.&lt;/author&gt;&lt;/authors&gt;&lt;/contributors&gt;&lt;titles&gt;&lt;title&gt;Normalised Australian insured losses from meteorological hazards: 1967-2006&lt;/title&gt;&lt;secondary-title&gt;Environmental Science &amp;amp; Policy&lt;/secondary-title&gt;&lt;/titles&gt;&lt;periodical&gt;&lt;full-title&gt;Environmental Science &amp;amp; Policy&lt;/full-title&gt;&lt;/periodical&gt;&lt;pages&gt;371-378&lt;/pages&gt;&lt;volume&gt;11&lt;/volume&gt;&lt;number&gt;5&lt;/number&gt;&lt;dates&gt;&lt;year&gt;2008&lt;/year&gt;&lt;/dates&gt;&lt;isbn&gt;1462-9011&lt;/isbn&gt;&lt;urls&gt;&lt;/urls&gt;&lt;/record&gt;&lt;/Cite&gt;&lt;/EndNote&gt;</w:instrText>
      </w:r>
      <w:r w:rsidRPr="00524FF9">
        <w:rPr>
          <w:rFonts w:asciiTheme="majorHAnsi" w:hAnsiTheme="majorHAnsi"/>
        </w:rPr>
        <w:fldChar w:fldCharType="separate"/>
      </w:r>
      <w:r w:rsidRPr="00524FF9">
        <w:rPr>
          <w:rFonts w:asciiTheme="majorHAnsi" w:hAnsiTheme="majorHAnsi"/>
        </w:rPr>
        <w:t>(2008)</w:t>
      </w:r>
      <w:r w:rsidRPr="00524FF9">
        <w:rPr>
          <w:rFonts w:asciiTheme="majorHAnsi" w:hAnsiTheme="majorHAnsi"/>
        </w:rPr>
        <w:fldChar w:fldCharType="end"/>
      </w:r>
      <w:r w:rsidR="000E4202">
        <w:rPr>
          <w:rFonts w:asciiTheme="majorHAnsi" w:hAnsiTheme="majorHAnsi"/>
        </w:rPr>
        <w:t>; Crompton (2011</w:t>
      </w:r>
      <w:r w:rsidR="00416A21">
        <w:rPr>
          <w:rFonts w:asciiTheme="majorHAnsi" w:hAnsiTheme="majorHAnsi"/>
        </w:rPr>
        <w:t>)</w:t>
      </w:r>
      <w:r w:rsidR="000E4202">
        <w:rPr>
          <w:rFonts w:asciiTheme="majorHAnsi" w:hAnsiTheme="majorHAnsi"/>
        </w:rPr>
        <w:t>)</w:t>
      </w:r>
      <w:r w:rsidR="00416A21">
        <w:rPr>
          <w:rFonts w:asciiTheme="majorHAnsi" w:hAnsiTheme="majorHAnsi"/>
        </w:rPr>
        <w:t>.</w:t>
      </w:r>
    </w:p>
    <w:p w14:paraId="58448C4E" w14:textId="77777777" w:rsidR="00986E1A" w:rsidRPr="00524FF9" w:rsidRDefault="00986E1A" w:rsidP="005702DD">
      <w:pPr>
        <w:spacing w:line="360" w:lineRule="auto"/>
        <w:rPr>
          <w:rFonts w:asciiTheme="majorHAnsi" w:hAnsiTheme="majorHAnsi"/>
        </w:rPr>
      </w:pPr>
    </w:p>
    <w:p w14:paraId="58C78379" w14:textId="77777777" w:rsidR="005702DD" w:rsidRDefault="00DC7BAE" w:rsidP="005702DD">
      <w:pPr>
        <w:spacing w:line="360" w:lineRule="auto"/>
        <w:rPr>
          <w:rFonts w:asciiTheme="majorHAnsi" w:hAnsiTheme="majorHAnsi"/>
        </w:rPr>
      </w:pPr>
      <w:r>
        <w:rPr>
          <w:rFonts w:asciiTheme="majorHAnsi" w:hAnsiTheme="majorHAnsi"/>
        </w:rPr>
        <w:t>Prior to Hurricane Andrew in 1992 and t</w:t>
      </w:r>
      <w:r w:rsidR="00CF562E">
        <w:rPr>
          <w:rFonts w:asciiTheme="majorHAnsi" w:hAnsiTheme="majorHAnsi"/>
        </w:rPr>
        <w:t>he Northridge Earthquake (1994)</w:t>
      </w:r>
      <w:r w:rsidRPr="00524FF9">
        <w:rPr>
          <w:rFonts w:asciiTheme="majorHAnsi" w:hAnsiTheme="majorHAnsi"/>
        </w:rPr>
        <w:t>, insurance premiums were calculated using a variety of “rule of thumb” techniques developed over years of previous experience</w:t>
      </w:r>
      <w:r w:rsidR="00CF562E">
        <w:rPr>
          <w:rFonts w:asciiTheme="majorHAnsi" w:hAnsiTheme="majorHAnsi"/>
        </w:rPr>
        <w:t xml:space="preserve"> </w:t>
      </w:r>
      <w:r w:rsidR="00CF562E" w:rsidRPr="00524FF9">
        <w:rPr>
          <w:rFonts w:asciiTheme="majorHAnsi" w:hAnsiTheme="majorHAnsi"/>
        </w:rPr>
        <w:fldChar w:fldCharType="begin"/>
      </w:r>
      <w:r w:rsidR="00CF562E" w:rsidRPr="00524FF9">
        <w:rPr>
          <w:rFonts w:asciiTheme="majorHAnsi" w:hAnsiTheme="majorHAnsi"/>
        </w:rPr>
        <w:instrText xml:space="preserve"> ADDIN EN.CITE &lt;EndNote&gt;&lt;Cite&gt;&lt;Author&gt;Musulin&lt;/Author&gt;&lt;Year&gt;1997&lt;/Year&gt;&lt;RecNum&gt;29&lt;/RecNum&gt;&lt;record&gt;&lt;rec-number&gt;29&lt;/rec-number&gt;&lt;foreign-keys&gt;&lt;key app="EN" db-id="5dp25dwxcaf0r7epe0dxztvuv9zwsd5s2dws"&gt;29&lt;/key&gt;&lt;/foreign-keys&gt;&lt;ref-type name="Journal Article"&gt;17&lt;/ref-type&gt;&lt;contributors&gt;&lt;authors&gt;&lt;author&gt;Musulin, R. T.&lt;/author&gt;&lt;/authors&gt;&lt;/contributors&gt;&lt;titles&gt;&lt;title&gt;Issues in the regulatory acceptance of computer modeling for property insurance ratemaking&lt;/title&gt;&lt;secondary-title&gt;Journal of Insurance Regulation&lt;/secondary-title&gt;&lt;/titles&gt;&lt;periodical&gt;&lt;full-title&gt;Journal of Insurance Regulation&lt;/full-title&gt;&lt;/periodical&gt;&lt;pages&gt;342-359&lt;/pages&gt;&lt;volume&gt;15&lt;/volume&gt;&lt;dates&gt;&lt;year&gt;1997&lt;/year&gt;&lt;/dates&gt;&lt;urls&gt;&lt;/urls&gt;&lt;/record&gt;&lt;/Cite&gt;&lt;/EndNote&gt;</w:instrText>
      </w:r>
      <w:r w:rsidR="00CF562E" w:rsidRPr="00524FF9">
        <w:rPr>
          <w:rFonts w:asciiTheme="majorHAnsi" w:hAnsiTheme="majorHAnsi"/>
        </w:rPr>
        <w:fldChar w:fldCharType="separate"/>
      </w:r>
      <w:r w:rsidR="00CF562E" w:rsidRPr="00524FF9">
        <w:rPr>
          <w:rFonts w:asciiTheme="majorHAnsi" w:hAnsiTheme="majorHAnsi"/>
        </w:rPr>
        <w:t>(Musulin 1997)</w:t>
      </w:r>
      <w:r w:rsidR="00CF562E" w:rsidRPr="00524FF9">
        <w:rPr>
          <w:rFonts w:asciiTheme="majorHAnsi" w:hAnsiTheme="majorHAnsi"/>
        </w:rPr>
        <w:fldChar w:fldCharType="end"/>
      </w:r>
      <w:r w:rsidRPr="00524FF9">
        <w:rPr>
          <w:rFonts w:asciiTheme="majorHAnsi" w:hAnsiTheme="majorHAnsi"/>
        </w:rPr>
        <w:t>.</w:t>
      </w:r>
      <w:r>
        <w:rPr>
          <w:rFonts w:asciiTheme="majorHAnsi" w:hAnsiTheme="majorHAnsi"/>
        </w:rPr>
        <w:t xml:space="preserve"> </w:t>
      </w:r>
      <w:r w:rsidR="00416A21">
        <w:rPr>
          <w:rFonts w:asciiTheme="majorHAnsi" w:hAnsiTheme="majorHAnsi"/>
        </w:rPr>
        <w:t>Andrew was a wake up call and f</w:t>
      </w:r>
      <w:r>
        <w:rPr>
          <w:rFonts w:asciiTheme="majorHAnsi" w:hAnsiTheme="majorHAnsi"/>
        </w:rPr>
        <w:t>aced with the prospects of ever increasing losses</w:t>
      </w:r>
      <w:r w:rsidR="00CF562E">
        <w:rPr>
          <w:rFonts w:asciiTheme="majorHAnsi" w:hAnsiTheme="majorHAnsi"/>
        </w:rPr>
        <w:t>, insurers</w:t>
      </w:r>
      <w:r>
        <w:rPr>
          <w:rFonts w:asciiTheme="majorHAnsi" w:hAnsiTheme="majorHAnsi"/>
        </w:rPr>
        <w:t xml:space="preserve"> </w:t>
      </w:r>
      <w:r w:rsidR="00416A21">
        <w:rPr>
          <w:rFonts w:asciiTheme="majorHAnsi" w:hAnsiTheme="majorHAnsi"/>
        </w:rPr>
        <w:t xml:space="preserve">then </w:t>
      </w:r>
      <w:r w:rsidR="00986E1A" w:rsidRPr="00524FF9">
        <w:rPr>
          <w:rFonts w:asciiTheme="majorHAnsi" w:hAnsiTheme="majorHAnsi"/>
        </w:rPr>
        <w:t xml:space="preserve">turned to technology to help </w:t>
      </w:r>
      <w:r>
        <w:rPr>
          <w:rFonts w:asciiTheme="majorHAnsi" w:hAnsiTheme="majorHAnsi"/>
        </w:rPr>
        <w:t xml:space="preserve">it </w:t>
      </w:r>
      <w:r w:rsidR="00986E1A" w:rsidRPr="00524FF9">
        <w:rPr>
          <w:rFonts w:asciiTheme="majorHAnsi" w:hAnsiTheme="majorHAnsi"/>
        </w:rPr>
        <w:t xml:space="preserve">estimate its exposure to natural </w:t>
      </w:r>
      <w:r w:rsidR="00CF562E">
        <w:rPr>
          <w:rFonts w:asciiTheme="majorHAnsi" w:hAnsiTheme="majorHAnsi"/>
        </w:rPr>
        <w:t>disasters</w:t>
      </w:r>
      <w:r w:rsidR="00986E1A" w:rsidRPr="00524FF9">
        <w:rPr>
          <w:rFonts w:asciiTheme="majorHAnsi" w:hAnsiTheme="majorHAnsi"/>
        </w:rPr>
        <w:t xml:space="preserve"> and to calculate </w:t>
      </w:r>
      <w:r w:rsidR="00EF4267">
        <w:rPr>
          <w:rFonts w:asciiTheme="majorHAnsi" w:hAnsiTheme="majorHAnsi"/>
        </w:rPr>
        <w:t xml:space="preserve">the </w:t>
      </w:r>
      <w:r w:rsidR="00986E1A" w:rsidRPr="00524FF9">
        <w:rPr>
          <w:rFonts w:asciiTheme="majorHAnsi" w:hAnsiTheme="majorHAnsi"/>
        </w:rPr>
        <w:t xml:space="preserve">appropriate level of premium. </w:t>
      </w:r>
      <w:r w:rsidR="00CF562E">
        <w:rPr>
          <w:rFonts w:asciiTheme="majorHAnsi" w:hAnsiTheme="majorHAnsi"/>
        </w:rPr>
        <w:t xml:space="preserve">Large and now global loss modelling companies such as RMS and AIR spun out of Stanford and MIT. </w:t>
      </w:r>
      <w:r>
        <w:rPr>
          <w:rFonts w:asciiTheme="majorHAnsi" w:hAnsiTheme="majorHAnsi"/>
        </w:rPr>
        <w:t>Risk Frontiers was the Australian expression of th</w:t>
      </w:r>
      <w:r w:rsidR="00CF562E">
        <w:rPr>
          <w:rFonts w:asciiTheme="majorHAnsi" w:hAnsiTheme="majorHAnsi"/>
        </w:rPr>
        <w:t>is</w:t>
      </w:r>
      <w:r>
        <w:rPr>
          <w:rFonts w:asciiTheme="majorHAnsi" w:hAnsiTheme="majorHAnsi"/>
        </w:rPr>
        <w:t xml:space="preserve"> </w:t>
      </w:r>
      <w:r w:rsidR="00416A21">
        <w:rPr>
          <w:rFonts w:asciiTheme="majorHAnsi" w:hAnsiTheme="majorHAnsi"/>
        </w:rPr>
        <w:t>movement</w:t>
      </w:r>
      <w:r>
        <w:rPr>
          <w:rFonts w:asciiTheme="majorHAnsi" w:hAnsiTheme="majorHAnsi"/>
        </w:rPr>
        <w:t xml:space="preserve">. </w:t>
      </w:r>
    </w:p>
    <w:p w14:paraId="790B8B73" w14:textId="77777777" w:rsidR="005702DD" w:rsidRDefault="005702DD" w:rsidP="005702DD">
      <w:pPr>
        <w:spacing w:line="360" w:lineRule="auto"/>
        <w:rPr>
          <w:rFonts w:asciiTheme="majorHAnsi" w:hAnsiTheme="majorHAnsi"/>
        </w:rPr>
      </w:pPr>
    </w:p>
    <w:p w14:paraId="4AF1BA74" w14:textId="77777777" w:rsidR="00986E1A" w:rsidRDefault="00986E1A" w:rsidP="005702DD">
      <w:pPr>
        <w:spacing w:line="360" w:lineRule="auto"/>
        <w:rPr>
          <w:rFonts w:asciiTheme="majorHAnsi" w:hAnsiTheme="majorHAnsi"/>
        </w:rPr>
      </w:pPr>
      <w:r w:rsidRPr="00524FF9">
        <w:rPr>
          <w:rFonts w:asciiTheme="majorHAnsi" w:hAnsiTheme="majorHAnsi"/>
        </w:rPr>
        <w:lastRenderedPageBreak/>
        <w:t xml:space="preserve"> </w:t>
      </w:r>
      <w:r w:rsidR="00CF562E">
        <w:rPr>
          <w:rFonts w:asciiTheme="majorHAnsi" w:hAnsiTheme="majorHAnsi"/>
        </w:rPr>
        <w:t>(</w:t>
      </w:r>
      <w:r w:rsidRPr="00524FF9">
        <w:rPr>
          <w:rFonts w:asciiTheme="majorHAnsi" w:hAnsiTheme="majorHAnsi"/>
        </w:rPr>
        <w:t xml:space="preserve">Risk Frontiers </w:t>
      </w:r>
      <w:r w:rsidR="005702DD">
        <w:rPr>
          <w:rFonts w:asciiTheme="majorHAnsi" w:hAnsiTheme="majorHAnsi"/>
        </w:rPr>
        <w:t xml:space="preserve">is a </w:t>
      </w:r>
      <w:r w:rsidR="00CF562E">
        <w:rPr>
          <w:rFonts w:asciiTheme="majorHAnsi" w:hAnsiTheme="majorHAnsi"/>
        </w:rPr>
        <w:t xml:space="preserve">now </w:t>
      </w:r>
      <w:r w:rsidR="005702DD">
        <w:rPr>
          <w:rFonts w:asciiTheme="majorHAnsi" w:hAnsiTheme="majorHAnsi"/>
        </w:rPr>
        <w:t xml:space="preserve">world leader in this </w:t>
      </w:r>
      <w:r w:rsidR="003406B8">
        <w:rPr>
          <w:rFonts w:asciiTheme="majorHAnsi" w:hAnsiTheme="majorHAnsi"/>
        </w:rPr>
        <w:t xml:space="preserve">loss modelling </w:t>
      </w:r>
      <w:r w:rsidR="005702DD">
        <w:rPr>
          <w:rFonts w:asciiTheme="majorHAnsi" w:hAnsiTheme="majorHAnsi"/>
        </w:rPr>
        <w:t xml:space="preserve">technology and </w:t>
      </w:r>
      <w:r w:rsidR="000E4202">
        <w:rPr>
          <w:rFonts w:asciiTheme="majorHAnsi" w:hAnsiTheme="majorHAnsi"/>
        </w:rPr>
        <w:t xml:space="preserve">such </w:t>
      </w:r>
      <w:r w:rsidR="005D0AB6">
        <w:rPr>
          <w:rFonts w:asciiTheme="majorHAnsi" w:hAnsiTheme="majorHAnsi"/>
        </w:rPr>
        <w:t xml:space="preserve">models </w:t>
      </w:r>
      <w:r w:rsidR="003406B8">
        <w:rPr>
          <w:rFonts w:asciiTheme="majorHAnsi" w:hAnsiTheme="majorHAnsi"/>
        </w:rPr>
        <w:t xml:space="preserve">for all of the major </w:t>
      </w:r>
      <w:r w:rsidR="00416A21">
        <w:rPr>
          <w:rFonts w:asciiTheme="majorHAnsi" w:hAnsiTheme="majorHAnsi"/>
        </w:rPr>
        <w:t xml:space="preserve">Australian </w:t>
      </w:r>
      <w:r w:rsidR="003406B8">
        <w:rPr>
          <w:rFonts w:asciiTheme="majorHAnsi" w:hAnsiTheme="majorHAnsi"/>
        </w:rPr>
        <w:t>threats – earthquake, tropical cyclone, ha</w:t>
      </w:r>
      <w:r w:rsidR="000E4202">
        <w:rPr>
          <w:rFonts w:asciiTheme="majorHAnsi" w:hAnsiTheme="majorHAnsi"/>
        </w:rPr>
        <w:t xml:space="preserve">il, flood and bushfire. It has also developed </w:t>
      </w:r>
      <w:r w:rsidR="003406B8">
        <w:rPr>
          <w:rFonts w:asciiTheme="majorHAnsi" w:hAnsiTheme="majorHAnsi"/>
        </w:rPr>
        <w:t xml:space="preserve">other tools </w:t>
      </w:r>
      <w:r w:rsidR="000E4202">
        <w:rPr>
          <w:rFonts w:asciiTheme="majorHAnsi" w:hAnsiTheme="majorHAnsi"/>
        </w:rPr>
        <w:t xml:space="preserve">including a database of national hazard profiles by street address </w:t>
      </w:r>
      <w:r w:rsidR="005702DD">
        <w:rPr>
          <w:rFonts w:asciiTheme="majorHAnsi" w:hAnsiTheme="majorHAnsi"/>
        </w:rPr>
        <w:t xml:space="preserve">that </w:t>
      </w:r>
      <w:r w:rsidR="000E4202">
        <w:rPr>
          <w:rFonts w:asciiTheme="majorHAnsi" w:hAnsiTheme="majorHAnsi"/>
        </w:rPr>
        <w:t xml:space="preserve">also </w:t>
      </w:r>
      <w:r w:rsidR="005702DD">
        <w:rPr>
          <w:rFonts w:asciiTheme="majorHAnsi" w:hAnsiTheme="majorHAnsi"/>
        </w:rPr>
        <w:t xml:space="preserve">help the insurance market underwrite Australian risks. </w:t>
      </w:r>
      <w:r w:rsidR="00A702C1">
        <w:rPr>
          <w:rFonts w:asciiTheme="majorHAnsi" w:hAnsiTheme="majorHAnsi"/>
        </w:rPr>
        <w:t>T</w:t>
      </w:r>
      <w:r w:rsidR="00EF4267">
        <w:rPr>
          <w:rFonts w:asciiTheme="majorHAnsi" w:hAnsiTheme="majorHAnsi"/>
        </w:rPr>
        <w:t xml:space="preserve">hese tools </w:t>
      </w:r>
      <w:r w:rsidR="00CF562E">
        <w:rPr>
          <w:rFonts w:asciiTheme="majorHAnsi" w:hAnsiTheme="majorHAnsi"/>
        </w:rPr>
        <w:t>could</w:t>
      </w:r>
      <w:r w:rsidR="00EF4267">
        <w:rPr>
          <w:rFonts w:asciiTheme="majorHAnsi" w:hAnsiTheme="majorHAnsi"/>
        </w:rPr>
        <w:t xml:space="preserve"> also be adapted for government</w:t>
      </w:r>
      <w:r w:rsidR="000E4202">
        <w:rPr>
          <w:rFonts w:asciiTheme="majorHAnsi" w:hAnsiTheme="majorHAnsi"/>
        </w:rPr>
        <w:t xml:space="preserve">, </w:t>
      </w:r>
      <w:r w:rsidR="00CF562E">
        <w:rPr>
          <w:rFonts w:asciiTheme="majorHAnsi" w:hAnsiTheme="majorHAnsi"/>
        </w:rPr>
        <w:t xml:space="preserve">emergency management </w:t>
      </w:r>
      <w:r w:rsidR="000E4202">
        <w:rPr>
          <w:rFonts w:asciiTheme="majorHAnsi" w:hAnsiTheme="majorHAnsi"/>
        </w:rPr>
        <w:t xml:space="preserve">and the public in order </w:t>
      </w:r>
      <w:r w:rsidR="00A702C1">
        <w:rPr>
          <w:rFonts w:asciiTheme="majorHAnsi" w:hAnsiTheme="majorHAnsi"/>
        </w:rPr>
        <w:t>to estimate exposure and highlight vulnerable areas.</w:t>
      </w:r>
      <w:r w:rsidR="00CF562E">
        <w:rPr>
          <w:rFonts w:asciiTheme="majorHAnsi" w:hAnsiTheme="majorHAnsi"/>
        </w:rPr>
        <w:t>)</w:t>
      </w:r>
    </w:p>
    <w:p w14:paraId="368AE1C3" w14:textId="77777777" w:rsidR="00986E1A" w:rsidRPr="00524FF9" w:rsidRDefault="00986E1A" w:rsidP="005702DD">
      <w:pPr>
        <w:spacing w:line="360" w:lineRule="auto"/>
        <w:rPr>
          <w:rFonts w:asciiTheme="majorHAnsi" w:hAnsiTheme="majorHAnsi"/>
        </w:rPr>
      </w:pPr>
    </w:p>
    <w:p w14:paraId="0903C5B8" w14:textId="77777777" w:rsidR="003406B8" w:rsidRDefault="000E4202" w:rsidP="005702DD">
      <w:pPr>
        <w:spacing w:line="360" w:lineRule="auto"/>
        <w:rPr>
          <w:rFonts w:asciiTheme="majorHAnsi" w:hAnsiTheme="majorHAnsi"/>
        </w:rPr>
      </w:pPr>
      <w:r>
        <w:rPr>
          <w:rFonts w:asciiTheme="majorHAnsi" w:hAnsiTheme="majorHAnsi"/>
        </w:rPr>
        <w:t>A</w:t>
      </w:r>
      <w:r w:rsidR="00986E1A" w:rsidRPr="00524FF9">
        <w:rPr>
          <w:rFonts w:asciiTheme="majorHAnsi" w:hAnsiTheme="majorHAnsi"/>
        </w:rPr>
        <w:t>dvancements in modelling and its increased use by insurers ha</w:t>
      </w:r>
      <w:r>
        <w:rPr>
          <w:rFonts w:asciiTheme="majorHAnsi" w:hAnsiTheme="majorHAnsi"/>
        </w:rPr>
        <w:t xml:space="preserve">ve </w:t>
      </w:r>
      <w:r w:rsidR="00986E1A" w:rsidRPr="00524FF9">
        <w:rPr>
          <w:rFonts w:asciiTheme="majorHAnsi" w:hAnsiTheme="majorHAnsi"/>
        </w:rPr>
        <w:t xml:space="preserve">meant that properties with greater risk are </w:t>
      </w:r>
      <w:r w:rsidR="00416A21">
        <w:rPr>
          <w:rFonts w:asciiTheme="majorHAnsi" w:hAnsiTheme="majorHAnsi"/>
        </w:rPr>
        <w:t xml:space="preserve">now </w:t>
      </w:r>
      <w:r w:rsidR="00986E1A" w:rsidRPr="00524FF9">
        <w:rPr>
          <w:rFonts w:asciiTheme="majorHAnsi" w:hAnsiTheme="majorHAnsi"/>
        </w:rPr>
        <w:t>attracting higher premium charges</w:t>
      </w:r>
      <w:r w:rsidR="00416A21">
        <w:rPr>
          <w:rFonts w:asciiTheme="majorHAnsi" w:hAnsiTheme="majorHAnsi"/>
        </w:rPr>
        <w:t>. Moreover uncertainty about the true</w:t>
      </w:r>
      <w:r w:rsidR="00986E1A" w:rsidRPr="00524FF9">
        <w:rPr>
          <w:rFonts w:asciiTheme="majorHAnsi" w:hAnsiTheme="majorHAnsi"/>
        </w:rPr>
        <w:t xml:space="preserve"> risks also </w:t>
      </w:r>
      <w:r w:rsidR="00416A21">
        <w:rPr>
          <w:rFonts w:asciiTheme="majorHAnsi" w:hAnsiTheme="majorHAnsi"/>
        </w:rPr>
        <w:t>attracts</w:t>
      </w:r>
      <w:r w:rsidR="00986E1A" w:rsidRPr="00524FF9">
        <w:rPr>
          <w:rFonts w:asciiTheme="majorHAnsi" w:hAnsiTheme="majorHAnsi"/>
        </w:rPr>
        <w:t xml:space="preserve"> a higher price tag</w:t>
      </w:r>
      <w:r w:rsidR="00416A21">
        <w:rPr>
          <w:rFonts w:asciiTheme="majorHAnsi" w:hAnsiTheme="majorHAnsi"/>
        </w:rPr>
        <w:t xml:space="preserve"> -- t</w:t>
      </w:r>
      <w:r w:rsidR="00986E1A" w:rsidRPr="00524FF9">
        <w:rPr>
          <w:rFonts w:asciiTheme="majorHAnsi" w:hAnsiTheme="majorHAnsi"/>
        </w:rPr>
        <w:t xml:space="preserve">he more accurate the information that insurers have, the more likely it is that the consumer will get a fairer price reflecting their own individual exposure. </w:t>
      </w:r>
      <w:r w:rsidR="003406B8">
        <w:rPr>
          <w:rFonts w:asciiTheme="majorHAnsi" w:hAnsiTheme="majorHAnsi"/>
        </w:rPr>
        <w:t xml:space="preserve">In the absence of good data insurers have no choice but to price defensively. This is a point that many local councils </w:t>
      </w:r>
      <w:r w:rsidR="00416A21">
        <w:rPr>
          <w:rFonts w:asciiTheme="majorHAnsi" w:hAnsiTheme="majorHAnsi"/>
        </w:rPr>
        <w:t xml:space="preserve">still </w:t>
      </w:r>
      <w:r w:rsidR="003406B8">
        <w:rPr>
          <w:rFonts w:asciiTheme="majorHAnsi" w:hAnsiTheme="majorHAnsi"/>
        </w:rPr>
        <w:t>fail to grasp, to the disadvantage of their ratepayers!</w:t>
      </w:r>
    </w:p>
    <w:p w14:paraId="70C4C915" w14:textId="77777777" w:rsidR="003406B8" w:rsidRDefault="003406B8" w:rsidP="005702DD">
      <w:pPr>
        <w:spacing w:line="360" w:lineRule="auto"/>
        <w:rPr>
          <w:rFonts w:asciiTheme="majorHAnsi" w:hAnsiTheme="majorHAnsi"/>
        </w:rPr>
      </w:pPr>
    </w:p>
    <w:p w14:paraId="48630F08" w14:textId="77777777" w:rsidR="00525EBE" w:rsidRDefault="003406B8" w:rsidP="005702DD">
      <w:pPr>
        <w:spacing w:line="360" w:lineRule="auto"/>
        <w:rPr>
          <w:rFonts w:asciiTheme="majorHAnsi" w:hAnsiTheme="majorHAnsi"/>
        </w:rPr>
      </w:pPr>
      <w:r>
        <w:rPr>
          <w:rFonts w:asciiTheme="majorHAnsi" w:hAnsiTheme="majorHAnsi"/>
        </w:rPr>
        <w:t>Risk-based pricing</w:t>
      </w:r>
      <w:r w:rsidR="00986E1A" w:rsidRPr="00524FF9">
        <w:rPr>
          <w:rFonts w:asciiTheme="majorHAnsi" w:hAnsiTheme="majorHAnsi"/>
        </w:rPr>
        <w:t xml:space="preserve"> is already the case in motor insurance where drivers with a good history of claim-free motoring, who live in low crime areas or drive safer cars are rewarded with premium discounts. Analogously, people who live in low flood risk areas or well away from urban-bushland boundaries may see benefits </w:t>
      </w:r>
      <w:r w:rsidR="00416A21">
        <w:rPr>
          <w:rFonts w:asciiTheme="majorHAnsi" w:hAnsiTheme="majorHAnsi"/>
        </w:rPr>
        <w:t>with</w:t>
      </w:r>
      <w:r w:rsidR="00986E1A" w:rsidRPr="00524FF9">
        <w:rPr>
          <w:rFonts w:asciiTheme="majorHAnsi" w:hAnsiTheme="majorHAnsi"/>
        </w:rPr>
        <w:t xml:space="preserve"> lower insurance premiums, whereas those in higher risk areas potentially face large increases in premiums, or in some cases, </w:t>
      </w:r>
      <w:r>
        <w:rPr>
          <w:rFonts w:asciiTheme="majorHAnsi" w:hAnsiTheme="majorHAnsi"/>
        </w:rPr>
        <w:t xml:space="preserve">risk </w:t>
      </w:r>
      <w:r w:rsidR="00986E1A" w:rsidRPr="00524FF9">
        <w:rPr>
          <w:rFonts w:asciiTheme="majorHAnsi" w:hAnsiTheme="majorHAnsi"/>
        </w:rPr>
        <w:t xml:space="preserve">not being able to obtain insurance at all. </w:t>
      </w:r>
    </w:p>
    <w:p w14:paraId="1B448F09" w14:textId="77777777" w:rsidR="00525EBE" w:rsidRDefault="00525EBE" w:rsidP="005702DD">
      <w:pPr>
        <w:spacing w:line="360" w:lineRule="auto"/>
        <w:rPr>
          <w:rFonts w:asciiTheme="majorHAnsi" w:hAnsiTheme="majorHAnsi"/>
        </w:rPr>
      </w:pPr>
    </w:p>
    <w:p w14:paraId="302FF9AD" w14:textId="77777777" w:rsidR="00416A21" w:rsidRDefault="00986E1A" w:rsidP="005702DD">
      <w:pPr>
        <w:spacing w:line="360" w:lineRule="auto"/>
        <w:rPr>
          <w:rFonts w:asciiTheme="majorHAnsi" w:hAnsiTheme="majorHAnsi"/>
        </w:rPr>
      </w:pPr>
      <w:r w:rsidRPr="00524FF9">
        <w:rPr>
          <w:rFonts w:asciiTheme="majorHAnsi" w:hAnsiTheme="majorHAnsi"/>
        </w:rPr>
        <w:t>There should be economic incentive</w:t>
      </w:r>
      <w:r w:rsidR="00416A21">
        <w:rPr>
          <w:rFonts w:asciiTheme="majorHAnsi" w:hAnsiTheme="majorHAnsi"/>
        </w:rPr>
        <w:t>s</w:t>
      </w:r>
      <w:r w:rsidRPr="00524FF9">
        <w:rPr>
          <w:rFonts w:asciiTheme="majorHAnsi" w:hAnsiTheme="majorHAnsi"/>
        </w:rPr>
        <w:t xml:space="preserve"> for homeowners to retro-fit homes or undertake other mitigation measures in order to achieve a reduction in insurance premiums and more importantly reduce their family</w:t>
      </w:r>
      <w:r w:rsidR="00416A21">
        <w:rPr>
          <w:rFonts w:asciiTheme="majorHAnsi" w:hAnsiTheme="majorHAnsi"/>
        </w:rPr>
        <w:t>’s</w:t>
      </w:r>
      <w:r w:rsidRPr="00524FF9">
        <w:rPr>
          <w:rFonts w:asciiTheme="majorHAnsi" w:hAnsiTheme="majorHAnsi"/>
        </w:rPr>
        <w:t xml:space="preserve"> exposure to certain risks. </w:t>
      </w:r>
      <w:r w:rsidR="00416A21">
        <w:rPr>
          <w:rFonts w:asciiTheme="majorHAnsi" w:hAnsiTheme="majorHAnsi"/>
        </w:rPr>
        <w:t>The success of improved construction standards introduced after Cyclone Tracy in 1974 remain the best example of Australians learning from a dreadful experience. There have been few other examples.</w:t>
      </w:r>
    </w:p>
    <w:p w14:paraId="3B8A3E89" w14:textId="77777777" w:rsidR="00416A21" w:rsidRDefault="00416A21" w:rsidP="005702DD">
      <w:pPr>
        <w:spacing w:line="360" w:lineRule="auto"/>
        <w:rPr>
          <w:rFonts w:asciiTheme="majorHAnsi" w:hAnsiTheme="majorHAnsi"/>
        </w:rPr>
      </w:pPr>
    </w:p>
    <w:p w14:paraId="418DDBB2" w14:textId="77777777" w:rsidR="00986E1A" w:rsidRDefault="00986E1A" w:rsidP="005702DD">
      <w:pPr>
        <w:spacing w:line="360" w:lineRule="auto"/>
        <w:rPr>
          <w:rFonts w:asciiTheme="majorHAnsi" w:hAnsiTheme="majorHAnsi"/>
        </w:rPr>
      </w:pPr>
      <w:r w:rsidRPr="00524FF9">
        <w:rPr>
          <w:rFonts w:asciiTheme="majorHAnsi" w:hAnsiTheme="majorHAnsi"/>
        </w:rPr>
        <w:lastRenderedPageBreak/>
        <w:t>Banks and other mortgage lenders may become reluctant to finance the purchase or construction of properties in locations perceived as too risky (e</w:t>
      </w:r>
      <w:r w:rsidR="005702DD">
        <w:rPr>
          <w:rFonts w:asciiTheme="majorHAnsi" w:hAnsiTheme="majorHAnsi"/>
        </w:rPr>
        <w:t xml:space="preserve">.g. </w:t>
      </w:r>
      <w:r w:rsidRPr="00524FF9">
        <w:rPr>
          <w:rFonts w:asciiTheme="majorHAnsi" w:hAnsiTheme="majorHAnsi"/>
        </w:rPr>
        <w:t>Old Bar</w:t>
      </w:r>
      <w:r w:rsidR="005702DD">
        <w:rPr>
          <w:rFonts w:asciiTheme="majorHAnsi" w:hAnsiTheme="majorHAnsi"/>
        </w:rPr>
        <w:t>, NSW</w:t>
      </w:r>
      <w:r w:rsidRPr="00524FF9">
        <w:rPr>
          <w:rFonts w:asciiTheme="majorHAnsi" w:hAnsiTheme="majorHAnsi"/>
        </w:rPr>
        <w:t xml:space="preserve">), especially if </w:t>
      </w:r>
      <w:r w:rsidR="005702DD">
        <w:rPr>
          <w:rFonts w:asciiTheme="majorHAnsi" w:hAnsiTheme="majorHAnsi"/>
        </w:rPr>
        <w:t xml:space="preserve">homeowners’ </w:t>
      </w:r>
      <w:r w:rsidRPr="00524FF9">
        <w:rPr>
          <w:rFonts w:asciiTheme="majorHAnsi" w:hAnsiTheme="majorHAnsi"/>
        </w:rPr>
        <w:t>insurance cannot be guaranteed.</w:t>
      </w:r>
      <w:r w:rsidRPr="00524FF9">
        <w:rPr>
          <w:rFonts w:asciiTheme="majorHAnsi" w:hAnsiTheme="majorHAnsi"/>
          <w:color w:val="FF0000"/>
        </w:rPr>
        <w:t xml:space="preserve"> </w:t>
      </w:r>
      <w:r w:rsidRPr="00524FF9">
        <w:rPr>
          <w:rFonts w:asciiTheme="majorHAnsi" w:hAnsiTheme="majorHAnsi"/>
        </w:rPr>
        <w:t xml:space="preserve">This being the case, the government may find itself called upon to address alleged failings of the insurance market </w:t>
      </w:r>
      <w:r w:rsidR="005702DD">
        <w:rPr>
          <w:rFonts w:asciiTheme="majorHAnsi" w:hAnsiTheme="majorHAnsi"/>
        </w:rPr>
        <w:t xml:space="preserve">in instances </w:t>
      </w:r>
      <w:r w:rsidRPr="00524FF9">
        <w:rPr>
          <w:rFonts w:asciiTheme="majorHAnsi" w:hAnsiTheme="majorHAnsi"/>
        </w:rPr>
        <w:t>where some properties are deemed no longer insurable at affordable rates.</w:t>
      </w:r>
    </w:p>
    <w:p w14:paraId="7A3211E7" w14:textId="77777777" w:rsidR="00525EBE" w:rsidRPr="00524FF9" w:rsidRDefault="00525EBE" w:rsidP="005702DD">
      <w:pPr>
        <w:spacing w:line="360" w:lineRule="auto"/>
        <w:rPr>
          <w:rFonts w:asciiTheme="majorHAnsi" w:hAnsiTheme="majorHAnsi"/>
        </w:rPr>
      </w:pPr>
    </w:p>
    <w:p w14:paraId="6DE5CDBE" w14:textId="77777777" w:rsidR="00986E1A" w:rsidRDefault="00986E1A" w:rsidP="005702DD">
      <w:pPr>
        <w:spacing w:line="360" w:lineRule="auto"/>
        <w:rPr>
          <w:rFonts w:asciiTheme="majorHAnsi" w:hAnsiTheme="majorHAnsi"/>
        </w:rPr>
      </w:pPr>
      <w:r w:rsidRPr="00524FF9">
        <w:rPr>
          <w:rFonts w:asciiTheme="majorHAnsi" w:eastAsia="Calibri" w:hAnsiTheme="majorHAnsi"/>
        </w:rPr>
        <w:t xml:space="preserve">Previous policy </w:t>
      </w:r>
      <w:r w:rsidR="00416A21">
        <w:rPr>
          <w:rFonts w:asciiTheme="majorHAnsi" w:eastAsia="Calibri" w:hAnsiTheme="majorHAnsi"/>
        </w:rPr>
        <w:t>lapses</w:t>
      </w:r>
      <w:r w:rsidRPr="00524FF9">
        <w:rPr>
          <w:rFonts w:asciiTheme="majorHAnsi" w:eastAsia="Calibri" w:hAnsiTheme="majorHAnsi"/>
        </w:rPr>
        <w:t xml:space="preserve"> that encourage </w:t>
      </w:r>
      <w:r w:rsidRPr="00524FF9">
        <w:rPr>
          <w:rFonts w:asciiTheme="majorHAnsi" w:hAnsiTheme="majorHAnsi"/>
        </w:rPr>
        <w:t xml:space="preserve">people to live in vulnerable areas and/or </w:t>
      </w:r>
      <w:r w:rsidR="00416A21">
        <w:rPr>
          <w:rFonts w:asciiTheme="majorHAnsi" w:hAnsiTheme="majorHAnsi"/>
        </w:rPr>
        <w:t xml:space="preserve">construct </w:t>
      </w:r>
      <w:r w:rsidR="003406B8">
        <w:rPr>
          <w:rFonts w:asciiTheme="majorHAnsi" w:hAnsiTheme="majorHAnsi"/>
        </w:rPr>
        <w:t xml:space="preserve">new developments in these same areas </w:t>
      </w:r>
      <w:r w:rsidR="000E4202">
        <w:rPr>
          <w:rFonts w:asciiTheme="majorHAnsi" w:hAnsiTheme="majorHAnsi"/>
        </w:rPr>
        <w:t xml:space="preserve">will </w:t>
      </w:r>
      <w:r w:rsidR="003406B8">
        <w:rPr>
          <w:rFonts w:asciiTheme="majorHAnsi" w:hAnsiTheme="majorHAnsi"/>
        </w:rPr>
        <w:t>only</w:t>
      </w:r>
      <w:r w:rsidRPr="00524FF9">
        <w:rPr>
          <w:rFonts w:asciiTheme="majorHAnsi" w:hAnsiTheme="majorHAnsi"/>
        </w:rPr>
        <w:t xml:space="preserve"> add to the cost of </w:t>
      </w:r>
      <w:r w:rsidR="003406B8">
        <w:rPr>
          <w:rFonts w:asciiTheme="majorHAnsi" w:hAnsiTheme="majorHAnsi"/>
        </w:rPr>
        <w:t xml:space="preserve">future </w:t>
      </w:r>
      <w:r w:rsidRPr="00524FF9">
        <w:rPr>
          <w:rFonts w:asciiTheme="majorHAnsi" w:hAnsiTheme="majorHAnsi"/>
        </w:rPr>
        <w:t xml:space="preserve">natural disasters. Government policy </w:t>
      </w:r>
      <w:r w:rsidR="00416A21">
        <w:rPr>
          <w:rFonts w:asciiTheme="majorHAnsi" w:hAnsiTheme="majorHAnsi"/>
        </w:rPr>
        <w:t>actions</w:t>
      </w:r>
      <w:r w:rsidRPr="00524FF9">
        <w:rPr>
          <w:rFonts w:asciiTheme="majorHAnsi" w:hAnsiTheme="majorHAnsi"/>
        </w:rPr>
        <w:t xml:space="preserve"> should not exacerbate this problem</w:t>
      </w:r>
      <w:r w:rsidR="00416A21">
        <w:rPr>
          <w:rFonts w:asciiTheme="majorHAnsi" w:hAnsiTheme="majorHAnsi"/>
        </w:rPr>
        <w:t>,</w:t>
      </w:r>
      <w:r w:rsidRPr="00524FF9">
        <w:rPr>
          <w:rFonts w:asciiTheme="majorHAnsi" w:hAnsiTheme="majorHAnsi"/>
        </w:rPr>
        <w:t xml:space="preserve"> </w:t>
      </w:r>
      <w:r w:rsidR="003406B8">
        <w:rPr>
          <w:rFonts w:asciiTheme="majorHAnsi" w:hAnsiTheme="majorHAnsi"/>
        </w:rPr>
        <w:t xml:space="preserve">especially </w:t>
      </w:r>
      <w:r w:rsidR="00416A21">
        <w:rPr>
          <w:rFonts w:asciiTheme="majorHAnsi" w:hAnsiTheme="majorHAnsi"/>
        </w:rPr>
        <w:t>if we</w:t>
      </w:r>
      <w:r w:rsidRPr="00524FF9">
        <w:rPr>
          <w:rFonts w:asciiTheme="majorHAnsi" w:hAnsiTheme="majorHAnsi"/>
        </w:rPr>
        <w:t xml:space="preserve"> wish to maximise the risk-bearing capacity of the private insurance markets. </w:t>
      </w:r>
      <w:r w:rsidR="003406B8">
        <w:rPr>
          <w:rFonts w:asciiTheme="majorHAnsi" w:hAnsiTheme="majorHAnsi"/>
        </w:rPr>
        <w:t>Post-event</w:t>
      </w:r>
      <w:r w:rsidR="003406B8" w:rsidRPr="00524FF9">
        <w:rPr>
          <w:rFonts w:asciiTheme="majorHAnsi" w:hAnsiTheme="majorHAnsi"/>
        </w:rPr>
        <w:t xml:space="preserve"> handouts help undermine private insurance by reducing incentives for home-owners to take out insurance cover</w:t>
      </w:r>
      <w:r w:rsidR="003406B8">
        <w:rPr>
          <w:rFonts w:asciiTheme="majorHAnsi" w:hAnsiTheme="majorHAnsi"/>
        </w:rPr>
        <w:t xml:space="preserve">. </w:t>
      </w:r>
      <w:r w:rsidR="00416A21">
        <w:rPr>
          <w:rFonts w:asciiTheme="majorHAnsi" w:hAnsiTheme="majorHAnsi"/>
        </w:rPr>
        <w:t>Such</w:t>
      </w:r>
      <w:r w:rsidR="003406B8" w:rsidRPr="00524FF9">
        <w:rPr>
          <w:rFonts w:asciiTheme="majorHAnsi" w:hAnsiTheme="majorHAnsi"/>
        </w:rPr>
        <w:t xml:space="preserve"> largesse is rarely matched by a consideration of how more risk-informed land planning decisions and other mitigation measures might reduce the magnitude such events.</w:t>
      </w:r>
    </w:p>
    <w:p w14:paraId="2412D18F" w14:textId="77777777" w:rsidR="00525EBE" w:rsidRDefault="00525EBE" w:rsidP="005702DD">
      <w:pPr>
        <w:spacing w:line="360" w:lineRule="auto"/>
        <w:rPr>
          <w:rFonts w:asciiTheme="majorHAnsi" w:hAnsiTheme="majorHAnsi"/>
        </w:rPr>
      </w:pPr>
    </w:p>
    <w:p w14:paraId="00FE2535" w14:textId="77777777" w:rsidR="00986E1A" w:rsidRDefault="00986E1A" w:rsidP="005702DD">
      <w:pPr>
        <w:spacing w:line="360" w:lineRule="auto"/>
        <w:rPr>
          <w:rFonts w:asciiTheme="majorHAnsi" w:hAnsiTheme="majorHAnsi"/>
        </w:rPr>
      </w:pPr>
      <w:r w:rsidRPr="00524FF9">
        <w:rPr>
          <w:rFonts w:asciiTheme="majorHAnsi" w:hAnsiTheme="majorHAnsi"/>
        </w:rPr>
        <w:t xml:space="preserve">In recent times we have seen the benefits of mitigation, especially in Queensland. In Roma, once the new levee was built, insurance companies began to </w:t>
      </w:r>
      <w:r w:rsidR="00146BEA">
        <w:rPr>
          <w:rFonts w:asciiTheme="majorHAnsi" w:hAnsiTheme="majorHAnsi"/>
        </w:rPr>
        <w:t>re</w:t>
      </w:r>
      <w:r w:rsidRPr="00524FF9">
        <w:rPr>
          <w:rFonts w:asciiTheme="majorHAnsi" w:hAnsiTheme="majorHAnsi"/>
        </w:rPr>
        <w:t>offer coverage and residents were then able to secure insurance policies. In Charleville, following the completion of the $</w:t>
      </w:r>
      <w:r w:rsidR="000E4202">
        <w:rPr>
          <w:rFonts w:asciiTheme="majorHAnsi" w:hAnsiTheme="majorHAnsi"/>
        </w:rPr>
        <w:t>16</w:t>
      </w:r>
      <w:r w:rsidRPr="00524FF9">
        <w:rPr>
          <w:rFonts w:asciiTheme="majorHAnsi" w:hAnsiTheme="majorHAnsi"/>
        </w:rPr>
        <w:t>m levee, Suncorp reduced average home and contents premiums by $400.</w:t>
      </w:r>
      <w:r w:rsidR="000E4202">
        <w:rPr>
          <w:rFonts w:asciiTheme="majorHAnsi" w:hAnsiTheme="majorHAnsi"/>
        </w:rPr>
        <w:t xml:space="preserve"> St George has also spent $6 m on a 4.7 km levee.</w:t>
      </w:r>
    </w:p>
    <w:p w14:paraId="30E615F5" w14:textId="77777777" w:rsidR="00525EBE" w:rsidRPr="00524FF9" w:rsidRDefault="00525EBE" w:rsidP="005702DD">
      <w:pPr>
        <w:spacing w:line="360" w:lineRule="auto"/>
        <w:rPr>
          <w:rFonts w:asciiTheme="majorHAnsi" w:hAnsiTheme="majorHAnsi"/>
        </w:rPr>
      </w:pPr>
    </w:p>
    <w:p w14:paraId="05E51839" w14:textId="77777777" w:rsidR="00986E1A" w:rsidRDefault="005702DD" w:rsidP="005702DD">
      <w:pPr>
        <w:spacing w:line="360" w:lineRule="auto"/>
        <w:rPr>
          <w:rFonts w:asciiTheme="majorHAnsi" w:hAnsiTheme="majorHAnsi"/>
        </w:rPr>
      </w:pPr>
      <w:r>
        <w:rPr>
          <w:rFonts w:asciiTheme="majorHAnsi" w:hAnsiTheme="majorHAnsi"/>
        </w:rPr>
        <w:t xml:space="preserve">At Risk Frontiers we </w:t>
      </w:r>
      <w:r w:rsidR="00416A21">
        <w:rPr>
          <w:rFonts w:asciiTheme="majorHAnsi" w:hAnsiTheme="majorHAnsi"/>
        </w:rPr>
        <w:t>support</w:t>
      </w:r>
      <w:r>
        <w:rPr>
          <w:rFonts w:asciiTheme="majorHAnsi" w:hAnsiTheme="majorHAnsi"/>
        </w:rPr>
        <w:t xml:space="preserve"> in the </w:t>
      </w:r>
      <w:r w:rsidR="00416A21">
        <w:rPr>
          <w:rFonts w:asciiTheme="majorHAnsi" w:hAnsiTheme="majorHAnsi"/>
        </w:rPr>
        <w:t>proposal</w:t>
      </w:r>
      <w:r w:rsidR="00986E1A" w:rsidRPr="00524FF9">
        <w:rPr>
          <w:rFonts w:asciiTheme="majorHAnsi" w:hAnsiTheme="majorHAnsi"/>
        </w:rPr>
        <w:t xml:space="preserve"> of Kunreuther et al. </w:t>
      </w:r>
      <w:r w:rsidR="00986E1A" w:rsidRPr="00524FF9">
        <w:rPr>
          <w:rFonts w:asciiTheme="majorHAnsi" w:hAnsiTheme="majorHAnsi"/>
        </w:rPr>
        <w:fldChar w:fldCharType="begin"/>
      </w:r>
      <w:r w:rsidR="00986E1A" w:rsidRPr="00524FF9">
        <w:rPr>
          <w:rFonts w:asciiTheme="majorHAnsi" w:hAnsiTheme="majorHAnsi"/>
        </w:rPr>
        <w:instrText xml:space="preserve"> ADDIN EN.CITE &lt;EndNote&gt;&lt;Cite ExcludeAuth="1"&gt;&lt;Author&gt;Kunreuther&lt;/Author&gt;&lt;Year&gt;2009&lt;/Year&gt;&lt;RecNum&gt;85&lt;/RecNum&gt;&lt;record&gt;&lt;rec-number&gt;85&lt;/rec-number&gt;&lt;foreign-keys&gt;&lt;key app="EN" db-id="5dp25dwxcaf0r7epe0dxztvuv9zwsd5s2dws"&gt;85&lt;/key&gt;&lt;/foreign-keys&gt;&lt;ref-type name="Book"&gt;6&lt;/ref-type&gt;&lt;contributors&gt;&lt;authors&gt;&lt;author&gt;Kunreuther, H. C.&lt;/author&gt;&lt;author&gt;Michel-Kerjan, E. O.&lt;/author&gt;&lt;author&gt;Doherty, N.  A.&lt;/author&gt;&lt;author&gt;Grace, M. F.&lt;/author&gt;&lt;author&gt;Klein, R. W.&lt;/author&gt;&lt;author&gt;Pauly, M. V.&lt;/author&gt;&lt;/authors&gt;&lt;/contributors&gt;&lt;titles&gt;&lt;title&gt;At War with the Weather&lt;/title&gt;&lt;/titles&gt;&lt;dates&gt;&lt;year&gt;2009&lt;/year&gt;&lt;/dates&gt;&lt;publisher&gt;The MIT Press&lt;/publisher&gt;&lt;urls&gt;&lt;/urls&gt;&lt;/record&gt;&lt;/Cite&gt;&lt;/EndNote&gt;</w:instrText>
      </w:r>
      <w:r w:rsidR="00986E1A" w:rsidRPr="00524FF9">
        <w:rPr>
          <w:rFonts w:asciiTheme="majorHAnsi" w:hAnsiTheme="majorHAnsi"/>
        </w:rPr>
        <w:fldChar w:fldCharType="separate"/>
      </w:r>
      <w:r w:rsidR="00986E1A" w:rsidRPr="00524FF9">
        <w:rPr>
          <w:rFonts w:asciiTheme="majorHAnsi" w:hAnsiTheme="majorHAnsi"/>
        </w:rPr>
        <w:t>(2009)</w:t>
      </w:r>
      <w:r w:rsidR="00986E1A" w:rsidRPr="00524FF9">
        <w:rPr>
          <w:rFonts w:asciiTheme="majorHAnsi" w:hAnsiTheme="majorHAnsi"/>
        </w:rPr>
        <w:fldChar w:fldCharType="end"/>
      </w:r>
      <w:r w:rsidR="00986E1A" w:rsidRPr="00524FF9">
        <w:rPr>
          <w:rFonts w:asciiTheme="majorHAnsi" w:hAnsiTheme="majorHAnsi"/>
        </w:rPr>
        <w:t xml:space="preserve"> </w:t>
      </w:r>
      <w:r w:rsidR="00E72742">
        <w:rPr>
          <w:rFonts w:asciiTheme="majorHAnsi" w:hAnsiTheme="majorHAnsi"/>
        </w:rPr>
        <w:t>who</w:t>
      </w:r>
      <w:r w:rsidR="00986E1A" w:rsidRPr="00524FF9">
        <w:rPr>
          <w:rFonts w:asciiTheme="majorHAnsi" w:hAnsiTheme="majorHAnsi"/>
        </w:rPr>
        <w:t xml:space="preserve"> state that: </w:t>
      </w:r>
    </w:p>
    <w:p w14:paraId="40DEF4DF" w14:textId="77777777" w:rsidR="00525EBE" w:rsidRPr="00524FF9" w:rsidRDefault="00525EBE" w:rsidP="005702DD">
      <w:pPr>
        <w:spacing w:line="360" w:lineRule="auto"/>
        <w:rPr>
          <w:rFonts w:asciiTheme="majorHAnsi" w:hAnsiTheme="majorHAnsi"/>
        </w:rPr>
      </w:pPr>
    </w:p>
    <w:p w14:paraId="4464ED02" w14:textId="77777777" w:rsidR="00986E1A" w:rsidRDefault="00986E1A" w:rsidP="00146BEA">
      <w:pPr>
        <w:spacing w:line="360" w:lineRule="auto"/>
        <w:ind w:left="567"/>
        <w:rPr>
          <w:rFonts w:asciiTheme="majorHAnsi" w:hAnsiTheme="majorHAnsi"/>
          <w:i/>
        </w:rPr>
      </w:pPr>
      <w:r w:rsidRPr="00524FF9">
        <w:rPr>
          <w:rFonts w:asciiTheme="majorHAnsi" w:hAnsiTheme="majorHAnsi"/>
          <w:i/>
        </w:rPr>
        <w:t>Insurance premiums should be based on risk in order to provide signals to individuals as to the hazards they face, and encourage them to engage in cost-effective mitigation measures to reduce their vulnerability to catastrophes.</w:t>
      </w:r>
    </w:p>
    <w:p w14:paraId="6EE54DB9" w14:textId="77777777" w:rsidR="00525EBE" w:rsidRPr="00524FF9" w:rsidRDefault="00525EBE" w:rsidP="005702DD">
      <w:pPr>
        <w:spacing w:line="360" w:lineRule="auto"/>
        <w:rPr>
          <w:rFonts w:asciiTheme="majorHAnsi" w:hAnsiTheme="majorHAnsi"/>
        </w:rPr>
      </w:pPr>
    </w:p>
    <w:p w14:paraId="6DE3B6E7" w14:textId="77777777" w:rsidR="00986E1A" w:rsidRPr="00524FF9" w:rsidRDefault="00986E1A" w:rsidP="005702DD">
      <w:pPr>
        <w:spacing w:line="360" w:lineRule="auto"/>
        <w:rPr>
          <w:rFonts w:asciiTheme="majorHAnsi" w:hAnsiTheme="majorHAnsi"/>
          <w:lang w:val="en-US"/>
        </w:rPr>
      </w:pPr>
      <w:r w:rsidRPr="00524FF9">
        <w:rPr>
          <w:rFonts w:asciiTheme="majorHAnsi" w:hAnsiTheme="majorHAnsi"/>
          <w:lang w:val="en-US"/>
        </w:rPr>
        <w:t>and</w:t>
      </w:r>
    </w:p>
    <w:p w14:paraId="53ECB022" w14:textId="77777777" w:rsidR="00525EBE" w:rsidRDefault="00525EBE" w:rsidP="005702DD">
      <w:pPr>
        <w:spacing w:after="120" w:line="360" w:lineRule="auto"/>
        <w:rPr>
          <w:rFonts w:asciiTheme="majorHAnsi" w:hAnsiTheme="majorHAnsi"/>
          <w:i/>
        </w:rPr>
      </w:pPr>
    </w:p>
    <w:p w14:paraId="3A2DD7B4" w14:textId="77777777" w:rsidR="00986E1A" w:rsidRPr="00524FF9" w:rsidRDefault="00986E1A" w:rsidP="00146BEA">
      <w:pPr>
        <w:spacing w:after="120" w:line="360" w:lineRule="auto"/>
        <w:ind w:left="567"/>
        <w:rPr>
          <w:rFonts w:asciiTheme="majorHAnsi" w:hAnsiTheme="majorHAnsi"/>
        </w:rPr>
      </w:pPr>
      <w:r w:rsidRPr="00524FF9">
        <w:rPr>
          <w:rFonts w:asciiTheme="majorHAnsi" w:hAnsiTheme="majorHAnsi"/>
          <w:i/>
        </w:rPr>
        <w:lastRenderedPageBreak/>
        <w:t>Any special treatment given to homeowners currently residing in hazard-prone areas (i.e. low-income, uninsured or inadequately insured homeowners) should come from general public funding, not through insurance premium subsidies.</w:t>
      </w:r>
    </w:p>
    <w:p w14:paraId="0BB8D595" w14:textId="77777777" w:rsidR="00986E1A" w:rsidRPr="00524FF9" w:rsidRDefault="00986E1A" w:rsidP="005702DD">
      <w:pPr>
        <w:spacing w:line="360" w:lineRule="auto"/>
        <w:rPr>
          <w:rFonts w:asciiTheme="majorHAnsi" w:hAnsiTheme="majorHAnsi"/>
        </w:rPr>
      </w:pPr>
    </w:p>
    <w:p w14:paraId="4CE669A7" w14:textId="77777777" w:rsidR="00992108" w:rsidRDefault="00986E1A" w:rsidP="005702DD">
      <w:pPr>
        <w:spacing w:line="360" w:lineRule="auto"/>
        <w:rPr>
          <w:rFonts w:asciiTheme="majorHAnsi" w:hAnsiTheme="majorHAnsi"/>
        </w:rPr>
      </w:pPr>
      <w:r w:rsidRPr="00524FF9">
        <w:rPr>
          <w:rFonts w:asciiTheme="majorHAnsi" w:hAnsiTheme="majorHAnsi"/>
        </w:rPr>
        <w:t xml:space="preserve">Although losses from natural disaster events in Australia are not yet causing significant imbalances to the economy and / or human activity relative to </w:t>
      </w:r>
      <w:r w:rsidR="00992108">
        <w:rPr>
          <w:rFonts w:asciiTheme="majorHAnsi" w:hAnsiTheme="majorHAnsi"/>
        </w:rPr>
        <w:t xml:space="preserve">some </w:t>
      </w:r>
      <w:r w:rsidRPr="00524FF9">
        <w:rPr>
          <w:rFonts w:asciiTheme="majorHAnsi" w:hAnsiTheme="majorHAnsi"/>
        </w:rPr>
        <w:t xml:space="preserve">other less fortunate countries, these losses are expected to continue to grow as wealth and populations at risk continue to increase. Abating these rising costs of insurance and economic losses arising from natural disasters will require difficult choices that, as a society, we have for the most part been reluctant to face. </w:t>
      </w:r>
    </w:p>
    <w:p w14:paraId="3E70122C" w14:textId="77777777" w:rsidR="00992108" w:rsidRDefault="00992108" w:rsidP="005702DD">
      <w:pPr>
        <w:spacing w:line="360" w:lineRule="auto"/>
        <w:rPr>
          <w:rFonts w:asciiTheme="majorHAnsi" w:hAnsiTheme="majorHAnsi"/>
        </w:rPr>
      </w:pPr>
    </w:p>
    <w:p w14:paraId="6C75E80A" w14:textId="77777777" w:rsidR="00986E1A" w:rsidRDefault="00416A21" w:rsidP="005702DD">
      <w:pPr>
        <w:spacing w:line="360" w:lineRule="auto"/>
        <w:rPr>
          <w:rFonts w:asciiTheme="majorHAnsi" w:hAnsiTheme="majorHAnsi"/>
        </w:rPr>
      </w:pPr>
      <w:r>
        <w:rPr>
          <w:rFonts w:asciiTheme="majorHAnsi" w:hAnsiTheme="majorHAnsi"/>
        </w:rPr>
        <w:t>Some concluding remarks and suggestions follow</w:t>
      </w:r>
      <w:r w:rsidR="00986E1A" w:rsidRPr="00524FF9">
        <w:rPr>
          <w:rFonts w:asciiTheme="majorHAnsi" w:hAnsiTheme="majorHAnsi"/>
        </w:rPr>
        <w:t>:</w:t>
      </w:r>
    </w:p>
    <w:p w14:paraId="0253C178" w14:textId="77777777" w:rsidR="00525EBE" w:rsidRPr="00524FF9" w:rsidRDefault="00525EBE" w:rsidP="005702DD">
      <w:pPr>
        <w:spacing w:line="360" w:lineRule="auto"/>
        <w:rPr>
          <w:rFonts w:asciiTheme="majorHAnsi" w:hAnsiTheme="majorHAnsi"/>
        </w:rPr>
      </w:pPr>
    </w:p>
    <w:p w14:paraId="6231D98E" w14:textId="77777777" w:rsidR="00986E1A" w:rsidRPr="00524FF9" w:rsidRDefault="00416A21" w:rsidP="005702DD">
      <w:pPr>
        <w:pStyle w:val="ListParagraph"/>
        <w:numPr>
          <w:ilvl w:val="0"/>
          <w:numId w:val="3"/>
        </w:numPr>
        <w:spacing w:after="200" w:line="360" w:lineRule="auto"/>
        <w:jc w:val="both"/>
        <w:rPr>
          <w:rFonts w:asciiTheme="majorHAnsi" w:hAnsiTheme="majorHAnsi"/>
        </w:rPr>
      </w:pPr>
      <w:r>
        <w:rPr>
          <w:rFonts w:asciiTheme="majorHAnsi" w:hAnsiTheme="majorHAnsi"/>
        </w:rPr>
        <w:t>H</w:t>
      </w:r>
      <w:r w:rsidR="00E72742">
        <w:rPr>
          <w:rFonts w:asciiTheme="majorHAnsi" w:hAnsiTheme="majorHAnsi"/>
        </w:rPr>
        <w:t xml:space="preserve">azard and risk </w:t>
      </w:r>
      <w:r w:rsidR="00986E1A" w:rsidRPr="00524FF9">
        <w:rPr>
          <w:rFonts w:asciiTheme="majorHAnsi" w:hAnsiTheme="majorHAnsi"/>
        </w:rPr>
        <w:t xml:space="preserve">data be made available </w:t>
      </w:r>
      <w:r w:rsidR="005D0AB6">
        <w:rPr>
          <w:rFonts w:asciiTheme="majorHAnsi" w:hAnsiTheme="majorHAnsi"/>
        </w:rPr>
        <w:t xml:space="preserve">to </w:t>
      </w:r>
      <w:r w:rsidR="00E72742">
        <w:rPr>
          <w:rFonts w:asciiTheme="majorHAnsi" w:hAnsiTheme="majorHAnsi"/>
        </w:rPr>
        <w:t>the public, land-use</w:t>
      </w:r>
      <w:r w:rsidR="00986E1A" w:rsidRPr="00524FF9">
        <w:rPr>
          <w:rFonts w:asciiTheme="majorHAnsi" w:hAnsiTheme="majorHAnsi"/>
        </w:rPr>
        <w:t xml:space="preserve"> planners, government, emergency managers and developers to enhance decision making across the board. </w:t>
      </w:r>
      <w:r>
        <w:rPr>
          <w:rFonts w:asciiTheme="majorHAnsi" w:hAnsiTheme="majorHAnsi"/>
        </w:rPr>
        <w:t>(</w:t>
      </w:r>
      <w:r w:rsidR="00E72742">
        <w:rPr>
          <w:rFonts w:asciiTheme="majorHAnsi" w:hAnsiTheme="majorHAnsi"/>
        </w:rPr>
        <w:t>Risk Frontiers did approach the previous government about making its databases available to the public</w:t>
      </w:r>
      <w:r>
        <w:rPr>
          <w:rFonts w:asciiTheme="majorHAnsi" w:hAnsiTheme="majorHAnsi"/>
        </w:rPr>
        <w:t xml:space="preserve"> but they seemed to have little appetite for this.)</w:t>
      </w:r>
    </w:p>
    <w:p w14:paraId="2D7408F0" w14:textId="77777777" w:rsidR="00992108" w:rsidRDefault="00986E1A" w:rsidP="005702DD">
      <w:pPr>
        <w:pStyle w:val="ListParagraph"/>
        <w:numPr>
          <w:ilvl w:val="0"/>
          <w:numId w:val="3"/>
        </w:numPr>
        <w:spacing w:after="200" w:line="360" w:lineRule="auto"/>
        <w:jc w:val="both"/>
        <w:rPr>
          <w:rFonts w:asciiTheme="majorHAnsi" w:hAnsiTheme="majorHAnsi"/>
        </w:rPr>
      </w:pPr>
      <w:r w:rsidRPr="00524FF9">
        <w:rPr>
          <w:rFonts w:asciiTheme="majorHAnsi" w:hAnsiTheme="majorHAnsi"/>
        </w:rPr>
        <w:t>Whilst natural disasters themselves cannot be avoided</w:t>
      </w:r>
      <w:r w:rsidR="00A702C1">
        <w:rPr>
          <w:rFonts w:asciiTheme="majorHAnsi" w:hAnsiTheme="majorHAnsi"/>
        </w:rPr>
        <w:t>,</w:t>
      </w:r>
      <w:r w:rsidRPr="00524FF9">
        <w:rPr>
          <w:rFonts w:asciiTheme="majorHAnsi" w:hAnsiTheme="majorHAnsi"/>
        </w:rPr>
        <w:t xml:space="preserve"> there is a lot that could be done to reduce the impact and cost of these events</w:t>
      </w:r>
      <w:r w:rsidR="00992108">
        <w:rPr>
          <w:rFonts w:asciiTheme="majorHAnsi" w:hAnsiTheme="majorHAnsi"/>
        </w:rPr>
        <w:t>:</w:t>
      </w:r>
    </w:p>
    <w:p w14:paraId="57879C54" w14:textId="77777777" w:rsidR="00B26AA2" w:rsidRDefault="0075651A" w:rsidP="00B26AA2">
      <w:pPr>
        <w:pStyle w:val="ListParagraph"/>
        <w:numPr>
          <w:ilvl w:val="1"/>
          <w:numId w:val="3"/>
        </w:numPr>
        <w:spacing w:after="200" w:line="360" w:lineRule="auto"/>
        <w:jc w:val="both"/>
        <w:rPr>
          <w:rFonts w:asciiTheme="majorHAnsi" w:hAnsiTheme="majorHAnsi"/>
        </w:rPr>
      </w:pPr>
      <w:r>
        <w:rPr>
          <w:rFonts w:asciiTheme="majorHAnsi" w:hAnsiTheme="majorHAnsi"/>
          <w:color w:val="FF0000"/>
        </w:rPr>
        <w:t>Education</w:t>
      </w:r>
      <w:r w:rsidR="00992108" w:rsidRPr="00992108">
        <w:rPr>
          <w:rFonts w:asciiTheme="majorHAnsi" w:hAnsiTheme="majorHAnsi"/>
          <w:color w:val="FF0000"/>
        </w:rPr>
        <w:t>:</w:t>
      </w:r>
      <w:r w:rsidR="00E72742" w:rsidRPr="00992108">
        <w:rPr>
          <w:rFonts w:asciiTheme="majorHAnsi" w:hAnsiTheme="majorHAnsi"/>
        </w:rPr>
        <w:t xml:space="preserve"> </w:t>
      </w:r>
      <w:r w:rsidR="00A6580E">
        <w:rPr>
          <w:rFonts w:asciiTheme="majorHAnsi" w:hAnsiTheme="majorHAnsi"/>
        </w:rPr>
        <w:t>All</w:t>
      </w:r>
      <w:r w:rsidR="00416A21" w:rsidRPr="00992108">
        <w:rPr>
          <w:rFonts w:asciiTheme="majorHAnsi" w:hAnsiTheme="majorHAnsi"/>
        </w:rPr>
        <w:t xml:space="preserve"> New Zealand</w:t>
      </w:r>
      <w:r w:rsidR="00A6580E">
        <w:rPr>
          <w:rFonts w:asciiTheme="majorHAnsi" w:hAnsiTheme="majorHAnsi"/>
        </w:rPr>
        <w:t xml:space="preserve"> </w:t>
      </w:r>
      <w:r w:rsidR="00416A21" w:rsidRPr="00992108">
        <w:rPr>
          <w:rFonts w:asciiTheme="majorHAnsi" w:hAnsiTheme="majorHAnsi"/>
        </w:rPr>
        <w:t xml:space="preserve">children are taught about earthquakes and what to do when </w:t>
      </w:r>
      <w:r w:rsidR="00A6580E">
        <w:rPr>
          <w:rFonts w:asciiTheme="majorHAnsi" w:hAnsiTheme="majorHAnsi"/>
        </w:rPr>
        <w:t>they happen</w:t>
      </w:r>
      <w:r w:rsidR="00416A21" w:rsidRPr="00992108">
        <w:rPr>
          <w:rFonts w:asciiTheme="majorHAnsi" w:hAnsiTheme="majorHAnsi"/>
        </w:rPr>
        <w:t>. We suspect few children in Western Sydney understand the flood risk in</w:t>
      </w:r>
      <w:r w:rsidR="00E72742" w:rsidRPr="00992108">
        <w:rPr>
          <w:rFonts w:asciiTheme="majorHAnsi" w:hAnsiTheme="majorHAnsi"/>
        </w:rPr>
        <w:t xml:space="preserve"> the Hawkesbury-Nepean </w:t>
      </w:r>
      <w:r w:rsidR="00416A21" w:rsidRPr="00992108">
        <w:rPr>
          <w:rFonts w:asciiTheme="majorHAnsi" w:hAnsiTheme="majorHAnsi"/>
        </w:rPr>
        <w:t>catchment, for example</w:t>
      </w:r>
      <w:r w:rsidR="00E72742" w:rsidRPr="00992108">
        <w:rPr>
          <w:rFonts w:asciiTheme="majorHAnsi" w:hAnsiTheme="majorHAnsi"/>
        </w:rPr>
        <w:t>.</w:t>
      </w:r>
      <w:r w:rsidR="00A702C1" w:rsidRPr="00992108">
        <w:rPr>
          <w:rFonts w:asciiTheme="majorHAnsi" w:hAnsiTheme="majorHAnsi"/>
        </w:rPr>
        <w:t xml:space="preserve"> </w:t>
      </w:r>
      <w:r w:rsidR="00992108" w:rsidRPr="00992108">
        <w:rPr>
          <w:rFonts w:asciiTheme="majorHAnsi" w:hAnsiTheme="majorHAnsi"/>
        </w:rPr>
        <w:t xml:space="preserve"> </w:t>
      </w:r>
    </w:p>
    <w:p w14:paraId="088524C0" w14:textId="77777777" w:rsidR="00992108" w:rsidRPr="0075651A" w:rsidRDefault="0075651A" w:rsidP="0075651A">
      <w:pPr>
        <w:pStyle w:val="ListParagraph"/>
        <w:numPr>
          <w:ilvl w:val="1"/>
          <w:numId w:val="3"/>
        </w:numPr>
        <w:spacing w:after="200" w:line="360" w:lineRule="auto"/>
        <w:jc w:val="both"/>
        <w:rPr>
          <w:rFonts w:asciiTheme="majorHAnsi" w:hAnsiTheme="majorHAnsi"/>
        </w:rPr>
      </w:pPr>
      <w:r>
        <w:rPr>
          <w:rFonts w:asciiTheme="majorHAnsi" w:hAnsiTheme="majorHAnsi"/>
          <w:color w:val="FF0000"/>
        </w:rPr>
        <w:t>Risk communication</w:t>
      </w:r>
      <w:r w:rsidR="00992108" w:rsidRPr="00B26AA2">
        <w:rPr>
          <w:rFonts w:asciiTheme="majorHAnsi" w:hAnsiTheme="majorHAnsi"/>
          <w:color w:val="FF0000"/>
        </w:rPr>
        <w:t xml:space="preserve">:  </w:t>
      </w:r>
      <w:r w:rsidR="00B26AA2" w:rsidRPr="00B26AA2">
        <w:rPr>
          <w:rFonts w:ascii="Calibri" w:hAnsi="Calibri"/>
        </w:rPr>
        <w:t xml:space="preserve">In view of past failures in risk communication, new approaches are needed. </w:t>
      </w:r>
      <w:r>
        <w:rPr>
          <w:rFonts w:ascii="Calibri" w:hAnsi="Calibri"/>
        </w:rPr>
        <w:t xml:space="preserve">Need to engage </w:t>
      </w:r>
      <w:r w:rsidR="00992108" w:rsidRPr="0075651A">
        <w:rPr>
          <w:rFonts w:asciiTheme="majorHAnsi" w:hAnsiTheme="majorHAnsi"/>
        </w:rPr>
        <w:t>the community – citizen’s juries and citizen science</w:t>
      </w:r>
    </w:p>
    <w:p w14:paraId="76DF923E" w14:textId="77777777" w:rsidR="00986E1A" w:rsidRPr="00992108" w:rsidRDefault="00B26AA2" w:rsidP="00992108">
      <w:pPr>
        <w:pStyle w:val="ListParagraph"/>
        <w:numPr>
          <w:ilvl w:val="1"/>
          <w:numId w:val="3"/>
        </w:numPr>
        <w:spacing w:after="200" w:line="360" w:lineRule="auto"/>
        <w:jc w:val="both"/>
        <w:rPr>
          <w:rFonts w:asciiTheme="majorHAnsi" w:hAnsiTheme="majorHAnsi"/>
        </w:rPr>
      </w:pPr>
      <w:r>
        <w:rPr>
          <w:rFonts w:asciiTheme="majorHAnsi" w:hAnsiTheme="majorHAnsi"/>
          <w:color w:val="FF0000"/>
        </w:rPr>
        <w:t xml:space="preserve">Economic </w:t>
      </w:r>
      <w:r w:rsidR="00986E1A" w:rsidRPr="00992108">
        <w:rPr>
          <w:rFonts w:asciiTheme="majorHAnsi" w:hAnsiTheme="majorHAnsi"/>
          <w:color w:val="FF0000"/>
        </w:rPr>
        <w:t>incentives for mitigation</w:t>
      </w:r>
      <w:r w:rsidR="00986E1A" w:rsidRPr="00992108">
        <w:rPr>
          <w:rFonts w:asciiTheme="majorHAnsi" w:hAnsiTheme="majorHAnsi"/>
        </w:rPr>
        <w:t xml:space="preserve"> to reduce the number of properties exposed to natural disasters. Mitigation funding should be considered as a policy tool much like post disaster relief payments. </w:t>
      </w:r>
      <w:r w:rsidR="00986E1A" w:rsidRPr="00992108">
        <w:rPr>
          <w:rFonts w:asciiTheme="majorHAnsi" w:hAnsiTheme="majorHAnsi"/>
        </w:rPr>
        <w:lastRenderedPageBreak/>
        <w:t>People often choose not to mitigate due to their personal financial constraints.</w:t>
      </w:r>
    </w:p>
    <w:p w14:paraId="79FA5313" w14:textId="77777777" w:rsidR="00986E1A" w:rsidRPr="00524FF9" w:rsidRDefault="00992108" w:rsidP="00992108">
      <w:pPr>
        <w:pStyle w:val="ListParagraph"/>
        <w:numPr>
          <w:ilvl w:val="1"/>
          <w:numId w:val="3"/>
        </w:numPr>
        <w:spacing w:after="200" w:line="360" w:lineRule="auto"/>
        <w:jc w:val="both"/>
        <w:rPr>
          <w:rFonts w:asciiTheme="majorHAnsi" w:hAnsiTheme="majorHAnsi"/>
        </w:rPr>
      </w:pPr>
      <w:r w:rsidRPr="00992108">
        <w:rPr>
          <w:rFonts w:asciiTheme="majorHAnsi" w:hAnsiTheme="majorHAnsi"/>
          <w:color w:val="FF0000"/>
        </w:rPr>
        <w:t>R</w:t>
      </w:r>
      <w:r w:rsidR="00986E1A" w:rsidRPr="00992108">
        <w:rPr>
          <w:rFonts w:asciiTheme="majorHAnsi" w:hAnsiTheme="majorHAnsi"/>
          <w:color w:val="FF0000"/>
        </w:rPr>
        <w:t>isk</w:t>
      </w:r>
      <w:r w:rsidR="00B26AA2">
        <w:rPr>
          <w:rFonts w:asciiTheme="majorHAnsi" w:hAnsiTheme="majorHAnsi"/>
          <w:color w:val="FF0000"/>
        </w:rPr>
        <w:t>-</w:t>
      </w:r>
      <w:r w:rsidR="00986E1A" w:rsidRPr="00992108">
        <w:rPr>
          <w:rFonts w:asciiTheme="majorHAnsi" w:hAnsiTheme="majorHAnsi"/>
          <w:color w:val="FF0000"/>
        </w:rPr>
        <w:t>informed land planning</w:t>
      </w:r>
      <w:r w:rsidR="00986E1A" w:rsidRPr="00524FF9">
        <w:rPr>
          <w:rFonts w:asciiTheme="majorHAnsi" w:hAnsiTheme="majorHAnsi"/>
        </w:rPr>
        <w:t>. Government</w:t>
      </w:r>
      <w:r w:rsidR="00416A21">
        <w:rPr>
          <w:rFonts w:asciiTheme="majorHAnsi" w:hAnsiTheme="majorHAnsi"/>
        </w:rPr>
        <w:t>s play</w:t>
      </w:r>
      <w:r w:rsidR="00986E1A" w:rsidRPr="00524FF9">
        <w:rPr>
          <w:rFonts w:asciiTheme="majorHAnsi" w:hAnsiTheme="majorHAnsi"/>
        </w:rPr>
        <w:t xml:space="preserve"> a</w:t>
      </w:r>
      <w:r w:rsidR="00416A21">
        <w:rPr>
          <w:rFonts w:asciiTheme="majorHAnsi" w:hAnsiTheme="majorHAnsi"/>
        </w:rPr>
        <w:t>n</w:t>
      </w:r>
      <w:r w:rsidR="00986E1A" w:rsidRPr="00524FF9">
        <w:rPr>
          <w:rFonts w:asciiTheme="majorHAnsi" w:hAnsiTheme="majorHAnsi"/>
        </w:rPr>
        <w:t xml:space="preserve"> uniquely important role in land use planning in deciding what activity a particular parcel of land can be used for. </w:t>
      </w:r>
      <w:r w:rsidR="00416A21">
        <w:rPr>
          <w:rFonts w:asciiTheme="majorHAnsi" w:hAnsiTheme="majorHAnsi"/>
        </w:rPr>
        <w:t>However, it is our understanding that</w:t>
      </w:r>
      <w:r w:rsidR="00E72742">
        <w:rPr>
          <w:rFonts w:asciiTheme="majorHAnsi" w:hAnsiTheme="majorHAnsi"/>
        </w:rPr>
        <w:t xml:space="preserve"> even when </w:t>
      </w:r>
      <w:r w:rsidR="00416A21">
        <w:rPr>
          <w:rFonts w:asciiTheme="majorHAnsi" w:hAnsiTheme="majorHAnsi"/>
        </w:rPr>
        <w:t xml:space="preserve">both </w:t>
      </w:r>
      <w:r w:rsidR="00E72742">
        <w:rPr>
          <w:rFonts w:asciiTheme="majorHAnsi" w:hAnsiTheme="majorHAnsi"/>
        </w:rPr>
        <w:t xml:space="preserve">councils and emergency service object to new development on the basis of risk, these objections are often dismissed in the Land &amp; Environment Court. (Risk Frontiers is </w:t>
      </w:r>
      <w:r w:rsidR="00A6580E">
        <w:rPr>
          <w:rFonts w:asciiTheme="majorHAnsi" w:hAnsiTheme="majorHAnsi"/>
        </w:rPr>
        <w:t>currently c</w:t>
      </w:r>
      <w:r>
        <w:rPr>
          <w:rFonts w:asciiTheme="majorHAnsi" w:hAnsiTheme="majorHAnsi"/>
        </w:rPr>
        <w:t xml:space="preserve">onsidering </w:t>
      </w:r>
      <w:r w:rsidR="00E72742">
        <w:rPr>
          <w:rFonts w:asciiTheme="majorHAnsi" w:hAnsiTheme="majorHAnsi"/>
        </w:rPr>
        <w:t>explor</w:t>
      </w:r>
      <w:r>
        <w:rPr>
          <w:rFonts w:asciiTheme="majorHAnsi" w:hAnsiTheme="majorHAnsi"/>
        </w:rPr>
        <w:t>ing</w:t>
      </w:r>
      <w:r w:rsidR="00E72742">
        <w:rPr>
          <w:rFonts w:asciiTheme="majorHAnsi" w:hAnsiTheme="majorHAnsi"/>
        </w:rPr>
        <w:t xml:space="preserve"> this iss</w:t>
      </w:r>
      <w:r w:rsidR="005D0AB6">
        <w:rPr>
          <w:rFonts w:asciiTheme="majorHAnsi" w:hAnsiTheme="majorHAnsi"/>
        </w:rPr>
        <w:t>ue</w:t>
      </w:r>
      <w:r w:rsidR="00E72742">
        <w:rPr>
          <w:rFonts w:asciiTheme="majorHAnsi" w:hAnsiTheme="majorHAnsi"/>
        </w:rPr>
        <w:t xml:space="preserve"> in NSW.)</w:t>
      </w:r>
    </w:p>
    <w:p w14:paraId="1351F82A" w14:textId="77777777" w:rsidR="00986E1A" w:rsidRPr="00524FF9" w:rsidRDefault="00986E1A" w:rsidP="005702DD">
      <w:pPr>
        <w:pStyle w:val="ListParagraph"/>
        <w:numPr>
          <w:ilvl w:val="0"/>
          <w:numId w:val="3"/>
        </w:numPr>
        <w:spacing w:after="200" w:line="360" w:lineRule="auto"/>
        <w:jc w:val="both"/>
        <w:rPr>
          <w:rFonts w:asciiTheme="majorHAnsi" w:hAnsiTheme="majorHAnsi"/>
        </w:rPr>
      </w:pPr>
      <w:r w:rsidRPr="00524FF9">
        <w:rPr>
          <w:rFonts w:asciiTheme="majorHAnsi" w:hAnsiTheme="majorHAnsi"/>
        </w:rPr>
        <w:t xml:space="preserve">Building codes be revised when new information and technology comes to light. The recent floods in Brisbane have highlighted the fact that many modern buildings </w:t>
      </w:r>
      <w:r w:rsidR="00992108">
        <w:rPr>
          <w:rFonts w:asciiTheme="majorHAnsi" w:hAnsiTheme="majorHAnsi"/>
        </w:rPr>
        <w:t>have been</w:t>
      </w:r>
      <w:r w:rsidRPr="00524FF9">
        <w:rPr>
          <w:rFonts w:asciiTheme="majorHAnsi" w:hAnsiTheme="majorHAnsi"/>
        </w:rPr>
        <w:t xml:space="preserve"> built as ‘slab-on-grade’ and have floor levels much lower than more traditional </w:t>
      </w:r>
      <w:r w:rsidR="00E72742">
        <w:rPr>
          <w:rFonts w:asciiTheme="majorHAnsi" w:hAnsiTheme="majorHAnsi"/>
        </w:rPr>
        <w:t>Queenslanders</w:t>
      </w:r>
      <w:r w:rsidRPr="00524FF9">
        <w:rPr>
          <w:rFonts w:asciiTheme="majorHAnsi" w:hAnsiTheme="majorHAnsi"/>
        </w:rPr>
        <w:t xml:space="preserve">. </w:t>
      </w:r>
    </w:p>
    <w:p w14:paraId="4AAA2B43" w14:textId="77777777" w:rsidR="00986E1A" w:rsidRPr="00524FF9" w:rsidRDefault="00986E1A" w:rsidP="005702DD">
      <w:pPr>
        <w:pStyle w:val="ListParagraph"/>
        <w:numPr>
          <w:ilvl w:val="0"/>
          <w:numId w:val="3"/>
        </w:numPr>
        <w:spacing w:after="200" w:line="360" w:lineRule="auto"/>
        <w:jc w:val="both"/>
        <w:rPr>
          <w:rFonts w:asciiTheme="majorHAnsi" w:hAnsiTheme="majorHAnsi"/>
        </w:rPr>
      </w:pPr>
      <w:r w:rsidRPr="00524FF9">
        <w:rPr>
          <w:rFonts w:asciiTheme="majorHAnsi" w:hAnsiTheme="majorHAnsi"/>
        </w:rPr>
        <w:t xml:space="preserve">Government policy should be consistent </w:t>
      </w:r>
      <w:r w:rsidR="00E72742">
        <w:rPr>
          <w:rFonts w:asciiTheme="majorHAnsi" w:hAnsiTheme="majorHAnsi"/>
        </w:rPr>
        <w:t xml:space="preserve">(and coherent) </w:t>
      </w:r>
      <w:r w:rsidRPr="00524FF9">
        <w:rPr>
          <w:rFonts w:asciiTheme="majorHAnsi" w:hAnsiTheme="majorHAnsi"/>
        </w:rPr>
        <w:t xml:space="preserve">across all levels: federal, state and local. </w:t>
      </w:r>
    </w:p>
    <w:p w14:paraId="7D4A9888" w14:textId="77777777" w:rsidR="00986E1A" w:rsidRPr="00524FF9" w:rsidRDefault="00986E1A" w:rsidP="005702DD">
      <w:pPr>
        <w:pStyle w:val="ListParagraph"/>
        <w:numPr>
          <w:ilvl w:val="0"/>
          <w:numId w:val="3"/>
        </w:numPr>
        <w:spacing w:after="200" w:line="360" w:lineRule="auto"/>
        <w:jc w:val="both"/>
        <w:rPr>
          <w:rFonts w:asciiTheme="majorHAnsi" w:hAnsiTheme="majorHAnsi"/>
        </w:rPr>
      </w:pPr>
      <w:r w:rsidRPr="00524FF9">
        <w:rPr>
          <w:rFonts w:asciiTheme="majorHAnsi" w:hAnsiTheme="majorHAnsi"/>
        </w:rPr>
        <w:t xml:space="preserve">Governments should encourage a viable private insurance sector and in particular, </w:t>
      </w:r>
      <w:r w:rsidR="00E72742">
        <w:rPr>
          <w:rFonts w:asciiTheme="majorHAnsi" w:hAnsiTheme="majorHAnsi"/>
        </w:rPr>
        <w:t xml:space="preserve">support </w:t>
      </w:r>
      <w:r w:rsidRPr="00524FF9">
        <w:rPr>
          <w:rFonts w:asciiTheme="majorHAnsi" w:hAnsiTheme="majorHAnsi"/>
        </w:rPr>
        <w:t xml:space="preserve">insurance premiums </w:t>
      </w:r>
      <w:r w:rsidR="00E72742">
        <w:rPr>
          <w:rFonts w:asciiTheme="majorHAnsi" w:hAnsiTheme="majorHAnsi"/>
        </w:rPr>
        <w:t>that</w:t>
      </w:r>
      <w:r w:rsidRPr="00524FF9">
        <w:rPr>
          <w:rFonts w:asciiTheme="majorHAnsi" w:hAnsiTheme="majorHAnsi"/>
        </w:rPr>
        <w:t xml:space="preserve"> reflect actual risks. Communities potentially face restrictions on the supply of private insurance if insurers are unable to charge a fair price for their policies. </w:t>
      </w:r>
    </w:p>
    <w:p w14:paraId="31CA8887" w14:textId="77777777" w:rsidR="00986E1A" w:rsidRDefault="00986E1A" w:rsidP="005702DD">
      <w:pPr>
        <w:pStyle w:val="ListParagraph"/>
        <w:numPr>
          <w:ilvl w:val="0"/>
          <w:numId w:val="3"/>
        </w:numPr>
        <w:spacing w:after="200" w:line="360" w:lineRule="auto"/>
        <w:jc w:val="both"/>
        <w:rPr>
          <w:rFonts w:asciiTheme="majorHAnsi" w:hAnsiTheme="majorHAnsi"/>
        </w:rPr>
      </w:pPr>
      <w:r w:rsidRPr="00524FF9">
        <w:rPr>
          <w:rFonts w:asciiTheme="majorHAnsi" w:hAnsiTheme="majorHAnsi"/>
        </w:rPr>
        <w:t>The government consider subsidising risk-based premiums for residents already living in extreme hazard-prone areas</w:t>
      </w:r>
      <w:r w:rsidR="00813683">
        <w:rPr>
          <w:rFonts w:asciiTheme="majorHAnsi" w:hAnsiTheme="majorHAnsi"/>
        </w:rPr>
        <w:t xml:space="preserve"> to deal with the legacy problem</w:t>
      </w:r>
      <w:r w:rsidRPr="00524FF9">
        <w:rPr>
          <w:rFonts w:asciiTheme="majorHAnsi" w:hAnsiTheme="majorHAnsi"/>
        </w:rPr>
        <w:t>; people who later decide to move into the area should be charged market premiums reflecting the real risk.</w:t>
      </w:r>
    </w:p>
    <w:p w14:paraId="41E464E8" w14:textId="77777777" w:rsidR="00A6580E" w:rsidRDefault="00A6580E" w:rsidP="005702DD">
      <w:pPr>
        <w:pStyle w:val="ListParagraph"/>
        <w:numPr>
          <w:ilvl w:val="0"/>
          <w:numId w:val="3"/>
        </w:numPr>
        <w:spacing w:after="200" w:line="360" w:lineRule="auto"/>
        <w:jc w:val="both"/>
        <w:rPr>
          <w:rFonts w:asciiTheme="majorHAnsi" w:hAnsiTheme="majorHAnsi"/>
        </w:rPr>
      </w:pPr>
      <w:r>
        <w:rPr>
          <w:rFonts w:asciiTheme="majorHAnsi" w:hAnsiTheme="majorHAnsi"/>
        </w:rPr>
        <w:t>Make hazard information available to the public especially at the point of sale of properties. Risk Frontiers would be pleased to help in this respect in partnership with Government.</w:t>
      </w:r>
    </w:p>
    <w:p w14:paraId="71FFE528" w14:textId="77777777" w:rsidR="00986E1A" w:rsidRPr="00524FF9" w:rsidRDefault="00986E1A" w:rsidP="00986E1A">
      <w:pPr>
        <w:spacing w:line="360" w:lineRule="auto"/>
        <w:ind w:left="360"/>
        <w:jc w:val="both"/>
        <w:rPr>
          <w:rFonts w:asciiTheme="majorHAnsi" w:hAnsiTheme="majorHAnsi"/>
        </w:rPr>
      </w:pPr>
    </w:p>
    <w:p w14:paraId="01071750" w14:textId="77777777" w:rsidR="00986E1A" w:rsidRPr="00524FF9" w:rsidRDefault="00986E1A" w:rsidP="005D0AB6">
      <w:pPr>
        <w:pStyle w:val="Heading1"/>
      </w:pPr>
      <w:r w:rsidRPr="00524FF9">
        <w:t>References</w:t>
      </w:r>
    </w:p>
    <w:p w14:paraId="0815FB35" w14:textId="77777777" w:rsidR="001B0CA1" w:rsidRDefault="001B0CA1" w:rsidP="00986E1A">
      <w:pPr>
        <w:ind w:firstLine="66"/>
        <w:rPr>
          <w:rFonts w:asciiTheme="majorHAnsi" w:hAnsiTheme="majorHAnsi"/>
          <w:lang w:val="en-US"/>
        </w:rPr>
      </w:pPr>
    </w:p>
    <w:p w14:paraId="4E52DB00" w14:textId="77777777" w:rsidR="00986E1A" w:rsidRPr="00524FF9" w:rsidRDefault="00986E1A" w:rsidP="00986E1A">
      <w:pPr>
        <w:ind w:firstLine="66"/>
        <w:rPr>
          <w:rFonts w:asciiTheme="majorHAnsi" w:hAnsiTheme="majorHAnsi"/>
          <w:lang w:val="en-US"/>
        </w:rPr>
      </w:pPr>
      <w:r w:rsidRPr="00524FF9">
        <w:rPr>
          <w:rFonts w:asciiTheme="majorHAnsi" w:hAnsiTheme="majorHAnsi"/>
          <w:lang w:val="en-US"/>
        </w:rPr>
        <w:t xml:space="preserve">Australian Bureau of Statistics (2009) </w:t>
      </w:r>
      <w:hyperlink r:id="rId19" w:history="1">
        <w:r w:rsidRPr="00524FF9">
          <w:rPr>
            <w:rStyle w:val="Hyperlink"/>
            <w:rFonts w:asciiTheme="majorHAnsi" w:hAnsiTheme="majorHAnsi"/>
            <w:lang w:val="en-US"/>
          </w:rPr>
          <w:t>http://www.abs.gov.au/</w:t>
        </w:r>
      </w:hyperlink>
      <w:r w:rsidRPr="00524FF9">
        <w:rPr>
          <w:rFonts w:asciiTheme="majorHAnsi" w:hAnsiTheme="majorHAnsi"/>
          <w:lang w:val="en-US"/>
        </w:rPr>
        <w:t xml:space="preserve"> (last accessed  June 4 2014).</w:t>
      </w:r>
    </w:p>
    <w:p w14:paraId="5BA85D90" w14:textId="77777777" w:rsidR="00986E1A" w:rsidRPr="00524FF9" w:rsidRDefault="00986E1A" w:rsidP="00986E1A">
      <w:pPr>
        <w:ind w:firstLine="66"/>
        <w:rPr>
          <w:rFonts w:asciiTheme="majorHAnsi" w:hAnsiTheme="majorHAnsi"/>
          <w:lang w:val="en-US"/>
        </w:rPr>
      </w:pPr>
    </w:p>
    <w:p w14:paraId="651A3547" w14:textId="77777777" w:rsidR="00986E1A" w:rsidRPr="000E4202" w:rsidRDefault="00986E1A" w:rsidP="00986E1A">
      <w:pPr>
        <w:ind w:firstLine="66"/>
        <w:rPr>
          <w:rFonts w:asciiTheme="majorHAnsi" w:hAnsiTheme="majorHAnsi"/>
          <w:lang w:val="en-US"/>
        </w:rPr>
      </w:pPr>
      <w:r w:rsidRPr="000E4202">
        <w:rPr>
          <w:rFonts w:asciiTheme="majorHAnsi" w:hAnsiTheme="majorHAnsi"/>
          <w:lang w:val="en-US"/>
        </w:rPr>
        <w:lastRenderedPageBreak/>
        <w:t xml:space="preserve">Crompton, R. P. &amp; K. J. McAneney (2008) Normalised Australian insured losses from meteorological hazards: 1967-2006. </w:t>
      </w:r>
      <w:r w:rsidRPr="000E4202">
        <w:rPr>
          <w:rFonts w:asciiTheme="majorHAnsi" w:hAnsiTheme="majorHAnsi"/>
          <w:i/>
          <w:lang w:val="en-US"/>
        </w:rPr>
        <w:t>Environmental Science &amp; Policy,</w:t>
      </w:r>
      <w:r w:rsidRPr="000E4202">
        <w:rPr>
          <w:rFonts w:asciiTheme="majorHAnsi" w:hAnsiTheme="majorHAnsi"/>
          <w:lang w:val="en-US"/>
        </w:rPr>
        <w:t xml:space="preserve"> 11</w:t>
      </w:r>
      <w:r w:rsidRPr="000E4202">
        <w:rPr>
          <w:rFonts w:asciiTheme="majorHAnsi" w:hAnsiTheme="majorHAnsi"/>
          <w:b/>
          <w:lang w:val="en-US"/>
        </w:rPr>
        <w:t>,</w:t>
      </w:r>
      <w:r w:rsidRPr="000E4202">
        <w:rPr>
          <w:rFonts w:asciiTheme="majorHAnsi" w:hAnsiTheme="majorHAnsi"/>
          <w:lang w:val="en-US"/>
        </w:rPr>
        <w:t xml:space="preserve"> 371-378.</w:t>
      </w:r>
    </w:p>
    <w:p w14:paraId="397AC813" w14:textId="77777777" w:rsidR="000E4202" w:rsidRDefault="000E4202" w:rsidP="000E4202">
      <w:pPr>
        <w:rPr>
          <w:rFonts w:asciiTheme="majorHAnsi" w:hAnsiTheme="majorHAnsi" w:cs="Trebuchet MS"/>
          <w:lang w:val="en-US"/>
        </w:rPr>
      </w:pPr>
    </w:p>
    <w:p w14:paraId="365A4E3B" w14:textId="77777777" w:rsidR="000E4202" w:rsidRPr="000E4202" w:rsidRDefault="000E4202" w:rsidP="000E4202">
      <w:pPr>
        <w:rPr>
          <w:rFonts w:asciiTheme="majorHAnsi" w:hAnsiTheme="majorHAnsi"/>
          <w:lang w:val="en-US"/>
        </w:rPr>
      </w:pPr>
      <w:r w:rsidRPr="000E4202">
        <w:rPr>
          <w:rFonts w:asciiTheme="majorHAnsi" w:hAnsiTheme="majorHAnsi" w:cs="Trebuchet MS"/>
          <w:lang w:val="en-US"/>
        </w:rPr>
        <w:t xml:space="preserve">Crompton, R. P., 2011. </w:t>
      </w:r>
      <w:r w:rsidRPr="000E4202">
        <w:rPr>
          <w:rFonts w:asciiTheme="majorHAnsi" w:hAnsiTheme="majorHAnsi" w:cs="Trebuchet MS"/>
          <w:i/>
          <w:lang w:val="en-US"/>
        </w:rPr>
        <w:t>Normalising the Insurance Council of Australia Natural Disaster Event List: 1967–2011.</w:t>
      </w:r>
      <w:r w:rsidRPr="000E4202">
        <w:rPr>
          <w:rFonts w:asciiTheme="majorHAnsi" w:hAnsiTheme="majorHAnsi" w:cs="Trebuchet MS"/>
          <w:lang w:val="en-US"/>
        </w:rPr>
        <w:t xml:space="preserve"> </w:t>
      </w:r>
      <w:r>
        <w:rPr>
          <w:rFonts w:asciiTheme="majorHAnsi" w:hAnsiTheme="majorHAnsi" w:cs="Trebuchet MS"/>
          <w:lang w:val="en-US"/>
        </w:rPr>
        <w:t xml:space="preserve">Report prepared for the </w:t>
      </w:r>
      <w:r w:rsidRPr="000E4202">
        <w:rPr>
          <w:rFonts w:asciiTheme="majorHAnsi" w:hAnsiTheme="majorHAnsi" w:cs="Trebuchet MS"/>
          <w:lang w:val="en-US"/>
        </w:rPr>
        <w:t>Insurance Council of Australia (ICA), Risk Frontiers.</w:t>
      </w:r>
    </w:p>
    <w:p w14:paraId="4177F24B" w14:textId="77777777" w:rsidR="00986E1A" w:rsidRPr="00524FF9" w:rsidRDefault="00986E1A" w:rsidP="00986E1A">
      <w:pPr>
        <w:ind w:firstLine="66"/>
        <w:rPr>
          <w:rFonts w:asciiTheme="majorHAnsi" w:hAnsiTheme="majorHAnsi"/>
          <w:lang w:val="en-US"/>
        </w:rPr>
      </w:pPr>
    </w:p>
    <w:p w14:paraId="3196FE50" w14:textId="77777777" w:rsidR="00986E1A" w:rsidRPr="00524FF9" w:rsidRDefault="00986E1A" w:rsidP="00986E1A">
      <w:pPr>
        <w:ind w:firstLine="66"/>
        <w:rPr>
          <w:rFonts w:asciiTheme="majorHAnsi" w:hAnsiTheme="majorHAnsi"/>
          <w:lang w:val="en-US"/>
        </w:rPr>
      </w:pPr>
      <w:r w:rsidRPr="00524FF9">
        <w:rPr>
          <w:rFonts w:asciiTheme="majorHAnsi" w:hAnsiTheme="majorHAnsi"/>
          <w:lang w:val="en-US"/>
        </w:rPr>
        <w:t xml:space="preserve">Kunreuther, H. C., E. O. Michel-Kerjan, N. A. Doherty, M. F. Grace, R. W. Klein &amp; M. V. Pauly. 2009. </w:t>
      </w:r>
      <w:r w:rsidRPr="00524FF9">
        <w:rPr>
          <w:rFonts w:asciiTheme="majorHAnsi" w:hAnsiTheme="majorHAnsi"/>
          <w:i/>
          <w:lang w:val="en-US"/>
        </w:rPr>
        <w:t>At War with the Weather</w:t>
      </w:r>
      <w:r w:rsidRPr="00524FF9">
        <w:rPr>
          <w:rFonts w:asciiTheme="majorHAnsi" w:hAnsiTheme="majorHAnsi"/>
          <w:lang w:val="en-US"/>
        </w:rPr>
        <w:t>. The MIT Press.</w:t>
      </w:r>
    </w:p>
    <w:p w14:paraId="08A71F74" w14:textId="77777777" w:rsidR="00986E1A" w:rsidRPr="00524FF9" w:rsidRDefault="00986E1A" w:rsidP="00986E1A">
      <w:pPr>
        <w:ind w:firstLine="66"/>
        <w:rPr>
          <w:rFonts w:asciiTheme="majorHAnsi" w:hAnsiTheme="majorHAnsi"/>
          <w:lang w:val="en-US"/>
        </w:rPr>
      </w:pPr>
    </w:p>
    <w:p w14:paraId="0E6E5732" w14:textId="77777777" w:rsidR="00986E1A" w:rsidRPr="00524FF9" w:rsidRDefault="00986E1A" w:rsidP="00986E1A">
      <w:pPr>
        <w:ind w:firstLine="66"/>
        <w:rPr>
          <w:rFonts w:asciiTheme="majorHAnsi" w:hAnsiTheme="majorHAnsi"/>
          <w:lang w:val="en-US"/>
        </w:rPr>
      </w:pPr>
      <w:r w:rsidRPr="00524FF9">
        <w:rPr>
          <w:rFonts w:asciiTheme="majorHAnsi" w:hAnsiTheme="majorHAnsi"/>
          <w:lang w:val="en-US"/>
        </w:rPr>
        <w:t xml:space="preserve">Musulin, R. T. (1997) Issues in the regulatory acceptance of computer modeling for property insurance ratemaking. </w:t>
      </w:r>
      <w:r w:rsidRPr="00524FF9">
        <w:rPr>
          <w:rFonts w:asciiTheme="majorHAnsi" w:hAnsiTheme="majorHAnsi"/>
          <w:i/>
          <w:lang w:val="en-US"/>
        </w:rPr>
        <w:t>Journal of Insurance Regulation,</w:t>
      </w:r>
      <w:r w:rsidRPr="00524FF9">
        <w:rPr>
          <w:rFonts w:asciiTheme="majorHAnsi" w:hAnsiTheme="majorHAnsi"/>
          <w:lang w:val="en-US"/>
        </w:rPr>
        <w:t xml:space="preserve"> 15</w:t>
      </w:r>
      <w:r w:rsidRPr="00524FF9">
        <w:rPr>
          <w:rFonts w:asciiTheme="majorHAnsi" w:hAnsiTheme="majorHAnsi"/>
          <w:b/>
          <w:lang w:val="en-US"/>
        </w:rPr>
        <w:t>,</w:t>
      </w:r>
      <w:r w:rsidRPr="00524FF9">
        <w:rPr>
          <w:rFonts w:asciiTheme="majorHAnsi" w:hAnsiTheme="majorHAnsi"/>
          <w:lang w:val="en-US"/>
        </w:rPr>
        <w:t xml:space="preserve"> 342-359.</w:t>
      </w:r>
    </w:p>
    <w:p w14:paraId="3A13D987" w14:textId="77777777" w:rsidR="00986E1A" w:rsidRPr="00524FF9" w:rsidRDefault="00986E1A" w:rsidP="00986E1A">
      <w:pPr>
        <w:ind w:firstLine="66"/>
        <w:rPr>
          <w:rFonts w:asciiTheme="majorHAnsi" w:hAnsiTheme="majorHAnsi"/>
          <w:lang w:val="en-US"/>
        </w:rPr>
      </w:pPr>
    </w:p>
    <w:p w14:paraId="268CEB02" w14:textId="77777777" w:rsidR="00986E1A" w:rsidRPr="00524FF9" w:rsidRDefault="00986E1A" w:rsidP="00986E1A">
      <w:pPr>
        <w:ind w:firstLine="66"/>
        <w:rPr>
          <w:rFonts w:asciiTheme="majorHAnsi" w:hAnsiTheme="majorHAnsi"/>
          <w:lang w:val="en-US"/>
        </w:rPr>
      </w:pPr>
      <w:r w:rsidRPr="00524FF9">
        <w:rPr>
          <w:rFonts w:asciiTheme="majorHAnsi" w:hAnsiTheme="majorHAnsi"/>
          <w:lang w:val="en-US"/>
        </w:rPr>
        <w:t xml:space="preserve">Musulin, R. T., R. Lin &amp; S. Frank. 2009. Dealing with the axis of financial destruction, demographics, development and disasters. In </w:t>
      </w:r>
      <w:r w:rsidRPr="00524FF9">
        <w:rPr>
          <w:rFonts w:asciiTheme="majorHAnsi" w:hAnsiTheme="majorHAnsi"/>
          <w:i/>
          <w:lang w:val="en-US"/>
        </w:rPr>
        <w:t xml:space="preserve">Beyond PML: Frequency vs. Severity </w:t>
      </w:r>
      <w:r w:rsidRPr="00524FF9">
        <w:rPr>
          <w:rFonts w:asciiTheme="majorHAnsi" w:hAnsiTheme="majorHAnsi"/>
          <w:lang w:val="en-US"/>
        </w:rPr>
        <w:t>ed. N. Britton, 77- 95. Gold Coast, Australia: Aon Benfield Australia.</w:t>
      </w:r>
    </w:p>
    <w:p w14:paraId="072072D6" w14:textId="77777777" w:rsidR="00986E1A" w:rsidRPr="00524FF9" w:rsidRDefault="00986E1A" w:rsidP="00986E1A">
      <w:pPr>
        <w:ind w:firstLine="66"/>
        <w:rPr>
          <w:rFonts w:asciiTheme="majorHAnsi" w:hAnsiTheme="majorHAnsi"/>
          <w:lang w:val="en-US"/>
        </w:rPr>
      </w:pPr>
    </w:p>
    <w:p w14:paraId="02E23DAF" w14:textId="77777777" w:rsidR="00986E1A" w:rsidRPr="00640FCC" w:rsidRDefault="00986E1A" w:rsidP="00986E1A">
      <w:pPr>
        <w:ind w:firstLine="66"/>
        <w:rPr>
          <w:rFonts w:asciiTheme="majorHAnsi" w:hAnsiTheme="majorHAnsi"/>
          <w:lang w:val="en-US"/>
        </w:rPr>
      </w:pPr>
      <w:r w:rsidRPr="00640FCC">
        <w:rPr>
          <w:rFonts w:asciiTheme="majorHAnsi" w:hAnsiTheme="majorHAnsi"/>
          <w:lang w:val="en-US"/>
        </w:rPr>
        <w:t xml:space="preserve">Pielke Jr, R. A., J. Gratz, C. W. Landsea, D. Collins, M. A. Saunders &amp; R. Musulin (2008) Normalized hurricane damage in the United States: 1900–2005. </w:t>
      </w:r>
      <w:r w:rsidRPr="00640FCC">
        <w:rPr>
          <w:rFonts w:asciiTheme="majorHAnsi" w:hAnsiTheme="majorHAnsi"/>
          <w:i/>
          <w:lang w:val="en-US"/>
        </w:rPr>
        <w:t>Natural Hazards Review,</w:t>
      </w:r>
      <w:r w:rsidRPr="00640FCC">
        <w:rPr>
          <w:rFonts w:asciiTheme="majorHAnsi" w:hAnsiTheme="majorHAnsi"/>
          <w:lang w:val="en-US"/>
        </w:rPr>
        <w:t xml:space="preserve"> 9</w:t>
      </w:r>
      <w:r w:rsidRPr="00640FCC">
        <w:rPr>
          <w:rFonts w:asciiTheme="majorHAnsi" w:hAnsiTheme="majorHAnsi"/>
          <w:b/>
          <w:lang w:val="en-US"/>
        </w:rPr>
        <w:t>,</w:t>
      </w:r>
      <w:r w:rsidRPr="00640FCC">
        <w:rPr>
          <w:rFonts w:asciiTheme="majorHAnsi" w:hAnsiTheme="majorHAnsi"/>
          <w:lang w:val="en-US"/>
        </w:rPr>
        <w:t xml:space="preserve"> 29-42.</w:t>
      </w:r>
    </w:p>
    <w:p w14:paraId="3C65100E" w14:textId="77777777" w:rsidR="00640FCC" w:rsidRDefault="00640FCC" w:rsidP="00640FCC">
      <w:pPr>
        <w:rPr>
          <w:rFonts w:asciiTheme="majorHAnsi" w:hAnsiTheme="majorHAnsi"/>
          <w:lang w:eastAsia="en-AU"/>
        </w:rPr>
      </w:pPr>
    </w:p>
    <w:p w14:paraId="0C25CCBF" w14:textId="77777777" w:rsidR="008D7C56" w:rsidRDefault="00640FCC" w:rsidP="00640FCC">
      <w:pPr>
        <w:rPr>
          <w:rFonts w:asciiTheme="majorHAnsi" w:hAnsiTheme="majorHAnsi" w:cs="Arial"/>
          <w:color w:val="535353"/>
        </w:rPr>
        <w:sectPr w:rsidR="008D7C56" w:rsidSect="00DB02DE">
          <w:footerReference w:type="even" r:id="rId20"/>
          <w:footerReference w:type="default" r:id="rId21"/>
          <w:headerReference w:type="first" r:id="rId22"/>
          <w:footerReference w:type="first" r:id="rId23"/>
          <w:pgSz w:w="11900" w:h="16840"/>
          <w:pgMar w:top="1560" w:right="1800" w:bottom="1440" w:left="1800" w:header="708" w:footer="708" w:gutter="0"/>
          <w:cols w:space="708"/>
          <w:titlePg/>
          <w:docGrid w:linePitch="360"/>
        </w:sectPr>
      </w:pPr>
      <w:r w:rsidRPr="00640FCC">
        <w:rPr>
          <w:rFonts w:asciiTheme="majorHAnsi" w:hAnsiTheme="majorHAnsi"/>
          <w:lang w:eastAsia="en-AU"/>
        </w:rPr>
        <w:t xml:space="preserve">Roche, K., McAneney, K.J. Chen, K and R. Crompton, 2011. The Great Australian Flood of 1954: cost of a recurrence. </w:t>
      </w:r>
      <w:r w:rsidRPr="00640FCC">
        <w:rPr>
          <w:rStyle w:val="Emphasis"/>
          <w:rFonts w:asciiTheme="majorHAnsi" w:hAnsiTheme="majorHAnsi" w:cs="Arial"/>
        </w:rPr>
        <w:t>Weather, Climate and Society,</w:t>
      </w:r>
      <w:r w:rsidRPr="00640FCC">
        <w:rPr>
          <w:rFonts w:asciiTheme="majorHAnsi" w:hAnsiTheme="majorHAnsi" w:cs="Arial"/>
        </w:rPr>
        <w:t xml:space="preserve"> </w:t>
      </w:r>
      <w:r w:rsidRPr="00640FCC">
        <w:rPr>
          <w:rFonts w:asciiTheme="majorHAnsi" w:hAnsiTheme="majorHAnsi" w:cs="Arial"/>
          <w:color w:val="535353"/>
        </w:rPr>
        <w:t>5: 199-209.</w:t>
      </w:r>
    </w:p>
    <w:p w14:paraId="212C75D5" w14:textId="77777777" w:rsidR="00DB02DE" w:rsidRDefault="00DB02DE" w:rsidP="00640FCC">
      <w:pPr>
        <w:rPr>
          <w:rFonts w:asciiTheme="majorHAnsi" w:hAnsiTheme="majorHAnsi" w:cs="Arial"/>
          <w:color w:val="535353"/>
        </w:rPr>
      </w:pPr>
    </w:p>
    <w:p w14:paraId="41B139EE" w14:textId="77777777" w:rsidR="008D7C56" w:rsidRDefault="008D7C56" w:rsidP="00640FCC">
      <w:pPr>
        <w:rPr>
          <w:rFonts w:asciiTheme="majorHAnsi" w:hAnsiTheme="majorHAnsi" w:cs="Arial"/>
          <w:color w:val="535353"/>
        </w:rPr>
      </w:pPr>
    </w:p>
    <w:p w14:paraId="4708393A" w14:textId="77777777" w:rsidR="008D7C56" w:rsidRDefault="008D7C56" w:rsidP="00640FCC">
      <w:pPr>
        <w:rPr>
          <w:rFonts w:asciiTheme="majorHAnsi" w:hAnsiTheme="majorHAnsi" w:cs="Arial"/>
          <w:color w:val="535353"/>
        </w:rPr>
      </w:pPr>
    </w:p>
    <w:p w14:paraId="218830C7" w14:textId="77777777" w:rsidR="008D7C56" w:rsidRDefault="008D7C56" w:rsidP="00640FCC">
      <w:pPr>
        <w:rPr>
          <w:rFonts w:asciiTheme="majorHAnsi" w:hAnsiTheme="majorHAnsi" w:cs="Arial"/>
          <w:color w:val="535353"/>
        </w:rPr>
      </w:pPr>
    </w:p>
    <w:p w14:paraId="00C3F972" w14:textId="77777777" w:rsidR="008D7C56" w:rsidRDefault="008D7C56" w:rsidP="00640FCC">
      <w:pPr>
        <w:rPr>
          <w:rFonts w:asciiTheme="majorHAnsi" w:hAnsiTheme="majorHAnsi" w:cs="Arial"/>
          <w:color w:val="535353"/>
        </w:rPr>
      </w:pPr>
    </w:p>
    <w:p w14:paraId="794531E6" w14:textId="77777777" w:rsidR="008D7C56" w:rsidRDefault="008D7C56" w:rsidP="00640FCC">
      <w:pPr>
        <w:rPr>
          <w:rFonts w:asciiTheme="majorHAnsi" w:hAnsiTheme="majorHAnsi" w:cs="Arial"/>
          <w:color w:val="535353"/>
        </w:rPr>
      </w:pPr>
    </w:p>
    <w:p w14:paraId="6E983A31" w14:textId="77777777" w:rsidR="008D7C56" w:rsidRPr="008D7C56" w:rsidRDefault="008D7C56" w:rsidP="008D7C56">
      <w:pPr>
        <w:rPr>
          <w:rFonts w:asciiTheme="majorHAnsi" w:hAnsiTheme="majorHAnsi" w:cs="Arial"/>
        </w:rPr>
      </w:pPr>
    </w:p>
    <w:p w14:paraId="60FD55EC" w14:textId="77777777" w:rsidR="008D7C56" w:rsidRPr="008D7C56" w:rsidRDefault="008D7C56" w:rsidP="008D7C56">
      <w:pPr>
        <w:rPr>
          <w:rFonts w:asciiTheme="majorHAnsi" w:hAnsiTheme="majorHAnsi" w:cs="Arial"/>
        </w:rPr>
      </w:pPr>
    </w:p>
    <w:p w14:paraId="71D61CC4" w14:textId="77777777" w:rsidR="008D7C56" w:rsidRPr="008D7C56" w:rsidRDefault="008D7C56" w:rsidP="008D7C56">
      <w:pPr>
        <w:rPr>
          <w:rFonts w:asciiTheme="majorHAnsi" w:hAnsiTheme="majorHAnsi" w:cs="Arial"/>
        </w:rPr>
      </w:pPr>
    </w:p>
    <w:p w14:paraId="3E1A89D5" w14:textId="77777777" w:rsidR="008D7C56" w:rsidRPr="008D7C56" w:rsidRDefault="008D7C56" w:rsidP="008D7C56">
      <w:pPr>
        <w:rPr>
          <w:rFonts w:asciiTheme="majorHAnsi" w:hAnsiTheme="majorHAnsi" w:cs="Arial"/>
        </w:rPr>
      </w:pPr>
    </w:p>
    <w:p w14:paraId="1B268952" w14:textId="77777777" w:rsidR="008D7C56" w:rsidRPr="008D7C56" w:rsidRDefault="008D7C56" w:rsidP="008D7C56">
      <w:pPr>
        <w:rPr>
          <w:rFonts w:asciiTheme="majorHAnsi" w:hAnsiTheme="majorHAnsi" w:cs="Arial"/>
        </w:rPr>
      </w:pPr>
    </w:p>
    <w:p w14:paraId="306ED992" w14:textId="77777777" w:rsidR="008D7C56" w:rsidRPr="008D7C56" w:rsidRDefault="008D7C56" w:rsidP="008D7C56">
      <w:pPr>
        <w:rPr>
          <w:rFonts w:asciiTheme="majorHAnsi" w:hAnsiTheme="majorHAnsi" w:cs="Arial"/>
        </w:rPr>
      </w:pPr>
    </w:p>
    <w:p w14:paraId="279D7428" w14:textId="77777777" w:rsidR="008D7C56" w:rsidRPr="008D7C56" w:rsidRDefault="008D7C56" w:rsidP="008D7C56">
      <w:pPr>
        <w:rPr>
          <w:rFonts w:asciiTheme="majorHAnsi" w:hAnsiTheme="majorHAnsi" w:cs="Arial"/>
        </w:rPr>
      </w:pPr>
    </w:p>
    <w:p w14:paraId="5E7DEC42" w14:textId="77777777" w:rsidR="008D7C56" w:rsidRDefault="008D7C56" w:rsidP="008D7C56">
      <w:pPr>
        <w:jc w:val="center"/>
        <w:rPr>
          <w:rFonts w:asciiTheme="majorHAnsi" w:hAnsiTheme="majorHAnsi" w:cs="Arial"/>
        </w:rPr>
      </w:pPr>
    </w:p>
    <w:p w14:paraId="1FDD95FE" w14:textId="77777777" w:rsidR="008D7C56" w:rsidRDefault="008D7C56" w:rsidP="008D7C56">
      <w:pPr>
        <w:jc w:val="center"/>
        <w:rPr>
          <w:rFonts w:asciiTheme="majorHAnsi" w:hAnsiTheme="majorHAnsi" w:cs="Arial"/>
        </w:rPr>
      </w:pPr>
    </w:p>
    <w:p w14:paraId="12CFE7F9" w14:textId="77777777" w:rsidR="008D7C56" w:rsidRDefault="008D7C56" w:rsidP="008D7C56">
      <w:pPr>
        <w:jc w:val="center"/>
        <w:rPr>
          <w:rFonts w:asciiTheme="majorHAnsi" w:hAnsiTheme="majorHAnsi" w:cs="Arial"/>
        </w:rPr>
      </w:pPr>
    </w:p>
    <w:p w14:paraId="4D0305DC" w14:textId="77777777" w:rsidR="008D7C56" w:rsidRDefault="008D7C56" w:rsidP="008D7C56">
      <w:pPr>
        <w:jc w:val="center"/>
        <w:rPr>
          <w:rFonts w:asciiTheme="majorHAnsi" w:hAnsiTheme="majorHAnsi" w:cs="Arial"/>
        </w:rPr>
      </w:pPr>
    </w:p>
    <w:p w14:paraId="0804B0ED" w14:textId="77777777" w:rsidR="008D7C56" w:rsidRDefault="008D7C56" w:rsidP="008D7C56">
      <w:pPr>
        <w:jc w:val="center"/>
        <w:rPr>
          <w:rFonts w:asciiTheme="majorHAnsi" w:hAnsiTheme="majorHAnsi" w:cs="Arial"/>
          <w:sz w:val="56"/>
        </w:rPr>
      </w:pPr>
      <w:r w:rsidRPr="008D7C56">
        <w:rPr>
          <w:rFonts w:asciiTheme="majorHAnsi" w:hAnsiTheme="majorHAnsi" w:cs="Arial"/>
          <w:sz w:val="56"/>
        </w:rPr>
        <w:t>Appendix A</w:t>
      </w:r>
    </w:p>
    <w:p w14:paraId="37042C12" w14:textId="77777777" w:rsidR="008D7C56" w:rsidRDefault="008D7C56" w:rsidP="008D7C56">
      <w:pPr>
        <w:jc w:val="center"/>
        <w:rPr>
          <w:rFonts w:asciiTheme="majorHAnsi" w:hAnsiTheme="majorHAnsi" w:cs="Arial"/>
          <w:sz w:val="56"/>
        </w:rPr>
      </w:pPr>
    </w:p>
    <w:p w14:paraId="361B7C51" w14:textId="77777777" w:rsidR="008D7C56" w:rsidRDefault="008D7C56" w:rsidP="008D7C56">
      <w:pPr>
        <w:jc w:val="center"/>
        <w:rPr>
          <w:rFonts w:asciiTheme="majorHAnsi" w:hAnsiTheme="majorHAnsi" w:cs="Arial"/>
          <w:sz w:val="56"/>
        </w:rPr>
      </w:pPr>
    </w:p>
    <w:p w14:paraId="577CF7BB" w14:textId="77777777" w:rsidR="008D7C56" w:rsidRPr="008D7C56" w:rsidRDefault="008D7C56" w:rsidP="008D7C56">
      <w:pPr>
        <w:jc w:val="center"/>
        <w:rPr>
          <w:rFonts w:asciiTheme="majorHAnsi" w:hAnsiTheme="majorHAnsi" w:cs="Arial"/>
          <w:sz w:val="32"/>
        </w:rPr>
      </w:pPr>
      <w:r w:rsidRPr="008D7C56">
        <w:rPr>
          <w:rFonts w:asciiTheme="majorHAnsi" w:hAnsiTheme="majorHAnsi" w:cs="Arial"/>
          <w:sz w:val="32"/>
        </w:rPr>
        <w:t>Briefing Note 272</w:t>
      </w:r>
    </w:p>
    <w:p w14:paraId="7038A5A2" w14:textId="77777777" w:rsidR="008D7C56" w:rsidRDefault="008D7C56" w:rsidP="008D7C56">
      <w:pPr>
        <w:jc w:val="center"/>
        <w:rPr>
          <w:rFonts w:asciiTheme="majorHAnsi" w:hAnsiTheme="majorHAnsi" w:cs="Arial"/>
          <w:sz w:val="32"/>
        </w:rPr>
      </w:pPr>
      <w:r w:rsidRPr="008D7C56">
        <w:rPr>
          <w:rFonts w:asciiTheme="majorHAnsi" w:hAnsiTheme="majorHAnsi" w:cs="Arial"/>
          <w:sz w:val="32"/>
        </w:rPr>
        <w:t>Can Government policy on mitigation and post-event</w:t>
      </w:r>
    </w:p>
    <w:p w14:paraId="48373CD9" w14:textId="77777777" w:rsidR="008D7C56" w:rsidRPr="008D7C56" w:rsidRDefault="008D7C56" w:rsidP="008D7C56">
      <w:pPr>
        <w:jc w:val="center"/>
        <w:rPr>
          <w:rFonts w:asciiTheme="majorHAnsi" w:hAnsiTheme="majorHAnsi" w:cs="Arial"/>
          <w:sz w:val="32"/>
        </w:rPr>
      </w:pPr>
      <w:r w:rsidRPr="008D7C56">
        <w:rPr>
          <w:rFonts w:asciiTheme="majorHAnsi" w:hAnsiTheme="majorHAnsi" w:cs="Arial"/>
          <w:sz w:val="32"/>
        </w:rPr>
        <w:t xml:space="preserve"> funding lead to Moral Hazards?</w:t>
      </w:r>
    </w:p>
    <w:p w14:paraId="0A263A8F" w14:textId="77777777" w:rsidR="008D7C56" w:rsidRPr="008D7C56" w:rsidRDefault="008D7C56" w:rsidP="008D7C56">
      <w:pPr>
        <w:rPr>
          <w:rFonts w:asciiTheme="majorHAnsi" w:hAnsiTheme="majorHAnsi" w:cs="Arial"/>
          <w:sz w:val="20"/>
        </w:rPr>
      </w:pPr>
    </w:p>
    <w:p w14:paraId="77A13EBC" w14:textId="77777777" w:rsidR="008D7C56" w:rsidRPr="008D7C56" w:rsidRDefault="008D7C56" w:rsidP="008D7C56">
      <w:pPr>
        <w:rPr>
          <w:rFonts w:asciiTheme="majorHAnsi" w:hAnsiTheme="majorHAnsi" w:cs="Arial"/>
        </w:rPr>
        <w:sectPr w:rsidR="008D7C56" w:rsidRPr="008D7C56" w:rsidSect="00DB02DE">
          <w:pgSz w:w="11900" w:h="16840"/>
          <w:pgMar w:top="1560" w:right="1800" w:bottom="1440" w:left="1800" w:header="708" w:footer="708" w:gutter="0"/>
          <w:cols w:space="708"/>
          <w:titlePg/>
          <w:docGrid w:linePitch="360"/>
        </w:sectPr>
      </w:pPr>
    </w:p>
    <w:p w14:paraId="7FF0BABD" w14:textId="77777777" w:rsidR="00DB02DE" w:rsidRPr="00DB02DE" w:rsidRDefault="00DB02DE" w:rsidP="00DB02DE">
      <w:pPr>
        <w:pStyle w:val="Heading1"/>
        <w:rPr>
          <w:sz w:val="40"/>
          <w:szCs w:val="40"/>
        </w:rPr>
      </w:pPr>
      <w:r w:rsidRPr="00DB02DE">
        <w:rPr>
          <w:sz w:val="40"/>
          <w:szCs w:val="40"/>
        </w:rPr>
        <w:lastRenderedPageBreak/>
        <w:t>Can Government policy on mitigation and post-event funding lead to Moral Hazards?</w:t>
      </w:r>
    </w:p>
    <w:p w14:paraId="5138DC05" w14:textId="77777777" w:rsidR="00DB02DE" w:rsidRPr="00DB02DE" w:rsidRDefault="00DB02DE" w:rsidP="00DB02DE">
      <w:pPr>
        <w:pStyle w:val="Title"/>
        <w:rPr>
          <w:rStyle w:val="Emphasis"/>
          <w:sz w:val="36"/>
        </w:rPr>
      </w:pPr>
    </w:p>
    <w:p w14:paraId="0D5D934C" w14:textId="77777777" w:rsidR="00DB02DE" w:rsidRPr="00DB02DE" w:rsidRDefault="00DB02DE" w:rsidP="00DB02DE">
      <w:pPr>
        <w:rPr>
          <w:rStyle w:val="Emphasis"/>
          <w:rFonts w:ascii="Arial" w:hAnsi="Arial" w:cs="Arial"/>
          <w:sz w:val="22"/>
          <w:szCs w:val="22"/>
        </w:rPr>
      </w:pPr>
      <w:r w:rsidRPr="00DB02DE">
        <w:rPr>
          <w:rStyle w:val="Emphasis"/>
          <w:rFonts w:ascii="Arial" w:hAnsi="Arial" w:cs="Arial"/>
          <w:sz w:val="22"/>
          <w:szCs w:val="22"/>
        </w:rPr>
        <w:t>This briefing note is based largely on the Appendix of Jaffe and Russell (2013), a paper on the welfare economics of catastrophe losses and insurance. Both authors are economists from University of California, Berkeley, and have written widely on insurance-related problems. This note illustrates how insightful a simple payoff matrix can be in helping to explore complex problems and situations (games) between non-cooperative players. The original analysis and introduction of the term ‘Samaritan’s Dilemma’ came from Buchanan (1975). There is not necessarily an optimum solution for both parties and the analysis assumes rationality. (Rob Van den Honert and John McAneney)</w:t>
      </w:r>
    </w:p>
    <w:p w14:paraId="59E8782A" w14:textId="77777777" w:rsidR="00DB02DE" w:rsidRPr="00DB02DE" w:rsidRDefault="00DB02DE" w:rsidP="00DB02DE">
      <w:pPr>
        <w:pStyle w:val="Title"/>
        <w:rPr>
          <w:rStyle w:val="Emphasis"/>
          <w:rFonts w:ascii="Arial" w:hAnsi="Arial" w:cs="Arial"/>
          <w:sz w:val="32"/>
        </w:rPr>
      </w:pPr>
    </w:p>
    <w:p w14:paraId="4656CDE1" w14:textId="77777777" w:rsidR="00DB02DE" w:rsidRPr="00DB02DE" w:rsidRDefault="00DB02DE" w:rsidP="00DB02DE">
      <w:pPr>
        <w:spacing w:after="120"/>
        <w:rPr>
          <w:rFonts w:ascii="Arial" w:hAnsi="Arial" w:cs="Arial"/>
          <w:sz w:val="22"/>
          <w:szCs w:val="22"/>
        </w:rPr>
      </w:pPr>
      <w:r w:rsidRPr="00DB02DE">
        <w:rPr>
          <w:sz w:val="22"/>
          <w:szCs w:val="22"/>
        </w:rPr>
        <w:t>T</w:t>
      </w:r>
      <w:r w:rsidRPr="00DB02DE">
        <w:rPr>
          <w:rFonts w:ascii="Arial" w:hAnsi="Arial" w:cs="Arial"/>
          <w:sz w:val="22"/>
          <w:szCs w:val="22"/>
        </w:rPr>
        <w:t xml:space="preserve">he desire to provide help to victims of disaster is a natural part of the human condition, but, unfortunately, such Samaritan aid inevitably interferes with the </w:t>
      </w:r>
      <w:r w:rsidRPr="00DB02DE">
        <w:rPr>
          <w:rFonts w:ascii="Arial" w:hAnsi="Arial" w:cs="Arial"/>
          <w:i/>
          <w:sz w:val="22"/>
          <w:szCs w:val="22"/>
        </w:rPr>
        <w:t>ex ante</w:t>
      </w:r>
      <w:r w:rsidRPr="00DB02DE">
        <w:rPr>
          <w:rFonts w:ascii="Arial" w:hAnsi="Arial" w:cs="Arial"/>
          <w:sz w:val="22"/>
          <w:szCs w:val="22"/>
        </w:rPr>
        <w:t xml:space="preserve"> incentives of the victims to help themselves (Buchanan,</w:t>
      </w:r>
      <w:r w:rsidRPr="00DB02DE">
        <w:rPr>
          <w:rFonts w:ascii="Arial" w:hAnsi="Arial" w:cs="Arial"/>
          <w:position w:val="9"/>
          <w:sz w:val="22"/>
          <w:szCs w:val="22"/>
        </w:rPr>
        <w:t xml:space="preserve"> </w:t>
      </w:r>
      <w:r w:rsidRPr="00DB02DE">
        <w:rPr>
          <w:rFonts w:ascii="Arial" w:hAnsi="Arial" w:cs="Arial"/>
          <w:sz w:val="22"/>
          <w:szCs w:val="22"/>
        </w:rPr>
        <w:t xml:space="preserve">1975). This gives rise to a problem called </w:t>
      </w:r>
      <w:r w:rsidRPr="00DB02DE">
        <w:rPr>
          <w:rFonts w:ascii="Arial" w:hAnsi="Arial" w:cs="Arial"/>
          <w:i/>
          <w:sz w:val="22"/>
          <w:szCs w:val="22"/>
        </w:rPr>
        <w:t>time inconsistency</w:t>
      </w:r>
      <w:r w:rsidRPr="00DB02DE">
        <w:rPr>
          <w:rFonts w:ascii="Arial" w:hAnsi="Arial" w:cs="Arial"/>
          <w:sz w:val="22"/>
          <w:szCs w:val="22"/>
        </w:rPr>
        <w:t>. As Kunreuther and Pauly</w:t>
      </w:r>
      <w:r w:rsidRPr="00DB02DE">
        <w:rPr>
          <w:rFonts w:ascii="Arial" w:hAnsi="Arial" w:cs="Arial"/>
          <w:position w:val="9"/>
          <w:sz w:val="22"/>
          <w:szCs w:val="22"/>
        </w:rPr>
        <w:t xml:space="preserve"> </w:t>
      </w:r>
      <w:r w:rsidRPr="00DB02DE">
        <w:rPr>
          <w:rFonts w:ascii="Arial" w:hAnsi="Arial" w:cs="Arial"/>
          <w:sz w:val="22"/>
          <w:szCs w:val="22"/>
        </w:rPr>
        <w:t>(2006)</w:t>
      </w:r>
      <w:r w:rsidRPr="00DB02DE">
        <w:rPr>
          <w:rFonts w:ascii="Arial" w:hAnsi="Arial" w:cs="Arial"/>
          <w:position w:val="9"/>
          <w:sz w:val="22"/>
          <w:szCs w:val="22"/>
        </w:rPr>
        <w:t xml:space="preserve"> </w:t>
      </w:r>
      <w:r w:rsidRPr="00DB02DE">
        <w:rPr>
          <w:rFonts w:ascii="Arial" w:hAnsi="Arial" w:cs="Arial"/>
          <w:sz w:val="22"/>
          <w:szCs w:val="22"/>
        </w:rPr>
        <w:t>note, although this concept was developed by Kydland and Prescott (1977)</w:t>
      </w:r>
      <w:r w:rsidRPr="00DB02DE">
        <w:rPr>
          <w:rFonts w:ascii="Arial" w:hAnsi="Arial" w:cs="Arial"/>
          <w:position w:val="9"/>
          <w:sz w:val="22"/>
          <w:szCs w:val="22"/>
        </w:rPr>
        <w:t xml:space="preserve"> </w:t>
      </w:r>
      <w:r w:rsidRPr="00DB02DE">
        <w:rPr>
          <w:rFonts w:ascii="Arial" w:hAnsi="Arial" w:cs="Arial"/>
          <w:sz w:val="22"/>
          <w:szCs w:val="22"/>
        </w:rPr>
        <w:t>to deal with the design of macroeconomic policy, time inconsistency is a ubiquitous policy problem; indeed Kydland and Prescott used the problem of the design of a programme of flood relief to motivate their treatment of monetary policy.</w:t>
      </w:r>
    </w:p>
    <w:p w14:paraId="0B251CCA" w14:textId="77777777" w:rsidR="00DB02DE" w:rsidRPr="00DB02DE" w:rsidRDefault="00DB02DE" w:rsidP="00DB02DE">
      <w:pPr>
        <w:spacing w:after="120"/>
        <w:rPr>
          <w:rStyle w:val="Emphasis"/>
          <w:rFonts w:ascii="Arial" w:hAnsi="Arial" w:cs="Arial"/>
          <w:i w:val="0"/>
          <w:sz w:val="22"/>
          <w:szCs w:val="22"/>
        </w:rPr>
      </w:pPr>
      <w:r w:rsidRPr="00DB02DE">
        <w:rPr>
          <w:rFonts w:ascii="Arial" w:hAnsi="Arial" w:cs="Arial"/>
          <w:sz w:val="22"/>
          <w:szCs w:val="22"/>
        </w:rPr>
        <w:t xml:space="preserve">As originally set out by Buchanan, the Samaritan’s Dilemma can be viewed as a 2 x 2 simultaneous matrix game with the payoffs shown in Table 1. </w:t>
      </w:r>
      <w:r w:rsidRPr="00DB02DE">
        <w:rPr>
          <w:rStyle w:val="Emphasis"/>
          <w:rFonts w:ascii="Arial" w:hAnsi="Arial" w:cs="Arial"/>
          <w:i w:val="0"/>
          <w:sz w:val="22"/>
          <w:szCs w:val="22"/>
        </w:rPr>
        <w:t xml:space="preserve">It is helpful to think of these payoffs as a ranking of outcomes of preferences for each of the players, on </w:t>
      </w:r>
      <w:r w:rsidRPr="00DB02DE">
        <w:rPr>
          <w:rFonts w:ascii="Arial" w:hAnsi="Arial" w:cs="Arial"/>
          <w:sz w:val="22"/>
          <w:szCs w:val="22"/>
        </w:rPr>
        <w:t>a scale from 1 to 4, where 4 represents the best</w:t>
      </w:r>
      <w:r w:rsidRPr="00DB02DE">
        <w:rPr>
          <w:rStyle w:val="Emphasis"/>
          <w:rFonts w:ascii="Arial" w:hAnsi="Arial" w:cs="Arial"/>
          <w:i w:val="0"/>
          <w:sz w:val="22"/>
          <w:szCs w:val="22"/>
        </w:rPr>
        <w:t xml:space="preserve"> outcome. </w:t>
      </w:r>
    </w:p>
    <w:p w14:paraId="29CE2203" w14:textId="77777777" w:rsidR="00DB02DE" w:rsidRPr="00DB02DE" w:rsidRDefault="00DB02DE" w:rsidP="00DB02DE">
      <w:pPr>
        <w:spacing w:after="120"/>
        <w:rPr>
          <w:rFonts w:ascii="Arial" w:hAnsi="Arial" w:cs="Arial"/>
          <w:sz w:val="22"/>
          <w:szCs w:val="22"/>
        </w:rPr>
      </w:pPr>
      <w:r w:rsidRPr="00DB02DE">
        <w:rPr>
          <w:rFonts w:ascii="Arial" w:hAnsi="Arial" w:cs="Arial"/>
          <w:b/>
          <w:sz w:val="22"/>
          <w:szCs w:val="22"/>
        </w:rPr>
        <w:t>Table 1:</w:t>
      </w:r>
      <w:r w:rsidRPr="00DB02DE">
        <w:rPr>
          <w:rFonts w:ascii="Arial" w:hAnsi="Arial" w:cs="Arial"/>
          <w:sz w:val="22"/>
          <w:szCs w:val="22"/>
        </w:rPr>
        <w:t xml:space="preserve"> </w:t>
      </w:r>
      <w:r w:rsidRPr="00DB02DE">
        <w:rPr>
          <w:rFonts w:ascii="Arial" w:hAnsi="Arial" w:cs="Arial"/>
          <w:i/>
          <w:sz w:val="22"/>
          <w:szCs w:val="22"/>
        </w:rPr>
        <w:t>Samaritan’s dilemma – ranked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1514"/>
      </w:tblGrid>
      <w:tr w:rsidR="00DB02DE" w:rsidRPr="00DB02DE" w14:paraId="6014F249" w14:textId="77777777" w:rsidTr="000E4202">
        <w:tc>
          <w:tcPr>
            <w:tcW w:w="2093" w:type="dxa"/>
            <w:shd w:val="clear" w:color="auto" w:fill="auto"/>
            <w:vAlign w:val="center"/>
          </w:tcPr>
          <w:p w14:paraId="63FBA282" w14:textId="77777777" w:rsidR="00DB02DE" w:rsidRPr="00DB02DE" w:rsidRDefault="00DB02DE" w:rsidP="000E4202">
            <w:pPr>
              <w:spacing w:before="60" w:after="60"/>
              <w:rPr>
                <w:rFonts w:ascii="Arial" w:hAnsi="Arial" w:cs="Arial"/>
              </w:rPr>
            </w:pPr>
          </w:p>
        </w:tc>
        <w:tc>
          <w:tcPr>
            <w:tcW w:w="1843" w:type="dxa"/>
            <w:shd w:val="clear" w:color="auto" w:fill="auto"/>
            <w:vAlign w:val="center"/>
          </w:tcPr>
          <w:p w14:paraId="479631C3" w14:textId="77777777" w:rsidR="00DB02DE" w:rsidRPr="00DB02DE" w:rsidRDefault="00DB02DE" w:rsidP="000E4202">
            <w:pPr>
              <w:spacing w:before="60" w:after="60"/>
              <w:jc w:val="center"/>
              <w:rPr>
                <w:rFonts w:ascii="Arial" w:hAnsi="Arial" w:cs="Arial"/>
                <w:sz w:val="22"/>
                <w:szCs w:val="22"/>
              </w:rPr>
            </w:pPr>
            <w:r w:rsidRPr="00DB02DE">
              <w:rPr>
                <w:rFonts w:ascii="Arial" w:hAnsi="Arial" w:cs="Arial"/>
                <w:sz w:val="22"/>
                <w:szCs w:val="22"/>
              </w:rPr>
              <w:t>B</w:t>
            </w:r>
            <w:r w:rsidRPr="00DB02DE">
              <w:rPr>
                <w:rFonts w:ascii="Arial" w:hAnsi="Arial" w:cs="Arial"/>
                <w:sz w:val="22"/>
                <w:szCs w:val="22"/>
                <w:vertAlign w:val="subscript"/>
              </w:rPr>
              <w:t>1</w:t>
            </w:r>
            <w:r w:rsidRPr="00DB02DE">
              <w:rPr>
                <w:rFonts w:ascii="Arial" w:hAnsi="Arial" w:cs="Arial"/>
                <w:sz w:val="22"/>
                <w:szCs w:val="22"/>
              </w:rPr>
              <w:t xml:space="preserve"> - Work</w:t>
            </w:r>
          </w:p>
        </w:tc>
        <w:tc>
          <w:tcPr>
            <w:tcW w:w="1514" w:type="dxa"/>
            <w:shd w:val="clear" w:color="auto" w:fill="auto"/>
            <w:vAlign w:val="center"/>
          </w:tcPr>
          <w:p w14:paraId="67FFEC31" w14:textId="77777777" w:rsidR="00DB02DE" w:rsidRPr="00DB02DE" w:rsidRDefault="00DB02DE" w:rsidP="000E4202">
            <w:pPr>
              <w:spacing w:before="60" w:after="60"/>
              <w:jc w:val="center"/>
              <w:rPr>
                <w:rFonts w:ascii="Arial" w:hAnsi="Arial" w:cs="Arial"/>
                <w:sz w:val="22"/>
                <w:szCs w:val="22"/>
              </w:rPr>
            </w:pPr>
            <w:r w:rsidRPr="00DB02DE">
              <w:rPr>
                <w:rFonts w:ascii="Arial" w:hAnsi="Arial" w:cs="Arial"/>
                <w:sz w:val="22"/>
                <w:szCs w:val="22"/>
              </w:rPr>
              <w:t>B</w:t>
            </w:r>
            <w:r w:rsidRPr="00DB02DE">
              <w:rPr>
                <w:rFonts w:ascii="Arial" w:hAnsi="Arial" w:cs="Arial"/>
                <w:sz w:val="22"/>
                <w:szCs w:val="22"/>
                <w:vertAlign w:val="subscript"/>
              </w:rPr>
              <w:t>2</w:t>
            </w:r>
            <w:r w:rsidRPr="00DB02DE">
              <w:rPr>
                <w:rFonts w:ascii="Arial" w:hAnsi="Arial" w:cs="Arial"/>
                <w:sz w:val="22"/>
                <w:szCs w:val="22"/>
              </w:rPr>
              <w:t xml:space="preserve"> – No work</w:t>
            </w:r>
          </w:p>
        </w:tc>
      </w:tr>
      <w:tr w:rsidR="00DB02DE" w:rsidRPr="00DB02DE" w14:paraId="7E7B769D" w14:textId="77777777" w:rsidTr="000E4202">
        <w:tc>
          <w:tcPr>
            <w:tcW w:w="2093" w:type="dxa"/>
            <w:shd w:val="clear" w:color="auto" w:fill="auto"/>
            <w:vAlign w:val="center"/>
          </w:tcPr>
          <w:p w14:paraId="1E9FB63C" w14:textId="77777777" w:rsidR="00DB02DE" w:rsidRPr="00DB02DE" w:rsidRDefault="00DB02DE" w:rsidP="000E4202">
            <w:pPr>
              <w:spacing w:before="60" w:after="60"/>
              <w:rPr>
                <w:rFonts w:ascii="Arial" w:hAnsi="Arial" w:cs="Arial"/>
                <w:sz w:val="22"/>
                <w:szCs w:val="22"/>
              </w:rPr>
            </w:pPr>
            <w:r w:rsidRPr="00DB02DE">
              <w:rPr>
                <w:rFonts w:ascii="Arial" w:hAnsi="Arial" w:cs="Arial"/>
                <w:sz w:val="22"/>
                <w:szCs w:val="22"/>
              </w:rPr>
              <w:t>A</w:t>
            </w:r>
            <w:r w:rsidRPr="00DB02DE">
              <w:rPr>
                <w:rFonts w:ascii="Arial" w:hAnsi="Arial" w:cs="Arial"/>
                <w:sz w:val="22"/>
                <w:szCs w:val="22"/>
                <w:vertAlign w:val="subscript"/>
              </w:rPr>
              <w:t>1</w:t>
            </w:r>
            <w:r w:rsidRPr="00DB02DE">
              <w:rPr>
                <w:rFonts w:ascii="Arial" w:hAnsi="Arial" w:cs="Arial"/>
                <w:sz w:val="22"/>
                <w:szCs w:val="22"/>
              </w:rPr>
              <w:t xml:space="preserve"> – Provide help</w:t>
            </w:r>
          </w:p>
        </w:tc>
        <w:tc>
          <w:tcPr>
            <w:tcW w:w="1843" w:type="dxa"/>
            <w:shd w:val="clear" w:color="auto" w:fill="auto"/>
            <w:vAlign w:val="center"/>
          </w:tcPr>
          <w:p w14:paraId="701EDBDC" w14:textId="77777777" w:rsidR="00DB02DE" w:rsidRPr="00DB02DE" w:rsidRDefault="00DB02DE" w:rsidP="000E4202">
            <w:pPr>
              <w:spacing w:before="60" w:after="60"/>
              <w:jc w:val="center"/>
              <w:rPr>
                <w:rFonts w:ascii="Arial" w:hAnsi="Arial" w:cs="Arial"/>
                <w:sz w:val="22"/>
                <w:szCs w:val="22"/>
              </w:rPr>
            </w:pPr>
            <w:r w:rsidRPr="00DB02DE">
              <w:rPr>
                <w:rFonts w:ascii="Arial" w:hAnsi="Arial" w:cs="Arial"/>
                <w:sz w:val="22"/>
                <w:szCs w:val="22"/>
              </w:rPr>
              <w:t>4,3</w:t>
            </w:r>
          </w:p>
        </w:tc>
        <w:tc>
          <w:tcPr>
            <w:tcW w:w="1514" w:type="dxa"/>
            <w:shd w:val="clear" w:color="auto" w:fill="auto"/>
            <w:vAlign w:val="center"/>
          </w:tcPr>
          <w:p w14:paraId="6AE56C5F" w14:textId="77777777" w:rsidR="00DB02DE" w:rsidRPr="00DB02DE" w:rsidRDefault="00DB02DE" w:rsidP="000E4202">
            <w:pPr>
              <w:spacing w:before="60" w:after="60"/>
              <w:jc w:val="center"/>
              <w:rPr>
                <w:rFonts w:ascii="Arial" w:hAnsi="Arial" w:cs="Arial"/>
                <w:sz w:val="22"/>
                <w:szCs w:val="22"/>
              </w:rPr>
            </w:pPr>
            <w:r w:rsidRPr="00DB02DE">
              <w:rPr>
                <w:rFonts w:ascii="Arial" w:hAnsi="Arial" w:cs="Arial"/>
                <w:sz w:val="22"/>
                <w:szCs w:val="22"/>
              </w:rPr>
              <w:t>3,4</w:t>
            </w:r>
          </w:p>
        </w:tc>
      </w:tr>
      <w:tr w:rsidR="00DB02DE" w:rsidRPr="00DB02DE" w14:paraId="630EA8DC" w14:textId="77777777" w:rsidTr="000E4202">
        <w:tc>
          <w:tcPr>
            <w:tcW w:w="2093" w:type="dxa"/>
            <w:shd w:val="clear" w:color="auto" w:fill="auto"/>
            <w:vAlign w:val="center"/>
          </w:tcPr>
          <w:p w14:paraId="618259D9" w14:textId="77777777" w:rsidR="00DB02DE" w:rsidRPr="00DB02DE" w:rsidRDefault="00DB02DE" w:rsidP="000E4202">
            <w:pPr>
              <w:spacing w:before="60" w:after="60"/>
              <w:rPr>
                <w:rFonts w:ascii="Arial" w:hAnsi="Arial" w:cs="Arial"/>
                <w:sz w:val="22"/>
                <w:szCs w:val="22"/>
              </w:rPr>
            </w:pPr>
            <w:r w:rsidRPr="00DB02DE">
              <w:rPr>
                <w:rFonts w:ascii="Arial" w:hAnsi="Arial" w:cs="Arial"/>
                <w:sz w:val="22"/>
                <w:szCs w:val="22"/>
              </w:rPr>
              <w:t>A</w:t>
            </w:r>
            <w:r w:rsidRPr="00DB02DE">
              <w:rPr>
                <w:rFonts w:ascii="Arial" w:hAnsi="Arial" w:cs="Arial"/>
                <w:sz w:val="22"/>
                <w:szCs w:val="22"/>
                <w:vertAlign w:val="subscript"/>
              </w:rPr>
              <w:t>2</w:t>
            </w:r>
            <w:r w:rsidRPr="00DB02DE">
              <w:rPr>
                <w:rFonts w:ascii="Arial" w:hAnsi="Arial" w:cs="Arial"/>
                <w:sz w:val="22"/>
                <w:szCs w:val="22"/>
              </w:rPr>
              <w:t xml:space="preserve"> – Provide no help</w:t>
            </w:r>
          </w:p>
        </w:tc>
        <w:tc>
          <w:tcPr>
            <w:tcW w:w="1843" w:type="dxa"/>
            <w:shd w:val="clear" w:color="auto" w:fill="auto"/>
            <w:vAlign w:val="center"/>
          </w:tcPr>
          <w:p w14:paraId="60BDBA90" w14:textId="77777777" w:rsidR="00DB02DE" w:rsidRPr="00DB02DE" w:rsidRDefault="00DB02DE" w:rsidP="000E4202">
            <w:pPr>
              <w:spacing w:before="60" w:after="60"/>
              <w:jc w:val="center"/>
              <w:rPr>
                <w:rFonts w:ascii="Arial" w:hAnsi="Arial" w:cs="Arial"/>
                <w:sz w:val="22"/>
                <w:szCs w:val="22"/>
              </w:rPr>
            </w:pPr>
            <w:r w:rsidRPr="00DB02DE">
              <w:rPr>
                <w:rFonts w:ascii="Arial" w:hAnsi="Arial" w:cs="Arial"/>
                <w:sz w:val="22"/>
                <w:szCs w:val="22"/>
              </w:rPr>
              <w:t>2,2</w:t>
            </w:r>
          </w:p>
        </w:tc>
        <w:tc>
          <w:tcPr>
            <w:tcW w:w="1514" w:type="dxa"/>
            <w:shd w:val="clear" w:color="auto" w:fill="auto"/>
            <w:vAlign w:val="center"/>
          </w:tcPr>
          <w:p w14:paraId="69AB1342" w14:textId="77777777" w:rsidR="00DB02DE" w:rsidRPr="00DB02DE" w:rsidRDefault="00DB02DE" w:rsidP="000E4202">
            <w:pPr>
              <w:spacing w:before="60" w:after="60"/>
              <w:jc w:val="center"/>
              <w:rPr>
                <w:rFonts w:ascii="Arial" w:hAnsi="Arial" w:cs="Arial"/>
                <w:sz w:val="22"/>
                <w:szCs w:val="22"/>
              </w:rPr>
            </w:pPr>
            <w:r w:rsidRPr="00DB02DE">
              <w:rPr>
                <w:rFonts w:ascii="Arial" w:hAnsi="Arial" w:cs="Arial"/>
                <w:sz w:val="22"/>
                <w:szCs w:val="22"/>
              </w:rPr>
              <w:t>1,1</w:t>
            </w:r>
          </w:p>
        </w:tc>
      </w:tr>
    </w:tbl>
    <w:p w14:paraId="4470F09D" w14:textId="77777777" w:rsidR="00DB02DE" w:rsidRPr="00DB02DE" w:rsidRDefault="00DB02DE" w:rsidP="00DB02DE">
      <w:pPr>
        <w:spacing w:after="120"/>
        <w:rPr>
          <w:rFonts w:ascii="Arial" w:hAnsi="Arial" w:cs="Arial"/>
        </w:rPr>
      </w:pPr>
    </w:p>
    <w:p w14:paraId="3BCB9811" w14:textId="77777777" w:rsidR="00DB02DE" w:rsidRPr="00DB02DE" w:rsidRDefault="00DB02DE" w:rsidP="00DB02DE">
      <w:pPr>
        <w:spacing w:after="120"/>
        <w:rPr>
          <w:rFonts w:ascii="Arial" w:hAnsi="Arial" w:cs="Arial"/>
          <w:sz w:val="22"/>
          <w:szCs w:val="22"/>
        </w:rPr>
      </w:pPr>
      <w:r w:rsidRPr="00DB02DE">
        <w:rPr>
          <w:rFonts w:ascii="Arial" w:hAnsi="Arial" w:cs="Arial"/>
          <w:sz w:val="22"/>
          <w:szCs w:val="22"/>
        </w:rPr>
        <w:t>Here player A is a potential Samaritan, while player B is in need of help. A has two strategies: A</w:t>
      </w:r>
      <w:r w:rsidRPr="00DB02DE">
        <w:rPr>
          <w:rFonts w:ascii="Arial" w:hAnsi="Arial" w:cs="Arial"/>
          <w:position w:val="-3"/>
          <w:sz w:val="22"/>
          <w:szCs w:val="22"/>
        </w:rPr>
        <w:t>1</w:t>
      </w:r>
      <w:r w:rsidRPr="00DB02DE">
        <w:rPr>
          <w:rFonts w:ascii="Arial" w:hAnsi="Arial" w:cs="Arial"/>
          <w:sz w:val="22"/>
          <w:szCs w:val="22"/>
        </w:rPr>
        <w:t>, “help”, say, by providing a money transfer, and A</w:t>
      </w:r>
      <w:r w:rsidRPr="00DB02DE">
        <w:rPr>
          <w:rFonts w:ascii="Arial" w:hAnsi="Arial" w:cs="Arial"/>
          <w:position w:val="-3"/>
          <w:sz w:val="22"/>
          <w:szCs w:val="22"/>
        </w:rPr>
        <w:t>2</w:t>
      </w:r>
      <w:r w:rsidRPr="00DB02DE">
        <w:rPr>
          <w:rFonts w:ascii="Arial" w:hAnsi="Arial" w:cs="Arial"/>
          <w:sz w:val="22"/>
          <w:szCs w:val="22"/>
        </w:rPr>
        <w:t>, “do not help”. B has two strategies, B</w:t>
      </w:r>
      <w:r w:rsidRPr="00DB02DE">
        <w:rPr>
          <w:rFonts w:ascii="Arial" w:hAnsi="Arial" w:cs="Arial"/>
          <w:position w:val="-3"/>
          <w:sz w:val="22"/>
          <w:szCs w:val="22"/>
        </w:rPr>
        <w:t xml:space="preserve">1 </w:t>
      </w:r>
      <w:r w:rsidRPr="00DB02DE">
        <w:rPr>
          <w:rFonts w:ascii="Arial" w:hAnsi="Arial" w:cs="Arial"/>
          <w:sz w:val="22"/>
          <w:szCs w:val="22"/>
        </w:rPr>
        <w:t>“work”, and B</w:t>
      </w:r>
      <w:r w:rsidRPr="00DB02DE">
        <w:rPr>
          <w:rFonts w:ascii="Arial" w:hAnsi="Arial" w:cs="Arial"/>
          <w:position w:val="-3"/>
          <w:sz w:val="22"/>
          <w:szCs w:val="22"/>
        </w:rPr>
        <w:t xml:space="preserve">2 </w:t>
      </w:r>
      <w:r w:rsidRPr="00DB02DE">
        <w:rPr>
          <w:rFonts w:ascii="Arial" w:hAnsi="Arial" w:cs="Arial"/>
          <w:sz w:val="22"/>
          <w:szCs w:val="22"/>
        </w:rPr>
        <w:t xml:space="preserve">“don’t work”.  A’s payoffs are listed first. </w:t>
      </w:r>
    </w:p>
    <w:p w14:paraId="0C95A6A3" w14:textId="77777777" w:rsidR="00DB02DE" w:rsidRPr="00DB02DE" w:rsidRDefault="00DB02DE" w:rsidP="00DB02DE">
      <w:pPr>
        <w:spacing w:after="120"/>
        <w:rPr>
          <w:rFonts w:ascii="Arial" w:hAnsi="Arial" w:cs="Arial"/>
          <w:sz w:val="22"/>
          <w:szCs w:val="22"/>
        </w:rPr>
      </w:pPr>
      <w:r w:rsidRPr="00DB02DE">
        <w:rPr>
          <w:rFonts w:ascii="Arial" w:hAnsi="Arial" w:cs="Arial"/>
          <w:position w:val="1"/>
          <w:sz w:val="22"/>
          <w:szCs w:val="22"/>
        </w:rPr>
        <w:t>The game has a dominant strategy pair, A</w:t>
      </w:r>
      <w:r w:rsidRPr="00DB02DE">
        <w:rPr>
          <w:rFonts w:ascii="Arial" w:hAnsi="Arial" w:cs="Arial"/>
          <w:position w:val="-2"/>
          <w:sz w:val="22"/>
          <w:szCs w:val="22"/>
          <w:vertAlign w:val="subscript"/>
        </w:rPr>
        <w:t>1</w:t>
      </w:r>
      <w:r w:rsidRPr="00DB02DE">
        <w:rPr>
          <w:rFonts w:ascii="Arial" w:hAnsi="Arial" w:cs="Arial"/>
          <w:position w:val="1"/>
          <w:sz w:val="22"/>
          <w:szCs w:val="22"/>
        </w:rPr>
        <w:t>B</w:t>
      </w:r>
      <w:r w:rsidRPr="00DB02DE">
        <w:rPr>
          <w:rFonts w:ascii="Arial" w:hAnsi="Arial" w:cs="Arial"/>
          <w:position w:val="-2"/>
          <w:sz w:val="22"/>
          <w:szCs w:val="22"/>
          <w:vertAlign w:val="subscript"/>
        </w:rPr>
        <w:t>2</w:t>
      </w:r>
      <w:r w:rsidRPr="00DB02DE">
        <w:rPr>
          <w:rFonts w:ascii="Arial" w:hAnsi="Arial" w:cs="Arial"/>
          <w:sz w:val="22"/>
          <w:szCs w:val="22"/>
        </w:rPr>
        <w:t xml:space="preserve"> (i.e. player A will provide help, player B does not work). Thinking strategically, the victim, B, knowing that help is imminent (because B knows that A is a Samaritan, and will want to help), shirks work, thus failing to help himself.</w:t>
      </w:r>
    </w:p>
    <w:p w14:paraId="64266240" w14:textId="77777777" w:rsidR="00DB02DE" w:rsidRPr="00DB02DE" w:rsidRDefault="00DB02DE" w:rsidP="00DB02DE">
      <w:pPr>
        <w:spacing w:after="120"/>
        <w:rPr>
          <w:rFonts w:ascii="Arial" w:hAnsi="Arial" w:cs="Arial"/>
          <w:sz w:val="22"/>
          <w:szCs w:val="22"/>
        </w:rPr>
      </w:pPr>
      <w:r w:rsidRPr="00DB02DE">
        <w:rPr>
          <w:rFonts w:ascii="Arial" w:hAnsi="Arial" w:cs="Arial"/>
          <w:sz w:val="22"/>
          <w:szCs w:val="22"/>
        </w:rPr>
        <w:lastRenderedPageBreak/>
        <w:t xml:space="preserve">The essence of this game can be transferred to the policy design problem for </w:t>
      </w:r>
      <w:r w:rsidRPr="00DB02DE">
        <w:rPr>
          <w:rFonts w:ascii="Arial" w:hAnsi="Arial" w:cs="Arial"/>
          <w:i/>
          <w:sz w:val="22"/>
          <w:szCs w:val="22"/>
        </w:rPr>
        <w:t>ex post</w:t>
      </w:r>
      <w:r w:rsidRPr="00DB02DE">
        <w:rPr>
          <w:rFonts w:ascii="Arial" w:hAnsi="Arial" w:cs="Arial"/>
          <w:sz w:val="22"/>
          <w:szCs w:val="22"/>
        </w:rPr>
        <w:t xml:space="preserve"> catastrophe relief. Consider the payoffs to a government which is considering A</w:t>
      </w:r>
      <w:r w:rsidRPr="00DB02DE">
        <w:rPr>
          <w:rFonts w:ascii="Arial" w:hAnsi="Arial" w:cs="Arial"/>
          <w:position w:val="-3"/>
          <w:sz w:val="22"/>
          <w:szCs w:val="22"/>
        </w:rPr>
        <w:t>1</w:t>
      </w:r>
      <w:r w:rsidRPr="00DB02DE">
        <w:rPr>
          <w:rFonts w:ascii="Arial" w:hAnsi="Arial" w:cs="Arial"/>
          <w:sz w:val="22"/>
          <w:szCs w:val="22"/>
        </w:rPr>
        <w:t>, a policy of providing a finite, budget-constrained amount of relief, or alternatively A</w:t>
      </w:r>
      <w:r w:rsidRPr="00DB02DE">
        <w:rPr>
          <w:rFonts w:ascii="Arial" w:hAnsi="Arial" w:cs="Arial"/>
          <w:position w:val="-3"/>
          <w:sz w:val="22"/>
          <w:szCs w:val="22"/>
        </w:rPr>
        <w:t>2</w:t>
      </w:r>
      <w:r w:rsidRPr="00DB02DE">
        <w:rPr>
          <w:rFonts w:ascii="Arial" w:hAnsi="Arial" w:cs="Arial"/>
          <w:sz w:val="22"/>
          <w:szCs w:val="22"/>
        </w:rPr>
        <w:t>, a policy of no relief.</w:t>
      </w:r>
    </w:p>
    <w:p w14:paraId="2F942371" w14:textId="77777777" w:rsidR="00DB02DE" w:rsidRPr="00DB02DE" w:rsidRDefault="00DB02DE" w:rsidP="00DB02DE">
      <w:pPr>
        <w:spacing w:after="120"/>
        <w:rPr>
          <w:rFonts w:ascii="Arial" w:hAnsi="Arial" w:cs="Arial"/>
          <w:sz w:val="22"/>
          <w:szCs w:val="22"/>
        </w:rPr>
      </w:pPr>
      <w:r w:rsidRPr="00DB02DE">
        <w:rPr>
          <w:rFonts w:ascii="Arial" w:hAnsi="Arial" w:cs="Arial"/>
          <w:sz w:val="22"/>
          <w:szCs w:val="22"/>
        </w:rPr>
        <w:t xml:space="preserve">The efficacy of these two policies depends on the expectations of the victims. When the victims expect that the government will </w:t>
      </w:r>
      <w:r w:rsidRPr="00DB02DE">
        <w:rPr>
          <w:rFonts w:ascii="Arial" w:hAnsi="Arial" w:cs="Arial"/>
          <w:i/>
          <w:sz w:val="22"/>
          <w:szCs w:val="22"/>
        </w:rPr>
        <w:t>not</w:t>
      </w:r>
      <w:r w:rsidRPr="00DB02DE">
        <w:rPr>
          <w:rFonts w:ascii="Arial" w:hAnsi="Arial" w:cs="Arial"/>
          <w:sz w:val="22"/>
          <w:szCs w:val="22"/>
        </w:rPr>
        <w:t xml:space="preserve"> undertake relief, call this expectation B</w:t>
      </w:r>
      <w:r w:rsidRPr="00DB02DE">
        <w:rPr>
          <w:rFonts w:ascii="Arial" w:hAnsi="Arial" w:cs="Arial"/>
          <w:position w:val="-2"/>
          <w:sz w:val="22"/>
          <w:szCs w:val="22"/>
          <w:vertAlign w:val="subscript"/>
        </w:rPr>
        <w:t>1</w:t>
      </w:r>
      <w:r w:rsidRPr="00DB02DE">
        <w:rPr>
          <w:rFonts w:ascii="Arial" w:hAnsi="Arial" w:cs="Arial"/>
          <w:sz w:val="22"/>
          <w:szCs w:val="22"/>
        </w:rPr>
        <w:t>, they will themselves mitigate the potential loss. But if they expect the government to provide relief, call this expectation B</w:t>
      </w:r>
      <w:r w:rsidRPr="00DB02DE">
        <w:rPr>
          <w:rFonts w:ascii="Arial" w:hAnsi="Arial" w:cs="Arial"/>
          <w:position w:val="-2"/>
          <w:sz w:val="22"/>
          <w:szCs w:val="22"/>
        </w:rPr>
        <w:t>2</w:t>
      </w:r>
      <w:r w:rsidRPr="00DB02DE">
        <w:rPr>
          <w:rFonts w:ascii="Arial" w:hAnsi="Arial" w:cs="Arial"/>
          <w:sz w:val="22"/>
          <w:szCs w:val="22"/>
        </w:rPr>
        <w:t xml:space="preserve">, they have no incentive to mitigate, and will not do so. Looking at the payoffs to the government we again have a 2 x 2 matrix of payoffs.  We assume that the government is concerned with the welfare of the victims, with payoffs as in Table 2. </w:t>
      </w:r>
    </w:p>
    <w:p w14:paraId="612078FF" w14:textId="77777777" w:rsidR="00DB02DE" w:rsidRPr="00DB02DE" w:rsidRDefault="00DB02DE" w:rsidP="00DB02DE">
      <w:pPr>
        <w:spacing w:after="120"/>
        <w:rPr>
          <w:rFonts w:ascii="Arial" w:hAnsi="Arial" w:cs="Arial"/>
        </w:rPr>
      </w:pPr>
      <w:r w:rsidRPr="00DB02DE">
        <w:rPr>
          <w:rFonts w:ascii="Arial" w:hAnsi="Arial" w:cs="Arial"/>
          <w:b/>
        </w:rPr>
        <w:t>Table 2:</w:t>
      </w:r>
      <w:r w:rsidRPr="00DB02DE">
        <w:rPr>
          <w:rFonts w:ascii="Arial" w:hAnsi="Arial" w:cs="Arial"/>
        </w:rPr>
        <w:t xml:space="preserve"> </w:t>
      </w:r>
      <w:r w:rsidRPr="00DB02DE">
        <w:rPr>
          <w:rFonts w:ascii="Arial" w:hAnsi="Arial" w:cs="Arial"/>
          <w:i/>
        </w:rPr>
        <w:t>Government relief and mitigation efforts – ranked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85"/>
        <w:gridCol w:w="2410"/>
      </w:tblGrid>
      <w:tr w:rsidR="00DB02DE" w:rsidRPr="00DB02DE" w14:paraId="6C040DE3" w14:textId="77777777" w:rsidTr="000E4202">
        <w:tc>
          <w:tcPr>
            <w:tcW w:w="2093" w:type="dxa"/>
            <w:shd w:val="clear" w:color="auto" w:fill="auto"/>
            <w:vAlign w:val="center"/>
          </w:tcPr>
          <w:p w14:paraId="35CEAB66" w14:textId="77777777" w:rsidR="00DB02DE" w:rsidRPr="00DB02DE" w:rsidRDefault="00DB02DE" w:rsidP="000E4202">
            <w:pPr>
              <w:spacing w:before="60" w:after="60"/>
              <w:rPr>
                <w:rFonts w:ascii="Arial" w:hAnsi="Arial" w:cs="Arial"/>
              </w:rPr>
            </w:pPr>
          </w:p>
        </w:tc>
        <w:tc>
          <w:tcPr>
            <w:tcW w:w="2585" w:type="dxa"/>
            <w:shd w:val="clear" w:color="auto" w:fill="auto"/>
            <w:vAlign w:val="center"/>
          </w:tcPr>
          <w:p w14:paraId="54923CF3" w14:textId="77777777" w:rsidR="00DB02DE" w:rsidRPr="00DB02DE" w:rsidRDefault="00DB02DE" w:rsidP="000E4202">
            <w:pPr>
              <w:spacing w:before="60" w:after="60"/>
              <w:jc w:val="center"/>
              <w:rPr>
                <w:rFonts w:ascii="Arial" w:hAnsi="Arial" w:cs="Arial"/>
                <w:sz w:val="22"/>
              </w:rPr>
            </w:pPr>
            <w:r w:rsidRPr="00DB02DE">
              <w:rPr>
                <w:rFonts w:ascii="Arial" w:hAnsi="Arial" w:cs="Arial"/>
                <w:sz w:val="22"/>
              </w:rPr>
              <w:t>B</w:t>
            </w:r>
            <w:r w:rsidRPr="00DB02DE">
              <w:rPr>
                <w:rFonts w:ascii="Arial" w:hAnsi="Arial" w:cs="Arial"/>
                <w:sz w:val="22"/>
                <w:vertAlign w:val="subscript"/>
              </w:rPr>
              <w:t>1</w:t>
            </w:r>
            <w:r w:rsidRPr="00DB02DE">
              <w:rPr>
                <w:rFonts w:ascii="Arial" w:hAnsi="Arial" w:cs="Arial"/>
                <w:sz w:val="22"/>
              </w:rPr>
              <w:t xml:space="preserve"> – Expect no relief, and therefore mitigate</w:t>
            </w:r>
          </w:p>
        </w:tc>
        <w:tc>
          <w:tcPr>
            <w:tcW w:w="2410" w:type="dxa"/>
            <w:shd w:val="clear" w:color="auto" w:fill="auto"/>
            <w:vAlign w:val="center"/>
          </w:tcPr>
          <w:p w14:paraId="09390867" w14:textId="77777777" w:rsidR="00DB02DE" w:rsidRPr="00DB02DE" w:rsidRDefault="00DB02DE" w:rsidP="000E4202">
            <w:pPr>
              <w:spacing w:before="60" w:after="60"/>
              <w:jc w:val="center"/>
              <w:rPr>
                <w:rFonts w:ascii="Arial" w:hAnsi="Arial" w:cs="Arial"/>
                <w:sz w:val="22"/>
              </w:rPr>
            </w:pPr>
            <w:r w:rsidRPr="00DB02DE">
              <w:rPr>
                <w:rFonts w:ascii="Arial" w:hAnsi="Arial" w:cs="Arial"/>
                <w:sz w:val="22"/>
              </w:rPr>
              <w:t>B</w:t>
            </w:r>
            <w:r w:rsidRPr="00DB02DE">
              <w:rPr>
                <w:rFonts w:ascii="Arial" w:hAnsi="Arial" w:cs="Arial"/>
                <w:sz w:val="22"/>
                <w:vertAlign w:val="subscript"/>
              </w:rPr>
              <w:t>2</w:t>
            </w:r>
            <w:r w:rsidRPr="00DB02DE">
              <w:rPr>
                <w:rFonts w:ascii="Arial" w:hAnsi="Arial" w:cs="Arial"/>
                <w:sz w:val="22"/>
              </w:rPr>
              <w:t xml:space="preserve"> – Expect relief, and therefore do not mitigate</w:t>
            </w:r>
          </w:p>
        </w:tc>
      </w:tr>
      <w:tr w:rsidR="00DB02DE" w:rsidRPr="00DB02DE" w14:paraId="1CD4B125" w14:textId="77777777" w:rsidTr="000E4202">
        <w:tc>
          <w:tcPr>
            <w:tcW w:w="2093" w:type="dxa"/>
            <w:shd w:val="clear" w:color="auto" w:fill="auto"/>
            <w:vAlign w:val="center"/>
          </w:tcPr>
          <w:p w14:paraId="7295BFB0" w14:textId="77777777" w:rsidR="00DB02DE" w:rsidRPr="00DB02DE" w:rsidRDefault="00DB02DE" w:rsidP="000E4202">
            <w:pPr>
              <w:spacing w:before="60" w:after="60"/>
              <w:rPr>
                <w:rFonts w:ascii="Arial" w:hAnsi="Arial" w:cs="Arial"/>
                <w:sz w:val="22"/>
              </w:rPr>
            </w:pPr>
            <w:r w:rsidRPr="00DB02DE">
              <w:rPr>
                <w:rFonts w:ascii="Arial" w:hAnsi="Arial" w:cs="Arial"/>
                <w:sz w:val="22"/>
              </w:rPr>
              <w:t>A</w:t>
            </w:r>
            <w:r w:rsidRPr="00DB02DE">
              <w:rPr>
                <w:rFonts w:ascii="Arial" w:hAnsi="Arial" w:cs="Arial"/>
                <w:sz w:val="22"/>
                <w:vertAlign w:val="subscript"/>
              </w:rPr>
              <w:t>1</w:t>
            </w:r>
            <w:r w:rsidRPr="00DB02DE">
              <w:rPr>
                <w:rFonts w:ascii="Arial" w:hAnsi="Arial" w:cs="Arial"/>
                <w:sz w:val="22"/>
              </w:rPr>
              <w:t xml:space="preserve"> – Provide relief</w:t>
            </w:r>
          </w:p>
        </w:tc>
        <w:tc>
          <w:tcPr>
            <w:tcW w:w="2585" w:type="dxa"/>
            <w:shd w:val="clear" w:color="auto" w:fill="auto"/>
            <w:vAlign w:val="center"/>
          </w:tcPr>
          <w:p w14:paraId="75E7B773" w14:textId="77777777" w:rsidR="00DB02DE" w:rsidRPr="00DB02DE" w:rsidRDefault="00DB02DE" w:rsidP="000E4202">
            <w:pPr>
              <w:spacing w:before="60" w:after="60"/>
              <w:jc w:val="center"/>
              <w:rPr>
                <w:rFonts w:ascii="Arial" w:hAnsi="Arial" w:cs="Arial"/>
                <w:sz w:val="22"/>
              </w:rPr>
            </w:pPr>
            <w:r w:rsidRPr="00DB02DE">
              <w:rPr>
                <w:rFonts w:ascii="Arial" w:hAnsi="Arial" w:cs="Arial"/>
                <w:sz w:val="22"/>
              </w:rPr>
              <w:t>4</w:t>
            </w:r>
          </w:p>
        </w:tc>
        <w:tc>
          <w:tcPr>
            <w:tcW w:w="2410" w:type="dxa"/>
            <w:shd w:val="clear" w:color="auto" w:fill="auto"/>
            <w:vAlign w:val="center"/>
          </w:tcPr>
          <w:p w14:paraId="5575A200" w14:textId="77777777" w:rsidR="00DB02DE" w:rsidRPr="00DB02DE" w:rsidRDefault="00DB02DE" w:rsidP="000E4202">
            <w:pPr>
              <w:spacing w:before="60" w:after="60"/>
              <w:jc w:val="center"/>
              <w:rPr>
                <w:rFonts w:ascii="Arial" w:hAnsi="Arial" w:cs="Arial"/>
                <w:sz w:val="22"/>
              </w:rPr>
            </w:pPr>
            <w:r w:rsidRPr="00DB02DE">
              <w:rPr>
                <w:rFonts w:ascii="Arial" w:hAnsi="Arial" w:cs="Arial"/>
                <w:sz w:val="22"/>
              </w:rPr>
              <w:t>2</w:t>
            </w:r>
          </w:p>
        </w:tc>
      </w:tr>
      <w:tr w:rsidR="00DB02DE" w:rsidRPr="00DB02DE" w14:paraId="5E1858F1" w14:textId="77777777" w:rsidTr="000E4202">
        <w:tc>
          <w:tcPr>
            <w:tcW w:w="2093" w:type="dxa"/>
            <w:shd w:val="clear" w:color="auto" w:fill="auto"/>
            <w:vAlign w:val="center"/>
          </w:tcPr>
          <w:p w14:paraId="269C956F" w14:textId="77777777" w:rsidR="00DB02DE" w:rsidRPr="00DB02DE" w:rsidRDefault="00DB02DE" w:rsidP="000E4202">
            <w:pPr>
              <w:spacing w:before="60" w:after="60"/>
              <w:rPr>
                <w:rFonts w:ascii="Arial" w:hAnsi="Arial" w:cs="Arial"/>
                <w:sz w:val="22"/>
              </w:rPr>
            </w:pPr>
            <w:r w:rsidRPr="00DB02DE">
              <w:rPr>
                <w:rFonts w:ascii="Arial" w:hAnsi="Arial" w:cs="Arial"/>
                <w:sz w:val="22"/>
              </w:rPr>
              <w:t>A</w:t>
            </w:r>
            <w:r w:rsidRPr="00DB02DE">
              <w:rPr>
                <w:rFonts w:ascii="Arial" w:hAnsi="Arial" w:cs="Arial"/>
                <w:sz w:val="22"/>
                <w:vertAlign w:val="subscript"/>
              </w:rPr>
              <w:t>2</w:t>
            </w:r>
            <w:r w:rsidRPr="00DB02DE">
              <w:rPr>
                <w:rFonts w:ascii="Arial" w:hAnsi="Arial" w:cs="Arial"/>
                <w:sz w:val="22"/>
              </w:rPr>
              <w:t xml:space="preserve"> – Provide no relief</w:t>
            </w:r>
          </w:p>
        </w:tc>
        <w:tc>
          <w:tcPr>
            <w:tcW w:w="2585" w:type="dxa"/>
            <w:shd w:val="clear" w:color="auto" w:fill="auto"/>
            <w:vAlign w:val="center"/>
          </w:tcPr>
          <w:p w14:paraId="601D979E" w14:textId="77777777" w:rsidR="00DB02DE" w:rsidRPr="00DB02DE" w:rsidRDefault="00DB02DE" w:rsidP="000E4202">
            <w:pPr>
              <w:spacing w:before="60" w:after="60"/>
              <w:jc w:val="center"/>
              <w:rPr>
                <w:rFonts w:ascii="Arial" w:hAnsi="Arial" w:cs="Arial"/>
                <w:sz w:val="22"/>
              </w:rPr>
            </w:pPr>
            <w:r w:rsidRPr="00DB02DE">
              <w:rPr>
                <w:rFonts w:ascii="Arial" w:hAnsi="Arial" w:cs="Arial"/>
                <w:sz w:val="22"/>
              </w:rPr>
              <w:t>3</w:t>
            </w:r>
          </w:p>
        </w:tc>
        <w:tc>
          <w:tcPr>
            <w:tcW w:w="2410" w:type="dxa"/>
            <w:shd w:val="clear" w:color="auto" w:fill="auto"/>
            <w:vAlign w:val="center"/>
          </w:tcPr>
          <w:p w14:paraId="6A4E6F7F" w14:textId="77777777" w:rsidR="00DB02DE" w:rsidRPr="00DB02DE" w:rsidRDefault="00DB02DE" w:rsidP="000E4202">
            <w:pPr>
              <w:spacing w:before="60" w:after="60"/>
              <w:jc w:val="center"/>
              <w:rPr>
                <w:rFonts w:ascii="Arial" w:hAnsi="Arial" w:cs="Arial"/>
                <w:sz w:val="22"/>
              </w:rPr>
            </w:pPr>
            <w:r w:rsidRPr="00DB02DE">
              <w:rPr>
                <w:rFonts w:ascii="Arial" w:hAnsi="Arial" w:cs="Arial"/>
                <w:sz w:val="22"/>
              </w:rPr>
              <w:t>1</w:t>
            </w:r>
          </w:p>
        </w:tc>
      </w:tr>
    </w:tbl>
    <w:p w14:paraId="6718EE6A" w14:textId="77777777" w:rsidR="00DB02DE" w:rsidRPr="00DB02DE" w:rsidRDefault="00DB02DE" w:rsidP="00DB02DE">
      <w:pPr>
        <w:spacing w:after="120"/>
        <w:rPr>
          <w:rFonts w:ascii="Arial" w:hAnsi="Arial" w:cs="Arial"/>
        </w:rPr>
      </w:pPr>
    </w:p>
    <w:p w14:paraId="427F42AE" w14:textId="77777777" w:rsidR="00DB02DE" w:rsidRPr="00DB02DE" w:rsidRDefault="00DB02DE" w:rsidP="00DB02DE">
      <w:pPr>
        <w:spacing w:after="120"/>
        <w:rPr>
          <w:rFonts w:ascii="Arial" w:hAnsi="Arial" w:cs="Arial"/>
          <w:sz w:val="22"/>
          <w:szCs w:val="22"/>
        </w:rPr>
      </w:pPr>
      <w:r w:rsidRPr="00DB02DE">
        <w:rPr>
          <w:rFonts w:ascii="Arial" w:hAnsi="Arial" w:cs="Arial"/>
          <w:sz w:val="22"/>
          <w:szCs w:val="22"/>
        </w:rPr>
        <w:t>The best outcome for the government (4 on a scale from 1 to 4, where 4 is the best) is A</w:t>
      </w:r>
      <w:r w:rsidRPr="00DB02DE">
        <w:rPr>
          <w:rFonts w:ascii="Arial" w:hAnsi="Arial" w:cs="Arial"/>
          <w:sz w:val="22"/>
          <w:szCs w:val="22"/>
          <w:vertAlign w:val="subscript"/>
        </w:rPr>
        <w:t>1</w:t>
      </w:r>
      <w:r w:rsidRPr="00DB02DE">
        <w:rPr>
          <w:rFonts w:ascii="Arial" w:hAnsi="Arial" w:cs="Arial"/>
          <w:sz w:val="22"/>
          <w:szCs w:val="22"/>
        </w:rPr>
        <w:t>B</w:t>
      </w:r>
      <w:r w:rsidRPr="00DB02DE">
        <w:rPr>
          <w:rFonts w:ascii="Arial" w:hAnsi="Arial" w:cs="Arial"/>
          <w:sz w:val="22"/>
          <w:szCs w:val="22"/>
          <w:vertAlign w:val="subscript"/>
        </w:rPr>
        <w:t>1</w:t>
      </w:r>
      <w:r w:rsidRPr="00DB02DE">
        <w:rPr>
          <w:rFonts w:ascii="Arial" w:hAnsi="Arial" w:cs="Arial"/>
          <w:sz w:val="22"/>
          <w:szCs w:val="22"/>
        </w:rPr>
        <w:t>, in which they provide budget-limited top-up relief funding for private mitigation efforts to the extent that they did not fully protect against the catastrophe. The worst outcome is A</w:t>
      </w:r>
      <w:r w:rsidRPr="00DB02DE">
        <w:rPr>
          <w:rFonts w:ascii="Arial" w:hAnsi="Arial" w:cs="Arial"/>
          <w:position w:val="-2"/>
          <w:sz w:val="22"/>
          <w:szCs w:val="22"/>
        </w:rPr>
        <w:t>2</w:t>
      </w:r>
      <w:r w:rsidRPr="00DB02DE">
        <w:rPr>
          <w:rFonts w:ascii="Arial" w:hAnsi="Arial" w:cs="Arial"/>
          <w:position w:val="-3"/>
          <w:sz w:val="22"/>
          <w:szCs w:val="22"/>
        </w:rPr>
        <w:t xml:space="preserve"> </w:t>
      </w:r>
      <w:r w:rsidRPr="00DB02DE">
        <w:rPr>
          <w:rFonts w:ascii="Arial" w:hAnsi="Arial" w:cs="Arial"/>
          <w:sz w:val="22"/>
          <w:szCs w:val="22"/>
        </w:rPr>
        <w:t>B</w:t>
      </w:r>
      <w:r w:rsidRPr="00DB02DE">
        <w:rPr>
          <w:rFonts w:ascii="Arial" w:hAnsi="Arial" w:cs="Arial"/>
          <w:position w:val="-2"/>
          <w:sz w:val="22"/>
          <w:szCs w:val="22"/>
        </w:rPr>
        <w:t>2</w:t>
      </w:r>
      <w:r w:rsidRPr="00DB02DE">
        <w:rPr>
          <w:rFonts w:ascii="Arial" w:hAnsi="Arial" w:cs="Arial"/>
          <w:position w:val="-3"/>
          <w:sz w:val="22"/>
          <w:szCs w:val="22"/>
        </w:rPr>
        <w:t xml:space="preserve">, </w:t>
      </w:r>
      <w:r w:rsidRPr="00DB02DE">
        <w:rPr>
          <w:rFonts w:ascii="Arial" w:hAnsi="Arial" w:cs="Arial"/>
          <w:sz w:val="22"/>
          <w:szCs w:val="22"/>
        </w:rPr>
        <w:t xml:space="preserve">in which the citizens make no plans for the disaster and the government provides no relief. </w:t>
      </w:r>
    </w:p>
    <w:p w14:paraId="272DF5D0" w14:textId="77777777" w:rsidR="00DB02DE" w:rsidRPr="00DB02DE" w:rsidRDefault="00DB02DE" w:rsidP="00DB02DE">
      <w:pPr>
        <w:spacing w:after="120"/>
        <w:rPr>
          <w:rFonts w:ascii="Arial" w:hAnsi="Arial" w:cs="Arial"/>
          <w:sz w:val="22"/>
          <w:szCs w:val="22"/>
        </w:rPr>
      </w:pPr>
      <w:r w:rsidRPr="00DB02DE">
        <w:rPr>
          <w:rFonts w:ascii="Arial" w:hAnsi="Arial" w:cs="Arial"/>
          <w:sz w:val="22"/>
          <w:szCs w:val="22"/>
        </w:rPr>
        <w:t>The ordering of the other two outcomes, A</w:t>
      </w:r>
      <w:r w:rsidRPr="00DB02DE">
        <w:rPr>
          <w:rFonts w:ascii="Arial" w:hAnsi="Arial" w:cs="Arial"/>
          <w:position w:val="-4"/>
          <w:sz w:val="22"/>
          <w:szCs w:val="22"/>
          <w:vertAlign w:val="subscript"/>
        </w:rPr>
        <w:t>2</w:t>
      </w:r>
      <w:r w:rsidRPr="00DB02DE">
        <w:rPr>
          <w:rFonts w:ascii="Arial" w:hAnsi="Arial" w:cs="Arial"/>
          <w:position w:val="-2"/>
          <w:sz w:val="22"/>
          <w:szCs w:val="22"/>
        </w:rPr>
        <w:t xml:space="preserve"> </w:t>
      </w:r>
      <w:r w:rsidRPr="00DB02DE">
        <w:rPr>
          <w:rFonts w:ascii="Arial" w:hAnsi="Arial" w:cs="Arial"/>
          <w:sz w:val="22"/>
          <w:szCs w:val="22"/>
        </w:rPr>
        <w:t>B</w:t>
      </w:r>
      <w:r w:rsidRPr="00DB02DE">
        <w:rPr>
          <w:rFonts w:ascii="Arial" w:hAnsi="Arial" w:cs="Arial"/>
          <w:position w:val="-4"/>
          <w:sz w:val="22"/>
          <w:szCs w:val="22"/>
          <w:vertAlign w:val="subscript"/>
        </w:rPr>
        <w:t>1</w:t>
      </w:r>
      <w:r w:rsidRPr="00DB02DE">
        <w:rPr>
          <w:rFonts w:ascii="Arial" w:hAnsi="Arial" w:cs="Arial"/>
          <w:sz w:val="22"/>
          <w:szCs w:val="22"/>
          <w:vertAlign w:val="subscript"/>
        </w:rPr>
        <w:t xml:space="preserve">  </w:t>
      </w:r>
      <w:r w:rsidRPr="00DB02DE">
        <w:rPr>
          <w:rFonts w:ascii="Arial" w:hAnsi="Arial" w:cs="Arial"/>
          <w:sz w:val="22"/>
          <w:szCs w:val="22"/>
        </w:rPr>
        <w:t>(no government help, but private citizens mitigate) and A</w:t>
      </w:r>
      <w:r w:rsidRPr="00DB02DE">
        <w:rPr>
          <w:rFonts w:ascii="Arial" w:hAnsi="Arial" w:cs="Arial"/>
          <w:position w:val="-2"/>
          <w:sz w:val="22"/>
          <w:szCs w:val="22"/>
        </w:rPr>
        <w:t>1</w:t>
      </w:r>
      <w:r w:rsidRPr="00DB02DE">
        <w:rPr>
          <w:rFonts w:ascii="Arial" w:hAnsi="Arial" w:cs="Arial"/>
          <w:sz w:val="22"/>
          <w:szCs w:val="22"/>
        </w:rPr>
        <w:t xml:space="preserve"> B</w:t>
      </w:r>
      <w:r w:rsidRPr="00DB02DE">
        <w:rPr>
          <w:rFonts w:ascii="Arial" w:hAnsi="Arial" w:cs="Arial"/>
          <w:position w:val="-2"/>
          <w:sz w:val="22"/>
          <w:szCs w:val="22"/>
        </w:rPr>
        <w:t>2</w:t>
      </w:r>
      <w:r w:rsidRPr="00DB02DE">
        <w:rPr>
          <w:rFonts w:ascii="Arial" w:hAnsi="Arial" w:cs="Arial"/>
          <w:sz w:val="22"/>
          <w:szCs w:val="22"/>
        </w:rPr>
        <w:t xml:space="preserve">  (government help, but no private mitigation) depends on the effectiveness of private mitigation versus the amount of relief which a budget-constrained government can afford. An interesting case is the ranking in Table 2 in which private mitigation leads to a better outcome than a government can provide with limited relief.</w:t>
      </w:r>
    </w:p>
    <w:p w14:paraId="293BF5EB" w14:textId="77777777" w:rsidR="00DB02DE" w:rsidRPr="00DB02DE" w:rsidRDefault="00DB02DE" w:rsidP="00DB02DE">
      <w:pPr>
        <w:spacing w:after="120"/>
        <w:rPr>
          <w:rFonts w:ascii="Arial" w:hAnsi="Arial" w:cs="Arial"/>
          <w:sz w:val="22"/>
          <w:szCs w:val="22"/>
        </w:rPr>
      </w:pPr>
      <w:r w:rsidRPr="00DB02DE">
        <w:rPr>
          <w:rFonts w:ascii="Arial" w:hAnsi="Arial" w:cs="Arial"/>
          <w:sz w:val="22"/>
          <w:szCs w:val="22"/>
        </w:rPr>
        <w:t>This case is an example of a decision-theoretic problem called ‘Newcomb</w:t>
      </w:r>
      <w:r w:rsidRPr="00DB02DE">
        <w:rPr>
          <w:rFonts w:ascii="Arial" w:hAnsi="Arial" w:cs="Arial"/>
          <w:position w:val="7"/>
          <w:sz w:val="22"/>
          <w:szCs w:val="22"/>
        </w:rPr>
        <w:t>’</w:t>
      </w:r>
      <w:r w:rsidRPr="00DB02DE">
        <w:rPr>
          <w:rFonts w:ascii="Arial" w:hAnsi="Arial" w:cs="Arial"/>
          <w:sz w:val="22"/>
          <w:szCs w:val="22"/>
        </w:rPr>
        <w:t>s problem’ (see Broome</w:t>
      </w:r>
      <w:r w:rsidRPr="00DB02DE">
        <w:rPr>
          <w:rFonts w:ascii="Arial" w:hAnsi="Arial" w:cs="Arial"/>
          <w:position w:val="9"/>
          <w:sz w:val="22"/>
          <w:szCs w:val="22"/>
        </w:rPr>
        <w:t xml:space="preserve"> </w:t>
      </w:r>
      <w:r w:rsidRPr="00DB02DE">
        <w:rPr>
          <w:rFonts w:ascii="Arial" w:hAnsi="Arial" w:cs="Arial"/>
          <w:sz w:val="22"/>
          <w:szCs w:val="22"/>
        </w:rPr>
        <w:t xml:space="preserve">(1989)). This problem arises when a decision maker must make a decision choice such that its payoff is affected by whether or not its action was </w:t>
      </w:r>
      <w:r w:rsidRPr="00DB02DE">
        <w:rPr>
          <w:rFonts w:ascii="Arial" w:hAnsi="Arial" w:cs="Arial"/>
          <w:i/>
          <w:sz w:val="22"/>
          <w:szCs w:val="22"/>
        </w:rPr>
        <w:t>anticipated</w:t>
      </w:r>
      <w:r w:rsidRPr="00DB02DE">
        <w:rPr>
          <w:rFonts w:ascii="Arial" w:hAnsi="Arial" w:cs="Arial"/>
          <w:sz w:val="22"/>
          <w:szCs w:val="22"/>
        </w:rPr>
        <w:t xml:space="preserve"> by another rational agent with good predictive powers.  In this case, as here, no single uniquely-best rational course of action exists.</w:t>
      </w:r>
    </w:p>
    <w:p w14:paraId="7C560B8A" w14:textId="77777777" w:rsidR="00DB02DE" w:rsidRPr="00DB02DE" w:rsidRDefault="00DB02DE" w:rsidP="00DB02DE">
      <w:pPr>
        <w:spacing w:after="120"/>
        <w:rPr>
          <w:rFonts w:ascii="Arial" w:hAnsi="Arial" w:cs="Arial"/>
          <w:sz w:val="22"/>
          <w:szCs w:val="22"/>
        </w:rPr>
      </w:pPr>
      <w:r w:rsidRPr="00DB02DE">
        <w:rPr>
          <w:rFonts w:ascii="Arial" w:hAnsi="Arial" w:cs="Arial"/>
          <w:sz w:val="22"/>
          <w:szCs w:val="22"/>
        </w:rPr>
        <w:t>To see this, we ask what, in this case, should government policy be? If we assume that individuals correctly anticipate government action, then if the government provides relief, it will have been expected, and no mitigation will have been undertaken (A</w:t>
      </w:r>
      <w:r w:rsidRPr="00DB02DE">
        <w:rPr>
          <w:rFonts w:ascii="Arial" w:hAnsi="Arial" w:cs="Arial"/>
          <w:position w:val="-2"/>
          <w:sz w:val="22"/>
          <w:szCs w:val="22"/>
        </w:rPr>
        <w:t>1</w:t>
      </w:r>
      <w:r w:rsidRPr="00DB02DE">
        <w:rPr>
          <w:rFonts w:ascii="Arial" w:hAnsi="Arial" w:cs="Arial"/>
          <w:sz w:val="22"/>
          <w:szCs w:val="22"/>
        </w:rPr>
        <w:t xml:space="preserve"> B</w:t>
      </w:r>
      <w:r w:rsidRPr="00DB02DE">
        <w:rPr>
          <w:rFonts w:ascii="Arial" w:hAnsi="Arial" w:cs="Arial"/>
          <w:position w:val="-2"/>
          <w:sz w:val="22"/>
          <w:szCs w:val="22"/>
        </w:rPr>
        <w:t>2</w:t>
      </w:r>
      <w:r w:rsidRPr="00DB02DE">
        <w:rPr>
          <w:rFonts w:ascii="Arial" w:hAnsi="Arial" w:cs="Arial"/>
          <w:sz w:val="22"/>
          <w:szCs w:val="22"/>
        </w:rPr>
        <w:t xml:space="preserve"> in Table 2). From the government’s perspective (and the community’s), this outcome is worse than when government relief is not expected, and losses are reduced by the actions of the potential victims (A</w:t>
      </w:r>
      <w:r w:rsidRPr="00DB02DE">
        <w:rPr>
          <w:rFonts w:ascii="Arial" w:hAnsi="Arial" w:cs="Arial"/>
          <w:position w:val="-2"/>
          <w:sz w:val="22"/>
          <w:szCs w:val="22"/>
        </w:rPr>
        <w:t>2</w:t>
      </w:r>
      <w:r w:rsidRPr="00DB02DE">
        <w:rPr>
          <w:rFonts w:ascii="Arial" w:hAnsi="Arial" w:cs="Arial"/>
          <w:sz w:val="22"/>
          <w:szCs w:val="22"/>
        </w:rPr>
        <w:t xml:space="preserve"> B</w:t>
      </w:r>
      <w:r w:rsidRPr="00DB02DE">
        <w:rPr>
          <w:rFonts w:ascii="Arial" w:hAnsi="Arial" w:cs="Arial"/>
          <w:sz w:val="22"/>
          <w:szCs w:val="22"/>
          <w:vertAlign w:val="subscript"/>
        </w:rPr>
        <w:t>1</w:t>
      </w:r>
      <w:r w:rsidRPr="00DB02DE">
        <w:rPr>
          <w:rFonts w:ascii="Arial" w:hAnsi="Arial" w:cs="Arial"/>
          <w:sz w:val="22"/>
          <w:szCs w:val="22"/>
        </w:rPr>
        <w:t xml:space="preserve"> in Table 2). This calls for a rule of “provide no help”.</w:t>
      </w:r>
    </w:p>
    <w:p w14:paraId="0C059ECD" w14:textId="77777777" w:rsidR="00DB02DE" w:rsidRPr="00DB02DE" w:rsidRDefault="00DB02DE" w:rsidP="00DB02DE">
      <w:pPr>
        <w:spacing w:after="120"/>
        <w:rPr>
          <w:rFonts w:ascii="Arial" w:hAnsi="Arial" w:cs="Arial"/>
          <w:sz w:val="22"/>
          <w:szCs w:val="22"/>
        </w:rPr>
      </w:pPr>
      <w:r w:rsidRPr="00DB02DE">
        <w:rPr>
          <w:rFonts w:ascii="Arial" w:hAnsi="Arial" w:cs="Arial"/>
          <w:sz w:val="22"/>
          <w:szCs w:val="22"/>
        </w:rPr>
        <w:lastRenderedPageBreak/>
        <w:t>However, this framework permits another way of reasoning. Before the government acts, people will have already formed their expectations, and will either have mitigated or not. No matter which, the results of providing relief are better than the results of not providing relief (a ranking of 4 is better than a 3, and a ranking of a 2 is better than a 1). Therefore the government should provide relief.</w:t>
      </w:r>
    </w:p>
    <w:p w14:paraId="4EA9E714" w14:textId="77777777" w:rsidR="00DB02DE" w:rsidRPr="00DB02DE" w:rsidRDefault="00DB02DE" w:rsidP="00DB02DE">
      <w:pPr>
        <w:spacing w:after="120"/>
        <w:rPr>
          <w:rFonts w:ascii="Arial" w:hAnsi="Arial" w:cs="Arial"/>
          <w:sz w:val="22"/>
          <w:szCs w:val="22"/>
        </w:rPr>
      </w:pPr>
      <w:r w:rsidRPr="00DB02DE">
        <w:rPr>
          <w:rFonts w:ascii="Arial" w:hAnsi="Arial" w:cs="Arial"/>
          <w:sz w:val="22"/>
          <w:szCs w:val="22"/>
        </w:rPr>
        <w:t>The optimal rule à la Kydland and Prescott is a rule of “provide no help” – the opposite of the argument above.  But having adopted such a rule, with the mitigation in place, it would seem appropriate to break the rule and provide relief. As Frydman et al.</w:t>
      </w:r>
      <w:r w:rsidRPr="00DB02DE">
        <w:rPr>
          <w:rFonts w:ascii="Arial" w:hAnsi="Arial" w:cs="Arial"/>
          <w:position w:val="9"/>
          <w:sz w:val="22"/>
          <w:szCs w:val="22"/>
        </w:rPr>
        <w:t xml:space="preserve"> </w:t>
      </w:r>
      <w:r w:rsidRPr="00DB02DE">
        <w:rPr>
          <w:rFonts w:ascii="Arial" w:hAnsi="Arial" w:cs="Arial"/>
          <w:sz w:val="22"/>
          <w:szCs w:val="22"/>
        </w:rPr>
        <w:t xml:space="preserve">have argued, the first casualty of this </w:t>
      </w:r>
      <w:r w:rsidRPr="00DB02DE">
        <w:rPr>
          <w:rFonts w:ascii="Arial" w:hAnsi="Arial" w:cs="Arial"/>
          <w:i/>
          <w:sz w:val="22"/>
          <w:szCs w:val="22"/>
        </w:rPr>
        <w:t>time inconsistency</w:t>
      </w:r>
      <w:r w:rsidRPr="00DB02DE">
        <w:rPr>
          <w:rFonts w:ascii="Arial" w:hAnsi="Arial" w:cs="Arial"/>
          <w:sz w:val="22"/>
          <w:szCs w:val="22"/>
        </w:rPr>
        <w:t xml:space="preserve"> problem is rational expectations itself. Since there is no obvious </w:t>
      </w:r>
      <w:r w:rsidRPr="00DB02DE">
        <w:rPr>
          <w:rFonts w:ascii="Arial" w:hAnsi="Arial" w:cs="Arial"/>
          <w:i/>
          <w:sz w:val="22"/>
          <w:szCs w:val="22"/>
        </w:rPr>
        <w:t>single</w:t>
      </w:r>
      <w:r w:rsidRPr="00DB02DE">
        <w:rPr>
          <w:rFonts w:ascii="Arial" w:hAnsi="Arial" w:cs="Arial"/>
          <w:sz w:val="22"/>
          <w:szCs w:val="22"/>
        </w:rPr>
        <w:t xml:space="preserve"> best course of action for the government, it is not possible for the agents to have rational expectations regarding it.</w:t>
      </w:r>
    </w:p>
    <w:p w14:paraId="6712C47A" w14:textId="77777777" w:rsidR="00DB02DE" w:rsidRPr="00DB02DE" w:rsidRDefault="00DB02DE" w:rsidP="00DB02DE">
      <w:pPr>
        <w:rPr>
          <w:rFonts w:ascii="Arial" w:hAnsi="Arial" w:cs="Arial"/>
          <w:sz w:val="22"/>
          <w:szCs w:val="22"/>
        </w:rPr>
      </w:pPr>
    </w:p>
    <w:p w14:paraId="560870D5" w14:textId="77777777" w:rsidR="00DB02DE" w:rsidRPr="00DB02DE" w:rsidRDefault="00DB02DE" w:rsidP="00DB02DE">
      <w:pPr>
        <w:pStyle w:val="Subtitle"/>
        <w:spacing w:after="0"/>
        <w:rPr>
          <w:rFonts w:ascii="Arial" w:hAnsi="Arial" w:cs="Arial"/>
          <w:b/>
          <w:i w:val="0"/>
          <w:color w:val="auto"/>
          <w:sz w:val="22"/>
          <w:szCs w:val="22"/>
        </w:rPr>
      </w:pPr>
      <w:r w:rsidRPr="00DB02DE">
        <w:rPr>
          <w:rFonts w:ascii="Arial" w:hAnsi="Arial" w:cs="Arial"/>
          <w:b/>
          <w:i w:val="0"/>
          <w:color w:val="auto"/>
          <w:sz w:val="22"/>
          <w:szCs w:val="22"/>
        </w:rPr>
        <w:t>References</w:t>
      </w:r>
    </w:p>
    <w:p w14:paraId="1CDD8687" w14:textId="77777777" w:rsidR="00DB02DE" w:rsidRPr="00DB02DE" w:rsidRDefault="00DB02DE" w:rsidP="00DB02DE">
      <w:pPr>
        <w:spacing w:after="120"/>
        <w:rPr>
          <w:rFonts w:ascii="Arial" w:hAnsi="Arial" w:cs="Arial"/>
          <w:sz w:val="22"/>
          <w:szCs w:val="22"/>
        </w:rPr>
      </w:pPr>
      <w:r w:rsidRPr="00DB02DE">
        <w:rPr>
          <w:rFonts w:ascii="Arial" w:hAnsi="Arial" w:cs="Arial"/>
          <w:sz w:val="22"/>
          <w:szCs w:val="22"/>
        </w:rPr>
        <w:t xml:space="preserve">Broome, J. (1989) An economic Newcomb problem, </w:t>
      </w:r>
      <w:r w:rsidRPr="00DB02DE">
        <w:rPr>
          <w:rFonts w:ascii="Arial" w:hAnsi="Arial" w:cs="Arial"/>
          <w:i/>
          <w:sz w:val="22"/>
          <w:szCs w:val="22"/>
        </w:rPr>
        <w:t>Analysis</w:t>
      </w:r>
      <w:r w:rsidRPr="00DB02DE">
        <w:rPr>
          <w:rFonts w:ascii="Arial" w:hAnsi="Arial" w:cs="Arial"/>
          <w:sz w:val="22"/>
          <w:szCs w:val="22"/>
        </w:rPr>
        <w:t xml:space="preserve"> 49(4): 220–222.</w:t>
      </w:r>
    </w:p>
    <w:p w14:paraId="797EB923" w14:textId="77777777" w:rsidR="00DB02DE" w:rsidRPr="00DB02DE" w:rsidRDefault="00DB02DE" w:rsidP="00DB02DE">
      <w:pPr>
        <w:spacing w:after="120"/>
        <w:rPr>
          <w:rFonts w:ascii="Arial" w:hAnsi="Arial" w:cs="Arial"/>
          <w:sz w:val="22"/>
          <w:szCs w:val="22"/>
        </w:rPr>
      </w:pPr>
      <w:r w:rsidRPr="00DB02DE">
        <w:rPr>
          <w:rFonts w:ascii="Arial" w:hAnsi="Arial" w:cs="Arial"/>
          <w:sz w:val="22"/>
          <w:szCs w:val="22"/>
        </w:rPr>
        <w:t xml:space="preserve">Buchanan, J. M.  (1975) </w:t>
      </w:r>
      <w:r w:rsidRPr="00DB02DE">
        <w:rPr>
          <w:rFonts w:ascii="Arial" w:hAnsi="Arial" w:cs="Arial"/>
          <w:i/>
          <w:sz w:val="22"/>
          <w:szCs w:val="22"/>
        </w:rPr>
        <w:t>The Samaritan’s Dilemma</w:t>
      </w:r>
      <w:r w:rsidRPr="00DB02DE">
        <w:rPr>
          <w:rFonts w:ascii="Arial" w:hAnsi="Arial" w:cs="Arial"/>
          <w:sz w:val="22"/>
          <w:szCs w:val="22"/>
        </w:rPr>
        <w:t xml:space="preserve">, </w:t>
      </w:r>
      <w:r w:rsidRPr="00DB02DE">
        <w:rPr>
          <w:rFonts w:ascii="Arial" w:hAnsi="Arial" w:cs="Arial"/>
          <w:sz w:val="22"/>
          <w:szCs w:val="22"/>
          <w:u w:val="single"/>
        </w:rPr>
        <w:t>in</w:t>
      </w:r>
      <w:r w:rsidRPr="00DB02DE">
        <w:rPr>
          <w:rFonts w:ascii="Arial" w:hAnsi="Arial" w:cs="Arial"/>
          <w:sz w:val="22"/>
          <w:szCs w:val="22"/>
        </w:rPr>
        <w:t xml:space="preserve"> E.S. Phelps (ed.) </w:t>
      </w:r>
      <w:r w:rsidRPr="00DB02DE">
        <w:rPr>
          <w:rFonts w:ascii="Arial" w:hAnsi="Arial" w:cs="Arial"/>
          <w:i/>
          <w:sz w:val="22"/>
          <w:szCs w:val="22"/>
        </w:rPr>
        <w:t>Altruism, Morality, and Economic Theory</w:t>
      </w:r>
      <w:r w:rsidRPr="00DB02DE">
        <w:rPr>
          <w:rFonts w:ascii="Arial" w:hAnsi="Arial" w:cs="Arial"/>
          <w:sz w:val="22"/>
          <w:szCs w:val="22"/>
        </w:rPr>
        <w:t>, New York:  Russell Sage foundation, pp. 71–85.</w:t>
      </w:r>
    </w:p>
    <w:p w14:paraId="0D917A97" w14:textId="77777777" w:rsidR="00DB02DE" w:rsidRPr="00DB02DE" w:rsidRDefault="00DB02DE" w:rsidP="00DB02DE">
      <w:pPr>
        <w:spacing w:after="120"/>
        <w:rPr>
          <w:rFonts w:ascii="Arial" w:hAnsi="Arial" w:cs="Arial"/>
          <w:sz w:val="22"/>
          <w:szCs w:val="22"/>
        </w:rPr>
      </w:pPr>
      <w:r w:rsidRPr="00DB02DE">
        <w:rPr>
          <w:rFonts w:ascii="Arial" w:hAnsi="Arial" w:cs="Arial"/>
          <w:sz w:val="22"/>
          <w:szCs w:val="22"/>
        </w:rPr>
        <w:t xml:space="preserve">Frydman,  R.,   O’Driscoll,   P.  and   A. Schotter.  (1982)  ‘Rational   expectations  of government   policy: An application of Newcomb’s problem’, </w:t>
      </w:r>
      <w:r w:rsidRPr="00DB02DE">
        <w:rPr>
          <w:rFonts w:ascii="Arial" w:hAnsi="Arial" w:cs="Arial"/>
          <w:i/>
          <w:sz w:val="22"/>
          <w:szCs w:val="22"/>
        </w:rPr>
        <w:t xml:space="preserve">Southern Economic Journal </w:t>
      </w:r>
      <w:r w:rsidRPr="00DB02DE">
        <w:rPr>
          <w:rFonts w:ascii="Arial" w:hAnsi="Arial" w:cs="Arial"/>
          <w:sz w:val="22"/>
          <w:szCs w:val="22"/>
        </w:rPr>
        <w:t xml:space="preserve"> 49(2): 311–319.</w:t>
      </w:r>
    </w:p>
    <w:p w14:paraId="2118A489" w14:textId="77777777" w:rsidR="00DB02DE" w:rsidRPr="00DB02DE" w:rsidRDefault="00DB02DE" w:rsidP="00DB02DE">
      <w:pPr>
        <w:spacing w:after="120"/>
        <w:rPr>
          <w:rFonts w:ascii="Arial" w:hAnsi="Arial" w:cs="Arial"/>
          <w:sz w:val="22"/>
          <w:szCs w:val="22"/>
        </w:rPr>
      </w:pPr>
      <w:r w:rsidRPr="00DB02DE">
        <w:rPr>
          <w:rFonts w:ascii="Arial" w:hAnsi="Arial" w:cs="Arial"/>
          <w:sz w:val="22"/>
          <w:szCs w:val="22"/>
        </w:rPr>
        <w:t xml:space="preserve">Jaffe, D. and T. Russell, 2013. The welfare economics of catastrophe losses and insurance. </w:t>
      </w:r>
      <w:r w:rsidRPr="00DB02DE">
        <w:rPr>
          <w:rFonts w:ascii="Arial" w:hAnsi="Arial" w:cs="Arial"/>
          <w:i/>
          <w:sz w:val="22"/>
          <w:szCs w:val="22"/>
        </w:rPr>
        <w:t>The Geneva papers</w:t>
      </w:r>
      <w:r w:rsidRPr="00DB02DE">
        <w:rPr>
          <w:rFonts w:ascii="Arial" w:hAnsi="Arial" w:cs="Arial"/>
          <w:sz w:val="22"/>
          <w:szCs w:val="22"/>
        </w:rPr>
        <w:t xml:space="preserve"> 38:469-494.</w:t>
      </w:r>
    </w:p>
    <w:p w14:paraId="496CDFA8" w14:textId="77777777" w:rsidR="00DB02DE" w:rsidRPr="00DB02DE" w:rsidRDefault="00DB02DE" w:rsidP="00DB02DE">
      <w:pPr>
        <w:spacing w:after="120"/>
        <w:rPr>
          <w:rFonts w:ascii="Arial" w:hAnsi="Arial" w:cs="Arial"/>
          <w:sz w:val="22"/>
          <w:szCs w:val="22"/>
        </w:rPr>
      </w:pPr>
      <w:r w:rsidRPr="00DB02DE">
        <w:rPr>
          <w:rFonts w:ascii="Arial" w:hAnsi="Arial" w:cs="Arial"/>
          <w:sz w:val="22"/>
          <w:szCs w:val="22"/>
        </w:rPr>
        <w:t xml:space="preserve">Kunreuther, H. and Pauly, M. (2004) Neglecting disaster: Why don’t people insurance against large losses, </w:t>
      </w:r>
      <w:r w:rsidRPr="00DB02DE">
        <w:rPr>
          <w:rFonts w:ascii="Arial" w:hAnsi="Arial" w:cs="Arial"/>
          <w:i/>
          <w:sz w:val="22"/>
          <w:szCs w:val="22"/>
        </w:rPr>
        <w:t>Journal of Risk and Uncertainty</w:t>
      </w:r>
      <w:r w:rsidRPr="00DB02DE">
        <w:rPr>
          <w:rFonts w:ascii="Arial" w:hAnsi="Arial" w:cs="Arial"/>
          <w:sz w:val="22"/>
          <w:szCs w:val="22"/>
        </w:rPr>
        <w:t xml:space="preserve">  28(1): 5–21.</w:t>
      </w:r>
    </w:p>
    <w:p w14:paraId="70CCF93C" w14:textId="77777777" w:rsidR="00DB02DE" w:rsidRPr="00DB02DE" w:rsidRDefault="00DB02DE" w:rsidP="00DB02DE">
      <w:pPr>
        <w:spacing w:after="120"/>
        <w:rPr>
          <w:rFonts w:ascii="Arial" w:hAnsi="Arial" w:cs="Arial"/>
          <w:sz w:val="22"/>
          <w:szCs w:val="22"/>
        </w:rPr>
      </w:pPr>
      <w:r w:rsidRPr="00DB02DE">
        <w:rPr>
          <w:rFonts w:ascii="Arial" w:hAnsi="Arial" w:cs="Arial"/>
          <w:sz w:val="22"/>
          <w:szCs w:val="22"/>
        </w:rPr>
        <w:t xml:space="preserve">Kydland, F.E. and Prescott, E.C. (1977) Rules rather  than  discretion: The inconsistency of optimal  plans, </w:t>
      </w:r>
      <w:r w:rsidRPr="00DB02DE">
        <w:rPr>
          <w:rFonts w:ascii="Arial" w:hAnsi="Arial" w:cs="Arial"/>
          <w:i/>
          <w:sz w:val="22"/>
          <w:szCs w:val="22"/>
        </w:rPr>
        <w:t>Journal  of Political Economy</w:t>
      </w:r>
      <w:r w:rsidRPr="00DB02DE">
        <w:rPr>
          <w:rFonts w:ascii="Arial" w:hAnsi="Arial" w:cs="Arial"/>
          <w:sz w:val="22"/>
          <w:szCs w:val="22"/>
        </w:rPr>
        <w:t xml:space="preserve"> 85(3): 473–491.</w:t>
      </w:r>
    </w:p>
    <w:p w14:paraId="02825E66" w14:textId="77777777" w:rsidR="00DB02DE" w:rsidRPr="00DB02DE" w:rsidRDefault="00DB02DE" w:rsidP="00DB02DE">
      <w:pPr>
        <w:spacing w:after="120"/>
        <w:rPr>
          <w:rFonts w:ascii="Arial" w:hAnsi="Arial" w:cs="Arial"/>
          <w:sz w:val="22"/>
          <w:szCs w:val="22"/>
        </w:rPr>
      </w:pPr>
    </w:p>
    <w:p w14:paraId="5E6C1C3C" w14:textId="77777777" w:rsidR="00DB02DE" w:rsidRPr="00DB02DE" w:rsidRDefault="00DB02DE" w:rsidP="00DB02DE">
      <w:pPr>
        <w:spacing w:after="120"/>
        <w:rPr>
          <w:rFonts w:ascii="Arial" w:hAnsi="Arial" w:cs="Arial"/>
        </w:rPr>
      </w:pPr>
    </w:p>
    <w:p w14:paraId="748417F1" w14:textId="77777777" w:rsidR="00986E1A" w:rsidRPr="00DB02DE" w:rsidRDefault="00986E1A" w:rsidP="00890372">
      <w:pPr>
        <w:spacing w:after="120" w:line="276" w:lineRule="auto"/>
        <w:ind w:left="426" w:hanging="426"/>
        <w:rPr>
          <w:rFonts w:ascii="Arial" w:hAnsi="Arial" w:cs="Arial"/>
        </w:rPr>
      </w:pPr>
    </w:p>
    <w:sectPr w:rsidR="00986E1A" w:rsidRPr="00DB02DE" w:rsidSect="00DB02DE">
      <w:headerReference w:type="default" r:id="rId24"/>
      <w:footerReference w:type="default" r:id="rId25"/>
      <w:headerReference w:type="first" r:id="rId26"/>
      <w:footerReference w:type="first" r:id="rId27"/>
      <w:pgSz w:w="11900" w:h="16840"/>
      <w:pgMar w:top="2694"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6E4C3" w14:textId="77777777" w:rsidR="000E4202" w:rsidRDefault="000E4202" w:rsidP="00393CA7">
      <w:r>
        <w:separator/>
      </w:r>
    </w:p>
  </w:endnote>
  <w:endnote w:type="continuationSeparator" w:id="0">
    <w:p w14:paraId="5FDF71D9" w14:textId="77777777" w:rsidR="000E4202" w:rsidRDefault="000E4202" w:rsidP="0039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5EE5D" w14:textId="77777777" w:rsidR="000E4202" w:rsidRDefault="000E4202" w:rsidP="005702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06337D" w14:textId="77777777" w:rsidR="000E4202" w:rsidRDefault="000E4202" w:rsidP="005702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732406"/>
      <w:docPartObj>
        <w:docPartGallery w:val="Page Numbers (Bottom of Page)"/>
        <w:docPartUnique/>
      </w:docPartObj>
    </w:sdtPr>
    <w:sdtEndPr>
      <w:rPr>
        <w:noProof/>
      </w:rPr>
    </w:sdtEndPr>
    <w:sdtContent>
      <w:p w14:paraId="46869F36" w14:textId="77777777" w:rsidR="000E4202" w:rsidRDefault="000E4202">
        <w:pPr>
          <w:pStyle w:val="Footer"/>
        </w:pPr>
        <w:r>
          <w:rPr>
            <w:noProof/>
            <w:lang w:eastAsia="en-AU"/>
          </w:rPr>
          <w:drawing>
            <wp:anchor distT="0" distB="0" distL="114300" distR="114300" simplePos="0" relativeHeight="251659264" behindDoc="0" locked="0" layoutInCell="1" allowOverlap="1" wp14:anchorId="7FF769E5" wp14:editId="51A681EF">
              <wp:simplePos x="0" y="0"/>
              <wp:positionH relativeFrom="column">
                <wp:posOffset>5484039</wp:posOffset>
              </wp:positionH>
              <wp:positionV relativeFrom="paragraph">
                <wp:posOffset>4445</wp:posOffset>
              </wp:positionV>
              <wp:extent cx="544331" cy="563008"/>
              <wp:effectExtent l="0" t="0" r="825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png"/>
                      <pic:cNvPicPr/>
                    </pic:nvPicPr>
                    <pic:blipFill>
                      <a:blip r:embed="rId1">
                        <a:extLst>
                          <a:ext uri="{28A0092B-C50C-407E-A947-70E740481C1C}">
                            <a14:useLocalDpi xmlns:a14="http://schemas.microsoft.com/office/drawing/2010/main" val="0"/>
                          </a:ext>
                        </a:extLst>
                      </a:blip>
                      <a:stretch>
                        <a:fillRect/>
                      </a:stretch>
                    </pic:blipFill>
                    <pic:spPr>
                      <a:xfrm>
                        <a:off x="0" y="0"/>
                        <a:ext cx="544331" cy="563008"/>
                      </a:xfrm>
                      <a:prstGeom prst="rect">
                        <a:avLst/>
                      </a:prstGeom>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rsidR="009D4898">
          <w:rPr>
            <w:noProof/>
          </w:rPr>
          <w:t>3</w:t>
        </w:r>
        <w:r>
          <w:rPr>
            <w:noProof/>
          </w:rPr>
          <w:fldChar w:fldCharType="end"/>
        </w:r>
      </w:p>
    </w:sdtContent>
  </w:sdt>
  <w:p w14:paraId="3596B8E1" w14:textId="77777777" w:rsidR="000E4202" w:rsidRDefault="000E4202" w:rsidP="005702D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139590"/>
      <w:docPartObj>
        <w:docPartGallery w:val="Page Numbers (Bottom of Page)"/>
        <w:docPartUnique/>
      </w:docPartObj>
    </w:sdtPr>
    <w:sdtEndPr>
      <w:rPr>
        <w:noProof/>
      </w:rPr>
    </w:sdtEndPr>
    <w:sdtContent>
      <w:p w14:paraId="4B2A57FD" w14:textId="77777777" w:rsidR="000E4202" w:rsidRDefault="000E4202">
        <w:pPr>
          <w:pStyle w:val="Footer"/>
        </w:pPr>
        <w:r>
          <w:t xml:space="preserve">Page | </w:t>
        </w:r>
        <w:r>
          <w:fldChar w:fldCharType="begin"/>
        </w:r>
        <w:r>
          <w:instrText xml:space="preserve"> PAGE   \* MERGEFORMAT </w:instrText>
        </w:r>
        <w:r>
          <w:fldChar w:fldCharType="separate"/>
        </w:r>
        <w:r w:rsidR="009D4898">
          <w:rPr>
            <w:noProof/>
          </w:rPr>
          <w:t>1</w:t>
        </w:r>
        <w:r>
          <w:rPr>
            <w:noProof/>
          </w:rPr>
          <w:fldChar w:fldCharType="end"/>
        </w:r>
      </w:p>
    </w:sdtContent>
  </w:sdt>
  <w:p w14:paraId="327E73CE" w14:textId="77777777" w:rsidR="000E4202" w:rsidRDefault="000E420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B5023" w14:textId="77777777" w:rsidR="000E4202" w:rsidRDefault="000E4202">
    <w:pPr>
      <w:pStyle w:val="Footer"/>
    </w:pPr>
  </w:p>
  <w:p w14:paraId="08AE1D78" w14:textId="77777777" w:rsidR="000E4202" w:rsidRDefault="000E4202" w:rsidP="005702DD">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0A05" w14:textId="77777777" w:rsidR="000E4202" w:rsidRDefault="000E4202">
    <w:pPr>
      <w:pStyle w:val="Footer"/>
    </w:pPr>
  </w:p>
  <w:p w14:paraId="0FC53152" w14:textId="77777777" w:rsidR="000E4202" w:rsidRDefault="000E4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B892B" w14:textId="77777777" w:rsidR="000E4202" w:rsidRDefault="000E4202" w:rsidP="00393CA7">
      <w:r>
        <w:separator/>
      </w:r>
    </w:p>
  </w:footnote>
  <w:footnote w:type="continuationSeparator" w:id="0">
    <w:p w14:paraId="2131E094" w14:textId="77777777" w:rsidR="000E4202" w:rsidRDefault="000E4202" w:rsidP="00393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8054A" w14:textId="77777777" w:rsidR="000E4202" w:rsidRDefault="000E4202">
    <w:pPr>
      <w:pStyle w:val="Header"/>
    </w:pPr>
    <w:r>
      <w:rPr>
        <w:noProof/>
        <w:lang w:eastAsia="en-AU"/>
      </w:rPr>
      <w:drawing>
        <wp:anchor distT="0" distB="0" distL="114300" distR="114300" simplePos="0" relativeHeight="251658240" behindDoc="0" locked="0" layoutInCell="1" allowOverlap="1" wp14:anchorId="7BD37E85" wp14:editId="7BA9A634">
          <wp:simplePos x="0" y="0"/>
          <wp:positionH relativeFrom="column">
            <wp:posOffset>4411980</wp:posOffset>
          </wp:positionH>
          <wp:positionV relativeFrom="paragraph">
            <wp:posOffset>-241756</wp:posOffset>
          </wp:positionV>
          <wp:extent cx="1218565" cy="1261745"/>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_2014_logo_white_text.png"/>
                  <pic:cNvPicPr/>
                </pic:nvPicPr>
                <pic:blipFill>
                  <a:blip r:embed="rId1">
                    <a:extLst>
                      <a:ext uri="{28A0092B-C50C-407E-A947-70E740481C1C}">
                        <a14:useLocalDpi xmlns:a14="http://schemas.microsoft.com/office/drawing/2010/main" val="0"/>
                      </a:ext>
                    </a:extLst>
                  </a:blip>
                  <a:stretch>
                    <a:fillRect/>
                  </a:stretch>
                </pic:blipFill>
                <pic:spPr>
                  <a:xfrm>
                    <a:off x="0" y="0"/>
                    <a:ext cx="1218565" cy="126174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7215" behindDoc="0" locked="0" layoutInCell="1" allowOverlap="1" wp14:anchorId="365A1CB1" wp14:editId="3A0B7942">
              <wp:simplePos x="0" y="0"/>
              <wp:positionH relativeFrom="column">
                <wp:posOffset>3248696</wp:posOffset>
              </wp:positionH>
              <wp:positionV relativeFrom="paragraph">
                <wp:posOffset>155727</wp:posOffset>
              </wp:positionV>
              <wp:extent cx="2889938" cy="371475"/>
              <wp:effectExtent l="0" t="0" r="5715" b="9525"/>
              <wp:wrapNone/>
              <wp:docPr id="3" name="Rectangle 3"/>
              <wp:cNvGraphicFramePr/>
              <a:graphic xmlns:a="http://schemas.openxmlformats.org/drawingml/2006/main">
                <a:graphicData uri="http://schemas.microsoft.com/office/word/2010/wordprocessingShape">
                  <wps:wsp>
                    <wps:cNvSpPr/>
                    <wps:spPr>
                      <a:xfrm>
                        <a:off x="0" y="0"/>
                        <a:ext cx="2889938" cy="371475"/>
                      </a:xfrm>
                      <a:prstGeom prst="rect">
                        <a:avLst/>
                      </a:prstGeom>
                      <a:solidFill>
                        <a:schemeClr val="accent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3" o:spid="_x0000_s1026" style="position:absolute;margin-left:255.8pt;margin-top:12.25pt;width:227.55pt;height:29.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" fillcolor="#365f91 [2404]" strok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AECE6" w14:textId="77777777" w:rsidR="000E4202" w:rsidRDefault="000E4202">
    <w:pPr>
      <w:pStyle w:val="Header"/>
    </w:pPr>
    <w:r w:rsidRPr="00DB02DE">
      <w:rPr>
        <w:noProof/>
        <w:lang w:eastAsia="en-AU"/>
      </w:rPr>
      <w:drawing>
        <wp:anchor distT="0" distB="0" distL="114300" distR="114300" simplePos="0" relativeHeight="251666432" behindDoc="0" locked="0" layoutInCell="1" allowOverlap="1" wp14:anchorId="6537B357" wp14:editId="24E7ECB2">
          <wp:simplePos x="0" y="0"/>
          <wp:positionH relativeFrom="column">
            <wp:posOffset>-981710</wp:posOffset>
          </wp:positionH>
          <wp:positionV relativeFrom="paragraph">
            <wp:posOffset>1282700</wp:posOffset>
          </wp:positionV>
          <wp:extent cx="781050" cy="600075"/>
          <wp:effectExtent l="0" t="0" r="0" b="9525"/>
          <wp:wrapNone/>
          <wp:docPr id="19" name="Picture 19" descr="briefingnote_272_Mayl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efingnote_272_Mayl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02DE">
      <w:rPr>
        <w:noProof/>
        <w:lang w:eastAsia="en-AU"/>
      </w:rPr>
      <w:drawing>
        <wp:anchor distT="0" distB="0" distL="114300" distR="114300" simplePos="0" relativeHeight="251664384" behindDoc="0" locked="0" layoutInCell="1" allowOverlap="1" wp14:anchorId="70702534" wp14:editId="1950331B">
          <wp:simplePos x="0" y="0"/>
          <wp:positionH relativeFrom="column">
            <wp:posOffset>-1287780</wp:posOffset>
          </wp:positionH>
          <wp:positionV relativeFrom="paragraph">
            <wp:posOffset>652780</wp:posOffset>
          </wp:positionV>
          <wp:extent cx="2623820" cy="548005"/>
          <wp:effectExtent l="0" t="0" r="5080" b="4445"/>
          <wp:wrapNone/>
          <wp:docPr id="17" name="Picture 17" descr="possible_briefingnote_header_r2_c1_r2_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sible_briefingnote_header_r2_c1_r2_c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3820" cy="548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02DE">
      <w:rPr>
        <w:noProof/>
        <w:lang w:eastAsia="en-AU"/>
      </w:rPr>
      <w:drawing>
        <wp:anchor distT="0" distB="0" distL="114300" distR="114300" simplePos="0" relativeHeight="251665408" behindDoc="0" locked="0" layoutInCell="1" allowOverlap="1" wp14:anchorId="34C545FC" wp14:editId="0F1AB0B6">
          <wp:simplePos x="0" y="0"/>
          <wp:positionH relativeFrom="column">
            <wp:posOffset>-1178560</wp:posOffset>
          </wp:positionH>
          <wp:positionV relativeFrom="paragraph">
            <wp:posOffset>-458470</wp:posOffset>
          </wp:positionV>
          <wp:extent cx="8115300" cy="1179195"/>
          <wp:effectExtent l="0" t="0" r="0" b="1905"/>
          <wp:wrapNone/>
          <wp:docPr id="18" name="Picture 18" descr="possible_briefing_note_hdr_r1_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sible_briefing_note_hdr_r1_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15300" cy="1179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0028D" w14:textId="77777777" w:rsidR="000E4202" w:rsidRDefault="000E4202">
    <w:pPr>
      <w:pStyle w:val="Header"/>
    </w:pPr>
    <w:r>
      <w:rPr>
        <w:noProof/>
        <w:lang w:eastAsia="en-AU"/>
      </w:rPr>
      <w:drawing>
        <wp:anchor distT="0" distB="0" distL="114300" distR="114300" simplePos="0" relativeHeight="251662336" behindDoc="0" locked="0" layoutInCell="1" allowOverlap="1" wp14:anchorId="0DF9F9A2" wp14:editId="49EA6237">
          <wp:simplePos x="0" y="0"/>
          <wp:positionH relativeFrom="column">
            <wp:posOffset>-966470</wp:posOffset>
          </wp:positionH>
          <wp:positionV relativeFrom="paragraph">
            <wp:posOffset>1261682</wp:posOffset>
          </wp:positionV>
          <wp:extent cx="781050" cy="600075"/>
          <wp:effectExtent l="0" t="0" r="0" b="9525"/>
          <wp:wrapNone/>
          <wp:docPr id="15" name="Picture 15" descr="briefingnote_272_Mayl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efingnote_272_Mayl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1312" behindDoc="0" locked="0" layoutInCell="1" allowOverlap="1" wp14:anchorId="3FC6B1D2" wp14:editId="44A096F6">
          <wp:simplePos x="0" y="0"/>
          <wp:positionH relativeFrom="column">
            <wp:posOffset>-1163955</wp:posOffset>
          </wp:positionH>
          <wp:positionV relativeFrom="paragraph">
            <wp:posOffset>-480695</wp:posOffset>
          </wp:positionV>
          <wp:extent cx="8115300" cy="1179195"/>
          <wp:effectExtent l="0" t="0" r="0" b="1905"/>
          <wp:wrapNone/>
          <wp:docPr id="14" name="Picture 14" descr="possible_briefing_note_hdr_r1_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sible_briefing_note_hdr_r1_c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15300" cy="1179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288" behindDoc="0" locked="0" layoutInCell="1" allowOverlap="1" wp14:anchorId="5FCC34C1" wp14:editId="3810C4B4">
          <wp:simplePos x="0" y="0"/>
          <wp:positionH relativeFrom="column">
            <wp:posOffset>-1273175</wp:posOffset>
          </wp:positionH>
          <wp:positionV relativeFrom="paragraph">
            <wp:posOffset>631746</wp:posOffset>
          </wp:positionV>
          <wp:extent cx="2623820" cy="548005"/>
          <wp:effectExtent l="0" t="0" r="5080" b="4445"/>
          <wp:wrapNone/>
          <wp:docPr id="13" name="Picture 13" descr="possible_briefingnote_header_r2_c1_r2_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sible_briefingnote_header_r2_c1_r2_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23820" cy="548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5A29"/>
    <w:multiLevelType w:val="hybridMultilevel"/>
    <w:tmpl w:val="4E5A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1F12F6"/>
    <w:multiLevelType w:val="hybridMultilevel"/>
    <w:tmpl w:val="4B5A3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495932"/>
    <w:multiLevelType w:val="hybridMultilevel"/>
    <w:tmpl w:val="E658710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CD0"/>
    <w:rsid w:val="000027D9"/>
    <w:rsid w:val="000E4202"/>
    <w:rsid w:val="001112CA"/>
    <w:rsid w:val="001325DE"/>
    <w:rsid w:val="00146BEA"/>
    <w:rsid w:val="001B0CA1"/>
    <w:rsid w:val="00204A3D"/>
    <w:rsid w:val="002324ED"/>
    <w:rsid w:val="002739C1"/>
    <w:rsid w:val="002A6ED0"/>
    <w:rsid w:val="003406B8"/>
    <w:rsid w:val="00393CA7"/>
    <w:rsid w:val="00404D0E"/>
    <w:rsid w:val="00416A21"/>
    <w:rsid w:val="004400CD"/>
    <w:rsid w:val="005252DB"/>
    <w:rsid w:val="00525EBE"/>
    <w:rsid w:val="005603C5"/>
    <w:rsid w:val="005702DD"/>
    <w:rsid w:val="00592E16"/>
    <w:rsid w:val="005B395E"/>
    <w:rsid w:val="005D0AB6"/>
    <w:rsid w:val="00640FCC"/>
    <w:rsid w:val="006F6A3C"/>
    <w:rsid w:val="0070124F"/>
    <w:rsid w:val="0070640B"/>
    <w:rsid w:val="00715CD4"/>
    <w:rsid w:val="0075651A"/>
    <w:rsid w:val="00813683"/>
    <w:rsid w:val="00825866"/>
    <w:rsid w:val="00890372"/>
    <w:rsid w:val="008D7C56"/>
    <w:rsid w:val="008E6B7A"/>
    <w:rsid w:val="008F0967"/>
    <w:rsid w:val="00905A19"/>
    <w:rsid w:val="00986E1A"/>
    <w:rsid w:val="00992108"/>
    <w:rsid w:val="009C2387"/>
    <w:rsid w:val="009D4898"/>
    <w:rsid w:val="009E4CD0"/>
    <w:rsid w:val="009F07BD"/>
    <w:rsid w:val="00A6580E"/>
    <w:rsid w:val="00A702C1"/>
    <w:rsid w:val="00AA04EA"/>
    <w:rsid w:val="00AB7CA0"/>
    <w:rsid w:val="00AC5C85"/>
    <w:rsid w:val="00B26AA2"/>
    <w:rsid w:val="00BB264C"/>
    <w:rsid w:val="00C3297B"/>
    <w:rsid w:val="00C96E83"/>
    <w:rsid w:val="00CF562E"/>
    <w:rsid w:val="00D03141"/>
    <w:rsid w:val="00D0736F"/>
    <w:rsid w:val="00D07623"/>
    <w:rsid w:val="00D779DA"/>
    <w:rsid w:val="00DB02DE"/>
    <w:rsid w:val="00DB7955"/>
    <w:rsid w:val="00DC7BAE"/>
    <w:rsid w:val="00E641C9"/>
    <w:rsid w:val="00E72742"/>
    <w:rsid w:val="00E876F8"/>
    <w:rsid w:val="00EF4267"/>
    <w:rsid w:val="00F603FB"/>
    <w:rsid w:val="00FA3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1A0CC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uiPriority w:val="9"/>
    <w:qFormat/>
    <w:rsid w:val="00DB02DE"/>
    <w:pPr>
      <w:keepNext/>
      <w:keepLines/>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112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CD0"/>
    <w:pPr>
      <w:ind w:left="720"/>
      <w:contextualSpacing/>
    </w:pPr>
  </w:style>
  <w:style w:type="character" w:customStyle="1" w:styleId="Heading1Char">
    <w:name w:val="Heading 1 Char"/>
    <w:basedOn w:val="DefaultParagraphFont"/>
    <w:link w:val="Heading1"/>
    <w:uiPriority w:val="9"/>
    <w:rsid w:val="00DB02DE"/>
    <w:rPr>
      <w:rFonts w:asciiTheme="majorHAnsi" w:eastAsiaTheme="majorEastAsia" w:hAnsiTheme="majorHAnsi" w:cstheme="majorBidi"/>
      <w:b/>
      <w:bCs/>
      <w:color w:val="345A8A" w:themeColor="accent1" w:themeShade="B5"/>
      <w:sz w:val="32"/>
      <w:szCs w:val="32"/>
      <w:lang w:val="en-AU"/>
    </w:rPr>
  </w:style>
  <w:style w:type="paragraph" w:styleId="FootnoteText">
    <w:name w:val="footnote text"/>
    <w:basedOn w:val="Normal"/>
    <w:link w:val="FootnoteTextChar"/>
    <w:uiPriority w:val="99"/>
    <w:unhideWhenUsed/>
    <w:rsid w:val="00393CA7"/>
  </w:style>
  <w:style w:type="character" w:customStyle="1" w:styleId="FootnoteTextChar">
    <w:name w:val="Footnote Text Char"/>
    <w:basedOn w:val="DefaultParagraphFont"/>
    <w:link w:val="FootnoteText"/>
    <w:uiPriority w:val="99"/>
    <w:rsid w:val="00393CA7"/>
    <w:rPr>
      <w:lang w:val="en-AU"/>
    </w:rPr>
  </w:style>
  <w:style w:type="character" w:styleId="FootnoteReference">
    <w:name w:val="footnote reference"/>
    <w:basedOn w:val="DefaultParagraphFont"/>
    <w:uiPriority w:val="99"/>
    <w:unhideWhenUsed/>
    <w:rsid w:val="00393CA7"/>
    <w:rPr>
      <w:vertAlign w:val="superscript"/>
    </w:rPr>
  </w:style>
  <w:style w:type="paragraph" w:styleId="BalloonText">
    <w:name w:val="Balloon Text"/>
    <w:basedOn w:val="Normal"/>
    <w:link w:val="BalloonTextChar"/>
    <w:uiPriority w:val="99"/>
    <w:semiHidden/>
    <w:unhideWhenUsed/>
    <w:rsid w:val="00E641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1C9"/>
    <w:rPr>
      <w:rFonts w:ascii="Lucida Grande" w:hAnsi="Lucida Grande" w:cs="Lucida Grande"/>
      <w:sz w:val="18"/>
      <w:szCs w:val="18"/>
      <w:lang w:val="en-AU"/>
    </w:rPr>
  </w:style>
  <w:style w:type="character" w:styleId="Hyperlink">
    <w:name w:val="Hyperlink"/>
    <w:basedOn w:val="DefaultParagraphFont"/>
    <w:uiPriority w:val="99"/>
    <w:unhideWhenUsed/>
    <w:rsid w:val="00AA04EA"/>
    <w:rPr>
      <w:color w:val="0000FF" w:themeColor="hyperlink"/>
      <w:u w:val="single"/>
    </w:rPr>
  </w:style>
  <w:style w:type="paragraph" w:styleId="Caption">
    <w:name w:val="caption"/>
    <w:basedOn w:val="Normal"/>
    <w:next w:val="Normal"/>
    <w:link w:val="CaptionChar"/>
    <w:qFormat/>
    <w:rsid w:val="00986E1A"/>
    <w:pPr>
      <w:spacing w:after="240"/>
      <w:jc w:val="both"/>
    </w:pPr>
    <w:rPr>
      <w:rFonts w:ascii="Times New Roman" w:eastAsia="Batang" w:hAnsi="Times New Roman" w:cs="Times New Roman"/>
      <w:bCs/>
      <w:sz w:val="22"/>
      <w:szCs w:val="20"/>
      <w:lang w:eastAsia="ko-KR"/>
    </w:rPr>
  </w:style>
  <w:style w:type="character" w:customStyle="1" w:styleId="CaptionChar">
    <w:name w:val="Caption Char"/>
    <w:link w:val="Caption"/>
    <w:rsid w:val="00986E1A"/>
    <w:rPr>
      <w:rFonts w:ascii="Times New Roman" w:eastAsia="Batang" w:hAnsi="Times New Roman" w:cs="Times New Roman"/>
      <w:bCs/>
      <w:sz w:val="22"/>
      <w:szCs w:val="20"/>
      <w:lang w:val="en-AU" w:eastAsia="ko-KR"/>
    </w:rPr>
  </w:style>
  <w:style w:type="paragraph" w:styleId="Footer">
    <w:name w:val="footer"/>
    <w:basedOn w:val="Normal"/>
    <w:link w:val="FooterChar"/>
    <w:uiPriority w:val="99"/>
    <w:unhideWhenUsed/>
    <w:rsid w:val="005702DD"/>
    <w:pPr>
      <w:tabs>
        <w:tab w:val="center" w:pos="4320"/>
        <w:tab w:val="right" w:pos="8640"/>
      </w:tabs>
    </w:pPr>
  </w:style>
  <w:style w:type="character" w:customStyle="1" w:styleId="FooterChar">
    <w:name w:val="Footer Char"/>
    <w:basedOn w:val="DefaultParagraphFont"/>
    <w:link w:val="Footer"/>
    <w:uiPriority w:val="99"/>
    <w:rsid w:val="005702DD"/>
    <w:rPr>
      <w:lang w:val="en-AU"/>
    </w:rPr>
  </w:style>
  <w:style w:type="character" w:styleId="PageNumber">
    <w:name w:val="page number"/>
    <w:basedOn w:val="DefaultParagraphFont"/>
    <w:uiPriority w:val="99"/>
    <w:semiHidden/>
    <w:unhideWhenUsed/>
    <w:rsid w:val="005702DD"/>
  </w:style>
  <w:style w:type="character" w:customStyle="1" w:styleId="Heading2Char">
    <w:name w:val="Heading 2 Char"/>
    <w:basedOn w:val="DefaultParagraphFont"/>
    <w:link w:val="Heading2"/>
    <w:uiPriority w:val="9"/>
    <w:rsid w:val="001112CA"/>
    <w:rPr>
      <w:rFonts w:asciiTheme="majorHAnsi" w:eastAsiaTheme="majorEastAsia" w:hAnsiTheme="majorHAnsi" w:cstheme="majorBidi"/>
      <w:b/>
      <w:bCs/>
      <w:color w:val="4F81BD" w:themeColor="accent1"/>
      <w:sz w:val="26"/>
      <w:szCs w:val="26"/>
      <w:lang w:val="en-AU"/>
    </w:rPr>
  </w:style>
  <w:style w:type="paragraph" w:styleId="Title">
    <w:name w:val="Title"/>
    <w:basedOn w:val="Normal"/>
    <w:next w:val="Normal"/>
    <w:link w:val="TitleChar"/>
    <w:qFormat/>
    <w:rsid w:val="001325D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325DE"/>
    <w:rPr>
      <w:rFonts w:asciiTheme="majorHAnsi" w:eastAsiaTheme="majorEastAsia" w:hAnsiTheme="majorHAnsi" w:cstheme="majorBidi"/>
      <w:color w:val="17365D"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DB7955"/>
    <w:rPr>
      <w:color w:val="800080" w:themeColor="followedHyperlink"/>
      <w:u w:val="single"/>
    </w:rPr>
  </w:style>
  <w:style w:type="character" w:styleId="Emphasis">
    <w:name w:val="Emphasis"/>
    <w:qFormat/>
    <w:rsid w:val="00640FCC"/>
    <w:rPr>
      <w:i/>
      <w:iCs/>
    </w:rPr>
  </w:style>
  <w:style w:type="paragraph" w:styleId="Header">
    <w:name w:val="header"/>
    <w:basedOn w:val="Normal"/>
    <w:link w:val="HeaderChar"/>
    <w:uiPriority w:val="99"/>
    <w:unhideWhenUsed/>
    <w:rsid w:val="00D779DA"/>
    <w:pPr>
      <w:tabs>
        <w:tab w:val="center" w:pos="4513"/>
        <w:tab w:val="right" w:pos="9026"/>
      </w:tabs>
    </w:pPr>
  </w:style>
  <w:style w:type="character" w:customStyle="1" w:styleId="HeaderChar">
    <w:name w:val="Header Char"/>
    <w:basedOn w:val="DefaultParagraphFont"/>
    <w:link w:val="Header"/>
    <w:uiPriority w:val="99"/>
    <w:rsid w:val="00D779DA"/>
    <w:rPr>
      <w:lang w:val="en-AU"/>
    </w:rPr>
  </w:style>
  <w:style w:type="paragraph" w:styleId="Subtitle">
    <w:name w:val="Subtitle"/>
    <w:basedOn w:val="Normal"/>
    <w:next w:val="Normal"/>
    <w:link w:val="SubtitleChar"/>
    <w:uiPriority w:val="11"/>
    <w:qFormat/>
    <w:rsid w:val="00DB02DE"/>
    <w:pPr>
      <w:widowControl w:val="0"/>
      <w:numPr>
        <w:ilvl w:val="1"/>
      </w:numPr>
      <w:spacing w:after="200" w:line="276" w:lineRule="auto"/>
    </w:pPr>
    <w:rPr>
      <w:rFonts w:ascii="Cambria" w:eastAsia="Times New Roman" w:hAnsi="Cambria" w:cs="Times New Roman"/>
      <w:i/>
      <w:iCs/>
      <w:color w:val="4F81BD"/>
      <w:spacing w:val="15"/>
      <w:szCs w:val="20"/>
    </w:rPr>
  </w:style>
  <w:style w:type="character" w:customStyle="1" w:styleId="SubtitleChar">
    <w:name w:val="Subtitle Char"/>
    <w:basedOn w:val="DefaultParagraphFont"/>
    <w:link w:val="Subtitle"/>
    <w:uiPriority w:val="11"/>
    <w:rsid w:val="00DB02DE"/>
    <w:rPr>
      <w:rFonts w:ascii="Cambria" w:eastAsia="Times New Roman" w:hAnsi="Cambria" w:cs="Times New Roman"/>
      <w:i/>
      <w:iCs/>
      <w:color w:val="4F81BD"/>
      <w:spacing w:val="15"/>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uiPriority w:val="9"/>
    <w:qFormat/>
    <w:rsid w:val="00DB02DE"/>
    <w:pPr>
      <w:keepNext/>
      <w:keepLines/>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112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CD0"/>
    <w:pPr>
      <w:ind w:left="720"/>
      <w:contextualSpacing/>
    </w:pPr>
  </w:style>
  <w:style w:type="character" w:customStyle="1" w:styleId="Heading1Char">
    <w:name w:val="Heading 1 Char"/>
    <w:basedOn w:val="DefaultParagraphFont"/>
    <w:link w:val="Heading1"/>
    <w:uiPriority w:val="9"/>
    <w:rsid w:val="00DB02DE"/>
    <w:rPr>
      <w:rFonts w:asciiTheme="majorHAnsi" w:eastAsiaTheme="majorEastAsia" w:hAnsiTheme="majorHAnsi" w:cstheme="majorBidi"/>
      <w:b/>
      <w:bCs/>
      <w:color w:val="345A8A" w:themeColor="accent1" w:themeShade="B5"/>
      <w:sz w:val="32"/>
      <w:szCs w:val="32"/>
      <w:lang w:val="en-AU"/>
    </w:rPr>
  </w:style>
  <w:style w:type="paragraph" w:styleId="FootnoteText">
    <w:name w:val="footnote text"/>
    <w:basedOn w:val="Normal"/>
    <w:link w:val="FootnoteTextChar"/>
    <w:uiPriority w:val="99"/>
    <w:unhideWhenUsed/>
    <w:rsid w:val="00393CA7"/>
  </w:style>
  <w:style w:type="character" w:customStyle="1" w:styleId="FootnoteTextChar">
    <w:name w:val="Footnote Text Char"/>
    <w:basedOn w:val="DefaultParagraphFont"/>
    <w:link w:val="FootnoteText"/>
    <w:uiPriority w:val="99"/>
    <w:rsid w:val="00393CA7"/>
    <w:rPr>
      <w:lang w:val="en-AU"/>
    </w:rPr>
  </w:style>
  <w:style w:type="character" w:styleId="FootnoteReference">
    <w:name w:val="footnote reference"/>
    <w:basedOn w:val="DefaultParagraphFont"/>
    <w:uiPriority w:val="99"/>
    <w:unhideWhenUsed/>
    <w:rsid w:val="00393CA7"/>
    <w:rPr>
      <w:vertAlign w:val="superscript"/>
    </w:rPr>
  </w:style>
  <w:style w:type="paragraph" w:styleId="BalloonText">
    <w:name w:val="Balloon Text"/>
    <w:basedOn w:val="Normal"/>
    <w:link w:val="BalloonTextChar"/>
    <w:uiPriority w:val="99"/>
    <w:semiHidden/>
    <w:unhideWhenUsed/>
    <w:rsid w:val="00E641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1C9"/>
    <w:rPr>
      <w:rFonts w:ascii="Lucida Grande" w:hAnsi="Lucida Grande" w:cs="Lucida Grande"/>
      <w:sz w:val="18"/>
      <w:szCs w:val="18"/>
      <w:lang w:val="en-AU"/>
    </w:rPr>
  </w:style>
  <w:style w:type="character" w:styleId="Hyperlink">
    <w:name w:val="Hyperlink"/>
    <w:basedOn w:val="DefaultParagraphFont"/>
    <w:uiPriority w:val="99"/>
    <w:unhideWhenUsed/>
    <w:rsid w:val="00AA04EA"/>
    <w:rPr>
      <w:color w:val="0000FF" w:themeColor="hyperlink"/>
      <w:u w:val="single"/>
    </w:rPr>
  </w:style>
  <w:style w:type="paragraph" w:styleId="Caption">
    <w:name w:val="caption"/>
    <w:basedOn w:val="Normal"/>
    <w:next w:val="Normal"/>
    <w:link w:val="CaptionChar"/>
    <w:qFormat/>
    <w:rsid w:val="00986E1A"/>
    <w:pPr>
      <w:spacing w:after="240"/>
      <w:jc w:val="both"/>
    </w:pPr>
    <w:rPr>
      <w:rFonts w:ascii="Times New Roman" w:eastAsia="Batang" w:hAnsi="Times New Roman" w:cs="Times New Roman"/>
      <w:bCs/>
      <w:sz w:val="22"/>
      <w:szCs w:val="20"/>
      <w:lang w:eastAsia="ko-KR"/>
    </w:rPr>
  </w:style>
  <w:style w:type="character" w:customStyle="1" w:styleId="CaptionChar">
    <w:name w:val="Caption Char"/>
    <w:link w:val="Caption"/>
    <w:rsid w:val="00986E1A"/>
    <w:rPr>
      <w:rFonts w:ascii="Times New Roman" w:eastAsia="Batang" w:hAnsi="Times New Roman" w:cs="Times New Roman"/>
      <w:bCs/>
      <w:sz w:val="22"/>
      <w:szCs w:val="20"/>
      <w:lang w:val="en-AU" w:eastAsia="ko-KR"/>
    </w:rPr>
  </w:style>
  <w:style w:type="paragraph" w:styleId="Footer">
    <w:name w:val="footer"/>
    <w:basedOn w:val="Normal"/>
    <w:link w:val="FooterChar"/>
    <w:uiPriority w:val="99"/>
    <w:unhideWhenUsed/>
    <w:rsid w:val="005702DD"/>
    <w:pPr>
      <w:tabs>
        <w:tab w:val="center" w:pos="4320"/>
        <w:tab w:val="right" w:pos="8640"/>
      </w:tabs>
    </w:pPr>
  </w:style>
  <w:style w:type="character" w:customStyle="1" w:styleId="FooterChar">
    <w:name w:val="Footer Char"/>
    <w:basedOn w:val="DefaultParagraphFont"/>
    <w:link w:val="Footer"/>
    <w:uiPriority w:val="99"/>
    <w:rsid w:val="005702DD"/>
    <w:rPr>
      <w:lang w:val="en-AU"/>
    </w:rPr>
  </w:style>
  <w:style w:type="character" w:styleId="PageNumber">
    <w:name w:val="page number"/>
    <w:basedOn w:val="DefaultParagraphFont"/>
    <w:uiPriority w:val="99"/>
    <w:semiHidden/>
    <w:unhideWhenUsed/>
    <w:rsid w:val="005702DD"/>
  </w:style>
  <w:style w:type="character" w:customStyle="1" w:styleId="Heading2Char">
    <w:name w:val="Heading 2 Char"/>
    <w:basedOn w:val="DefaultParagraphFont"/>
    <w:link w:val="Heading2"/>
    <w:uiPriority w:val="9"/>
    <w:rsid w:val="001112CA"/>
    <w:rPr>
      <w:rFonts w:asciiTheme="majorHAnsi" w:eastAsiaTheme="majorEastAsia" w:hAnsiTheme="majorHAnsi" w:cstheme="majorBidi"/>
      <w:b/>
      <w:bCs/>
      <w:color w:val="4F81BD" w:themeColor="accent1"/>
      <w:sz w:val="26"/>
      <w:szCs w:val="26"/>
      <w:lang w:val="en-AU"/>
    </w:rPr>
  </w:style>
  <w:style w:type="paragraph" w:styleId="Title">
    <w:name w:val="Title"/>
    <w:basedOn w:val="Normal"/>
    <w:next w:val="Normal"/>
    <w:link w:val="TitleChar"/>
    <w:qFormat/>
    <w:rsid w:val="001325D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325DE"/>
    <w:rPr>
      <w:rFonts w:asciiTheme="majorHAnsi" w:eastAsiaTheme="majorEastAsia" w:hAnsiTheme="majorHAnsi" w:cstheme="majorBidi"/>
      <w:color w:val="17365D"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DB7955"/>
    <w:rPr>
      <w:color w:val="800080" w:themeColor="followedHyperlink"/>
      <w:u w:val="single"/>
    </w:rPr>
  </w:style>
  <w:style w:type="character" w:styleId="Emphasis">
    <w:name w:val="Emphasis"/>
    <w:qFormat/>
    <w:rsid w:val="00640FCC"/>
    <w:rPr>
      <w:i/>
      <w:iCs/>
    </w:rPr>
  </w:style>
  <w:style w:type="paragraph" w:styleId="Header">
    <w:name w:val="header"/>
    <w:basedOn w:val="Normal"/>
    <w:link w:val="HeaderChar"/>
    <w:uiPriority w:val="99"/>
    <w:unhideWhenUsed/>
    <w:rsid w:val="00D779DA"/>
    <w:pPr>
      <w:tabs>
        <w:tab w:val="center" w:pos="4513"/>
        <w:tab w:val="right" w:pos="9026"/>
      </w:tabs>
    </w:pPr>
  </w:style>
  <w:style w:type="character" w:customStyle="1" w:styleId="HeaderChar">
    <w:name w:val="Header Char"/>
    <w:basedOn w:val="DefaultParagraphFont"/>
    <w:link w:val="Header"/>
    <w:uiPriority w:val="99"/>
    <w:rsid w:val="00D779DA"/>
    <w:rPr>
      <w:lang w:val="en-AU"/>
    </w:rPr>
  </w:style>
  <w:style w:type="paragraph" w:styleId="Subtitle">
    <w:name w:val="Subtitle"/>
    <w:basedOn w:val="Normal"/>
    <w:next w:val="Normal"/>
    <w:link w:val="SubtitleChar"/>
    <w:uiPriority w:val="11"/>
    <w:qFormat/>
    <w:rsid w:val="00DB02DE"/>
    <w:pPr>
      <w:widowControl w:val="0"/>
      <w:numPr>
        <w:ilvl w:val="1"/>
      </w:numPr>
      <w:spacing w:after="200" w:line="276" w:lineRule="auto"/>
    </w:pPr>
    <w:rPr>
      <w:rFonts w:ascii="Cambria" w:eastAsia="Times New Roman" w:hAnsi="Cambria" w:cs="Times New Roman"/>
      <w:i/>
      <w:iCs/>
      <w:color w:val="4F81BD"/>
      <w:spacing w:val="15"/>
      <w:szCs w:val="20"/>
    </w:rPr>
  </w:style>
  <w:style w:type="character" w:customStyle="1" w:styleId="SubtitleChar">
    <w:name w:val="Subtitle Char"/>
    <w:basedOn w:val="DefaultParagraphFont"/>
    <w:link w:val="Subtitle"/>
    <w:uiPriority w:val="11"/>
    <w:rsid w:val="00DB02DE"/>
    <w:rPr>
      <w:rFonts w:ascii="Cambria" w:eastAsia="Times New Roman" w:hAnsi="Cambria" w:cs="Times New Roman"/>
      <w:i/>
      <w:iCs/>
      <w:color w:val="4F81BD"/>
      <w:spacing w:val="15"/>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nccarf.edu.au/publications/impacts-and-adaptation-responses-infrastructure-and-communities-heatwave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nccarf.edu.au/publications/adaptation-lessons-cyclone-tracy-part-ii-institutional-response-and-indigenous"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nccarf.edu.au/content/future-change-ancient-worlds-indigenous-adaptation-northern-australia"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abs.gov.a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nccarf.edu.au/publications/floods-household-adaptation-strategies" TargetMode="External"/><Relationship Id="rId22" Type="http://schemas.openxmlformats.org/officeDocument/2006/relationships/header" Target="header1.xml"/><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6.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F63D7-FBBB-4C57-A97A-3B63BDD8D897}">
  <ds:schemaRefs>
    <ds:schemaRef ds:uri="http://schemas.microsoft.com/office/2006/metadata/customXsn"/>
  </ds:schemaRefs>
</ds:datastoreItem>
</file>

<file path=customXml/itemProps2.xml><?xml version="1.0" encoding="utf-8"?>
<ds:datastoreItem xmlns:ds="http://schemas.openxmlformats.org/officeDocument/2006/customXml" ds:itemID="{F23B2044-FC50-40BC-83BC-D9E6F72894C0}">
  <ds:schemaRefs>
    <ds:schemaRef ds:uri="http://schemas.microsoft.com/sharepoint/events"/>
  </ds:schemaRefs>
</ds:datastoreItem>
</file>

<file path=customXml/itemProps3.xml><?xml version="1.0" encoding="utf-8"?>
<ds:datastoreItem xmlns:ds="http://schemas.openxmlformats.org/officeDocument/2006/customXml" ds:itemID="{3FD427FA-06A2-44FE-86A4-7BD609F1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059B5A-54C8-4CB4-86FA-3AA4C311B2C4}">
  <ds:schemaRefs>
    <ds:schemaRef ds:uri="http://schemas.microsoft.com/sharepoint/v4"/>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FF07FE29-32CF-48CC-BD82-0474466F5273}">
  <ds:schemaRefs>
    <ds:schemaRef ds:uri="http://schemas.microsoft.com/sharepoint/v3/contenttype/forms"/>
  </ds:schemaRefs>
</ds:datastoreItem>
</file>

<file path=customXml/itemProps6.xml><?xml version="1.0" encoding="utf-8"?>
<ds:datastoreItem xmlns:ds="http://schemas.openxmlformats.org/officeDocument/2006/customXml" ds:itemID="{BA8AD01D-7D3D-47D2-82E3-103AEE42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4157</Words>
  <Characters>22888</Characters>
  <Application>Microsoft Office Word</Application>
  <DocSecurity>0</DocSecurity>
  <Lines>479</Lines>
  <Paragraphs>115</Paragraphs>
  <ScaleCrop>false</ScaleCrop>
  <HeadingPairs>
    <vt:vector size="2" baseType="variant">
      <vt:variant>
        <vt:lpstr>Title</vt:lpstr>
      </vt:variant>
      <vt:variant>
        <vt:i4>1</vt:i4>
      </vt:variant>
    </vt:vector>
  </HeadingPairs>
  <TitlesOfParts>
    <vt:vector size="1" baseType="lpstr">
      <vt:lpstr>Submission 19 - Risk Frontiers - Natural Disaster Funding - Public inquiry</vt:lpstr>
    </vt:vector>
  </TitlesOfParts>
  <Company>Risk Frontiers</Company>
  <LinksUpToDate>false</LinksUpToDate>
  <CharactersWithSpaces>27002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19 - Risk Frontiers - Natural Disaster Funding - Public inquiry</dc:title>
  <dc:creator>Risk Frontiers</dc:creator>
  <cp:lastModifiedBy>Productivity Commission</cp:lastModifiedBy>
  <cp:revision>3</cp:revision>
  <cp:lastPrinted>2014-06-04T23:45:00Z</cp:lastPrinted>
  <dcterms:created xsi:type="dcterms:W3CDTF">2014-06-06T03:17:00Z</dcterms:created>
  <dcterms:modified xsi:type="dcterms:W3CDTF">2014-06-06T04:13:00Z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{5750d626-0aa0-474c-a55f-8063909d4906}</vt:lpwstr>
  </property>
  <property fmtid="{D5CDD505-2E9C-101B-9397-08002B2CF9AE}" pid="6" name="RecordPoint_ActiveItemListId">
    <vt:lpwstr>{5ddcf88e-8444-4ec5-9e6b-ef3ebb4e4a49}</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2014-06-06T13:17:43.8820535+10:00</vt:lpwstr>
  </property>
  <property fmtid="{D5CDD505-2E9C-101B-9397-08002B2CF9AE}" pid="10" name="RecordPoint_ActiveItemUniqueId">
    <vt:lpwstr>{c5c21e2e-1a13-4133-a2ac-dcd7e91f5287}</vt:lpwstr>
  </property>
  <property fmtid="{D5CDD505-2E9C-101B-9397-08002B2CF9AE}" pid="11" name="RecordPoint_ActiveItemWebId">
    <vt:lpwstr>{2159b2f9-a7b8-4f1e-afd4-3e549d486baf}</vt:lpwstr>
  </property>
  <property fmtid="{D5CDD505-2E9C-101B-9397-08002B2CF9AE}" pid="12" name="RecordPoint_WorkflowType">
    <vt:lpwstr>ActiveSubmitStub</vt:lpwstr>
  </property>
</Properties>
</file>