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583" w:rsidRDefault="002A3583" w:rsidP="002A3583">
      <w:pPr>
        <w:autoSpaceDE w:val="0"/>
        <w:autoSpaceDN w:val="0"/>
        <w:adjustRightInd w:val="0"/>
        <w:ind w:left="180"/>
        <w:rPr>
          <w:rFonts w:ascii="MyriadPro-Semibold" w:hAnsi="MyriadPro-Semibold" w:cs="MyriadPro-Semibold"/>
          <w:b/>
          <w:bCs/>
          <w:color w:val="000000"/>
          <w:sz w:val="36"/>
          <w:szCs w:val="36"/>
          <w:lang w:val="en-US"/>
        </w:rPr>
      </w:pPr>
      <w:bookmarkStart w:id="0" w:name="_GoBack"/>
      <w:bookmarkEnd w:id="0"/>
      <w:r>
        <w:rPr>
          <w:noProof/>
          <w:lang w:val="en-AU" w:eastAsia="en-AU"/>
        </w:rPr>
        <w:drawing>
          <wp:anchor distT="0" distB="0" distL="114300" distR="114300" simplePos="0" relativeHeight="251659264" behindDoc="0" locked="0" layoutInCell="1" allowOverlap="1" wp14:anchorId="2247CC30" wp14:editId="37712494">
            <wp:simplePos x="0" y="0"/>
            <wp:positionH relativeFrom="column">
              <wp:posOffset>-342900</wp:posOffset>
            </wp:positionH>
            <wp:positionV relativeFrom="paragraph">
              <wp:posOffset>0</wp:posOffset>
            </wp:positionV>
            <wp:extent cx="457200" cy="457200"/>
            <wp:effectExtent l="0" t="0" r="0" b="0"/>
            <wp:wrapSquare wrapText="bothSides"/>
            <wp:docPr id="5" name="Picture 1" descr="UCA logo-color-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A logo-color-sm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60288" behindDoc="0" locked="0" layoutInCell="1" allowOverlap="1" wp14:anchorId="0A952520" wp14:editId="16BDEA8F">
                <wp:simplePos x="0" y="0"/>
                <wp:positionH relativeFrom="column">
                  <wp:posOffset>3314700</wp:posOffset>
                </wp:positionH>
                <wp:positionV relativeFrom="paragraph">
                  <wp:posOffset>0</wp:posOffset>
                </wp:positionV>
                <wp:extent cx="27432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1E0" w:firstRow="1" w:lastRow="1" w:firstColumn="1" w:lastColumn="1" w:noHBand="0" w:noVBand="0"/>
                            </w:tblPr>
                            <w:tblGrid>
                              <w:gridCol w:w="2160"/>
                              <w:gridCol w:w="1980"/>
                            </w:tblGrid>
                            <w:tr w:rsidR="002A3583" w:rsidRPr="004347D2" w:rsidTr="004347D2">
                              <w:trPr>
                                <w:trHeight w:val="560"/>
                              </w:trPr>
                              <w:tc>
                                <w:tcPr>
                                  <w:tcW w:w="2160" w:type="dxa"/>
                                  <w:shd w:val="clear" w:color="auto" w:fill="auto"/>
                                </w:tcPr>
                                <w:p w:rsidR="002A3583" w:rsidRPr="004347D2" w:rsidRDefault="002A3583" w:rsidP="004347D2">
                                  <w:pPr>
                                    <w:autoSpaceDE w:val="0"/>
                                    <w:autoSpaceDN w:val="0"/>
                                    <w:adjustRightInd w:val="0"/>
                                    <w:rPr>
                                      <w:rFonts w:ascii="MyriadPro-Regular" w:hAnsi="MyriadPro-Regular" w:cs="MyriadPro-Regular"/>
                                      <w:color w:val="1A1A1A"/>
                                      <w:sz w:val="15"/>
                                      <w:szCs w:val="15"/>
                                      <w:lang w:val="en-US"/>
                                    </w:rPr>
                                  </w:pPr>
                                  <w:smartTag w:uri="urn:schemas-microsoft-com:office:smarttags" w:element="Street">
                                    <w:smartTag w:uri="urn:schemas-microsoft-com:office:smarttags" w:element="address">
                                      <w:r w:rsidRPr="004347D2">
                                        <w:rPr>
                                          <w:rFonts w:ascii="MyriadPro-Regular" w:hAnsi="MyriadPro-Regular" w:cs="MyriadPro-Regular"/>
                                          <w:color w:val="1A1A1A"/>
                                          <w:sz w:val="15"/>
                                          <w:szCs w:val="15"/>
                                          <w:lang w:val="en-US"/>
                                        </w:rPr>
                                        <w:t>Piccadilly Court</w:t>
                                      </w:r>
                                    </w:smartTag>
                                  </w:smartTag>
                                </w:p>
                                <w:p w:rsidR="002A3583" w:rsidRPr="004347D2" w:rsidRDefault="002A3583" w:rsidP="004347D2">
                                  <w:pPr>
                                    <w:autoSpaceDE w:val="0"/>
                                    <w:autoSpaceDN w:val="0"/>
                                    <w:adjustRightInd w:val="0"/>
                                    <w:rPr>
                                      <w:rFonts w:ascii="MyriadPro-Regular" w:hAnsi="MyriadPro-Regular" w:cs="MyriadPro-Regular"/>
                                      <w:color w:val="1A1A1A"/>
                                      <w:sz w:val="15"/>
                                      <w:szCs w:val="15"/>
                                      <w:lang w:val="en-US"/>
                                    </w:rPr>
                                  </w:pPr>
                                  <w:r w:rsidRPr="004347D2">
                                    <w:rPr>
                                      <w:rFonts w:ascii="MyriadPro-Regular" w:hAnsi="MyriadPro-Regular" w:cs="MyriadPro-Regular"/>
                                      <w:color w:val="1A1A1A"/>
                                      <w:sz w:val="15"/>
                                      <w:szCs w:val="15"/>
                                      <w:lang w:val="en-US"/>
                                    </w:rPr>
                                    <w:t xml:space="preserve">Level </w:t>
                                  </w:r>
                                  <w:r>
                                    <w:rPr>
                                      <w:rFonts w:ascii="MyriadPro-Regular" w:hAnsi="MyriadPro-Regular" w:cs="MyriadPro-Regular"/>
                                      <w:color w:val="1A1A1A"/>
                                      <w:sz w:val="15"/>
                                      <w:szCs w:val="15"/>
                                      <w:lang w:val="en-US"/>
                                    </w:rPr>
                                    <w:t xml:space="preserve"> 10</w:t>
                                  </w:r>
                                  <w:r w:rsidRPr="004347D2">
                                    <w:rPr>
                                      <w:rFonts w:ascii="MyriadPro-Regular" w:hAnsi="MyriadPro-Regular" w:cs="MyriadPro-Regular"/>
                                      <w:color w:val="1A1A1A"/>
                                      <w:sz w:val="15"/>
                                      <w:szCs w:val="15"/>
                                      <w:lang w:val="en-US"/>
                                    </w:rPr>
                                    <w:t>, 222 Pitt Street</w:t>
                                  </w:r>
                                </w:p>
                                <w:p w:rsidR="002A3583" w:rsidRPr="004347D2" w:rsidRDefault="002A3583" w:rsidP="004347D2">
                                  <w:pPr>
                                    <w:autoSpaceDE w:val="0"/>
                                    <w:autoSpaceDN w:val="0"/>
                                    <w:adjustRightInd w:val="0"/>
                                    <w:rPr>
                                      <w:rFonts w:ascii="MyriadPro-Regular" w:hAnsi="MyriadPro-Regular" w:cs="MyriadPro-Regular"/>
                                      <w:color w:val="1A1A1A"/>
                                      <w:sz w:val="15"/>
                                      <w:szCs w:val="15"/>
                                      <w:lang w:val="en-US"/>
                                    </w:rPr>
                                  </w:pPr>
                                  <w:smartTag w:uri="urn:schemas-microsoft-com:office:smarttags" w:element="City">
                                    <w:r w:rsidRPr="004347D2">
                                      <w:rPr>
                                        <w:rFonts w:ascii="MyriadPro-Regular" w:hAnsi="MyriadPro-Regular" w:cs="MyriadPro-Regular"/>
                                        <w:color w:val="1A1A1A"/>
                                        <w:sz w:val="15"/>
                                        <w:szCs w:val="15"/>
                                        <w:lang w:val="en-US"/>
                                      </w:rPr>
                                      <w:t>Sydney</w:t>
                                    </w:r>
                                  </w:smartTag>
                                  <w:r w:rsidRPr="004347D2">
                                    <w:rPr>
                                      <w:rFonts w:ascii="MyriadPro-Regular" w:hAnsi="MyriadPro-Regular" w:cs="MyriadPro-Regular"/>
                                      <w:color w:val="1A1A1A"/>
                                      <w:sz w:val="15"/>
                                      <w:szCs w:val="15"/>
                                      <w:lang w:val="en-US"/>
                                    </w:rPr>
                                    <w:t xml:space="preserve"> NSW 2000 </w:t>
                                  </w:r>
                                  <w:smartTag w:uri="urn:schemas-microsoft-com:office:smarttags" w:element="place">
                                    <w:smartTag w:uri="urn:schemas-microsoft-com:office:smarttags" w:element="country-region">
                                      <w:r w:rsidRPr="004347D2">
                                        <w:rPr>
                                          <w:rFonts w:ascii="MyriadPro-Regular" w:hAnsi="MyriadPro-Regular" w:cs="MyriadPro-Regular"/>
                                          <w:color w:val="1A1A1A"/>
                                          <w:sz w:val="15"/>
                                          <w:szCs w:val="15"/>
                                          <w:lang w:val="en-US"/>
                                        </w:rPr>
                                        <w:t>Australia</w:t>
                                      </w:r>
                                    </w:smartTag>
                                  </w:smartTag>
                                </w:p>
                              </w:tc>
                              <w:tc>
                                <w:tcPr>
                                  <w:tcW w:w="1980" w:type="dxa"/>
                                  <w:shd w:val="clear" w:color="auto" w:fill="auto"/>
                                </w:tcPr>
                                <w:p w:rsidR="002A3583" w:rsidRPr="004347D2" w:rsidRDefault="002A3583" w:rsidP="004347D2">
                                  <w:pPr>
                                    <w:autoSpaceDE w:val="0"/>
                                    <w:autoSpaceDN w:val="0"/>
                                    <w:adjustRightInd w:val="0"/>
                                    <w:rPr>
                                      <w:rFonts w:ascii="MyriadPro-Regular" w:hAnsi="MyriadPro-Regular" w:cs="MyriadPro-Regular"/>
                                      <w:color w:val="1A1A1A"/>
                                      <w:sz w:val="15"/>
                                      <w:szCs w:val="15"/>
                                      <w:lang w:val="en-US"/>
                                    </w:rPr>
                                  </w:pPr>
                                  <w:r w:rsidRPr="004347D2">
                                    <w:rPr>
                                      <w:rFonts w:ascii="MyriadPro-Bold" w:hAnsi="MyriadPro-Bold" w:cs="MyriadPro-Bold"/>
                                      <w:b/>
                                      <w:bCs/>
                                      <w:color w:val="1A1A1A"/>
                                      <w:sz w:val="15"/>
                                      <w:szCs w:val="15"/>
                                      <w:lang w:val="en-US"/>
                                    </w:rPr>
                                    <w:t xml:space="preserve">Tel </w:t>
                                  </w:r>
                                  <w:r>
                                    <w:rPr>
                                      <w:rFonts w:ascii="MyriadPro-Regular" w:hAnsi="MyriadPro-Regular" w:cs="MyriadPro-Regular"/>
                                      <w:color w:val="1A1A1A"/>
                                      <w:sz w:val="15"/>
                                      <w:szCs w:val="15"/>
                                      <w:lang w:val="en-US"/>
                                    </w:rPr>
                                    <w:t>+61 2 8267 4428</w:t>
                                  </w:r>
                                </w:p>
                                <w:p w:rsidR="002A3583" w:rsidRPr="004347D2" w:rsidRDefault="002A3583" w:rsidP="004347D2">
                                  <w:pPr>
                                    <w:autoSpaceDE w:val="0"/>
                                    <w:autoSpaceDN w:val="0"/>
                                    <w:adjustRightInd w:val="0"/>
                                    <w:rPr>
                                      <w:rFonts w:ascii="MyriadPro-Regular" w:hAnsi="MyriadPro-Regular" w:cs="MyriadPro-Regular"/>
                                      <w:color w:val="1A1A1A"/>
                                      <w:sz w:val="15"/>
                                      <w:szCs w:val="15"/>
                                      <w:lang w:val="en-US"/>
                                    </w:rPr>
                                  </w:pPr>
                                  <w:r w:rsidRPr="004347D2">
                                    <w:rPr>
                                      <w:rFonts w:ascii="MyriadPro-Bold" w:hAnsi="MyriadPro-Bold" w:cs="MyriadPro-Bold"/>
                                      <w:b/>
                                      <w:bCs/>
                                      <w:color w:val="1A1A1A"/>
                                      <w:sz w:val="15"/>
                                      <w:szCs w:val="15"/>
                                      <w:lang w:val="en-US"/>
                                    </w:rPr>
                                    <w:t xml:space="preserve">Fax </w:t>
                                  </w:r>
                                  <w:r w:rsidRPr="004347D2">
                                    <w:rPr>
                                      <w:rFonts w:ascii="MyriadPro-Regular" w:hAnsi="MyriadPro-Regular" w:cs="MyriadPro-Regular"/>
                                      <w:color w:val="1A1A1A"/>
                                      <w:sz w:val="15"/>
                                      <w:szCs w:val="15"/>
                                      <w:lang w:val="en-US"/>
                                    </w:rPr>
                                    <w:t>+61 2 8267 4222</w:t>
                                  </w:r>
                                </w:p>
                                <w:p w:rsidR="002A3583" w:rsidRPr="004347D2" w:rsidRDefault="002A3583" w:rsidP="004347D2">
                                  <w:pPr>
                                    <w:autoSpaceDE w:val="0"/>
                                    <w:autoSpaceDN w:val="0"/>
                                    <w:adjustRightInd w:val="0"/>
                                    <w:rPr>
                                      <w:rFonts w:ascii="MyriadPro-Regular" w:hAnsi="MyriadPro-Regular" w:cs="MyriadPro-Regular"/>
                                      <w:color w:val="1A1A1A"/>
                                      <w:sz w:val="15"/>
                                      <w:szCs w:val="15"/>
                                      <w:lang w:val="en-US"/>
                                    </w:rPr>
                                  </w:pPr>
                                  <w:proofErr w:type="spellStart"/>
                                  <w:r w:rsidRPr="004347D2">
                                    <w:rPr>
                                      <w:rFonts w:ascii="MyriadPro-Regular" w:hAnsi="MyriadPro-Regular" w:cs="MyriadPro-Regular"/>
                                      <w:color w:val="1A1A1A"/>
                                      <w:sz w:val="15"/>
                                      <w:szCs w:val="15"/>
                                      <w:lang w:val="en-US"/>
                                    </w:rPr>
                                    <w:t>enquiries@nat.uca.org.au</w:t>
                                  </w:r>
                                  <w:proofErr w:type="spellEnd"/>
                                </w:p>
                                <w:p w:rsidR="002A3583" w:rsidRPr="004347D2" w:rsidRDefault="002A3583" w:rsidP="004347D2">
                                  <w:pPr>
                                    <w:autoSpaceDE w:val="0"/>
                                    <w:autoSpaceDN w:val="0"/>
                                    <w:adjustRightInd w:val="0"/>
                                    <w:rPr>
                                      <w:rFonts w:ascii="MyriadPro-Semibold" w:hAnsi="MyriadPro-Semibold" w:cs="MyriadPro-Semibold"/>
                                      <w:color w:val="000000"/>
                                      <w:sz w:val="20"/>
                                      <w:szCs w:val="20"/>
                                      <w:lang w:val="en-US"/>
                                    </w:rPr>
                                  </w:pPr>
                                  <w:proofErr w:type="spellStart"/>
                                  <w:r w:rsidRPr="004347D2">
                                    <w:rPr>
                                      <w:rFonts w:ascii="MyriadPro-Bold" w:hAnsi="MyriadPro-Bold" w:cs="MyriadPro-Bold"/>
                                      <w:b/>
                                      <w:bCs/>
                                      <w:color w:val="E6001A"/>
                                      <w:sz w:val="15"/>
                                      <w:szCs w:val="15"/>
                                      <w:lang w:val="en-US"/>
                                    </w:rPr>
                                    <w:t>www.assembly.uca.org.au</w:t>
                                  </w:r>
                                  <w:proofErr w:type="spellEnd"/>
                                </w:p>
                              </w:tc>
                            </w:tr>
                          </w:tbl>
                          <w:p w:rsidR="002A3583" w:rsidRDefault="002A3583" w:rsidP="002A35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1pt;margin-top:0;width:3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b1pfwIAAA8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" stroked="f">
                <v:textbox>
                  <w:txbxContent>
                    <w:tbl>
                      <w:tblPr>
                        <w:tblW w:w="0" w:type="auto"/>
                        <w:tblInd w:w="108" w:type="dxa"/>
                        <w:tblLayout w:type="fixed"/>
                        <w:tblLook w:val="01E0" w:firstRow="1" w:lastRow="1" w:firstColumn="1" w:lastColumn="1" w:noHBand="0" w:noVBand="0"/>
                      </w:tblPr>
                      <w:tblGrid>
                        <w:gridCol w:w="2160"/>
                        <w:gridCol w:w="1980"/>
                      </w:tblGrid>
                      <w:tr w:rsidR="002A3583" w:rsidRPr="004347D2" w:rsidTr="004347D2">
                        <w:trPr>
                          <w:trHeight w:val="560"/>
                        </w:trPr>
                        <w:tc>
                          <w:tcPr>
                            <w:tcW w:w="2160" w:type="dxa"/>
                            <w:shd w:val="clear" w:color="auto" w:fill="auto"/>
                          </w:tcPr>
                          <w:p w:rsidR="002A3583" w:rsidRPr="004347D2" w:rsidRDefault="002A3583" w:rsidP="004347D2">
                            <w:pPr>
                              <w:autoSpaceDE w:val="0"/>
                              <w:autoSpaceDN w:val="0"/>
                              <w:adjustRightInd w:val="0"/>
                              <w:rPr>
                                <w:rFonts w:ascii="MyriadPro-Regular" w:hAnsi="MyriadPro-Regular" w:cs="MyriadPro-Regular"/>
                                <w:color w:val="1A1A1A"/>
                                <w:sz w:val="15"/>
                                <w:szCs w:val="15"/>
                                <w:lang w:val="en-US"/>
                              </w:rPr>
                            </w:pPr>
                            <w:smartTag w:uri="urn:schemas-microsoft-com:office:smarttags" w:element="Street">
                              <w:smartTag w:uri="urn:schemas-microsoft-com:office:smarttags" w:element="address">
                                <w:r w:rsidRPr="004347D2">
                                  <w:rPr>
                                    <w:rFonts w:ascii="MyriadPro-Regular" w:hAnsi="MyriadPro-Regular" w:cs="MyriadPro-Regular"/>
                                    <w:color w:val="1A1A1A"/>
                                    <w:sz w:val="15"/>
                                    <w:szCs w:val="15"/>
                                    <w:lang w:val="en-US"/>
                                  </w:rPr>
                                  <w:t>Piccadilly Court</w:t>
                                </w:r>
                              </w:smartTag>
                            </w:smartTag>
                          </w:p>
                          <w:p w:rsidR="002A3583" w:rsidRPr="004347D2" w:rsidRDefault="002A3583" w:rsidP="004347D2">
                            <w:pPr>
                              <w:autoSpaceDE w:val="0"/>
                              <w:autoSpaceDN w:val="0"/>
                              <w:adjustRightInd w:val="0"/>
                              <w:rPr>
                                <w:rFonts w:ascii="MyriadPro-Regular" w:hAnsi="MyriadPro-Regular" w:cs="MyriadPro-Regular"/>
                                <w:color w:val="1A1A1A"/>
                                <w:sz w:val="15"/>
                                <w:szCs w:val="15"/>
                                <w:lang w:val="en-US"/>
                              </w:rPr>
                            </w:pPr>
                            <w:r w:rsidRPr="004347D2">
                              <w:rPr>
                                <w:rFonts w:ascii="MyriadPro-Regular" w:hAnsi="MyriadPro-Regular" w:cs="MyriadPro-Regular"/>
                                <w:color w:val="1A1A1A"/>
                                <w:sz w:val="15"/>
                                <w:szCs w:val="15"/>
                                <w:lang w:val="en-US"/>
                              </w:rPr>
                              <w:t xml:space="preserve">Level </w:t>
                            </w:r>
                            <w:r>
                              <w:rPr>
                                <w:rFonts w:ascii="MyriadPro-Regular" w:hAnsi="MyriadPro-Regular" w:cs="MyriadPro-Regular"/>
                                <w:color w:val="1A1A1A"/>
                                <w:sz w:val="15"/>
                                <w:szCs w:val="15"/>
                                <w:lang w:val="en-US"/>
                              </w:rPr>
                              <w:t xml:space="preserve"> 10</w:t>
                            </w:r>
                            <w:r w:rsidRPr="004347D2">
                              <w:rPr>
                                <w:rFonts w:ascii="MyriadPro-Regular" w:hAnsi="MyriadPro-Regular" w:cs="MyriadPro-Regular"/>
                                <w:color w:val="1A1A1A"/>
                                <w:sz w:val="15"/>
                                <w:szCs w:val="15"/>
                                <w:lang w:val="en-US"/>
                              </w:rPr>
                              <w:t>, 222 Pitt Street</w:t>
                            </w:r>
                          </w:p>
                          <w:p w:rsidR="002A3583" w:rsidRPr="004347D2" w:rsidRDefault="002A3583" w:rsidP="004347D2">
                            <w:pPr>
                              <w:autoSpaceDE w:val="0"/>
                              <w:autoSpaceDN w:val="0"/>
                              <w:adjustRightInd w:val="0"/>
                              <w:rPr>
                                <w:rFonts w:ascii="MyriadPro-Regular" w:hAnsi="MyriadPro-Regular" w:cs="MyriadPro-Regular"/>
                                <w:color w:val="1A1A1A"/>
                                <w:sz w:val="15"/>
                                <w:szCs w:val="15"/>
                                <w:lang w:val="en-US"/>
                              </w:rPr>
                            </w:pPr>
                            <w:smartTag w:uri="urn:schemas-microsoft-com:office:smarttags" w:element="City">
                              <w:r w:rsidRPr="004347D2">
                                <w:rPr>
                                  <w:rFonts w:ascii="MyriadPro-Regular" w:hAnsi="MyriadPro-Regular" w:cs="MyriadPro-Regular"/>
                                  <w:color w:val="1A1A1A"/>
                                  <w:sz w:val="15"/>
                                  <w:szCs w:val="15"/>
                                  <w:lang w:val="en-US"/>
                                </w:rPr>
                                <w:t>Sydney</w:t>
                              </w:r>
                            </w:smartTag>
                            <w:r w:rsidRPr="004347D2">
                              <w:rPr>
                                <w:rFonts w:ascii="MyriadPro-Regular" w:hAnsi="MyriadPro-Regular" w:cs="MyriadPro-Regular"/>
                                <w:color w:val="1A1A1A"/>
                                <w:sz w:val="15"/>
                                <w:szCs w:val="15"/>
                                <w:lang w:val="en-US"/>
                              </w:rPr>
                              <w:t xml:space="preserve"> NSW 2000 </w:t>
                            </w:r>
                            <w:smartTag w:uri="urn:schemas-microsoft-com:office:smarttags" w:element="place">
                              <w:smartTag w:uri="urn:schemas-microsoft-com:office:smarttags" w:element="country-region">
                                <w:r w:rsidRPr="004347D2">
                                  <w:rPr>
                                    <w:rFonts w:ascii="MyriadPro-Regular" w:hAnsi="MyriadPro-Regular" w:cs="MyriadPro-Regular"/>
                                    <w:color w:val="1A1A1A"/>
                                    <w:sz w:val="15"/>
                                    <w:szCs w:val="15"/>
                                    <w:lang w:val="en-US"/>
                                  </w:rPr>
                                  <w:t>Australia</w:t>
                                </w:r>
                              </w:smartTag>
                            </w:smartTag>
                          </w:p>
                        </w:tc>
                        <w:tc>
                          <w:tcPr>
                            <w:tcW w:w="1980" w:type="dxa"/>
                            <w:shd w:val="clear" w:color="auto" w:fill="auto"/>
                          </w:tcPr>
                          <w:p w:rsidR="002A3583" w:rsidRPr="004347D2" w:rsidRDefault="002A3583" w:rsidP="004347D2">
                            <w:pPr>
                              <w:autoSpaceDE w:val="0"/>
                              <w:autoSpaceDN w:val="0"/>
                              <w:adjustRightInd w:val="0"/>
                              <w:rPr>
                                <w:rFonts w:ascii="MyriadPro-Regular" w:hAnsi="MyriadPro-Regular" w:cs="MyriadPro-Regular"/>
                                <w:color w:val="1A1A1A"/>
                                <w:sz w:val="15"/>
                                <w:szCs w:val="15"/>
                                <w:lang w:val="en-US"/>
                              </w:rPr>
                            </w:pPr>
                            <w:r w:rsidRPr="004347D2">
                              <w:rPr>
                                <w:rFonts w:ascii="MyriadPro-Bold" w:hAnsi="MyriadPro-Bold" w:cs="MyriadPro-Bold"/>
                                <w:b/>
                                <w:bCs/>
                                <w:color w:val="1A1A1A"/>
                                <w:sz w:val="15"/>
                                <w:szCs w:val="15"/>
                                <w:lang w:val="en-US"/>
                              </w:rPr>
                              <w:t xml:space="preserve">Tel </w:t>
                            </w:r>
                            <w:r>
                              <w:rPr>
                                <w:rFonts w:ascii="MyriadPro-Regular" w:hAnsi="MyriadPro-Regular" w:cs="MyriadPro-Regular"/>
                                <w:color w:val="1A1A1A"/>
                                <w:sz w:val="15"/>
                                <w:szCs w:val="15"/>
                                <w:lang w:val="en-US"/>
                              </w:rPr>
                              <w:t>+61 2 8267 4428</w:t>
                            </w:r>
                          </w:p>
                          <w:p w:rsidR="002A3583" w:rsidRPr="004347D2" w:rsidRDefault="002A3583" w:rsidP="004347D2">
                            <w:pPr>
                              <w:autoSpaceDE w:val="0"/>
                              <w:autoSpaceDN w:val="0"/>
                              <w:adjustRightInd w:val="0"/>
                              <w:rPr>
                                <w:rFonts w:ascii="MyriadPro-Regular" w:hAnsi="MyriadPro-Regular" w:cs="MyriadPro-Regular"/>
                                <w:color w:val="1A1A1A"/>
                                <w:sz w:val="15"/>
                                <w:szCs w:val="15"/>
                                <w:lang w:val="en-US"/>
                              </w:rPr>
                            </w:pPr>
                            <w:r w:rsidRPr="004347D2">
                              <w:rPr>
                                <w:rFonts w:ascii="MyriadPro-Bold" w:hAnsi="MyriadPro-Bold" w:cs="MyriadPro-Bold"/>
                                <w:b/>
                                <w:bCs/>
                                <w:color w:val="1A1A1A"/>
                                <w:sz w:val="15"/>
                                <w:szCs w:val="15"/>
                                <w:lang w:val="en-US"/>
                              </w:rPr>
                              <w:t xml:space="preserve">Fax </w:t>
                            </w:r>
                            <w:r w:rsidRPr="004347D2">
                              <w:rPr>
                                <w:rFonts w:ascii="MyriadPro-Regular" w:hAnsi="MyriadPro-Regular" w:cs="MyriadPro-Regular"/>
                                <w:color w:val="1A1A1A"/>
                                <w:sz w:val="15"/>
                                <w:szCs w:val="15"/>
                                <w:lang w:val="en-US"/>
                              </w:rPr>
                              <w:t>+61 2 8267 4222</w:t>
                            </w:r>
                          </w:p>
                          <w:p w:rsidR="002A3583" w:rsidRPr="004347D2" w:rsidRDefault="002A3583" w:rsidP="004347D2">
                            <w:pPr>
                              <w:autoSpaceDE w:val="0"/>
                              <w:autoSpaceDN w:val="0"/>
                              <w:adjustRightInd w:val="0"/>
                              <w:rPr>
                                <w:rFonts w:ascii="MyriadPro-Regular" w:hAnsi="MyriadPro-Regular" w:cs="MyriadPro-Regular"/>
                                <w:color w:val="1A1A1A"/>
                                <w:sz w:val="15"/>
                                <w:szCs w:val="15"/>
                                <w:lang w:val="en-US"/>
                              </w:rPr>
                            </w:pPr>
                            <w:proofErr w:type="spellStart"/>
                            <w:r w:rsidRPr="004347D2">
                              <w:rPr>
                                <w:rFonts w:ascii="MyriadPro-Regular" w:hAnsi="MyriadPro-Regular" w:cs="MyriadPro-Regular"/>
                                <w:color w:val="1A1A1A"/>
                                <w:sz w:val="15"/>
                                <w:szCs w:val="15"/>
                                <w:lang w:val="en-US"/>
                              </w:rPr>
                              <w:t>enquiries@nat.uca.org.au</w:t>
                            </w:r>
                            <w:proofErr w:type="spellEnd"/>
                          </w:p>
                          <w:p w:rsidR="002A3583" w:rsidRPr="004347D2" w:rsidRDefault="002A3583" w:rsidP="004347D2">
                            <w:pPr>
                              <w:autoSpaceDE w:val="0"/>
                              <w:autoSpaceDN w:val="0"/>
                              <w:adjustRightInd w:val="0"/>
                              <w:rPr>
                                <w:rFonts w:ascii="MyriadPro-Semibold" w:hAnsi="MyriadPro-Semibold" w:cs="MyriadPro-Semibold"/>
                                <w:color w:val="000000"/>
                                <w:sz w:val="20"/>
                                <w:szCs w:val="20"/>
                                <w:lang w:val="en-US"/>
                              </w:rPr>
                            </w:pPr>
                            <w:proofErr w:type="spellStart"/>
                            <w:r w:rsidRPr="004347D2">
                              <w:rPr>
                                <w:rFonts w:ascii="MyriadPro-Bold" w:hAnsi="MyriadPro-Bold" w:cs="MyriadPro-Bold"/>
                                <w:b/>
                                <w:bCs/>
                                <w:color w:val="E6001A"/>
                                <w:sz w:val="15"/>
                                <w:szCs w:val="15"/>
                                <w:lang w:val="en-US"/>
                              </w:rPr>
                              <w:t>www.assembly.uca.org.au</w:t>
                            </w:r>
                            <w:proofErr w:type="spellEnd"/>
                          </w:p>
                        </w:tc>
                      </w:tr>
                    </w:tbl>
                    <w:p w:rsidR="002A3583" w:rsidRDefault="002A3583" w:rsidP="002A3583"/>
                  </w:txbxContent>
                </v:textbox>
              </v:shape>
            </w:pict>
          </mc:Fallback>
        </mc:AlternateContent>
      </w:r>
      <w:r>
        <w:rPr>
          <w:rFonts w:ascii="MyriadPro-Regular" w:hAnsi="MyriadPro-Regular" w:cs="MyriadPro-Regular"/>
          <w:color w:val="E6001A"/>
          <w:sz w:val="21"/>
          <w:szCs w:val="21"/>
          <w:lang w:val="en-US"/>
        </w:rPr>
        <w:t>UNITING CHURCH IN AUSTRALIA</w:t>
      </w:r>
    </w:p>
    <w:p w:rsidR="002A3583" w:rsidRDefault="002A3583" w:rsidP="002A3583">
      <w:pPr>
        <w:autoSpaceDE w:val="0"/>
        <w:autoSpaceDN w:val="0"/>
        <w:adjustRightInd w:val="0"/>
        <w:ind w:left="180"/>
        <w:rPr>
          <w:rFonts w:ascii="MyriadPro-Semibold" w:hAnsi="MyriadPro-Semibold" w:cs="MyriadPro-Semibold"/>
          <w:b/>
          <w:bCs/>
          <w:color w:val="000000"/>
          <w:sz w:val="36"/>
          <w:szCs w:val="36"/>
          <w:lang w:val="en-US"/>
        </w:rPr>
      </w:pPr>
      <w:r>
        <w:rPr>
          <w:rFonts w:ascii="MyriadPro-Semibold" w:hAnsi="MyriadPro-Semibold" w:cs="MyriadPro-Semibold"/>
          <w:b/>
          <w:bCs/>
          <w:color w:val="000000"/>
          <w:sz w:val="36"/>
          <w:szCs w:val="36"/>
          <w:lang w:val="en-US"/>
        </w:rPr>
        <w:t>ASSEMBLY</w:t>
      </w:r>
    </w:p>
    <w:p w:rsidR="00C2573C" w:rsidRDefault="00C2573C" w:rsidP="00A56C0A">
      <w:pPr>
        <w:pStyle w:val="Footer"/>
        <w:tabs>
          <w:tab w:val="clear" w:pos="4320"/>
          <w:tab w:val="clear" w:pos="8640"/>
        </w:tabs>
        <w:spacing w:after="120"/>
        <w:ind w:left="-900" w:right="-871"/>
        <w:rPr>
          <w:rFonts w:ascii="Arial" w:hAnsi="Arial" w:cs="Arial"/>
          <w:b/>
          <w:sz w:val="16"/>
        </w:rPr>
      </w:pPr>
    </w:p>
    <w:p w:rsidR="00C2573C" w:rsidRDefault="006F6B79" w:rsidP="00A56C0A">
      <w:pPr>
        <w:pStyle w:val="Footer"/>
        <w:tabs>
          <w:tab w:val="clear" w:pos="4320"/>
          <w:tab w:val="clear" w:pos="8640"/>
        </w:tabs>
        <w:spacing w:after="120"/>
        <w:ind w:left="-900" w:right="-871"/>
        <w:rPr>
          <w:rFonts w:ascii="Arial" w:hAnsi="Arial" w:cs="Arial"/>
          <w:sz w:val="16"/>
        </w:rPr>
      </w:pPr>
      <w:r>
        <w:rPr>
          <w:rFonts w:ascii="Arial" w:hAnsi="Arial" w:cs="Arial"/>
          <w:b/>
          <w:sz w:val="16"/>
        </w:rPr>
        <w:t xml:space="preserve">     </w:t>
      </w:r>
      <w:r w:rsidR="00C2573C">
        <w:rPr>
          <w:rFonts w:ascii="Arial" w:hAnsi="Arial" w:cs="Arial"/>
          <w:b/>
          <w:sz w:val="16"/>
        </w:rPr>
        <w:t xml:space="preserve">   </w:t>
      </w:r>
      <w:r w:rsidR="00C2573C" w:rsidRPr="000546E1">
        <w:rPr>
          <w:rFonts w:ascii="Arial" w:hAnsi="Arial" w:cs="Arial"/>
          <w:b/>
          <w:sz w:val="16"/>
        </w:rPr>
        <w:t xml:space="preserve">President: Rev </w:t>
      </w:r>
      <w:r w:rsidR="00033802">
        <w:rPr>
          <w:rFonts w:ascii="Arial" w:hAnsi="Arial" w:cs="Arial"/>
          <w:b/>
          <w:sz w:val="16"/>
        </w:rPr>
        <w:t>Prof</w:t>
      </w:r>
      <w:r w:rsidR="00C2573C" w:rsidRPr="000546E1">
        <w:rPr>
          <w:rFonts w:ascii="Arial" w:hAnsi="Arial" w:cs="Arial"/>
          <w:b/>
          <w:sz w:val="16"/>
        </w:rPr>
        <w:t xml:space="preserve"> </w:t>
      </w:r>
      <w:smartTag w:uri="urn:schemas-microsoft-com:office:smarttags" w:element="PersonName">
        <w:r w:rsidR="00C2573C" w:rsidRPr="000546E1">
          <w:rPr>
            <w:rFonts w:ascii="Arial" w:hAnsi="Arial" w:cs="Arial"/>
            <w:b/>
            <w:sz w:val="16"/>
          </w:rPr>
          <w:t xml:space="preserve">Andrew </w:t>
        </w:r>
        <w:proofErr w:type="spellStart"/>
        <w:r w:rsidR="00C2573C" w:rsidRPr="000546E1">
          <w:rPr>
            <w:rFonts w:ascii="Arial" w:hAnsi="Arial" w:cs="Arial"/>
            <w:b/>
            <w:sz w:val="16"/>
          </w:rPr>
          <w:t>Dutney</w:t>
        </w:r>
      </w:smartTag>
      <w:proofErr w:type="spellEnd"/>
      <w:r w:rsidR="00C2573C" w:rsidRPr="000546E1">
        <w:rPr>
          <w:rFonts w:ascii="Arial" w:hAnsi="Arial" w:cs="Arial"/>
          <w:b/>
          <w:sz w:val="16"/>
        </w:rPr>
        <w:t xml:space="preserve"> BA, PhD, </w:t>
      </w:r>
      <w:proofErr w:type="spellStart"/>
      <w:r w:rsidR="00C2573C" w:rsidRPr="000546E1">
        <w:rPr>
          <w:rFonts w:ascii="Arial" w:hAnsi="Arial" w:cs="Arial"/>
          <w:b/>
          <w:sz w:val="16"/>
        </w:rPr>
        <w:t>EdD</w:t>
      </w:r>
      <w:proofErr w:type="spellEnd"/>
      <w:r w:rsidR="00C2573C">
        <w:rPr>
          <w:rFonts w:ascii="Arial" w:hAnsi="Arial" w:cs="Arial"/>
          <w:b/>
          <w:sz w:val="16"/>
        </w:rPr>
        <w:tab/>
        <w:t xml:space="preserve">                                   General Secretary: Rev </w:t>
      </w:r>
      <w:smartTag w:uri="urn:schemas-microsoft-com:office:smarttags" w:element="PersonName">
        <w:r w:rsidR="00C2573C">
          <w:rPr>
            <w:rFonts w:ascii="Arial" w:hAnsi="Arial" w:cs="Arial"/>
            <w:b/>
            <w:sz w:val="16"/>
          </w:rPr>
          <w:t xml:space="preserve">Terence </w:t>
        </w:r>
        <w:proofErr w:type="spellStart"/>
        <w:r w:rsidR="00C2573C">
          <w:rPr>
            <w:rFonts w:ascii="Arial" w:hAnsi="Arial" w:cs="Arial"/>
            <w:b/>
            <w:sz w:val="16"/>
          </w:rPr>
          <w:t>Corkin</w:t>
        </w:r>
      </w:smartTag>
      <w:proofErr w:type="spellEnd"/>
      <w:r w:rsidR="00C2573C">
        <w:rPr>
          <w:rFonts w:ascii="Arial" w:hAnsi="Arial" w:cs="Arial"/>
          <w:b/>
          <w:sz w:val="16"/>
        </w:rPr>
        <w:t xml:space="preserve"> BA, </w:t>
      </w:r>
      <w:proofErr w:type="spellStart"/>
      <w:r w:rsidR="00C2573C">
        <w:rPr>
          <w:rFonts w:ascii="Arial" w:hAnsi="Arial" w:cs="Arial"/>
          <w:b/>
          <w:sz w:val="16"/>
        </w:rPr>
        <w:t>BTh</w:t>
      </w:r>
      <w:proofErr w:type="spellEnd"/>
      <w:r w:rsidR="00C2573C">
        <w:rPr>
          <w:rFonts w:ascii="Arial" w:hAnsi="Arial" w:cs="Arial"/>
          <w:b/>
          <w:sz w:val="16"/>
        </w:rPr>
        <w:t xml:space="preserve">, </w:t>
      </w:r>
      <w:proofErr w:type="spellStart"/>
      <w:r w:rsidR="00C2573C">
        <w:rPr>
          <w:rFonts w:ascii="Arial" w:hAnsi="Arial" w:cs="Arial"/>
          <w:b/>
          <w:sz w:val="16"/>
        </w:rPr>
        <w:t>BLegS</w:t>
      </w:r>
      <w:proofErr w:type="spellEnd"/>
    </w:p>
    <w:p w:rsidR="00C2573C" w:rsidRDefault="00C2573C" w:rsidP="00A56C0A">
      <w:pPr>
        <w:pStyle w:val="Body1"/>
        <w:spacing w:after="120"/>
        <w:rPr>
          <w:rFonts w:ascii="Calibri" w:hAnsi="Calibri" w:cs="Calibri"/>
          <w:sz w:val="22"/>
          <w:szCs w:val="22"/>
        </w:rPr>
      </w:pPr>
    </w:p>
    <w:p w:rsidR="00A56C0A" w:rsidRDefault="00A56C0A" w:rsidP="00A56C0A">
      <w:pPr>
        <w:keepNext/>
        <w:spacing w:before="240" w:after="120" w:line="276" w:lineRule="auto"/>
        <w:jc w:val="center"/>
        <w:outlineLvl w:val="0"/>
        <w:rPr>
          <w:rFonts w:ascii="Cambria" w:hAnsi="Cambria" w:cs="Arial"/>
          <w:b/>
          <w:bCs/>
          <w:kern w:val="32"/>
          <w:sz w:val="32"/>
          <w:szCs w:val="32"/>
          <w:lang w:val="en-AU"/>
        </w:rPr>
      </w:pPr>
      <w:r w:rsidRPr="00A56C0A">
        <w:rPr>
          <w:rFonts w:ascii="Cambria" w:hAnsi="Cambria" w:cs="Arial"/>
          <w:b/>
          <w:bCs/>
          <w:kern w:val="32"/>
          <w:sz w:val="32"/>
          <w:szCs w:val="32"/>
          <w:lang w:val="en-AU"/>
        </w:rPr>
        <w:t xml:space="preserve">Submission to the Australian Government Productivity Commission in relation to the Issues Paper on Natural Disaster Funding Arrangements, from </w:t>
      </w:r>
      <w:r w:rsidRPr="00A56C0A">
        <w:rPr>
          <w:rFonts w:ascii="Cambria" w:hAnsi="Cambria" w:cs="Arial"/>
          <w:b/>
          <w:bCs/>
          <w:kern w:val="32"/>
          <w:sz w:val="32"/>
          <w:szCs w:val="32"/>
          <w:lang w:val="en-AU"/>
        </w:rPr>
        <w:br/>
        <w:t>the Uniting Church in Australia Assembly</w:t>
      </w:r>
    </w:p>
    <w:p w:rsidR="00A56C0A" w:rsidRPr="00A56C0A" w:rsidRDefault="00A56C0A" w:rsidP="00A56C0A">
      <w:pPr>
        <w:keepNext/>
        <w:spacing w:before="240" w:after="120" w:line="276" w:lineRule="auto"/>
        <w:outlineLvl w:val="0"/>
        <w:rPr>
          <w:rFonts w:ascii="Cambria" w:hAnsi="Cambria" w:cs="Arial"/>
          <w:b/>
          <w:bCs/>
          <w:kern w:val="32"/>
          <w:sz w:val="32"/>
          <w:szCs w:val="32"/>
          <w:lang w:val="en-AU"/>
        </w:rPr>
      </w:pPr>
    </w:p>
    <w:p w:rsidR="00A56C0A" w:rsidRPr="00A56C0A" w:rsidRDefault="00A56C0A" w:rsidP="00A56C0A">
      <w:pPr>
        <w:keepNext/>
        <w:numPr>
          <w:ilvl w:val="0"/>
          <w:numId w:val="3"/>
        </w:numPr>
        <w:spacing w:before="240" w:after="120" w:line="276" w:lineRule="auto"/>
        <w:jc w:val="both"/>
        <w:outlineLvl w:val="1"/>
        <w:rPr>
          <w:rFonts w:ascii="Cambria" w:hAnsi="Cambria" w:cs="Arial"/>
          <w:b/>
          <w:bCs/>
          <w:i/>
          <w:iCs/>
          <w:sz w:val="28"/>
          <w:szCs w:val="28"/>
          <w:lang w:val="en-AU"/>
        </w:rPr>
      </w:pPr>
      <w:r w:rsidRPr="00A56C0A">
        <w:rPr>
          <w:rFonts w:ascii="Cambria" w:hAnsi="Cambria" w:cs="Arial"/>
          <w:b/>
          <w:bCs/>
          <w:i/>
          <w:iCs/>
          <w:sz w:val="28"/>
          <w:szCs w:val="28"/>
          <w:lang w:val="en-AU"/>
        </w:rPr>
        <w:t>Summary of Recommendations</w:t>
      </w:r>
    </w:p>
    <w:p w:rsidR="00A56C0A" w:rsidRPr="00A56C0A" w:rsidRDefault="00A56C0A" w:rsidP="00A56C0A">
      <w:pPr>
        <w:spacing w:after="120" w:line="276" w:lineRule="auto"/>
        <w:jc w:val="both"/>
        <w:rPr>
          <w:rFonts w:ascii="Arial" w:eastAsia="Calibri" w:hAnsi="Arial" w:cs="Arial"/>
          <w:lang w:val="en-AU"/>
        </w:rPr>
      </w:pPr>
      <w:r w:rsidRPr="00A56C0A">
        <w:rPr>
          <w:rFonts w:ascii="Arial" w:eastAsia="Calibri" w:hAnsi="Arial" w:cs="Arial"/>
          <w:b/>
          <w:lang w:val="en-AU"/>
        </w:rPr>
        <w:t>Recommendation One</w:t>
      </w:r>
      <w:r w:rsidRPr="00A56C0A">
        <w:rPr>
          <w:rFonts w:ascii="Arial" w:eastAsia="Calibri" w:hAnsi="Arial" w:cs="Arial"/>
          <w:lang w:val="en-AU"/>
        </w:rPr>
        <w:t xml:space="preserve"> – Ensuring all funding places an emphasis on the wellbeing of disaster affected communities.</w:t>
      </w:r>
    </w:p>
    <w:p w:rsidR="00A56C0A" w:rsidRPr="00A56C0A" w:rsidRDefault="00A56C0A" w:rsidP="00A56C0A">
      <w:pPr>
        <w:spacing w:after="120" w:line="276" w:lineRule="auto"/>
        <w:jc w:val="both"/>
        <w:rPr>
          <w:rFonts w:ascii="Arial" w:eastAsia="Calibri" w:hAnsi="Arial" w:cs="Arial"/>
          <w:lang w:val="en-AU"/>
        </w:rPr>
      </w:pPr>
      <w:r w:rsidRPr="00A56C0A">
        <w:rPr>
          <w:rFonts w:ascii="Arial" w:eastAsia="Calibri" w:hAnsi="Arial" w:cs="Arial"/>
          <w:b/>
          <w:lang w:val="en-AU"/>
        </w:rPr>
        <w:t>Recommendation Two</w:t>
      </w:r>
      <w:r w:rsidRPr="00A56C0A">
        <w:rPr>
          <w:rFonts w:ascii="Arial" w:eastAsia="Calibri" w:hAnsi="Arial" w:cs="Arial"/>
          <w:lang w:val="en-AU"/>
        </w:rPr>
        <w:t xml:space="preserve"> - Continue funding to local social agencies beyond the early stages of recovery. </w:t>
      </w:r>
    </w:p>
    <w:p w:rsidR="00A56C0A" w:rsidRDefault="00A56C0A" w:rsidP="00A56C0A">
      <w:pPr>
        <w:spacing w:after="120" w:line="276" w:lineRule="auto"/>
        <w:jc w:val="both"/>
        <w:rPr>
          <w:rFonts w:ascii="Arial" w:eastAsia="Calibri" w:hAnsi="Arial" w:cs="Arial"/>
          <w:lang w:val="en-AU"/>
        </w:rPr>
      </w:pPr>
      <w:r w:rsidRPr="00A56C0A">
        <w:rPr>
          <w:rFonts w:ascii="Arial" w:eastAsia="Calibri" w:hAnsi="Arial" w:cs="Arial"/>
          <w:b/>
          <w:lang w:val="en-AU"/>
        </w:rPr>
        <w:t>Recommendation Three –</w:t>
      </w:r>
      <w:r w:rsidRPr="00A56C0A">
        <w:rPr>
          <w:rFonts w:ascii="Arial" w:eastAsia="Calibri" w:hAnsi="Arial" w:cs="Arial"/>
          <w:lang w:val="en-AU"/>
        </w:rPr>
        <w:t xml:space="preserve"> a range of measures in relation to funding non-government agencies</w:t>
      </w:r>
    </w:p>
    <w:p w:rsidR="00A56C0A" w:rsidRPr="00A56C0A" w:rsidRDefault="00A56C0A" w:rsidP="00A56C0A">
      <w:pPr>
        <w:spacing w:after="120" w:line="276" w:lineRule="auto"/>
        <w:jc w:val="both"/>
        <w:rPr>
          <w:rFonts w:ascii="Arial" w:eastAsia="Calibri" w:hAnsi="Arial" w:cs="Arial"/>
          <w:lang w:val="en-AU"/>
        </w:rPr>
      </w:pPr>
    </w:p>
    <w:p w:rsidR="00A56C0A" w:rsidRPr="00A56C0A" w:rsidRDefault="00A56C0A" w:rsidP="00A56C0A">
      <w:pPr>
        <w:keepNext/>
        <w:numPr>
          <w:ilvl w:val="0"/>
          <w:numId w:val="3"/>
        </w:numPr>
        <w:spacing w:before="240" w:after="120" w:line="276" w:lineRule="auto"/>
        <w:jc w:val="both"/>
        <w:outlineLvl w:val="1"/>
        <w:rPr>
          <w:rFonts w:ascii="Cambria" w:hAnsi="Cambria" w:cs="Arial"/>
          <w:b/>
          <w:bCs/>
          <w:i/>
          <w:iCs/>
          <w:sz w:val="28"/>
          <w:szCs w:val="28"/>
          <w:lang w:val="en-AU"/>
        </w:rPr>
      </w:pPr>
      <w:r w:rsidRPr="00A56C0A">
        <w:rPr>
          <w:rFonts w:ascii="Cambria" w:hAnsi="Cambria" w:cs="Arial"/>
          <w:b/>
          <w:bCs/>
          <w:i/>
          <w:iCs/>
          <w:sz w:val="28"/>
          <w:szCs w:val="28"/>
          <w:lang w:val="en-AU"/>
        </w:rPr>
        <w:t>Introduction</w:t>
      </w:r>
    </w:p>
    <w:p w:rsidR="00A56C0A" w:rsidRPr="00A56C0A" w:rsidRDefault="00A56C0A" w:rsidP="00A56C0A">
      <w:pPr>
        <w:spacing w:after="120" w:line="276" w:lineRule="auto"/>
        <w:jc w:val="both"/>
        <w:rPr>
          <w:rFonts w:ascii="Arial" w:eastAsia="Calibri" w:hAnsi="Arial" w:cs="Arial"/>
          <w:lang w:val="en-AU"/>
        </w:rPr>
      </w:pPr>
      <w:r w:rsidRPr="00A56C0A">
        <w:rPr>
          <w:rFonts w:ascii="Arial" w:eastAsia="Calibri" w:hAnsi="Arial" w:cs="Arial"/>
          <w:lang w:val="en-AU"/>
        </w:rPr>
        <w:t>The Uniting Church in Australia (</w:t>
      </w:r>
      <w:proofErr w:type="spellStart"/>
      <w:r w:rsidRPr="00A56C0A">
        <w:rPr>
          <w:rFonts w:ascii="Arial" w:eastAsia="Calibri" w:hAnsi="Arial" w:cs="Arial"/>
          <w:lang w:val="en-AU"/>
        </w:rPr>
        <w:t>UCA</w:t>
      </w:r>
      <w:proofErr w:type="spellEnd"/>
      <w:r w:rsidRPr="00A56C0A">
        <w:rPr>
          <w:rFonts w:ascii="Arial" w:eastAsia="Calibri" w:hAnsi="Arial" w:cs="Arial"/>
          <w:lang w:val="en-AU"/>
        </w:rPr>
        <w:t>) maintains a strong commitment to care for individuals and working for the common good of all in society.  From this basis the Uniting Church interfaces with disaster-affected people and communities in a number of ways through:</w:t>
      </w:r>
    </w:p>
    <w:p w:rsidR="00A56C0A" w:rsidRPr="00A56C0A" w:rsidRDefault="00A56C0A" w:rsidP="00A56C0A">
      <w:pPr>
        <w:numPr>
          <w:ilvl w:val="0"/>
          <w:numId w:val="2"/>
        </w:numPr>
        <w:spacing w:after="120" w:line="276" w:lineRule="auto"/>
        <w:ind w:left="714" w:hanging="357"/>
        <w:jc w:val="both"/>
        <w:rPr>
          <w:rFonts w:ascii="Arial" w:eastAsia="Calibri" w:hAnsi="Arial" w:cs="Arial"/>
          <w:lang w:val="en-AU"/>
        </w:rPr>
      </w:pPr>
      <w:r w:rsidRPr="00A56C0A">
        <w:rPr>
          <w:rFonts w:ascii="Arial" w:eastAsia="Calibri" w:hAnsi="Arial" w:cs="Arial"/>
          <w:lang w:val="en-AU"/>
        </w:rPr>
        <w:t xml:space="preserve">Individual churches across Australia with individual members and ministers both affected by disaster and involved in the processes and reality of local disaster recovery. </w:t>
      </w:r>
    </w:p>
    <w:p w:rsidR="00A56C0A" w:rsidRDefault="00A56C0A" w:rsidP="00A56C0A">
      <w:pPr>
        <w:numPr>
          <w:ilvl w:val="0"/>
          <w:numId w:val="2"/>
        </w:numPr>
        <w:spacing w:after="120" w:line="276" w:lineRule="auto"/>
        <w:ind w:left="714" w:hanging="357"/>
        <w:jc w:val="both"/>
        <w:rPr>
          <w:rFonts w:ascii="Arial" w:eastAsia="Calibri" w:hAnsi="Arial" w:cs="Arial"/>
          <w:lang w:val="en-AU"/>
        </w:rPr>
      </w:pPr>
      <w:r w:rsidRPr="00A56C0A">
        <w:rPr>
          <w:rFonts w:ascii="Arial" w:eastAsia="Calibri" w:hAnsi="Arial" w:cs="Arial"/>
          <w:lang w:val="en-AU"/>
        </w:rPr>
        <w:t>National and state-based appeals to its members to release funds for special need and the alleviation of suffering.</w:t>
      </w:r>
    </w:p>
    <w:p w:rsidR="00A56C0A" w:rsidRPr="00A56C0A" w:rsidRDefault="00A56C0A" w:rsidP="00A56C0A">
      <w:pPr>
        <w:numPr>
          <w:ilvl w:val="0"/>
          <w:numId w:val="2"/>
        </w:numPr>
        <w:spacing w:after="120" w:line="276" w:lineRule="auto"/>
        <w:ind w:left="714" w:hanging="357"/>
        <w:jc w:val="both"/>
        <w:rPr>
          <w:rFonts w:ascii="Arial" w:eastAsia="Calibri" w:hAnsi="Arial" w:cs="Arial"/>
          <w:lang w:val="en-AU"/>
        </w:rPr>
      </w:pPr>
      <w:r w:rsidRPr="00A56C0A">
        <w:rPr>
          <w:rFonts w:ascii="Arial" w:eastAsia="Calibri" w:hAnsi="Arial" w:cs="Arial"/>
          <w:lang w:val="en-AU"/>
        </w:rPr>
        <w:t xml:space="preserve">Bringing assistance via the church’s caring agencies including Wesley Mission, Lifeline and </w:t>
      </w:r>
      <w:proofErr w:type="spellStart"/>
      <w:r w:rsidRPr="00A56C0A">
        <w:rPr>
          <w:rFonts w:ascii="Arial" w:eastAsia="Calibri" w:hAnsi="Arial" w:cs="Arial"/>
          <w:lang w:val="en-AU"/>
        </w:rPr>
        <w:t>UnitingCare</w:t>
      </w:r>
      <w:proofErr w:type="spellEnd"/>
      <w:r w:rsidRPr="00A56C0A">
        <w:rPr>
          <w:rFonts w:ascii="Arial" w:eastAsia="Calibri" w:hAnsi="Arial" w:cs="Arial"/>
          <w:lang w:val="en-AU"/>
        </w:rPr>
        <w:t>.</w:t>
      </w:r>
    </w:p>
    <w:p w:rsidR="00A56C0A" w:rsidRPr="00A56C0A" w:rsidRDefault="00F35DB8" w:rsidP="00A56C0A">
      <w:pPr>
        <w:numPr>
          <w:ilvl w:val="0"/>
          <w:numId w:val="2"/>
        </w:numPr>
        <w:spacing w:after="120" w:line="276" w:lineRule="auto"/>
        <w:ind w:left="714" w:hanging="357"/>
        <w:jc w:val="both"/>
        <w:rPr>
          <w:rFonts w:ascii="Arial" w:eastAsia="Calibri" w:hAnsi="Arial" w:cs="Arial"/>
          <w:lang w:val="en-AU"/>
        </w:rPr>
      </w:pPr>
      <w:r>
        <w:rPr>
          <w:rFonts w:ascii="Arial" w:eastAsia="Calibri" w:hAnsi="Arial" w:cs="Arial"/>
          <w:lang w:val="en-AU"/>
        </w:rPr>
        <w:br w:type="column"/>
      </w:r>
      <w:r w:rsidR="00A56C0A" w:rsidRPr="00A56C0A">
        <w:rPr>
          <w:rFonts w:ascii="Arial" w:eastAsia="Calibri" w:hAnsi="Arial" w:cs="Arial"/>
          <w:lang w:val="en-AU"/>
        </w:rPr>
        <w:lastRenderedPageBreak/>
        <w:t>Particular involvement in state-based disaster welfare arrangements: As a supporting agency in the NSW disaster welfare plan responsible for coordinating ecumenical chaplaincy services for evacuation and recovery centres through the Disaster Recovery Chaplaincy Network (</w:t>
      </w:r>
      <w:proofErr w:type="spellStart"/>
      <w:r w:rsidR="00A56C0A" w:rsidRPr="00A56C0A">
        <w:rPr>
          <w:rFonts w:ascii="Arial" w:eastAsia="Calibri" w:hAnsi="Arial" w:cs="Arial"/>
          <w:lang w:val="en-AU"/>
        </w:rPr>
        <w:t>DRCN</w:t>
      </w:r>
      <w:proofErr w:type="spellEnd"/>
      <w:r w:rsidR="00A56C0A" w:rsidRPr="00A56C0A">
        <w:rPr>
          <w:rFonts w:ascii="Arial" w:eastAsia="Calibri" w:hAnsi="Arial" w:cs="Arial"/>
          <w:lang w:val="en-AU"/>
        </w:rPr>
        <w:t>); and in South Australia as the coordinating agency for ecumenical pastoral support in similar circumstances.</w:t>
      </w:r>
    </w:p>
    <w:p w:rsidR="00A56C0A" w:rsidRPr="00A56C0A" w:rsidRDefault="00A56C0A" w:rsidP="00A56C0A">
      <w:pPr>
        <w:spacing w:after="120" w:line="276" w:lineRule="auto"/>
        <w:ind w:left="714"/>
        <w:jc w:val="both"/>
        <w:rPr>
          <w:rFonts w:ascii="Arial" w:eastAsia="Calibri" w:hAnsi="Arial" w:cs="Arial"/>
          <w:lang w:val="en-AU"/>
        </w:rPr>
      </w:pPr>
    </w:p>
    <w:p w:rsidR="00A56C0A" w:rsidRPr="00A56C0A" w:rsidRDefault="00A56C0A" w:rsidP="00A56C0A">
      <w:pPr>
        <w:spacing w:after="120" w:line="276" w:lineRule="auto"/>
        <w:jc w:val="both"/>
        <w:rPr>
          <w:rFonts w:ascii="Arial" w:eastAsia="Calibri" w:hAnsi="Arial" w:cs="Arial"/>
          <w:lang w:val="en-AU"/>
        </w:rPr>
      </w:pPr>
      <w:r w:rsidRPr="00A56C0A">
        <w:rPr>
          <w:rFonts w:ascii="Arial" w:eastAsia="Calibri" w:hAnsi="Arial" w:cs="Arial"/>
          <w:lang w:val="en-AU"/>
        </w:rPr>
        <w:t>The Uniting Church has committed resources to the employment of a full-time National Disaster Recovery Officer who works with all the above for the best possible outcome. The church has committed itself to supporting the National Council of Churches in Australia (</w:t>
      </w:r>
      <w:proofErr w:type="spellStart"/>
      <w:r w:rsidRPr="00A56C0A">
        <w:rPr>
          <w:rFonts w:ascii="Arial" w:eastAsia="Calibri" w:hAnsi="Arial" w:cs="Arial"/>
          <w:lang w:val="en-AU"/>
        </w:rPr>
        <w:t>NCCA</w:t>
      </w:r>
      <w:proofErr w:type="spellEnd"/>
      <w:r w:rsidRPr="00A56C0A">
        <w:rPr>
          <w:rFonts w:ascii="Arial" w:eastAsia="Calibri" w:hAnsi="Arial" w:cs="Arial"/>
          <w:lang w:val="en-AU"/>
        </w:rPr>
        <w:t>) in setting high national standards in training and practice for chaplaincy, and solid integration with state welfare arrangements.</w:t>
      </w:r>
    </w:p>
    <w:p w:rsidR="00A56C0A" w:rsidRDefault="00A56C0A" w:rsidP="00A56C0A">
      <w:pPr>
        <w:keepNext/>
        <w:numPr>
          <w:ilvl w:val="0"/>
          <w:numId w:val="3"/>
        </w:numPr>
        <w:spacing w:before="240" w:after="120" w:line="276" w:lineRule="auto"/>
        <w:jc w:val="both"/>
        <w:outlineLvl w:val="1"/>
        <w:rPr>
          <w:rFonts w:ascii="Cambria" w:hAnsi="Cambria" w:cs="Arial"/>
          <w:b/>
          <w:bCs/>
          <w:i/>
          <w:iCs/>
          <w:sz w:val="28"/>
          <w:szCs w:val="28"/>
          <w:lang w:val="en-AU"/>
        </w:rPr>
      </w:pPr>
      <w:r w:rsidRPr="00A56C0A">
        <w:rPr>
          <w:rFonts w:ascii="Cambria" w:hAnsi="Cambria" w:cs="Arial"/>
          <w:b/>
          <w:bCs/>
          <w:i/>
          <w:iCs/>
          <w:sz w:val="28"/>
          <w:szCs w:val="28"/>
          <w:lang w:val="en-AU"/>
        </w:rPr>
        <w:t>Background</w:t>
      </w:r>
    </w:p>
    <w:p w:rsidR="00A56C0A" w:rsidRPr="00A56C0A" w:rsidRDefault="00A56C0A" w:rsidP="00A56C0A">
      <w:pPr>
        <w:spacing w:after="120" w:line="276" w:lineRule="auto"/>
        <w:jc w:val="both"/>
        <w:rPr>
          <w:rFonts w:ascii="Arial" w:eastAsia="Calibri" w:hAnsi="Arial" w:cs="Arial"/>
          <w:lang w:val="en-AU"/>
        </w:rPr>
      </w:pPr>
      <w:r w:rsidRPr="00A56C0A">
        <w:rPr>
          <w:rFonts w:ascii="Arial" w:eastAsia="Calibri" w:hAnsi="Arial" w:cs="Arial"/>
          <w:lang w:val="en-AU"/>
        </w:rPr>
        <w:t>The following observations and recommendations in response to the Productivity Commission Issues Paper are aimed, not at macro funding issues but at the ‘on the ground’ realities around policy and funding for non-government not for profits.  These spring largely from the operation of the Disaster Recovery Chaplaincy Network in NSW and observations from ministers and other community leaders in disaster-affected communities.  Some of these recommendations are overarching, others are very particular.</w:t>
      </w:r>
    </w:p>
    <w:p w:rsidR="00A56C0A" w:rsidRPr="00A56C0A" w:rsidRDefault="00A56C0A" w:rsidP="00A56C0A">
      <w:pPr>
        <w:keepNext/>
        <w:numPr>
          <w:ilvl w:val="0"/>
          <w:numId w:val="3"/>
        </w:numPr>
        <w:spacing w:before="240" w:after="120" w:line="276" w:lineRule="auto"/>
        <w:jc w:val="both"/>
        <w:outlineLvl w:val="1"/>
        <w:rPr>
          <w:rFonts w:ascii="Cambria" w:hAnsi="Cambria" w:cs="Arial"/>
          <w:b/>
          <w:bCs/>
          <w:i/>
          <w:iCs/>
          <w:sz w:val="28"/>
          <w:szCs w:val="28"/>
          <w:lang w:val="en-AU"/>
        </w:rPr>
      </w:pPr>
      <w:r w:rsidRPr="00A56C0A">
        <w:rPr>
          <w:rFonts w:ascii="Cambria" w:hAnsi="Cambria" w:cs="Arial"/>
          <w:b/>
          <w:bCs/>
          <w:i/>
          <w:iCs/>
          <w:sz w:val="28"/>
          <w:szCs w:val="28"/>
          <w:lang w:val="en-AU"/>
        </w:rPr>
        <w:t>Recommendations</w:t>
      </w:r>
    </w:p>
    <w:p w:rsidR="00A56C0A" w:rsidRPr="00A56C0A" w:rsidRDefault="00A56C0A" w:rsidP="00A56C0A">
      <w:pPr>
        <w:spacing w:after="120" w:line="276" w:lineRule="auto"/>
        <w:jc w:val="both"/>
        <w:rPr>
          <w:rFonts w:ascii="Arial" w:eastAsia="Calibri" w:hAnsi="Arial" w:cs="Arial"/>
          <w:lang w:val="en-AU"/>
        </w:rPr>
      </w:pPr>
      <w:r w:rsidRPr="00A56C0A">
        <w:rPr>
          <w:rFonts w:ascii="Arial" w:eastAsia="Calibri" w:hAnsi="Arial" w:cs="Arial"/>
          <w:b/>
          <w:lang w:val="en-AU"/>
        </w:rPr>
        <w:t>Recommendation One</w:t>
      </w:r>
      <w:r w:rsidRPr="00A56C0A">
        <w:rPr>
          <w:rFonts w:ascii="Arial" w:eastAsia="Calibri" w:hAnsi="Arial" w:cs="Arial"/>
          <w:lang w:val="en-AU"/>
        </w:rPr>
        <w:t xml:space="preserve"> – Ensuring that all funding allocations place an emphasis on the holistic wellbeing of disaster-affected communities.</w:t>
      </w:r>
    </w:p>
    <w:p w:rsidR="00A56C0A" w:rsidRPr="00A56C0A" w:rsidRDefault="00A56C0A" w:rsidP="00A56C0A">
      <w:pPr>
        <w:spacing w:after="120" w:line="276" w:lineRule="auto"/>
        <w:jc w:val="both"/>
        <w:rPr>
          <w:rFonts w:ascii="Arial" w:eastAsia="Calibri" w:hAnsi="Arial" w:cs="Arial"/>
          <w:lang w:val="en-AU"/>
        </w:rPr>
      </w:pPr>
      <w:r w:rsidRPr="00A56C0A">
        <w:rPr>
          <w:rFonts w:ascii="Arial" w:eastAsia="Calibri" w:hAnsi="Arial" w:cs="Arial"/>
          <w:lang w:val="en-AU"/>
        </w:rPr>
        <w:t>The Productivity Commission’s paper emphasises the scale and costs of disaster recovery which involve billions of dollars and an almost overwhelming level of demand on a limited budget.  As a great deal of energy and thinking, necessarily, goes into assessing needs related to infrastructure and economics, it is easy to overlook the reality that, essentially, disaster recovery is the process of making the lives of individual and their communities as whole and healthy as possible.  Beyond the restoration of infrastructure following disaster, the threads which give people’s life meaning and value are often relational rather than economic.  For many people, a greater recovery ‘value’ is found in good spiritual and psychological health and healthy relationships than in good roads.  In reality, both are important, but the former is less easily quantified and therefore more easily overlooked.</w:t>
      </w:r>
    </w:p>
    <w:p w:rsidR="00A56C0A" w:rsidRPr="00A56C0A" w:rsidRDefault="00F35DB8" w:rsidP="00A56C0A">
      <w:pPr>
        <w:spacing w:after="120" w:line="276" w:lineRule="auto"/>
        <w:jc w:val="both"/>
        <w:rPr>
          <w:rFonts w:ascii="Arial" w:eastAsia="Calibri" w:hAnsi="Arial" w:cs="Arial"/>
          <w:lang w:val="en-AU"/>
        </w:rPr>
      </w:pPr>
      <w:r>
        <w:rPr>
          <w:rFonts w:ascii="Arial" w:eastAsia="Calibri" w:hAnsi="Arial" w:cs="Arial"/>
          <w:lang w:val="en-AU"/>
        </w:rPr>
        <w:br w:type="column"/>
      </w:r>
      <w:r w:rsidR="00A56C0A" w:rsidRPr="00A56C0A">
        <w:rPr>
          <w:rFonts w:ascii="Arial" w:eastAsia="Calibri" w:hAnsi="Arial" w:cs="Arial"/>
          <w:lang w:val="en-AU"/>
        </w:rPr>
        <w:lastRenderedPageBreak/>
        <w:t xml:space="preserve">This type of ‘wellbeing’ can be fostered at comparatively miniscule financial cost by being mindful of personal, interpersonal and communal needs and targeting these through funding local and regional initiatives.  It is here that funding not-for profit volunteer-based organisations and locally-based recovery initiatives represents excellent value.  Often these programs run ‘on a shoe-string’ budget; a factor which adds stress to highly-dedicated staff and volunteers. </w:t>
      </w:r>
    </w:p>
    <w:p w:rsidR="00A56C0A" w:rsidRPr="00A56C0A" w:rsidRDefault="00A56C0A" w:rsidP="00A56C0A">
      <w:pPr>
        <w:spacing w:after="120" w:line="276" w:lineRule="auto"/>
        <w:jc w:val="both"/>
        <w:rPr>
          <w:rFonts w:ascii="Arial" w:eastAsia="Calibri" w:hAnsi="Arial" w:cs="Arial"/>
          <w:lang w:val="en-AU"/>
        </w:rPr>
      </w:pPr>
      <w:r w:rsidRPr="00A56C0A">
        <w:rPr>
          <w:rFonts w:ascii="Arial" w:eastAsia="Calibri" w:hAnsi="Arial" w:cs="Arial"/>
          <w:lang w:val="en-AU"/>
        </w:rPr>
        <w:t>The Uniting Church urges the Commission to ensure that all allocations begin with an overriding consideration of ensuring the personal and social wellbeing of people within disaster-affected areas.</w:t>
      </w:r>
    </w:p>
    <w:p w:rsidR="00A56C0A" w:rsidRPr="00A56C0A" w:rsidRDefault="00A56C0A" w:rsidP="00A56C0A">
      <w:pPr>
        <w:spacing w:after="120" w:line="276" w:lineRule="auto"/>
        <w:jc w:val="both"/>
        <w:rPr>
          <w:rFonts w:ascii="Arial" w:eastAsia="Calibri" w:hAnsi="Arial" w:cs="Arial"/>
          <w:lang w:val="en-AU"/>
        </w:rPr>
      </w:pPr>
    </w:p>
    <w:p w:rsidR="00A56C0A" w:rsidRPr="00A56C0A" w:rsidRDefault="00A56C0A" w:rsidP="00A56C0A">
      <w:pPr>
        <w:spacing w:after="120" w:line="276" w:lineRule="auto"/>
        <w:jc w:val="both"/>
        <w:rPr>
          <w:rFonts w:ascii="Arial" w:eastAsia="Calibri" w:hAnsi="Arial" w:cs="Arial"/>
          <w:lang w:val="en-AU"/>
        </w:rPr>
      </w:pPr>
      <w:r w:rsidRPr="00A56C0A">
        <w:rPr>
          <w:rFonts w:ascii="Arial" w:eastAsia="Calibri" w:hAnsi="Arial" w:cs="Arial"/>
          <w:b/>
          <w:lang w:val="en-AU"/>
        </w:rPr>
        <w:t>Recommendation Two</w:t>
      </w:r>
      <w:r w:rsidRPr="00A56C0A">
        <w:rPr>
          <w:rFonts w:ascii="Arial" w:eastAsia="Calibri" w:hAnsi="Arial" w:cs="Arial"/>
          <w:lang w:val="en-AU"/>
        </w:rPr>
        <w:t xml:space="preserve"> - Continued funding to local social agencies beyond the early stages of recovery. </w:t>
      </w:r>
    </w:p>
    <w:p w:rsidR="00A56C0A" w:rsidRPr="00A56C0A" w:rsidRDefault="00A56C0A" w:rsidP="00A56C0A">
      <w:pPr>
        <w:spacing w:after="120" w:line="276" w:lineRule="auto"/>
        <w:jc w:val="both"/>
        <w:rPr>
          <w:rFonts w:ascii="Arial" w:eastAsia="Calibri" w:hAnsi="Arial" w:cs="Arial"/>
          <w:lang w:val="en-AU"/>
        </w:rPr>
      </w:pPr>
      <w:r w:rsidRPr="00A56C0A">
        <w:rPr>
          <w:rFonts w:ascii="Arial" w:eastAsia="Calibri" w:hAnsi="Arial" w:cs="Arial"/>
          <w:lang w:val="en-AU"/>
        </w:rPr>
        <w:t>When disaster strikes there is often a marked response early on, when the excitement of the event draws media attention, funds are released for the immediate relief of those affected and social and physical infrastructure is noticeably damaged.</w:t>
      </w:r>
    </w:p>
    <w:p w:rsidR="002A3583" w:rsidRDefault="00A56C0A" w:rsidP="00A56C0A">
      <w:pPr>
        <w:spacing w:after="120" w:line="276" w:lineRule="auto"/>
        <w:jc w:val="both"/>
        <w:rPr>
          <w:rFonts w:ascii="Arial" w:eastAsia="Calibri" w:hAnsi="Arial" w:cs="Arial"/>
          <w:lang w:val="en-AU"/>
        </w:rPr>
      </w:pPr>
      <w:r w:rsidRPr="00A56C0A">
        <w:rPr>
          <w:rFonts w:ascii="Arial" w:eastAsia="Calibri" w:hAnsi="Arial" w:cs="Arial"/>
          <w:lang w:val="en-AU"/>
        </w:rPr>
        <w:t>As vital as this response is, there is usually a second wave of need which becomes present around the three-week to three month mark after a disaster event and may extend beyond a year.  This is the period commonly described as the “disillusionment phase” in disaster recovery.</w:t>
      </w:r>
      <w:r w:rsidRPr="00A56C0A">
        <w:rPr>
          <w:rFonts w:ascii="Arial" w:eastAsia="Calibri" w:hAnsi="Arial" w:cs="Arial"/>
          <w:vertAlign w:val="superscript"/>
          <w:lang w:val="en-AU"/>
        </w:rPr>
        <w:footnoteReference w:id="1"/>
      </w:r>
      <w:r w:rsidRPr="00A56C0A">
        <w:rPr>
          <w:rFonts w:ascii="Arial" w:eastAsia="Calibri" w:hAnsi="Arial" w:cs="Arial"/>
          <w:lang w:val="en-AU"/>
        </w:rPr>
        <w:t xml:space="preserve">  It is at this time the reality of </w:t>
      </w:r>
    </w:p>
    <w:p w:rsidR="002A3583" w:rsidRDefault="002A3583" w:rsidP="00A56C0A">
      <w:pPr>
        <w:spacing w:after="120" w:line="276" w:lineRule="auto"/>
        <w:jc w:val="both"/>
        <w:rPr>
          <w:rFonts w:ascii="Arial" w:eastAsia="Calibri" w:hAnsi="Arial" w:cs="Arial"/>
          <w:lang w:val="en-AU"/>
        </w:rPr>
      </w:pPr>
    </w:p>
    <w:p w:rsidR="00A56C0A" w:rsidRDefault="00A56C0A" w:rsidP="00A56C0A">
      <w:pPr>
        <w:spacing w:after="120" w:line="276" w:lineRule="auto"/>
        <w:jc w:val="both"/>
        <w:rPr>
          <w:rFonts w:ascii="Arial" w:eastAsia="Calibri" w:hAnsi="Arial" w:cs="Arial"/>
          <w:lang w:val="en-AU"/>
        </w:rPr>
      </w:pPr>
      <w:r w:rsidRPr="00A56C0A">
        <w:rPr>
          <w:rFonts w:ascii="Arial" w:eastAsia="Calibri" w:hAnsi="Arial" w:cs="Arial"/>
          <w:lang w:val="en-AU"/>
        </w:rPr>
        <w:t xml:space="preserve">need (including failed insurance, need to consider relocation, loss of lifestyle or neighbours) hits home.  This also coincides with short term assistance winding </w:t>
      </w:r>
    </w:p>
    <w:p w:rsidR="00A56C0A" w:rsidRDefault="00A56C0A" w:rsidP="00A56C0A">
      <w:pPr>
        <w:spacing w:after="120" w:line="276" w:lineRule="auto"/>
        <w:jc w:val="both"/>
        <w:rPr>
          <w:rFonts w:ascii="Arial" w:eastAsia="Calibri" w:hAnsi="Arial" w:cs="Arial"/>
          <w:lang w:val="en-AU"/>
        </w:rPr>
      </w:pPr>
    </w:p>
    <w:p w:rsidR="00A56C0A" w:rsidRPr="00A56C0A" w:rsidRDefault="00A56C0A" w:rsidP="00A56C0A">
      <w:pPr>
        <w:spacing w:after="120" w:line="276" w:lineRule="auto"/>
        <w:jc w:val="both"/>
        <w:rPr>
          <w:rFonts w:ascii="Arial" w:eastAsia="Calibri" w:hAnsi="Arial" w:cs="Arial"/>
          <w:lang w:val="en-AU"/>
        </w:rPr>
      </w:pPr>
      <w:r w:rsidRPr="00A56C0A">
        <w:rPr>
          <w:rFonts w:ascii="Arial" w:eastAsia="Calibri" w:hAnsi="Arial" w:cs="Arial"/>
          <w:lang w:val="en-AU"/>
        </w:rPr>
        <w:t>up and funding of special programs ceasing.  It also coincides with a level of compassion fatigue emerging amongst volunteers who find it too difficult to continue to assist.</w:t>
      </w:r>
    </w:p>
    <w:p w:rsidR="00A56C0A" w:rsidRPr="00A56C0A" w:rsidRDefault="00A56C0A" w:rsidP="00A56C0A">
      <w:pPr>
        <w:spacing w:after="120" w:line="276" w:lineRule="auto"/>
        <w:jc w:val="both"/>
        <w:rPr>
          <w:rFonts w:ascii="Arial" w:eastAsia="Calibri" w:hAnsi="Arial" w:cs="Arial"/>
          <w:lang w:val="en-AU"/>
        </w:rPr>
      </w:pPr>
      <w:r w:rsidRPr="00A56C0A">
        <w:rPr>
          <w:rFonts w:ascii="Arial" w:eastAsia="Calibri" w:hAnsi="Arial" w:cs="Arial"/>
          <w:lang w:val="en-AU"/>
        </w:rPr>
        <w:t>It is at this stage that funding for programs such as personal support, community activities, professional counselling and group help is particularly important as communities and individuals move towards the ‘recovery’ phase.</w:t>
      </w:r>
      <w:r w:rsidRPr="00A56C0A">
        <w:rPr>
          <w:rFonts w:ascii="Arial" w:eastAsia="Calibri" w:hAnsi="Arial" w:cs="Arial"/>
          <w:vertAlign w:val="superscript"/>
          <w:lang w:val="en-AU"/>
        </w:rPr>
        <w:footnoteReference w:id="2"/>
      </w:r>
    </w:p>
    <w:p w:rsidR="00A56C0A" w:rsidRPr="00A56C0A" w:rsidRDefault="00A56C0A" w:rsidP="00A56C0A">
      <w:pPr>
        <w:spacing w:after="120" w:line="276" w:lineRule="auto"/>
        <w:jc w:val="both"/>
        <w:rPr>
          <w:rFonts w:ascii="Arial" w:eastAsia="Calibri" w:hAnsi="Arial" w:cs="Arial"/>
          <w:lang w:val="en-AU"/>
        </w:rPr>
      </w:pPr>
    </w:p>
    <w:p w:rsidR="00A56C0A" w:rsidRPr="00A56C0A" w:rsidRDefault="00A56C0A" w:rsidP="00F35DB8">
      <w:pPr>
        <w:spacing w:after="120" w:line="276" w:lineRule="auto"/>
        <w:rPr>
          <w:rFonts w:ascii="Arial" w:eastAsia="Calibri" w:hAnsi="Arial" w:cs="Arial"/>
          <w:b/>
          <w:lang w:val="en-AU"/>
        </w:rPr>
      </w:pPr>
      <w:r w:rsidRPr="00A56C0A">
        <w:rPr>
          <w:rFonts w:ascii="Arial" w:eastAsia="Calibri" w:hAnsi="Arial" w:cs="Arial"/>
          <w:b/>
          <w:lang w:val="en-AU"/>
        </w:rPr>
        <w:t>Further Recommendations in relation to funding of non-government agencies.</w:t>
      </w:r>
    </w:p>
    <w:p w:rsidR="002A3583" w:rsidRPr="00A56C0A" w:rsidRDefault="00A56C0A" w:rsidP="00A56C0A">
      <w:pPr>
        <w:spacing w:after="120" w:line="276" w:lineRule="auto"/>
        <w:jc w:val="both"/>
        <w:rPr>
          <w:rFonts w:ascii="Arial" w:eastAsia="Calibri" w:hAnsi="Arial" w:cs="Arial"/>
          <w:lang w:val="en-AU"/>
        </w:rPr>
      </w:pPr>
      <w:r w:rsidRPr="00A56C0A">
        <w:rPr>
          <w:rFonts w:ascii="Arial" w:eastAsia="Calibri" w:hAnsi="Arial" w:cs="Arial"/>
          <w:lang w:val="en-AU"/>
        </w:rPr>
        <w:t xml:space="preserve">Disaster welfare in Australia has evolved over many years to incorporate a number of non-government, not-for-profit organisations providing tens of thousands of volunteers.  This is a rich resource which needs to be both valued and fostered, and saves the government many millions of dollars in expenditure.  The provision of funds to these organisations for training and equipment is an important </w:t>
      </w:r>
      <w:proofErr w:type="spellStart"/>
      <w:r w:rsidRPr="00A56C0A">
        <w:rPr>
          <w:rFonts w:ascii="Arial" w:eastAsia="Calibri" w:hAnsi="Arial" w:cs="Arial"/>
          <w:lang w:val="en-AU"/>
        </w:rPr>
        <w:t>acknowledgement</w:t>
      </w:r>
      <w:proofErr w:type="spellEnd"/>
      <w:r w:rsidRPr="00A56C0A">
        <w:rPr>
          <w:rFonts w:ascii="Arial" w:eastAsia="Calibri" w:hAnsi="Arial" w:cs="Arial"/>
          <w:lang w:val="en-AU"/>
        </w:rPr>
        <w:t xml:space="preserve"> of their importance and a very cost-effective use of money in disaster recovery. The following are recommendations in regards to the funding of these organisations:</w:t>
      </w:r>
    </w:p>
    <w:p w:rsidR="00A56C0A" w:rsidRPr="002A3583" w:rsidRDefault="00A56C0A" w:rsidP="002A3583">
      <w:pPr>
        <w:keepNext/>
        <w:numPr>
          <w:ilvl w:val="0"/>
          <w:numId w:val="1"/>
        </w:numPr>
        <w:spacing w:before="240" w:after="120" w:line="276" w:lineRule="auto"/>
        <w:jc w:val="both"/>
        <w:outlineLvl w:val="2"/>
        <w:rPr>
          <w:rFonts w:ascii="Cambria" w:hAnsi="Cambria" w:cs="Arial"/>
          <w:b/>
          <w:bCs/>
          <w:sz w:val="26"/>
          <w:szCs w:val="26"/>
          <w:lang w:val="en-AU"/>
        </w:rPr>
      </w:pPr>
      <w:r w:rsidRPr="002A3583">
        <w:rPr>
          <w:rFonts w:ascii="Cambria" w:hAnsi="Cambria" w:cs="Arial"/>
          <w:b/>
          <w:bCs/>
          <w:sz w:val="26"/>
          <w:szCs w:val="26"/>
          <w:lang w:val="en-AU"/>
        </w:rPr>
        <w:t>Funding integrated volunteer agencies</w:t>
      </w:r>
    </w:p>
    <w:p w:rsidR="00A56C0A" w:rsidRDefault="00A56C0A" w:rsidP="00A56C0A">
      <w:pPr>
        <w:spacing w:after="120" w:line="276" w:lineRule="auto"/>
        <w:ind w:left="720"/>
        <w:jc w:val="both"/>
        <w:rPr>
          <w:rFonts w:ascii="Arial" w:eastAsia="Calibri" w:hAnsi="Arial" w:cs="Arial"/>
          <w:lang w:val="en-AU"/>
        </w:rPr>
      </w:pPr>
      <w:r w:rsidRPr="00A56C0A">
        <w:rPr>
          <w:rFonts w:ascii="Arial" w:eastAsia="Calibri" w:hAnsi="Arial" w:cs="Arial"/>
          <w:lang w:val="en-AU"/>
        </w:rPr>
        <w:t xml:space="preserve">The disaster welfare space is attractive to many new organisations which have varied value and could, potentially, represent a growing demand for grants and funds from a limited pool of funding.  Funding priorities should be given to groups who are formally integrated in welfare arrangements or </w:t>
      </w:r>
    </w:p>
    <w:p w:rsidR="00A56C0A" w:rsidRDefault="00A56C0A" w:rsidP="00A56C0A">
      <w:pPr>
        <w:spacing w:after="120" w:line="276" w:lineRule="auto"/>
        <w:ind w:left="720"/>
        <w:jc w:val="both"/>
        <w:rPr>
          <w:rFonts w:ascii="Arial" w:eastAsia="Calibri" w:hAnsi="Arial" w:cs="Arial"/>
          <w:lang w:val="en-AU"/>
        </w:rPr>
      </w:pPr>
    </w:p>
    <w:p w:rsidR="00A56C0A" w:rsidRPr="00A56C0A" w:rsidRDefault="00A56C0A" w:rsidP="00A56C0A">
      <w:pPr>
        <w:spacing w:after="120" w:line="276" w:lineRule="auto"/>
        <w:ind w:left="720"/>
        <w:jc w:val="both"/>
        <w:rPr>
          <w:rFonts w:ascii="Arial" w:eastAsia="Calibri" w:hAnsi="Arial" w:cs="Arial"/>
          <w:lang w:val="en-AU"/>
        </w:rPr>
      </w:pPr>
      <w:r w:rsidRPr="00A56C0A">
        <w:rPr>
          <w:rFonts w:ascii="Arial" w:eastAsia="Calibri" w:hAnsi="Arial" w:cs="Arial"/>
          <w:lang w:val="en-AU"/>
        </w:rPr>
        <w:t>can demonstrate how they fit, not just in terms of the functions of disaster welfare response, but in the longer term recovery process.</w:t>
      </w:r>
    </w:p>
    <w:p w:rsidR="00A56C0A" w:rsidRPr="00A56C0A" w:rsidRDefault="00A56C0A" w:rsidP="00A56C0A">
      <w:pPr>
        <w:spacing w:after="120" w:line="276" w:lineRule="auto"/>
        <w:ind w:left="720"/>
        <w:jc w:val="both"/>
        <w:rPr>
          <w:rFonts w:ascii="Arial" w:eastAsia="Calibri" w:hAnsi="Arial" w:cs="Arial"/>
          <w:lang w:val="en-AU"/>
        </w:rPr>
      </w:pPr>
      <w:r w:rsidRPr="00A56C0A">
        <w:rPr>
          <w:rFonts w:ascii="Arial" w:eastAsia="Calibri" w:hAnsi="Arial" w:cs="Arial"/>
          <w:lang w:val="en-AU"/>
        </w:rPr>
        <w:t>This is already acknowledged in the structure of some government grant applications, and should be continued.</w:t>
      </w:r>
    </w:p>
    <w:p w:rsidR="00A56C0A" w:rsidRPr="00A56C0A" w:rsidRDefault="00A56C0A" w:rsidP="00A56C0A">
      <w:pPr>
        <w:keepNext/>
        <w:numPr>
          <w:ilvl w:val="0"/>
          <w:numId w:val="1"/>
        </w:numPr>
        <w:spacing w:before="240" w:after="120" w:line="276" w:lineRule="auto"/>
        <w:jc w:val="both"/>
        <w:outlineLvl w:val="2"/>
        <w:rPr>
          <w:rFonts w:ascii="Cambria" w:hAnsi="Cambria" w:cs="Arial"/>
          <w:b/>
          <w:bCs/>
          <w:sz w:val="26"/>
          <w:szCs w:val="26"/>
          <w:lang w:val="en-AU"/>
        </w:rPr>
      </w:pPr>
      <w:r w:rsidRPr="00A56C0A">
        <w:rPr>
          <w:rFonts w:ascii="Cambria" w:hAnsi="Cambria" w:cs="Arial"/>
          <w:b/>
          <w:bCs/>
          <w:sz w:val="26"/>
          <w:szCs w:val="26"/>
          <w:lang w:val="en-AU"/>
        </w:rPr>
        <w:t>Continued emphasis on funding research and training</w:t>
      </w:r>
    </w:p>
    <w:p w:rsidR="00A56C0A" w:rsidRPr="00A56C0A" w:rsidRDefault="00A56C0A" w:rsidP="00A56C0A">
      <w:pPr>
        <w:spacing w:after="120" w:line="276" w:lineRule="auto"/>
        <w:jc w:val="both"/>
        <w:rPr>
          <w:rFonts w:ascii="Arial" w:eastAsia="Calibri" w:hAnsi="Arial" w:cs="Arial"/>
          <w:lang w:val="en-AU"/>
        </w:rPr>
      </w:pPr>
      <w:r w:rsidRPr="00A56C0A">
        <w:rPr>
          <w:rFonts w:ascii="Arial" w:eastAsia="Calibri" w:hAnsi="Arial" w:cs="Arial"/>
          <w:lang w:val="en-AU"/>
        </w:rPr>
        <w:t>Recent grant programs such as the Community Resilience Innovation Program (CRIP) which seek to understand and improve community resilience have already proven valuable.  Research projects funded under such schemes are particularly helpful in that they inform, and give added value to, practical projects that flow into the future.</w:t>
      </w:r>
    </w:p>
    <w:p w:rsidR="00A56C0A" w:rsidRPr="00A56C0A" w:rsidRDefault="00A56C0A" w:rsidP="00F35DB8">
      <w:pPr>
        <w:spacing w:after="120" w:line="276" w:lineRule="auto"/>
        <w:jc w:val="both"/>
        <w:rPr>
          <w:rFonts w:ascii="Arial" w:eastAsia="Calibri" w:hAnsi="Arial" w:cs="Arial"/>
          <w:lang w:val="en-AU"/>
        </w:rPr>
      </w:pPr>
      <w:r w:rsidRPr="00A56C0A">
        <w:rPr>
          <w:rFonts w:ascii="Arial" w:eastAsia="Calibri" w:hAnsi="Arial" w:cs="Arial"/>
          <w:lang w:val="en-AU"/>
        </w:rPr>
        <w:t xml:space="preserve">Funding grants which support the training of volunteers are a very cost-effective means of harnessing and improving the work of agencies which contribute to </w:t>
      </w:r>
      <w:r w:rsidRPr="00A56C0A">
        <w:rPr>
          <w:rFonts w:ascii="Arial" w:eastAsia="Calibri" w:hAnsi="Arial" w:cs="Arial"/>
          <w:lang w:val="en-AU"/>
        </w:rPr>
        <w:lastRenderedPageBreak/>
        <w:t xml:space="preserve">disaster recovery.  Further to this, many agencies have a number of other demands and constraints on their finances, and cannot maintain a viable presence without these funds. It is important to sustain and, if possible, increase the size and availability of these funds through initiatives such as the Emergency Volunteer Support Scheme. </w:t>
      </w:r>
    </w:p>
    <w:p w:rsidR="00A56C0A" w:rsidRPr="00A56C0A" w:rsidRDefault="00A56C0A" w:rsidP="00A56C0A">
      <w:pPr>
        <w:keepNext/>
        <w:numPr>
          <w:ilvl w:val="0"/>
          <w:numId w:val="1"/>
        </w:numPr>
        <w:spacing w:before="240" w:after="120" w:line="276" w:lineRule="auto"/>
        <w:jc w:val="both"/>
        <w:outlineLvl w:val="2"/>
        <w:rPr>
          <w:rFonts w:ascii="Cambria" w:hAnsi="Cambria" w:cs="Arial"/>
          <w:b/>
          <w:bCs/>
          <w:sz w:val="26"/>
          <w:szCs w:val="26"/>
          <w:lang w:val="en-AU"/>
        </w:rPr>
      </w:pPr>
      <w:r w:rsidRPr="00A56C0A">
        <w:rPr>
          <w:rFonts w:ascii="Cambria" w:hAnsi="Cambria" w:cs="Arial"/>
          <w:b/>
          <w:bCs/>
          <w:sz w:val="26"/>
          <w:szCs w:val="26"/>
          <w:lang w:val="en-AU"/>
        </w:rPr>
        <w:t>Funding Practical needs of volunteer agencies</w:t>
      </w:r>
    </w:p>
    <w:p w:rsidR="00A56C0A" w:rsidRPr="00A56C0A" w:rsidRDefault="00A56C0A" w:rsidP="00A56C0A">
      <w:pPr>
        <w:spacing w:after="120" w:line="276" w:lineRule="auto"/>
        <w:jc w:val="both"/>
        <w:rPr>
          <w:rFonts w:ascii="Arial" w:eastAsia="Calibri" w:hAnsi="Arial" w:cs="Arial"/>
          <w:lang w:val="en-AU"/>
        </w:rPr>
      </w:pPr>
      <w:r w:rsidRPr="00A56C0A">
        <w:rPr>
          <w:rFonts w:ascii="Arial" w:eastAsia="Calibri" w:hAnsi="Arial" w:cs="Arial"/>
          <w:lang w:val="en-AU"/>
        </w:rPr>
        <w:t xml:space="preserve">Despite the value of these programs, one of the limitations is their lack of breadth in relation to the needs of the agencies involved.  Grants should be based on the underlying question, “What does this organisation need to be equipped to do its role in disaster recovery?” This may cover a range of things. </w:t>
      </w:r>
    </w:p>
    <w:p w:rsidR="00A56C0A" w:rsidRPr="00A56C0A" w:rsidRDefault="00A56C0A" w:rsidP="00A56C0A">
      <w:pPr>
        <w:spacing w:after="120" w:line="276" w:lineRule="auto"/>
        <w:jc w:val="both"/>
        <w:rPr>
          <w:rFonts w:ascii="Arial" w:eastAsia="Calibri" w:hAnsi="Arial" w:cs="Arial"/>
          <w:lang w:val="en-AU"/>
        </w:rPr>
      </w:pPr>
      <w:r w:rsidRPr="00A56C0A">
        <w:rPr>
          <w:rFonts w:ascii="Arial" w:eastAsia="Calibri" w:hAnsi="Arial" w:cs="Arial"/>
          <w:lang w:val="en-AU"/>
        </w:rPr>
        <w:t xml:space="preserve">For example:  A grant to an agency such as </w:t>
      </w:r>
      <w:proofErr w:type="spellStart"/>
      <w:r w:rsidRPr="00A56C0A">
        <w:rPr>
          <w:rFonts w:ascii="Arial" w:eastAsia="Calibri" w:hAnsi="Arial" w:cs="Arial"/>
          <w:lang w:val="en-AU"/>
        </w:rPr>
        <w:t>Anglicare</w:t>
      </w:r>
      <w:proofErr w:type="spellEnd"/>
      <w:r w:rsidRPr="00A56C0A">
        <w:rPr>
          <w:rFonts w:ascii="Arial" w:eastAsia="Calibri" w:hAnsi="Arial" w:cs="Arial"/>
          <w:lang w:val="en-AU"/>
        </w:rPr>
        <w:t xml:space="preserve"> or the Uniting Church to train volunteers may be necessary - even essential for their work, but if the grant specifies </w:t>
      </w:r>
      <w:r w:rsidRPr="00A56C0A">
        <w:rPr>
          <w:rFonts w:ascii="Arial" w:eastAsia="Calibri" w:hAnsi="Arial" w:cs="Arial"/>
          <w:i/>
          <w:lang w:val="en-AU"/>
        </w:rPr>
        <w:t>only</w:t>
      </w:r>
      <w:r w:rsidRPr="00A56C0A">
        <w:rPr>
          <w:rFonts w:ascii="Arial" w:eastAsia="Calibri" w:hAnsi="Arial" w:cs="Arial"/>
          <w:lang w:val="en-AU"/>
        </w:rPr>
        <w:t xml:space="preserve"> training it may fall short of having those volunteers actually being able to work in evacuation or recovery centres.  Last year </w:t>
      </w:r>
      <w:proofErr w:type="spellStart"/>
      <w:r w:rsidRPr="00A56C0A">
        <w:rPr>
          <w:rFonts w:ascii="Arial" w:eastAsia="Calibri" w:hAnsi="Arial" w:cs="Arial"/>
          <w:lang w:val="en-AU"/>
        </w:rPr>
        <w:t>DRCN</w:t>
      </w:r>
      <w:proofErr w:type="spellEnd"/>
      <w:r w:rsidRPr="00A56C0A">
        <w:rPr>
          <w:rFonts w:ascii="Arial" w:eastAsia="Calibri" w:hAnsi="Arial" w:cs="Arial"/>
          <w:lang w:val="en-AU"/>
        </w:rPr>
        <w:t xml:space="preserve"> chaplains were trained under an </w:t>
      </w:r>
      <w:proofErr w:type="spellStart"/>
      <w:r w:rsidRPr="00A56C0A">
        <w:rPr>
          <w:rFonts w:ascii="Arial" w:eastAsia="Calibri" w:hAnsi="Arial" w:cs="Arial"/>
          <w:lang w:val="en-AU"/>
        </w:rPr>
        <w:t>EVSS</w:t>
      </w:r>
      <w:proofErr w:type="spellEnd"/>
      <w:r w:rsidRPr="00A56C0A">
        <w:rPr>
          <w:rFonts w:ascii="Arial" w:eastAsia="Calibri" w:hAnsi="Arial" w:cs="Arial"/>
          <w:lang w:val="en-AU"/>
        </w:rPr>
        <w:t xml:space="preserve"> grant, but there was a three month lag in readying them to be ready to do the work through the provision of tabards until funds for this were found.  This was due to the lack of provision of a ‘small’ amount of $1200. The current practice of breaking grants into areas of ‘training’, ‘equipment’ and ‘research’ is unhelpful in the practical readying of volunteers to do their job.</w:t>
      </w:r>
    </w:p>
    <w:p w:rsidR="00A56C0A" w:rsidRDefault="00A56C0A" w:rsidP="00A56C0A">
      <w:pPr>
        <w:keepNext/>
        <w:spacing w:before="240" w:after="120" w:line="276" w:lineRule="auto"/>
        <w:ind w:left="720"/>
        <w:jc w:val="both"/>
        <w:outlineLvl w:val="2"/>
        <w:rPr>
          <w:rFonts w:ascii="Cambria" w:hAnsi="Cambria" w:cs="Arial"/>
          <w:b/>
          <w:bCs/>
          <w:sz w:val="26"/>
          <w:szCs w:val="26"/>
          <w:lang w:val="en-AU"/>
        </w:rPr>
      </w:pPr>
    </w:p>
    <w:p w:rsidR="00A56C0A" w:rsidRPr="00A56C0A" w:rsidRDefault="00A56C0A" w:rsidP="00F02295">
      <w:pPr>
        <w:keepNext/>
        <w:numPr>
          <w:ilvl w:val="0"/>
          <w:numId w:val="1"/>
        </w:numPr>
        <w:spacing w:before="240" w:after="120" w:line="276" w:lineRule="auto"/>
        <w:outlineLvl w:val="2"/>
        <w:rPr>
          <w:rFonts w:ascii="Cambria" w:hAnsi="Cambria" w:cs="Arial"/>
          <w:b/>
          <w:bCs/>
          <w:sz w:val="26"/>
          <w:szCs w:val="26"/>
          <w:lang w:val="en-AU"/>
        </w:rPr>
      </w:pPr>
      <w:r w:rsidRPr="00A56C0A">
        <w:rPr>
          <w:rFonts w:ascii="Cambria" w:hAnsi="Cambria" w:cs="Arial"/>
          <w:b/>
          <w:bCs/>
          <w:sz w:val="26"/>
          <w:szCs w:val="26"/>
          <w:lang w:val="en-AU"/>
        </w:rPr>
        <w:t>Allowing for extra funds for regional and country-based volunteers</w:t>
      </w:r>
    </w:p>
    <w:p w:rsidR="00A56C0A" w:rsidRPr="00A56C0A" w:rsidRDefault="00A56C0A" w:rsidP="00A56C0A">
      <w:pPr>
        <w:spacing w:after="120" w:line="276" w:lineRule="auto"/>
        <w:jc w:val="both"/>
        <w:rPr>
          <w:rFonts w:ascii="Arial" w:eastAsia="Calibri" w:hAnsi="Arial" w:cs="Arial"/>
          <w:lang w:val="en-AU"/>
        </w:rPr>
      </w:pPr>
      <w:r w:rsidRPr="00A56C0A">
        <w:rPr>
          <w:rFonts w:ascii="Arial" w:eastAsia="Calibri" w:hAnsi="Arial" w:cs="Arial"/>
          <w:lang w:val="en-AU"/>
        </w:rPr>
        <w:t xml:space="preserve">Funding needs to account for the realities of people travelling large distances.  This is not just in disaster response (which does account for this under emergency funding arrangements) but travel to regional or district welfare area meetings – which may mean </w:t>
      </w:r>
      <w:proofErr w:type="spellStart"/>
      <w:r w:rsidRPr="00A56C0A">
        <w:rPr>
          <w:rFonts w:ascii="Arial" w:eastAsia="Calibri" w:hAnsi="Arial" w:cs="Arial"/>
          <w:lang w:val="en-AU"/>
        </w:rPr>
        <w:t>200km</w:t>
      </w:r>
      <w:proofErr w:type="spellEnd"/>
      <w:r w:rsidRPr="00A56C0A">
        <w:rPr>
          <w:rFonts w:ascii="Arial" w:eastAsia="Calibri" w:hAnsi="Arial" w:cs="Arial"/>
          <w:lang w:val="en-AU"/>
        </w:rPr>
        <w:t xml:space="preserve"> each way for some volunteers.  There is a cost associated with well-integrated disaster response which should be accounted for, and which volunteer agencies struggle to meet.</w:t>
      </w:r>
    </w:p>
    <w:p w:rsidR="00A56C0A" w:rsidRPr="00A56C0A" w:rsidRDefault="00A56C0A" w:rsidP="00A56C0A">
      <w:pPr>
        <w:spacing w:after="120" w:line="276" w:lineRule="auto"/>
        <w:ind w:left="720"/>
        <w:jc w:val="both"/>
        <w:rPr>
          <w:rFonts w:ascii="Arial" w:eastAsia="Calibri" w:hAnsi="Arial" w:cs="Arial"/>
          <w:lang w:val="en-AU"/>
        </w:rPr>
      </w:pPr>
    </w:p>
    <w:p w:rsidR="00A56C0A" w:rsidRPr="00A56C0A" w:rsidRDefault="00F35DB8" w:rsidP="00A56C0A">
      <w:pPr>
        <w:keepNext/>
        <w:numPr>
          <w:ilvl w:val="0"/>
          <w:numId w:val="1"/>
        </w:numPr>
        <w:spacing w:before="240" w:after="120" w:line="276" w:lineRule="auto"/>
        <w:jc w:val="both"/>
        <w:outlineLvl w:val="2"/>
        <w:rPr>
          <w:rFonts w:ascii="Cambria" w:hAnsi="Cambria" w:cs="Arial"/>
          <w:b/>
          <w:bCs/>
          <w:sz w:val="26"/>
          <w:szCs w:val="26"/>
          <w:lang w:val="en-AU"/>
        </w:rPr>
      </w:pPr>
      <w:r>
        <w:rPr>
          <w:rFonts w:ascii="Cambria" w:hAnsi="Cambria" w:cs="Arial"/>
          <w:b/>
          <w:bCs/>
          <w:sz w:val="26"/>
          <w:szCs w:val="26"/>
          <w:lang w:val="en-AU"/>
        </w:rPr>
        <w:br w:type="column"/>
      </w:r>
      <w:r w:rsidR="00A56C0A" w:rsidRPr="00A56C0A">
        <w:rPr>
          <w:rFonts w:ascii="Cambria" w:hAnsi="Cambria" w:cs="Arial"/>
          <w:b/>
          <w:bCs/>
          <w:sz w:val="26"/>
          <w:szCs w:val="26"/>
          <w:lang w:val="en-AU"/>
        </w:rPr>
        <w:lastRenderedPageBreak/>
        <w:t>More predictable timetables for grants</w:t>
      </w:r>
    </w:p>
    <w:p w:rsidR="00A56C0A" w:rsidRPr="00A56C0A" w:rsidRDefault="00A56C0A" w:rsidP="00F02295">
      <w:pPr>
        <w:spacing w:after="120" w:line="276" w:lineRule="auto"/>
        <w:jc w:val="both"/>
        <w:rPr>
          <w:rFonts w:ascii="Arial" w:eastAsia="Calibri" w:hAnsi="Arial" w:cs="Arial"/>
          <w:lang w:val="en-AU"/>
        </w:rPr>
      </w:pPr>
      <w:r w:rsidRPr="00A56C0A">
        <w:rPr>
          <w:rFonts w:ascii="Arial" w:eastAsia="Calibri" w:hAnsi="Arial" w:cs="Arial"/>
          <w:lang w:val="en-AU"/>
        </w:rPr>
        <w:t>Recognising the how vital funding from grants are to volunteer organisations, it is important that they are ‘predictable’ in terms of timing.  There have been problems in relation to the allocation of joint federal / state grants in recent years which have put real stress on organisations and state department due to bureaucratic delays.</w:t>
      </w:r>
    </w:p>
    <w:p w:rsidR="00A56C0A" w:rsidRPr="00A56C0A" w:rsidRDefault="00A56C0A" w:rsidP="00F02295">
      <w:pPr>
        <w:spacing w:after="120" w:line="276" w:lineRule="auto"/>
        <w:jc w:val="both"/>
        <w:rPr>
          <w:rFonts w:ascii="Arial" w:eastAsia="Calibri" w:hAnsi="Arial" w:cs="Arial"/>
          <w:lang w:val="en-AU"/>
        </w:rPr>
      </w:pPr>
      <w:r w:rsidRPr="00A56C0A">
        <w:rPr>
          <w:rFonts w:ascii="Arial" w:eastAsia="Calibri" w:hAnsi="Arial" w:cs="Arial"/>
          <w:lang w:val="en-AU"/>
        </w:rPr>
        <w:t xml:space="preserve">An example of this is pending round of applications for State/Federal </w:t>
      </w:r>
      <w:proofErr w:type="spellStart"/>
      <w:r w:rsidRPr="00A56C0A">
        <w:rPr>
          <w:rFonts w:ascii="Arial" w:eastAsia="Calibri" w:hAnsi="Arial" w:cs="Arial"/>
          <w:lang w:val="en-AU"/>
        </w:rPr>
        <w:t>EVSS</w:t>
      </w:r>
      <w:proofErr w:type="spellEnd"/>
      <w:r w:rsidRPr="00A56C0A">
        <w:rPr>
          <w:rFonts w:ascii="Arial" w:eastAsia="Calibri" w:hAnsi="Arial" w:cs="Arial"/>
          <w:lang w:val="en-AU"/>
        </w:rPr>
        <w:t xml:space="preserve"> grants.  Applications for funding made in 2013 were supposed to receive a response by January or February 2014.  Due to bureaucratic problems with state and federal departmental agreements, the success or otherwise of these grants have still not been released (as at June 2014).  As a result, some agencies such as the </w:t>
      </w:r>
      <w:proofErr w:type="spellStart"/>
      <w:r w:rsidRPr="00A56C0A">
        <w:rPr>
          <w:rFonts w:ascii="Arial" w:eastAsia="Calibri" w:hAnsi="Arial" w:cs="Arial"/>
          <w:lang w:val="en-AU"/>
        </w:rPr>
        <w:t>DRCN</w:t>
      </w:r>
      <w:proofErr w:type="spellEnd"/>
      <w:r w:rsidRPr="00A56C0A">
        <w:rPr>
          <w:rFonts w:ascii="Arial" w:eastAsia="Calibri" w:hAnsi="Arial" w:cs="Arial"/>
          <w:lang w:val="en-AU"/>
        </w:rPr>
        <w:t xml:space="preserve">, have had to hold off their training programs until further notice.  Some agencies have staff levels being dependent on funding through means such as these.  </w:t>
      </w:r>
    </w:p>
    <w:p w:rsidR="00A56C0A" w:rsidRPr="00A56C0A" w:rsidRDefault="00A56C0A" w:rsidP="00F02295">
      <w:pPr>
        <w:spacing w:after="120" w:line="276" w:lineRule="auto"/>
        <w:jc w:val="both"/>
        <w:rPr>
          <w:rFonts w:ascii="Arial" w:eastAsia="Calibri" w:hAnsi="Arial" w:cs="Arial"/>
          <w:lang w:val="en-AU"/>
        </w:rPr>
      </w:pPr>
      <w:r w:rsidRPr="00A56C0A">
        <w:rPr>
          <w:rFonts w:ascii="Arial" w:eastAsia="Calibri" w:hAnsi="Arial" w:cs="Arial"/>
          <w:lang w:val="en-AU"/>
        </w:rPr>
        <w:t>The issue here is not that funding should be automatic (or even depended on), but - in relation to funds, planning and training – uncertainties in the timing of grant announcements make it very difficult for stakeholders to run programs dependent on such grants.</w:t>
      </w:r>
    </w:p>
    <w:p w:rsidR="00A56C0A" w:rsidRPr="00A56C0A" w:rsidRDefault="00A56C0A" w:rsidP="00A56C0A">
      <w:pPr>
        <w:keepNext/>
        <w:spacing w:before="240" w:after="120" w:line="276" w:lineRule="auto"/>
        <w:jc w:val="both"/>
        <w:outlineLvl w:val="1"/>
        <w:rPr>
          <w:rFonts w:ascii="Cambria" w:hAnsi="Cambria" w:cs="Arial"/>
          <w:b/>
          <w:bCs/>
          <w:i/>
          <w:iCs/>
          <w:sz w:val="28"/>
          <w:szCs w:val="28"/>
          <w:lang w:val="en-AU"/>
        </w:rPr>
      </w:pPr>
      <w:r w:rsidRPr="00A56C0A">
        <w:rPr>
          <w:rFonts w:ascii="Cambria" w:hAnsi="Cambria" w:cs="Arial"/>
          <w:b/>
          <w:bCs/>
          <w:i/>
          <w:iCs/>
          <w:sz w:val="28"/>
          <w:szCs w:val="28"/>
          <w:lang w:val="en-AU"/>
        </w:rPr>
        <w:t>Conclusion</w:t>
      </w:r>
    </w:p>
    <w:p w:rsidR="00A56C0A" w:rsidRPr="00A56C0A" w:rsidRDefault="00A56C0A" w:rsidP="00A56C0A">
      <w:pPr>
        <w:spacing w:after="120" w:line="276" w:lineRule="auto"/>
        <w:jc w:val="both"/>
        <w:rPr>
          <w:rFonts w:ascii="Arial" w:eastAsia="Calibri" w:hAnsi="Arial" w:cs="Arial"/>
          <w:lang w:val="en-AU"/>
        </w:rPr>
      </w:pPr>
      <w:r w:rsidRPr="00A56C0A">
        <w:rPr>
          <w:rFonts w:ascii="Arial" w:eastAsia="Calibri" w:hAnsi="Arial" w:cs="Arial"/>
          <w:lang w:val="en-AU"/>
        </w:rPr>
        <w:t>The increasing frequency and severity of natural disasters in Australia has caused unprecedented budgetary stress on our governments in regards to infrastructure and personal and communal recovery. We recognise that the reality of limited resources in the light of this highlights the importance of keeping the needs of people and their communities at the forefront of all funding decisions.  Beyond this, one of the greatest assets this country has is its volunteer-based agencies which provide personal, heart-felt, and economically efficient care in the context of disaster recovery.  In funding these groups it remains important to consider supporting those who are integrated in the processes of disaster recovery, allowing for their needs in terms of training, and equipping and giving some stability in allowing for unique factors for their volunteers to ensure their ongoing effectiveness in disaster recovery.</w:t>
      </w:r>
    </w:p>
    <w:p w:rsidR="00A56C0A" w:rsidRPr="00C2573C" w:rsidRDefault="00A56C0A" w:rsidP="00A56C0A">
      <w:pPr>
        <w:pStyle w:val="Body1"/>
        <w:spacing w:after="120"/>
        <w:rPr>
          <w:rFonts w:ascii="Calibri" w:hAnsi="Calibri" w:cs="Calibri"/>
          <w:sz w:val="22"/>
          <w:szCs w:val="22"/>
        </w:rPr>
      </w:pPr>
    </w:p>
    <w:sectPr w:rsidR="00A56C0A" w:rsidRPr="00C2573C" w:rsidSect="001F7D3F">
      <w:headerReference w:type="default" r:id="rId14"/>
      <w:footerReference w:type="even" r:id="rId15"/>
      <w:footerReference w:type="default" r:id="rId16"/>
      <w:pgSz w:w="12240" w:h="15840" w:code="1"/>
      <w:pgMar w:top="1440" w:right="1800" w:bottom="72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18B" w:rsidRDefault="005E318B">
      <w:r>
        <w:separator/>
      </w:r>
    </w:p>
  </w:endnote>
  <w:endnote w:type="continuationSeparator" w:id="0">
    <w:p w:rsidR="005E318B" w:rsidRDefault="005E3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oudyOlSt BT">
    <w:altName w:val="Georgia"/>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MyriadPro-Semibold">
    <w:panose1 w:val="00000000000000000000"/>
    <w:charset w:val="00"/>
    <w:family w:val="auto"/>
    <w:notTrueType/>
    <w:pitch w:val="default"/>
    <w:sig w:usb0="00000003" w:usb1="00000000" w:usb2="0000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 w:name="MyriadPro-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295" w:rsidRDefault="00F02295" w:rsidP="00F0229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583" w:rsidRPr="00F02295" w:rsidRDefault="002A3583" w:rsidP="00F02295">
    <w:pPr>
      <w:pStyle w:val="Footer"/>
      <w:jc w:val="center"/>
      <w:rPr>
        <w:color w:val="7F7F7F" w:themeColor="text1" w:themeTint="80"/>
      </w:rPr>
    </w:pPr>
    <w:r w:rsidRPr="00F02295">
      <w:rPr>
        <w:i/>
        <w:color w:val="595959" w:themeColor="text1" w:themeTint="A6"/>
      </w:rPr>
      <w:t xml:space="preserve">Uniting Church Submission to the Productivity Commission - </w:t>
    </w:r>
    <w:sdt>
      <w:sdtPr>
        <w:rPr>
          <w:i/>
          <w:color w:val="595959" w:themeColor="text1" w:themeTint="A6"/>
        </w:rPr>
        <w:id w:val="356774117"/>
        <w:docPartObj>
          <w:docPartGallery w:val="Page Numbers (Bottom of Page)"/>
          <w:docPartUnique/>
        </w:docPartObj>
      </w:sdtPr>
      <w:sdtEndPr>
        <w:rPr>
          <w:i w:val="0"/>
          <w:color w:val="7F7F7F" w:themeColor="text1" w:themeTint="80"/>
        </w:rPr>
      </w:sdtEndPr>
      <w:sdtContent>
        <w:sdt>
          <w:sdtPr>
            <w:rPr>
              <w:i/>
              <w:color w:val="595959" w:themeColor="text1" w:themeTint="A6"/>
            </w:rPr>
            <w:id w:val="-1705238520"/>
            <w:docPartObj>
              <w:docPartGallery w:val="Page Numbers (Top of Page)"/>
              <w:docPartUnique/>
            </w:docPartObj>
          </w:sdtPr>
          <w:sdtEndPr>
            <w:rPr>
              <w:i w:val="0"/>
              <w:color w:val="7F7F7F" w:themeColor="text1" w:themeTint="80"/>
            </w:rPr>
          </w:sdtEndPr>
          <w:sdtContent>
            <w:r w:rsidRPr="00F02295">
              <w:rPr>
                <w:i/>
                <w:color w:val="595959" w:themeColor="text1" w:themeTint="A6"/>
              </w:rPr>
              <w:t xml:space="preserve">Page </w:t>
            </w:r>
            <w:r w:rsidRPr="00F02295">
              <w:rPr>
                <w:b/>
                <w:bCs/>
                <w:i/>
                <w:color w:val="595959" w:themeColor="text1" w:themeTint="A6"/>
              </w:rPr>
              <w:fldChar w:fldCharType="begin"/>
            </w:r>
            <w:r w:rsidRPr="00F02295">
              <w:rPr>
                <w:b/>
                <w:bCs/>
                <w:i/>
                <w:color w:val="595959" w:themeColor="text1" w:themeTint="A6"/>
              </w:rPr>
              <w:instrText xml:space="preserve"> PAGE </w:instrText>
            </w:r>
            <w:r w:rsidRPr="00F02295">
              <w:rPr>
                <w:b/>
                <w:bCs/>
                <w:i/>
                <w:color w:val="595959" w:themeColor="text1" w:themeTint="A6"/>
              </w:rPr>
              <w:fldChar w:fldCharType="separate"/>
            </w:r>
            <w:r w:rsidR="00402E31">
              <w:rPr>
                <w:b/>
                <w:bCs/>
                <w:i/>
                <w:noProof/>
                <w:color w:val="595959" w:themeColor="text1" w:themeTint="A6"/>
              </w:rPr>
              <w:t>1</w:t>
            </w:r>
            <w:r w:rsidRPr="00F02295">
              <w:rPr>
                <w:b/>
                <w:bCs/>
                <w:i/>
                <w:color w:val="595959" w:themeColor="text1" w:themeTint="A6"/>
              </w:rPr>
              <w:fldChar w:fldCharType="end"/>
            </w:r>
            <w:r w:rsidRPr="00F02295">
              <w:rPr>
                <w:i/>
                <w:color w:val="595959" w:themeColor="text1" w:themeTint="A6"/>
              </w:rPr>
              <w:t xml:space="preserve"> </w:t>
            </w:r>
            <w:r w:rsidRPr="00F02295">
              <w:rPr>
                <w:i/>
                <w:color w:val="7F7F7F" w:themeColor="text1" w:themeTint="80"/>
              </w:rPr>
              <w:t xml:space="preserve">of </w:t>
            </w:r>
            <w:r w:rsidRPr="00F02295">
              <w:rPr>
                <w:b/>
                <w:bCs/>
                <w:i/>
                <w:color w:val="7F7F7F" w:themeColor="text1" w:themeTint="80"/>
              </w:rPr>
              <w:fldChar w:fldCharType="begin"/>
            </w:r>
            <w:r w:rsidRPr="00F02295">
              <w:rPr>
                <w:b/>
                <w:bCs/>
                <w:i/>
                <w:color w:val="7F7F7F" w:themeColor="text1" w:themeTint="80"/>
              </w:rPr>
              <w:instrText xml:space="preserve"> NUMPAGES  </w:instrText>
            </w:r>
            <w:r w:rsidRPr="00F02295">
              <w:rPr>
                <w:b/>
                <w:bCs/>
                <w:i/>
                <w:color w:val="7F7F7F" w:themeColor="text1" w:themeTint="80"/>
              </w:rPr>
              <w:fldChar w:fldCharType="separate"/>
            </w:r>
            <w:r w:rsidR="00402E31">
              <w:rPr>
                <w:b/>
                <w:bCs/>
                <w:i/>
                <w:noProof/>
                <w:color w:val="7F7F7F" w:themeColor="text1" w:themeTint="80"/>
              </w:rPr>
              <w:t>6</w:t>
            </w:r>
            <w:r w:rsidRPr="00F02295">
              <w:rPr>
                <w:b/>
                <w:bCs/>
                <w:i/>
                <w:color w:val="7F7F7F" w:themeColor="text1" w:themeTint="80"/>
              </w:rPr>
              <w:fldChar w:fldCharType="end"/>
            </w:r>
          </w:sdtContent>
        </w:sdt>
      </w:sdtContent>
    </w:sdt>
  </w:p>
  <w:p w:rsidR="001F7D3F" w:rsidRPr="00F02295" w:rsidRDefault="001F7D3F">
    <w:pPr>
      <w:pStyle w:val="Footer"/>
      <w:rPr>
        <w:color w:val="7F7F7F" w:themeColor="text1" w:themeTint="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18B" w:rsidRDefault="005E318B">
      <w:r>
        <w:separator/>
      </w:r>
    </w:p>
  </w:footnote>
  <w:footnote w:type="continuationSeparator" w:id="0">
    <w:p w:rsidR="005E318B" w:rsidRDefault="005E318B">
      <w:r>
        <w:continuationSeparator/>
      </w:r>
    </w:p>
  </w:footnote>
  <w:footnote w:id="1">
    <w:p w:rsidR="00A56C0A" w:rsidRPr="002A3583" w:rsidRDefault="00A56C0A" w:rsidP="002A3583">
      <w:pPr>
        <w:pStyle w:val="FootnoteText"/>
        <w:spacing w:after="120"/>
        <w:jc w:val="left"/>
        <w:rPr>
          <w:rFonts w:ascii="Times New Roman" w:hAnsi="Times New Roman" w:cs="Times New Roman"/>
          <w:sz w:val="24"/>
          <w:szCs w:val="24"/>
        </w:rPr>
      </w:pPr>
      <w:r w:rsidRPr="002A3583">
        <w:rPr>
          <w:rStyle w:val="FootnoteReference"/>
          <w:rFonts w:ascii="Times New Roman" w:hAnsi="Times New Roman" w:cs="Times New Roman"/>
          <w:sz w:val="24"/>
          <w:szCs w:val="24"/>
        </w:rPr>
        <w:footnoteRef/>
      </w:r>
      <w:r w:rsidRPr="002A3583">
        <w:rPr>
          <w:rFonts w:ascii="Times New Roman" w:hAnsi="Times New Roman" w:cs="Times New Roman"/>
          <w:sz w:val="24"/>
          <w:szCs w:val="24"/>
        </w:rPr>
        <w:t xml:space="preserve"> See Ray </w:t>
      </w:r>
      <w:proofErr w:type="spellStart"/>
      <w:r w:rsidRPr="002A3583">
        <w:rPr>
          <w:rFonts w:ascii="Times New Roman" w:hAnsi="Times New Roman" w:cs="Times New Roman"/>
          <w:sz w:val="24"/>
          <w:szCs w:val="24"/>
        </w:rPr>
        <w:t>Scurfield’s</w:t>
      </w:r>
      <w:proofErr w:type="spellEnd"/>
      <w:r w:rsidRPr="002A3583">
        <w:rPr>
          <w:rFonts w:ascii="Times New Roman" w:hAnsi="Times New Roman" w:cs="Times New Roman"/>
          <w:sz w:val="24"/>
          <w:szCs w:val="24"/>
        </w:rPr>
        <w:t xml:space="preserve"> Six Common Stages of Disaster Recovery</w:t>
      </w:r>
      <w:r w:rsidR="002A3583" w:rsidRPr="002A3583">
        <w:rPr>
          <w:rFonts w:ascii="Times New Roman" w:hAnsi="Times New Roman" w:cs="Times New Roman"/>
          <w:sz w:val="24"/>
          <w:szCs w:val="24"/>
        </w:rPr>
        <w:t xml:space="preserve"> - </w:t>
      </w:r>
      <w:hyperlink r:id="rId1" w:history="1">
        <w:r w:rsidR="002A3583" w:rsidRPr="002A3583">
          <w:rPr>
            <w:rStyle w:val="Hyperlink"/>
            <w:rFonts w:ascii="Times New Roman" w:hAnsi="Times New Roman" w:cs="Times New Roman"/>
            <w:sz w:val="24"/>
            <w:szCs w:val="24"/>
          </w:rPr>
          <w:t>http://www.usm.edu/sites/default/files/groups/school-social-work/pdf/six-common-stages-disaster-recovery-rev-april-2007.pdf</w:t>
        </w:r>
      </w:hyperlink>
      <w:r w:rsidR="002A3583" w:rsidRPr="002A3583">
        <w:rPr>
          <w:rFonts w:ascii="Times New Roman" w:hAnsi="Times New Roman" w:cs="Times New Roman"/>
          <w:sz w:val="24"/>
          <w:szCs w:val="24"/>
        </w:rPr>
        <w:t xml:space="preserve"> </w:t>
      </w:r>
    </w:p>
  </w:footnote>
  <w:footnote w:id="2">
    <w:p w:rsidR="00A56C0A" w:rsidRDefault="00A56C0A" w:rsidP="00A56C0A">
      <w:pPr>
        <w:spacing w:after="120"/>
      </w:pPr>
      <w:r w:rsidRPr="002F7C62">
        <w:rPr>
          <w:rStyle w:val="FootnoteReference"/>
          <w:rFonts w:eastAsia="Calibri"/>
        </w:rPr>
        <w:footnoteRef/>
      </w:r>
      <w:r w:rsidRPr="002F7C62">
        <w:t xml:space="preserve"> By way of example. Following the devastating bushfires in Springwood/</w:t>
      </w:r>
      <w:r w:rsidR="002A3583">
        <w:t xml:space="preserve"> </w:t>
      </w:r>
      <w:proofErr w:type="spellStart"/>
      <w:r w:rsidRPr="002F7C62">
        <w:t>Winmalee</w:t>
      </w:r>
      <w:proofErr w:type="spellEnd"/>
      <w:r w:rsidRPr="002F7C62">
        <w:t xml:space="preserve"> a number of local initiatives emerged from the Neighbourhood Centre which received some government funding for a time.  The ‘step by step’ program personalised the care given to the needs of fire-affected individuals.  When government funding for this initiative ceased, the needs were still present and funding was sought and allocated from other agencies, including the Uniting Church, to extend this work.  This loss of funds so relatively early in the process causes stress to the workers and volunteers and a level of uncertainty to the participants. It is far better that a longer-term view is adopted to such inter-personal community funding.</w:t>
      </w:r>
    </w:p>
    <w:p w:rsidR="002A3583" w:rsidRDefault="002A3583" w:rsidP="00A56C0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D3F" w:rsidRPr="001F7D3F" w:rsidRDefault="001F7D3F" w:rsidP="001F7D3F">
    <w:pPr>
      <w:autoSpaceDE w:val="0"/>
      <w:autoSpaceDN w:val="0"/>
      <w:adjustRightInd w:val="0"/>
      <w:ind w:left="-180"/>
      <w:rPr>
        <w:rFonts w:ascii="MyriadPro-Semibold" w:hAnsi="MyriadPro-Semibold" w:cs="MyriadPro-Semibold"/>
        <w:b/>
        <w:bCs/>
        <w:color w:val="000000"/>
        <w:sz w:val="8"/>
        <w:szCs w:val="8"/>
        <w:lang w:val="en-US"/>
      </w:rPr>
    </w:pPr>
  </w:p>
  <w:p w:rsidR="00E96BBF" w:rsidRPr="00F02295" w:rsidRDefault="00A56C0A" w:rsidP="00F02295">
    <w:pPr>
      <w:pStyle w:val="Header"/>
      <w:jc w:val="center"/>
      <w:rPr>
        <w:color w:val="7F7F7F" w:themeColor="text1" w:themeTint="80"/>
      </w:rPr>
    </w:pPr>
    <w:r w:rsidRPr="00F02295">
      <w:rPr>
        <w:noProof/>
        <w:color w:val="7F7F7F" w:themeColor="text1" w:themeTint="80"/>
        <w:lang w:val="en-AU" w:eastAsia="en-AU"/>
      </w:rPr>
      <mc:AlternateContent>
        <mc:Choice Requires="wps">
          <w:drawing>
            <wp:anchor distT="0" distB="0" distL="114300" distR="114300" simplePos="0" relativeHeight="251658752" behindDoc="0" locked="0" layoutInCell="1" allowOverlap="1" wp14:anchorId="342E9269" wp14:editId="79B39A96">
              <wp:simplePos x="0" y="0"/>
              <wp:positionH relativeFrom="column">
                <wp:posOffset>1600200</wp:posOffset>
              </wp:positionH>
              <wp:positionV relativeFrom="paragraph">
                <wp:posOffset>0</wp:posOffset>
              </wp:positionV>
              <wp:extent cx="0" cy="0"/>
              <wp:effectExtent l="9525" t="9525" r="9525" b="952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4A14AE"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0" to="1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Gr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gpEgL&#10;I9oJxdE8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86892"/>
    <w:multiLevelType w:val="hybridMultilevel"/>
    <w:tmpl w:val="F0987E8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7A027D0"/>
    <w:multiLevelType w:val="hybridMultilevel"/>
    <w:tmpl w:val="04C68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EF73C07"/>
    <w:multiLevelType w:val="hybridMultilevel"/>
    <w:tmpl w:val="26B09A22"/>
    <w:lvl w:ilvl="0" w:tplc="9B18682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o:colormru v:ext="edit" colors="black,#f41d0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802"/>
    <w:rsid w:val="00001D0C"/>
    <w:rsid w:val="00023A6E"/>
    <w:rsid w:val="00026727"/>
    <w:rsid w:val="00033802"/>
    <w:rsid w:val="00063BB6"/>
    <w:rsid w:val="00071240"/>
    <w:rsid w:val="00077B6F"/>
    <w:rsid w:val="00096AAA"/>
    <w:rsid w:val="000A211B"/>
    <w:rsid w:val="000A751A"/>
    <w:rsid w:val="000B1B01"/>
    <w:rsid w:val="000B584F"/>
    <w:rsid w:val="000B6BC3"/>
    <w:rsid w:val="000E289C"/>
    <w:rsid w:val="000E59E4"/>
    <w:rsid w:val="00102C69"/>
    <w:rsid w:val="001134B0"/>
    <w:rsid w:val="001325FB"/>
    <w:rsid w:val="00141D90"/>
    <w:rsid w:val="00180EF2"/>
    <w:rsid w:val="00185A88"/>
    <w:rsid w:val="00194762"/>
    <w:rsid w:val="00195CFF"/>
    <w:rsid w:val="001B20AC"/>
    <w:rsid w:val="001D4D70"/>
    <w:rsid w:val="001D6A4B"/>
    <w:rsid w:val="001F4280"/>
    <w:rsid w:val="001F43FA"/>
    <w:rsid w:val="001F7D3F"/>
    <w:rsid w:val="00221EAC"/>
    <w:rsid w:val="00245094"/>
    <w:rsid w:val="00246168"/>
    <w:rsid w:val="00254C28"/>
    <w:rsid w:val="002631B1"/>
    <w:rsid w:val="002632C9"/>
    <w:rsid w:val="00263745"/>
    <w:rsid w:val="00264A23"/>
    <w:rsid w:val="00272409"/>
    <w:rsid w:val="00275049"/>
    <w:rsid w:val="00281AFB"/>
    <w:rsid w:val="00282796"/>
    <w:rsid w:val="00283903"/>
    <w:rsid w:val="002873AF"/>
    <w:rsid w:val="002A0149"/>
    <w:rsid w:val="002A0807"/>
    <w:rsid w:val="002A3583"/>
    <w:rsid w:val="002B402C"/>
    <w:rsid w:val="002D1D70"/>
    <w:rsid w:val="002D32B8"/>
    <w:rsid w:val="002F60B2"/>
    <w:rsid w:val="0030304B"/>
    <w:rsid w:val="00305FD9"/>
    <w:rsid w:val="00315F4C"/>
    <w:rsid w:val="00323418"/>
    <w:rsid w:val="0034766A"/>
    <w:rsid w:val="0037237D"/>
    <w:rsid w:val="003852DB"/>
    <w:rsid w:val="00385494"/>
    <w:rsid w:val="00395868"/>
    <w:rsid w:val="003A5BB6"/>
    <w:rsid w:val="003A6614"/>
    <w:rsid w:val="003B1253"/>
    <w:rsid w:val="003B2A3E"/>
    <w:rsid w:val="003D37F4"/>
    <w:rsid w:val="003E028D"/>
    <w:rsid w:val="003E0BE4"/>
    <w:rsid w:val="003E4D5D"/>
    <w:rsid w:val="003E4D65"/>
    <w:rsid w:val="003F480B"/>
    <w:rsid w:val="00402E31"/>
    <w:rsid w:val="00407065"/>
    <w:rsid w:val="0042581F"/>
    <w:rsid w:val="004347D2"/>
    <w:rsid w:val="004624AE"/>
    <w:rsid w:val="00475283"/>
    <w:rsid w:val="00486F00"/>
    <w:rsid w:val="004A2133"/>
    <w:rsid w:val="004A39E3"/>
    <w:rsid w:val="004B2DB7"/>
    <w:rsid w:val="004C1ACC"/>
    <w:rsid w:val="004D5F18"/>
    <w:rsid w:val="004D6C1E"/>
    <w:rsid w:val="004F0132"/>
    <w:rsid w:val="004F3552"/>
    <w:rsid w:val="004F415B"/>
    <w:rsid w:val="004F7E5A"/>
    <w:rsid w:val="00505E84"/>
    <w:rsid w:val="005144FD"/>
    <w:rsid w:val="00514560"/>
    <w:rsid w:val="005223FA"/>
    <w:rsid w:val="00534790"/>
    <w:rsid w:val="00535829"/>
    <w:rsid w:val="00542EFA"/>
    <w:rsid w:val="005455B8"/>
    <w:rsid w:val="00547074"/>
    <w:rsid w:val="00550B1B"/>
    <w:rsid w:val="0055475C"/>
    <w:rsid w:val="00563631"/>
    <w:rsid w:val="00595DD0"/>
    <w:rsid w:val="005A1586"/>
    <w:rsid w:val="005B6FCF"/>
    <w:rsid w:val="005C4C8D"/>
    <w:rsid w:val="005E318B"/>
    <w:rsid w:val="005E32CA"/>
    <w:rsid w:val="00607472"/>
    <w:rsid w:val="0061117C"/>
    <w:rsid w:val="00624B81"/>
    <w:rsid w:val="00632375"/>
    <w:rsid w:val="00641D45"/>
    <w:rsid w:val="00641F7B"/>
    <w:rsid w:val="00647B66"/>
    <w:rsid w:val="00674011"/>
    <w:rsid w:val="00680B67"/>
    <w:rsid w:val="00684788"/>
    <w:rsid w:val="006903F3"/>
    <w:rsid w:val="0069301D"/>
    <w:rsid w:val="00694BC8"/>
    <w:rsid w:val="006C1BBD"/>
    <w:rsid w:val="006C53CD"/>
    <w:rsid w:val="006C5790"/>
    <w:rsid w:val="006D2800"/>
    <w:rsid w:val="006D7FCB"/>
    <w:rsid w:val="006F0B76"/>
    <w:rsid w:val="006F6B79"/>
    <w:rsid w:val="006F73C7"/>
    <w:rsid w:val="006F7573"/>
    <w:rsid w:val="007024CB"/>
    <w:rsid w:val="0071309D"/>
    <w:rsid w:val="007168C7"/>
    <w:rsid w:val="00731873"/>
    <w:rsid w:val="007701CD"/>
    <w:rsid w:val="00774513"/>
    <w:rsid w:val="00774FA1"/>
    <w:rsid w:val="007A349B"/>
    <w:rsid w:val="007B242E"/>
    <w:rsid w:val="007C7E8D"/>
    <w:rsid w:val="007D1DD7"/>
    <w:rsid w:val="007F3E05"/>
    <w:rsid w:val="0080510D"/>
    <w:rsid w:val="008113B9"/>
    <w:rsid w:val="00815B72"/>
    <w:rsid w:val="008323C9"/>
    <w:rsid w:val="00840509"/>
    <w:rsid w:val="00865791"/>
    <w:rsid w:val="008709B6"/>
    <w:rsid w:val="00880527"/>
    <w:rsid w:val="008828EF"/>
    <w:rsid w:val="00885994"/>
    <w:rsid w:val="00890119"/>
    <w:rsid w:val="00893D5F"/>
    <w:rsid w:val="008966B5"/>
    <w:rsid w:val="008A2B50"/>
    <w:rsid w:val="008A3F3B"/>
    <w:rsid w:val="008A633A"/>
    <w:rsid w:val="008B0561"/>
    <w:rsid w:val="008B3349"/>
    <w:rsid w:val="008C4DEA"/>
    <w:rsid w:val="008D1B4C"/>
    <w:rsid w:val="008D37AE"/>
    <w:rsid w:val="008F3B34"/>
    <w:rsid w:val="008F4390"/>
    <w:rsid w:val="009079A7"/>
    <w:rsid w:val="00912BCA"/>
    <w:rsid w:val="009176D7"/>
    <w:rsid w:val="00930705"/>
    <w:rsid w:val="009379FA"/>
    <w:rsid w:val="00947749"/>
    <w:rsid w:val="009518E1"/>
    <w:rsid w:val="0096204D"/>
    <w:rsid w:val="00966334"/>
    <w:rsid w:val="00977EFC"/>
    <w:rsid w:val="009936AD"/>
    <w:rsid w:val="00994255"/>
    <w:rsid w:val="009A0114"/>
    <w:rsid w:val="009A6244"/>
    <w:rsid w:val="009C3CEB"/>
    <w:rsid w:val="009D793E"/>
    <w:rsid w:val="009F6778"/>
    <w:rsid w:val="00A057AE"/>
    <w:rsid w:val="00A32830"/>
    <w:rsid w:val="00A35B04"/>
    <w:rsid w:val="00A52E4D"/>
    <w:rsid w:val="00A56C0A"/>
    <w:rsid w:val="00A60983"/>
    <w:rsid w:val="00A97D2A"/>
    <w:rsid w:val="00AA3DAF"/>
    <w:rsid w:val="00AB0E40"/>
    <w:rsid w:val="00AB743E"/>
    <w:rsid w:val="00AE27AE"/>
    <w:rsid w:val="00AF0AFB"/>
    <w:rsid w:val="00AF4031"/>
    <w:rsid w:val="00B1729F"/>
    <w:rsid w:val="00B17ABD"/>
    <w:rsid w:val="00B23395"/>
    <w:rsid w:val="00B36C11"/>
    <w:rsid w:val="00B41245"/>
    <w:rsid w:val="00B65AB4"/>
    <w:rsid w:val="00B71CA6"/>
    <w:rsid w:val="00B71D46"/>
    <w:rsid w:val="00B736A8"/>
    <w:rsid w:val="00B774DE"/>
    <w:rsid w:val="00B817E3"/>
    <w:rsid w:val="00B857C8"/>
    <w:rsid w:val="00BB0EC1"/>
    <w:rsid w:val="00BB6B34"/>
    <w:rsid w:val="00BB7121"/>
    <w:rsid w:val="00BC1200"/>
    <w:rsid w:val="00BD37BA"/>
    <w:rsid w:val="00BD4E2D"/>
    <w:rsid w:val="00BE5F91"/>
    <w:rsid w:val="00BF2C89"/>
    <w:rsid w:val="00BF54EE"/>
    <w:rsid w:val="00C030DC"/>
    <w:rsid w:val="00C06BD9"/>
    <w:rsid w:val="00C1727B"/>
    <w:rsid w:val="00C2184B"/>
    <w:rsid w:val="00C2573C"/>
    <w:rsid w:val="00C300D5"/>
    <w:rsid w:val="00C31093"/>
    <w:rsid w:val="00C4475E"/>
    <w:rsid w:val="00C46349"/>
    <w:rsid w:val="00C55739"/>
    <w:rsid w:val="00C56A39"/>
    <w:rsid w:val="00C56A5C"/>
    <w:rsid w:val="00C61174"/>
    <w:rsid w:val="00C73F74"/>
    <w:rsid w:val="00C80AD0"/>
    <w:rsid w:val="00C82621"/>
    <w:rsid w:val="00CA3308"/>
    <w:rsid w:val="00CD6640"/>
    <w:rsid w:val="00CE56AC"/>
    <w:rsid w:val="00D01943"/>
    <w:rsid w:val="00D14035"/>
    <w:rsid w:val="00D15D6D"/>
    <w:rsid w:val="00D16526"/>
    <w:rsid w:val="00D24BBA"/>
    <w:rsid w:val="00D32E07"/>
    <w:rsid w:val="00D35DB2"/>
    <w:rsid w:val="00D44464"/>
    <w:rsid w:val="00D46091"/>
    <w:rsid w:val="00D649B1"/>
    <w:rsid w:val="00D7131B"/>
    <w:rsid w:val="00D94D34"/>
    <w:rsid w:val="00D962DB"/>
    <w:rsid w:val="00DA39C0"/>
    <w:rsid w:val="00DB6A74"/>
    <w:rsid w:val="00DD396C"/>
    <w:rsid w:val="00DF0B02"/>
    <w:rsid w:val="00E04388"/>
    <w:rsid w:val="00E0778A"/>
    <w:rsid w:val="00E13B28"/>
    <w:rsid w:val="00E1513A"/>
    <w:rsid w:val="00E26F46"/>
    <w:rsid w:val="00E45D3B"/>
    <w:rsid w:val="00E57F04"/>
    <w:rsid w:val="00E64AB4"/>
    <w:rsid w:val="00E72EB3"/>
    <w:rsid w:val="00E752BB"/>
    <w:rsid w:val="00E90E1A"/>
    <w:rsid w:val="00E9509C"/>
    <w:rsid w:val="00E95D14"/>
    <w:rsid w:val="00E96BBF"/>
    <w:rsid w:val="00EB387E"/>
    <w:rsid w:val="00ED28D9"/>
    <w:rsid w:val="00ED716B"/>
    <w:rsid w:val="00EE0138"/>
    <w:rsid w:val="00EE367C"/>
    <w:rsid w:val="00EE7260"/>
    <w:rsid w:val="00EF4C4B"/>
    <w:rsid w:val="00F02295"/>
    <w:rsid w:val="00F161DE"/>
    <w:rsid w:val="00F222AD"/>
    <w:rsid w:val="00F26BED"/>
    <w:rsid w:val="00F3408F"/>
    <w:rsid w:val="00F35DB8"/>
    <w:rsid w:val="00F404BD"/>
    <w:rsid w:val="00F41FA6"/>
    <w:rsid w:val="00F47A6C"/>
    <w:rsid w:val="00F53DD9"/>
    <w:rsid w:val="00F72A51"/>
    <w:rsid w:val="00F80870"/>
    <w:rsid w:val="00F8256C"/>
    <w:rsid w:val="00FB1688"/>
    <w:rsid w:val="00FB5F7C"/>
    <w:rsid w:val="00FB6F55"/>
    <w:rsid w:val="00FE68D4"/>
    <w:rsid w:val="00FF4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7">
      <o:colormru v:ext="edit" colors="black,#f41d0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6B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96BBF"/>
    <w:pPr>
      <w:tabs>
        <w:tab w:val="center" w:pos="4320"/>
        <w:tab w:val="right" w:pos="8640"/>
      </w:tabs>
    </w:pPr>
  </w:style>
  <w:style w:type="paragraph" w:styleId="Footer">
    <w:name w:val="footer"/>
    <w:basedOn w:val="Normal"/>
    <w:link w:val="FooterChar"/>
    <w:uiPriority w:val="99"/>
    <w:rsid w:val="00E96BBF"/>
    <w:pPr>
      <w:tabs>
        <w:tab w:val="center" w:pos="4320"/>
        <w:tab w:val="right" w:pos="8640"/>
      </w:tabs>
    </w:pPr>
  </w:style>
  <w:style w:type="character" w:styleId="Hyperlink">
    <w:name w:val="Hyperlink"/>
    <w:rsid w:val="001F7D3F"/>
    <w:rPr>
      <w:color w:val="0000FF"/>
      <w:u w:val="single"/>
    </w:rPr>
  </w:style>
  <w:style w:type="paragraph" w:customStyle="1" w:styleId="Body1">
    <w:name w:val="Body 1"/>
    <w:rsid w:val="00C2573C"/>
    <w:rPr>
      <w:rFonts w:ascii="Helvetica" w:eastAsia="Arial Unicode MS" w:hAnsi="Helvetica"/>
      <w:color w:val="000000"/>
      <w:sz w:val="24"/>
      <w:lang w:val="en-AU" w:eastAsia="en-AU"/>
    </w:rPr>
  </w:style>
  <w:style w:type="character" w:customStyle="1" w:styleId="FooterChar">
    <w:name w:val="Footer Char"/>
    <w:link w:val="Footer"/>
    <w:uiPriority w:val="99"/>
    <w:rsid w:val="00C2573C"/>
    <w:rPr>
      <w:sz w:val="24"/>
      <w:szCs w:val="24"/>
      <w:lang w:val="en-GB" w:eastAsia="en-US"/>
    </w:rPr>
  </w:style>
  <w:style w:type="paragraph" w:styleId="FootnoteText">
    <w:name w:val="footnote text"/>
    <w:basedOn w:val="Normal"/>
    <w:link w:val="FootnoteTextChar"/>
    <w:uiPriority w:val="99"/>
    <w:unhideWhenUsed/>
    <w:rsid w:val="00A56C0A"/>
    <w:pPr>
      <w:jc w:val="both"/>
    </w:pPr>
    <w:rPr>
      <w:rFonts w:ascii="Arial" w:eastAsia="Calibri" w:hAnsi="Arial" w:cs="Arial"/>
      <w:sz w:val="20"/>
      <w:szCs w:val="20"/>
      <w:lang w:val="en-AU"/>
    </w:rPr>
  </w:style>
  <w:style w:type="character" w:customStyle="1" w:styleId="FootnoteTextChar">
    <w:name w:val="Footnote Text Char"/>
    <w:basedOn w:val="DefaultParagraphFont"/>
    <w:link w:val="FootnoteText"/>
    <w:uiPriority w:val="99"/>
    <w:rsid w:val="00A56C0A"/>
    <w:rPr>
      <w:rFonts w:ascii="Arial" w:eastAsia="Calibri" w:hAnsi="Arial" w:cs="Arial"/>
      <w:lang w:val="en-AU" w:eastAsia="en-US"/>
    </w:rPr>
  </w:style>
  <w:style w:type="character" w:styleId="FootnoteReference">
    <w:name w:val="footnote reference"/>
    <w:uiPriority w:val="99"/>
    <w:unhideWhenUsed/>
    <w:rsid w:val="00A56C0A"/>
    <w:rPr>
      <w:vertAlign w:val="superscript"/>
    </w:rPr>
  </w:style>
  <w:style w:type="paragraph" w:styleId="ListParagraph">
    <w:name w:val="List Paragraph"/>
    <w:basedOn w:val="Normal"/>
    <w:uiPriority w:val="34"/>
    <w:qFormat/>
    <w:rsid w:val="002A3583"/>
    <w:pPr>
      <w:ind w:left="720"/>
      <w:contextualSpacing/>
    </w:pPr>
  </w:style>
  <w:style w:type="paragraph" w:styleId="BodyText">
    <w:name w:val="Body Text"/>
    <w:basedOn w:val="Normal"/>
    <w:link w:val="BodyTextChar"/>
    <w:rsid w:val="002A3583"/>
    <w:pPr>
      <w:spacing w:after="120"/>
    </w:pPr>
    <w:rPr>
      <w:sz w:val="20"/>
      <w:szCs w:val="20"/>
      <w:lang w:val="en-AU" w:eastAsia="en-AU"/>
    </w:rPr>
  </w:style>
  <w:style w:type="character" w:customStyle="1" w:styleId="BodyTextChar">
    <w:name w:val="Body Text Char"/>
    <w:basedOn w:val="DefaultParagraphFont"/>
    <w:link w:val="BodyText"/>
    <w:rsid w:val="002A3583"/>
    <w:rPr>
      <w:lang w:val="en-AU" w:eastAsia="en-AU"/>
    </w:rPr>
  </w:style>
  <w:style w:type="paragraph" w:customStyle="1" w:styleId="Bulletform">
    <w:name w:val="Bullet form"/>
    <w:basedOn w:val="Normal"/>
    <w:rsid w:val="002A3583"/>
    <w:pPr>
      <w:numPr>
        <w:numId w:val="4"/>
      </w:numPr>
      <w:spacing w:before="120"/>
      <w:ind w:left="714" w:hanging="357"/>
      <w:jc w:val="both"/>
    </w:pPr>
    <w:rPr>
      <w:rFonts w:ascii="GoudyOlSt BT" w:hAnsi="GoudyOlSt BT"/>
      <w:szCs w:val="20"/>
      <w:lang w:val="en-AU" w:eastAsia="en-AU"/>
    </w:rPr>
  </w:style>
  <w:style w:type="paragraph" w:styleId="BalloonText">
    <w:name w:val="Balloon Text"/>
    <w:basedOn w:val="Normal"/>
    <w:link w:val="BalloonTextChar"/>
    <w:semiHidden/>
    <w:unhideWhenUsed/>
    <w:rsid w:val="00305FD9"/>
    <w:rPr>
      <w:rFonts w:ascii="Segoe UI" w:hAnsi="Segoe UI" w:cs="Segoe UI"/>
      <w:sz w:val="18"/>
      <w:szCs w:val="18"/>
    </w:rPr>
  </w:style>
  <w:style w:type="character" w:customStyle="1" w:styleId="BalloonTextChar">
    <w:name w:val="Balloon Text Char"/>
    <w:basedOn w:val="DefaultParagraphFont"/>
    <w:link w:val="BalloonText"/>
    <w:semiHidden/>
    <w:rsid w:val="00305FD9"/>
    <w:rPr>
      <w:rFonts w:ascii="Segoe UI" w:hAnsi="Segoe UI" w:cs="Segoe UI"/>
      <w:sz w:val="18"/>
      <w:szCs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6B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96BBF"/>
    <w:pPr>
      <w:tabs>
        <w:tab w:val="center" w:pos="4320"/>
        <w:tab w:val="right" w:pos="8640"/>
      </w:tabs>
    </w:pPr>
  </w:style>
  <w:style w:type="paragraph" w:styleId="Footer">
    <w:name w:val="footer"/>
    <w:basedOn w:val="Normal"/>
    <w:link w:val="FooterChar"/>
    <w:uiPriority w:val="99"/>
    <w:rsid w:val="00E96BBF"/>
    <w:pPr>
      <w:tabs>
        <w:tab w:val="center" w:pos="4320"/>
        <w:tab w:val="right" w:pos="8640"/>
      </w:tabs>
    </w:pPr>
  </w:style>
  <w:style w:type="character" w:styleId="Hyperlink">
    <w:name w:val="Hyperlink"/>
    <w:rsid w:val="001F7D3F"/>
    <w:rPr>
      <w:color w:val="0000FF"/>
      <w:u w:val="single"/>
    </w:rPr>
  </w:style>
  <w:style w:type="paragraph" w:customStyle="1" w:styleId="Body1">
    <w:name w:val="Body 1"/>
    <w:rsid w:val="00C2573C"/>
    <w:rPr>
      <w:rFonts w:ascii="Helvetica" w:eastAsia="Arial Unicode MS" w:hAnsi="Helvetica"/>
      <w:color w:val="000000"/>
      <w:sz w:val="24"/>
      <w:lang w:val="en-AU" w:eastAsia="en-AU"/>
    </w:rPr>
  </w:style>
  <w:style w:type="character" w:customStyle="1" w:styleId="FooterChar">
    <w:name w:val="Footer Char"/>
    <w:link w:val="Footer"/>
    <w:uiPriority w:val="99"/>
    <w:rsid w:val="00C2573C"/>
    <w:rPr>
      <w:sz w:val="24"/>
      <w:szCs w:val="24"/>
      <w:lang w:val="en-GB" w:eastAsia="en-US"/>
    </w:rPr>
  </w:style>
  <w:style w:type="paragraph" w:styleId="FootnoteText">
    <w:name w:val="footnote text"/>
    <w:basedOn w:val="Normal"/>
    <w:link w:val="FootnoteTextChar"/>
    <w:uiPriority w:val="99"/>
    <w:unhideWhenUsed/>
    <w:rsid w:val="00A56C0A"/>
    <w:pPr>
      <w:jc w:val="both"/>
    </w:pPr>
    <w:rPr>
      <w:rFonts w:ascii="Arial" w:eastAsia="Calibri" w:hAnsi="Arial" w:cs="Arial"/>
      <w:sz w:val="20"/>
      <w:szCs w:val="20"/>
      <w:lang w:val="en-AU"/>
    </w:rPr>
  </w:style>
  <w:style w:type="character" w:customStyle="1" w:styleId="FootnoteTextChar">
    <w:name w:val="Footnote Text Char"/>
    <w:basedOn w:val="DefaultParagraphFont"/>
    <w:link w:val="FootnoteText"/>
    <w:uiPriority w:val="99"/>
    <w:rsid w:val="00A56C0A"/>
    <w:rPr>
      <w:rFonts w:ascii="Arial" w:eastAsia="Calibri" w:hAnsi="Arial" w:cs="Arial"/>
      <w:lang w:val="en-AU" w:eastAsia="en-US"/>
    </w:rPr>
  </w:style>
  <w:style w:type="character" w:styleId="FootnoteReference">
    <w:name w:val="footnote reference"/>
    <w:uiPriority w:val="99"/>
    <w:unhideWhenUsed/>
    <w:rsid w:val="00A56C0A"/>
    <w:rPr>
      <w:vertAlign w:val="superscript"/>
    </w:rPr>
  </w:style>
  <w:style w:type="paragraph" w:styleId="ListParagraph">
    <w:name w:val="List Paragraph"/>
    <w:basedOn w:val="Normal"/>
    <w:uiPriority w:val="34"/>
    <w:qFormat/>
    <w:rsid w:val="002A3583"/>
    <w:pPr>
      <w:ind w:left="720"/>
      <w:contextualSpacing/>
    </w:pPr>
  </w:style>
  <w:style w:type="paragraph" w:styleId="BodyText">
    <w:name w:val="Body Text"/>
    <w:basedOn w:val="Normal"/>
    <w:link w:val="BodyTextChar"/>
    <w:rsid w:val="002A3583"/>
    <w:pPr>
      <w:spacing w:after="120"/>
    </w:pPr>
    <w:rPr>
      <w:sz w:val="20"/>
      <w:szCs w:val="20"/>
      <w:lang w:val="en-AU" w:eastAsia="en-AU"/>
    </w:rPr>
  </w:style>
  <w:style w:type="character" w:customStyle="1" w:styleId="BodyTextChar">
    <w:name w:val="Body Text Char"/>
    <w:basedOn w:val="DefaultParagraphFont"/>
    <w:link w:val="BodyText"/>
    <w:rsid w:val="002A3583"/>
    <w:rPr>
      <w:lang w:val="en-AU" w:eastAsia="en-AU"/>
    </w:rPr>
  </w:style>
  <w:style w:type="paragraph" w:customStyle="1" w:styleId="Bulletform">
    <w:name w:val="Bullet form"/>
    <w:basedOn w:val="Normal"/>
    <w:rsid w:val="002A3583"/>
    <w:pPr>
      <w:numPr>
        <w:numId w:val="4"/>
      </w:numPr>
      <w:spacing w:before="120"/>
      <w:ind w:left="714" w:hanging="357"/>
      <w:jc w:val="both"/>
    </w:pPr>
    <w:rPr>
      <w:rFonts w:ascii="GoudyOlSt BT" w:hAnsi="GoudyOlSt BT"/>
      <w:szCs w:val="20"/>
      <w:lang w:val="en-AU" w:eastAsia="en-AU"/>
    </w:rPr>
  </w:style>
  <w:style w:type="paragraph" w:styleId="BalloonText">
    <w:name w:val="Balloon Text"/>
    <w:basedOn w:val="Normal"/>
    <w:link w:val="BalloonTextChar"/>
    <w:semiHidden/>
    <w:unhideWhenUsed/>
    <w:rsid w:val="00305FD9"/>
    <w:rPr>
      <w:rFonts w:ascii="Segoe UI" w:hAnsi="Segoe UI" w:cs="Segoe UI"/>
      <w:sz w:val="18"/>
      <w:szCs w:val="18"/>
    </w:rPr>
  </w:style>
  <w:style w:type="character" w:customStyle="1" w:styleId="BalloonTextChar">
    <w:name w:val="Balloon Text Char"/>
    <w:basedOn w:val="DefaultParagraphFont"/>
    <w:link w:val="BalloonText"/>
    <w:semiHidden/>
    <w:rsid w:val="00305FD9"/>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usm.edu/sites/default/files/groups/school-social-work/pdf/six-common-stages-disaster-recovery-rev-april-200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6" ma:contentTypeDescription="" ma:contentTypeScope="" ma:versionID="62ccce76cdb607479054b4b9d5eb4125">
  <xsd:schema xmlns:xsd="http://www.w3.org/2001/XMLSchema" xmlns:xs="http://www.w3.org/2001/XMLSchema" xmlns:p="http://schemas.microsoft.com/office/2006/metadata/properties" xmlns:ns2="http://schemas.microsoft.com/sharepoint/v4" targetNamespace="http://schemas.microsoft.com/office/2006/metadata/properties" ma:root="true" ma:fieldsID="65ebb6cd10f8a82259486540d0a3c719"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3E5A95DF-F49B-407E-AD96-9AB743E4E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C57D7-987A-4777-8D3E-CD471955E53F}">
  <ds:schemaRefs>
    <ds:schemaRef ds:uri="http://schemas.microsoft.com/sharepoint/events"/>
  </ds:schemaRefs>
</ds:datastoreItem>
</file>

<file path=customXml/itemProps3.xml><?xml version="1.0" encoding="utf-8"?>
<ds:datastoreItem xmlns:ds="http://schemas.openxmlformats.org/officeDocument/2006/customXml" ds:itemID="{8F0DB4D9-0A36-4D34-BAC4-4A393A6BD3FE}">
  <ds:schemaRefs>
    <ds:schemaRef ds:uri="http://schemas.microsoft.com/office/2006/metadata/customXsn"/>
  </ds:schemaRefs>
</ds:datastoreItem>
</file>

<file path=customXml/itemProps4.xml><?xml version="1.0" encoding="utf-8"?>
<ds:datastoreItem xmlns:ds="http://schemas.openxmlformats.org/officeDocument/2006/customXml" ds:itemID="{7E245BCD-71B3-4DC9-8C8D-9AB92B8788D5}">
  <ds:schemaRefs>
    <ds:schemaRef ds:uri="http://schemas.microsoft.com/sharepoint/v3/contenttype/forms"/>
  </ds:schemaRefs>
</ds:datastoreItem>
</file>

<file path=customXml/itemProps5.xml><?xml version="1.0" encoding="utf-8"?>
<ds:datastoreItem xmlns:ds="http://schemas.openxmlformats.org/officeDocument/2006/customXml" ds:itemID="{DB265812-E21D-439F-89CA-F0300A5ED545}">
  <ds:schemaRefs>
    <ds:schemaRef ds:uri="http://www.w3.org/XML/1998/namespace"/>
    <ds:schemaRef ds:uri="http://schemas.microsoft.com/office/2006/documentManagement/types"/>
    <ds:schemaRef ds:uri="http://purl.org/dc/terms/"/>
    <ds:schemaRef ds:uri="http://schemas.openxmlformats.org/package/2006/metadata/core-properties"/>
    <ds:schemaRef ds:uri="http://purl.org/dc/elements/1.1/"/>
    <ds:schemaRef ds:uri="http://schemas.microsoft.com/sharepoint/v4"/>
    <ds:schemaRef ds:uri="http://schemas.microsoft.com/office/infopath/2007/PartnerControl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1726</Words>
  <Characters>9748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Submission 46 - Uniting Church in Australia Assembly - Natural Disaster Funding - Public inquiry</vt:lpstr>
    </vt:vector>
  </TitlesOfParts>
  <Company>Uniting Church in Australia Assembly</Company>
  <LinksUpToDate>false</LinksUpToDate>
  <CharactersWithSpaces>11452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46 - Uniting Church in Australia Assembly - Natural Disaster Funding - Public inquiry</dc:title>
  <dc:creator>Uniting Church in Australia Assembly</dc:creator>
  <cp:lastModifiedBy>Productivity Commission</cp:lastModifiedBy>
  <cp:revision>5</cp:revision>
  <cp:lastPrinted>2014-06-06T06:53:00Z</cp:lastPrinted>
  <dcterms:created xsi:type="dcterms:W3CDTF">2014-06-06T06:52:00Z</dcterms:created>
  <dcterms:modified xsi:type="dcterms:W3CDTF">2014-06-11T01:26:00Z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ies>
</file>