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F7" w:rsidRDefault="00E71961" w:rsidP="00371C44">
      <w:pPr>
        <w:pStyle w:val="BodyText"/>
        <w:ind w:left="720"/>
        <w:jc w:val="center"/>
        <w:rPr>
          <w:b/>
          <w:sz w:val="32"/>
          <w:szCs w:val="32"/>
        </w:rPr>
      </w:pPr>
      <w:r w:rsidRPr="00123EF7">
        <w:rPr>
          <w:b/>
          <w:sz w:val="32"/>
          <w:szCs w:val="32"/>
        </w:rPr>
        <w:t>Department of Finance</w:t>
      </w:r>
      <w:bookmarkStart w:id="0" w:name="_GoBack"/>
      <w:bookmarkEnd w:id="0"/>
    </w:p>
    <w:p w:rsidR="00E71961" w:rsidRDefault="002443FE" w:rsidP="00371C44">
      <w:pPr>
        <w:pStyle w:val="BodyText"/>
        <w:ind w:left="720"/>
        <w:jc w:val="center"/>
        <w:rPr>
          <w:b/>
          <w:sz w:val="32"/>
          <w:szCs w:val="32"/>
        </w:rPr>
      </w:pPr>
      <w:r w:rsidRPr="00123EF7">
        <w:rPr>
          <w:b/>
          <w:sz w:val="32"/>
          <w:szCs w:val="32"/>
        </w:rPr>
        <w:t>S</w:t>
      </w:r>
      <w:r w:rsidR="00E71961" w:rsidRPr="00123EF7">
        <w:rPr>
          <w:b/>
          <w:sz w:val="32"/>
          <w:szCs w:val="32"/>
        </w:rPr>
        <w:t xml:space="preserve">ubmission to the Productivity Commission </w:t>
      </w:r>
      <w:r w:rsidR="0051292A" w:rsidRPr="00123EF7">
        <w:rPr>
          <w:b/>
          <w:sz w:val="32"/>
          <w:szCs w:val="32"/>
        </w:rPr>
        <w:t>Review of Natural Disaster Funding Arrangements</w:t>
      </w:r>
    </w:p>
    <w:p w:rsidR="00123EF7" w:rsidRPr="00123EF7" w:rsidRDefault="00123EF7" w:rsidP="00371C44">
      <w:pPr>
        <w:pStyle w:val="BodyText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2014</w:t>
      </w:r>
    </w:p>
    <w:p w:rsidR="0051292A" w:rsidRDefault="0051292A" w:rsidP="00371C44">
      <w:pPr>
        <w:pStyle w:val="BodyText"/>
        <w:rPr>
          <w:b/>
        </w:rPr>
      </w:pPr>
      <w:r w:rsidRPr="0051292A">
        <w:rPr>
          <w:b/>
        </w:rPr>
        <w:t>Introduction</w:t>
      </w:r>
    </w:p>
    <w:p w:rsidR="00F42A02" w:rsidRDefault="00F42A02" w:rsidP="00F42A02">
      <w:pPr>
        <w:spacing w:after="120" w:line="240" w:lineRule="auto"/>
        <w:rPr>
          <w:rFonts w:ascii="Times New Roman" w:eastAsia="Times New Roman" w:hAnsi="Times New Roman"/>
          <w:sz w:val="26"/>
          <w:szCs w:val="20"/>
          <w:lang w:eastAsia="en-AU"/>
        </w:rPr>
      </w:pPr>
    </w:p>
    <w:p w:rsidR="000C7294" w:rsidRPr="00371C44" w:rsidRDefault="00163056" w:rsidP="00371C44">
      <w:pPr>
        <w:spacing w:after="120" w:line="240" w:lineRule="auto"/>
        <w:jc w:val="both"/>
        <w:rPr>
          <w:rFonts w:ascii="Times New Roman" w:eastAsia="Times New Roman" w:hAnsi="Times New Roman"/>
          <w:sz w:val="26"/>
          <w:szCs w:val="20"/>
          <w:lang w:eastAsia="en-AU"/>
        </w:rPr>
      </w:pPr>
      <w:r w:rsidRPr="00371C44">
        <w:rPr>
          <w:rFonts w:ascii="Times New Roman" w:eastAsia="Times New Roman" w:hAnsi="Times New Roman"/>
          <w:sz w:val="26"/>
          <w:szCs w:val="20"/>
          <w:lang w:eastAsia="en-AU"/>
        </w:rPr>
        <w:t xml:space="preserve">A key role of </w:t>
      </w:r>
      <w:r>
        <w:rPr>
          <w:rFonts w:ascii="Times New Roman" w:eastAsia="Times New Roman" w:hAnsi="Times New Roman"/>
          <w:sz w:val="26"/>
          <w:szCs w:val="20"/>
          <w:lang w:eastAsia="en-AU"/>
        </w:rPr>
        <w:t>the Department of Finance (</w:t>
      </w:r>
      <w:r w:rsidR="00F95B86" w:rsidRPr="00371C44">
        <w:rPr>
          <w:rFonts w:ascii="Times New Roman" w:eastAsia="Times New Roman" w:hAnsi="Times New Roman"/>
          <w:sz w:val="26"/>
          <w:szCs w:val="20"/>
          <w:lang w:eastAsia="en-AU"/>
        </w:rPr>
        <w:t>Finance</w:t>
      </w:r>
      <w:r>
        <w:rPr>
          <w:rFonts w:ascii="Times New Roman" w:eastAsia="Times New Roman" w:hAnsi="Times New Roman"/>
          <w:sz w:val="26"/>
          <w:szCs w:val="20"/>
          <w:lang w:eastAsia="en-AU"/>
        </w:rPr>
        <w:t>)</w:t>
      </w:r>
      <w:r w:rsidR="000C7294" w:rsidRPr="00371C44">
        <w:rPr>
          <w:rFonts w:ascii="Times New Roman" w:eastAsia="Times New Roman" w:hAnsi="Times New Roman"/>
          <w:sz w:val="26"/>
          <w:szCs w:val="20"/>
          <w:lang w:eastAsia="en-AU"/>
        </w:rPr>
        <w:t xml:space="preserve"> is </w:t>
      </w:r>
      <w:r w:rsidR="00C869E6">
        <w:rPr>
          <w:rFonts w:ascii="Times New Roman" w:eastAsia="Times New Roman" w:hAnsi="Times New Roman"/>
          <w:sz w:val="26"/>
          <w:szCs w:val="20"/>
          <w:lang w:eastAsia="en-AU"/>
        </w:rPr>
        <w:t xml:space="preserve">to </w:t>
      </w:r>
      <w:r w:rsidR="00D6761D" w:rsidRPr="00371C44">
        <w:rPr>
          <w:rFonts w:ascii="Times New Roman" w:eastAsia="Times New Roman" w:hAnsi="Times New Roman"/>
          <w:sz w:val="26"/>
          <w:szCs w:val="20"/>
          <w:lang w:eastAsia="en-AU"/>
        </w:rPr>
        <w:t xml:space="preserve">assist in </w:t>
      </w:r>
      <w:r w:rsidR="00F42A02" w:rsidRPr="00371C44">
        <w:rPr>
          <w:rFonts w:ascii="Times New Roman" w:eastAsia="Times New Roman" w:hAnsi="Times New Roman"/>
          <w:sz w:val="26"/>
          <w:szCs w:val="20"/>
          <w:lang w:eastAsia="en-AU"/>
        </w:rPr>
        <w:t>im</w:t>
      </w:r>
      <w:r w:rsidR="00987B93" w:rsidRPr="00371C44">
        <w:rPr>
          <w:rFonts w:ascii="Times New Roman" w:eastAsia="Times New Roman" w:hAnsi="Times New Roman"/>
          <w:sz w:val="26"/>
          <w:szCs w:val="20"/>
          <w:lang w:eastAsia="en-AU"/>
        </w:rPr>
        <w:t>prov</w:t>
      </w:r>
      <w:r w:rsidR="00D6761D" w:rsidRPr="00371C44">
        <w:rPr>
          <w:rFonts w:ascii="Times New Roman" w:eastAsia="Times New Roman" w:hAnsi="Times New Roman"/>
          <w:sz w:val="26"/>
          <w:szCs w:val="20"/>
          <w:lang w:eastAsia="en-AU"/>
        </w:rPr>
        <w:t>in</w:t>
      </w:r>
      <w:r w:rsidR="007721C9" w:rsidRPr="00371C44">
        <w:rPr>
          <w:rFonts w:ascii="Times New Roman" w:eastAsia="Times New Roman" w:hAnsi="Times New Roman"/>
          <w:sz w:val="26"/>
          <w:szCs w:val="20"/>
          <w:lang w:eastAsia="en-AU"/>
        </w:rPr>
        <w:t>g</w:t>
      </w:r>
      <w:r w:rsidR="00987B93" w:rsidRPr="00371C44">
        <w:rPr>
          <w:rFonts w:ascii="Times New Roman" w:eastAsia="Times New Roman" w:hAnsi="Times New Roman"/>
          <w:sz w:val="26"/>
          <w:szCs w:val="20"/>
          <w:lang w:eastAsia="en-AU"/>
        </w:rPr>
        <w:t xml:space="preserve"> the effectiveness of government spending</w:t>
      </w:r>
      <w:r w:rsidR="00F95B86" w:rsidRPr="00371C44">
        <w:rPr>
          <w:rFonts w:ascii="Times New Roman" w:eastAsia="Times New Roman" w:hAnsi="Times New Roman"/>
          <w:sz w:val="26"/>
          <w:szCs w:val="20"/>
          <w:lang w:eastAsia="en-AU"/>
        </w:rPr>
        <w:t xml:space="preserve">.  Reflecting this role, the Finance Secretary, Mr David Tune, is a member of the </w:t>
      </w:r>
      <w:r w:rsidR="00F42A02" w:rsidRPr="00371C44">
        <w:rPr>
          <w:rFonts w:ascii="Times New Roman" w:eastAsia="Times New Roman" w:hAnsi="Times New Roman"/>
          <w:sz w:val="26"/>
          <w:szCs w:val="20"/>
          <w:lang w:eastAsia="en-AU"/>
        </w:rPr>
        <w:t>Commonwealth’s Reconstr</w:t>
      </w:r>
      <w:r w:rsidR="00D435FE" w:rsidRPr="00371C44">
        <w:rPr>
          <w:rFonts w:ascii="Times New Roman" w:eastAsia="Times New Roman" w:hAnsi="Times New Roman"/>
          <w:sz w:val="26"/>
          <w:szCs w:val="20"/>
          <w:lang w:eastAsia="en-AU"/>
        </w:rPr>
        <w:t>uction Inspectorate</w:t>
      </w:r>
      <w:r w:rsidR="00F95B86" w:rsidRPr="00371C44">
        <w:rPr>
          <w:rFonts w:ascii="Times New Roman" w:eastAsia="Times New Roman" w:hAnsi="Times New Roman"/>
          <w:sz w:val="26"/>
          <w:szCs w:val="20"/>
          <w:lang w:eastAsia="en-AU"/>
        </w:rPr>
        <w:t>.</w:t>
      </w:r>
      <w:r w:rsidR="00371C44" w:rsidRPr="00371C44">
        <w:rPr>
          <w:rFonts w:ascii="Times New Roman" w:eastAsia="Times New Roman" w:hAnsi="Times New Roman"/>
          <w:sz w:val="26"/>
          <w:szCs w:val="20"/>
          <w:lang w:eastAsia="en-AU"/>
        </w:rPr>
        <w:t xml:space="preserve"> </w:t>
      </w:r>
    </w:p>
    <w:p w:rsidR="000C7294" w:rsidRPr="00371C44" w:rsidRDefault="00F25FC8" w:rsidP="00F25FC8">
      <w:pPr>
        <w:pStyle w:val="BodyText"/>
        <w:numPr>
          <w:ilvl w:val="0"/>
          <w:numId w:val="13"/>
        </w:numPr>
        <w:ind w:left="0" w:firstLine="0"/>
      </w:pPr>
      <w:r>
        <w:t>The other</w:t>
      </w:r>
      <w:r w:rsidR="000C7294" w:rsidRPr="00371C44">
        <w:t xml:space="preserve"> members of the Inspectorate are providing a separate submission.</w:t>
      </w:r>
    </w:p>
    <w:p w:rsidR="00ED5055" w:rsidRDefault="000C7294" w:rsidP="00F25FC8">
      <w:pPr>
        <w:pStyle w:val="BodyText"/>
        <w:numPr>
          <w:ilvl w:val="0"/>
          <w:numId w:val="13"/>
        </w:numPr>
        <w:ind w:left="0" w:firstLine="0"/>
      </w:pPr>
      <w:r>
        <w:t xml:space="preserve">In practice, funding for road works has become by far the largest component of Natural Disaster Relief and Recovery Arrangements (NDRRA) expenditure.  </w:t>
      </w:r>
      <w:r w:rsidR="00371C44">
        <w:t>Accordingly</w:t>
      </w:r>
      <w:r>
        <w:t xml:space="preserve">, this submission focuses on </w:t>
      </w:r>
      <w:r w:rsidR="00BC2F9C">
        <w:t xml:space="preserve">road </w:t>
      </w:r>
      <w:r>
        <w:t xml:space="preserve">funding </w:t>
      </w:r>
      <w:r w:rsidR="00BC2F9C">
        <w:t xml:space="preserve">provided under the provisions for the restoration of essential public works (under </w:t>
      </w:r>
      <w:r w:rsidR="000F0CB9">
        <w:t xml:space="preserve">Category B of </w:t>
      </w:r>
      <w:r w:rsidR="0094532A">
        <w:t xml:space="preserve">the </w:t>
      </w:r>
      <w:r w:rsidR="0051292A">
        <w:t>NDRRA</w:t>
      </w:r>
      <w:r w:rsidR="00BC2F9C">
        <w:t xml:space="preserve">), including the impact on </w:t>
      </w:r>
      <w:r w:rsidR="00ED5055">
        <w:t xml:space="preserve">cost-effective decision making.  </w:t>
      </w:r>
    </w:p>
    <w:p w:rsidR="0051292A" w:rsidRPr="00F25FC8" w:rsidRDefault="00736A94" w:rsidP="00F25FC8">
      <w:pPr>
        <w:pStyle w:val="BodyText"/>
        <w:numPr>
          <w:ilvl w:val="0"/>
          <w:numId w:val="13"/>
        </w:numPr>
        <w:ind w:left="0" w:firstLine="0"/>
      </w:pPr>
      <w:r w:rsidRPr="00F25FC8">
        <w:t>The relevant context is</w:t>
      </w:r>
      <w:r w:rsidR="0051292A" w:rsidRPr="00F25FC8">
        <w:t>:</w:t>
      </w:r>
    </w:p>
    <w:p w:rsidR="001C3D54" w:rsidRDefault="00A23D82" w:rsidP="00F25FC8">
      <w:pPr>
        <w:pStyle w:val="BodyText"/>
        <w:numPr>
          <w:ilvl w:val="0"/>
          <w:numId w:val="18"/>
        </w:numPr>
      </w:pPr>
      <w:r>
        <w:t xml:space="preserve">For the period </w:t>
      </w:r>
      <w:r w:rsidR="00466688">
        <w:t xml:space="preserve">2010-11 </w:t>
      </w:r>
      <w:r>
        <w:t xml:space="preserve">to </w:t>
      </w:r>
      <w:r w:rsidR="00466688">
        <w:t>2015-16</w:t>
      </w:r>
      <w:r w:rsidR="001C3D54">
        <w:t xml:space="preserve">, </w:t>
      </w:r>
      <w:r>
        <w:t xml:space="preserve">the current estimate of </w:t>
      </w:r>
      <w:r w:rsidR="001C3D54">
        <w:t xml:space="preserve">Commonwealth </w:t>
      </w:r>
      <w:r>
        <w:t xml:space="preserve">payments under the NDRRA is </w:t>
      </w:r>
      <w:r w:rsidR="001C3D54">
        <w:t>$</w:t>
      </w:r>
      <w:r w:rsidR="00466688">
        <w:t>11.5 billion</w:t>
      </w:r>
      <w:r w:rsidR="00163056">
        <w:t xml:space="preserve"> (which on average is $1.9 billion per annum)</w:t>
      </w:r>
      <w:r>
        <w:t>.</w:t>
      </w:r>
      <w:r w:rsidR="00466688">
        <w:t xml:space="preserve">  </w:t>
      </w:r>
      <w:r w:rsidR="009C79C7">
        <w:t>For the ten years prior to 2010-11, expenditure averaged under $100 million per annum, with only one year (2008-09) exceeding $200 million</w:t>
      </w:r>
      <w:r>
        <w:rPr>
          <w:rStyle w:val="FootnoteReference"/>
        </w:rPr>
        <w:footnoteReference w:id="1"/>
      </w:r>
      <w:r>
        <w:t xml:space="preserve">  The increase </w:t>
      </w:r>
      <w:r w:rsidR="0066677A">
        <w:t xml:space="preserve">in recent years </w:t>
      </w:r>
      <w:r>
        <w:t xml:space="preserve">largely relates to </w:t>
      </w:r>
      <w:r w:rsidR="00D11E63">
        <w:t xml:space="preserve">natural </w:t>
      </w:r>
      <w:r>
        <w:t>disaster</w:t>
      </w:r>
      <w:r w:rsidR="00D11E63">
        <w:t>s</w:t>
      </w:r>
      <w:r>
        <w:t xml:space="preserve"> in Queensland</w:t>
      </w:r>
      <w:r w:rsidR="009C79C7">
        <w:t>.</w:t>
      </w:r>
      <w:r w:rsidR="00466688" w:rsidRPr="00D61E80">
        <w:rPr>
          <w:rStyle w:val="FootnoteReference"/>
        </w:rPr>
        <w:t xml:space="preserve"> </w:t>
      </w:r>
    </w:p>
    <w:p w:rsidR="0066677A" w:rsidRDefault="00AE6AD2" w:rsidP="00F25FC8">
      <w:pPr>
        <w:pStyle w:val="BodyText"/>
        <w:numPr>
          <w:ilvl w:val="0"/>
          <w:numId w:val="18"/>
        </w:numPr>
      </w:pPr>
      <w:r>
        <w:t>A</w:t>
      </w:r>
      <w:r w:rsidR="00DF1CD2">
        <w:t>round 90 per cent of NDRRA funding</w:t>
      </w:r>
      <w:r w:rsidR="00A47224">
        <w:t xml:space="preserve"> </w:t>
      </w:r>
      <w:r w:rsidR="009C79C7">
        <w:t xml:space="preserve">in recent years </w:t>
      </w:r>
      <w:r w:rsidR="00DF1CD2">
        <w:t>has been for the restoration of essential public assets</w:t>
      </w:r>
      <w:r w:rsidR="00A23D82">
        <w:t xml:space="preserve"> under Category B</w:t>
      </w:r>
      <w:r w:rsidR="00DF1CD2">
        <w:t xml:space="preserve">.  Most of this is for road works </w:t>
      </w:r>
      <w:r w:rsidR="00BA6CB8">
        <w:t>(generally relating to work undertaken in the two years following the event)</w:t>
      </w:r>
      <w:r w:rsidRPr="00D61E80">
        <w:rPr>
          <w:rStyle w:val="FootnoteReference"/>
        </w:rPr>
        <w:footnoteReference w:id="2"/>
      </w:r>
      <w:r w:rsidR="00DF1CD2">
        <w:t xml:space="preserve">.   </w:t>
      </w:r>
      <w:r w:rsidR="00152F68">
        <w:t xml:space="preserve">The available data indicates that </w:t>
      </w:r>
      <w:r>
        <w:t xml:space="preserve">road funding accounted for </w:t>
      </w:r>
      <w:r w:rsidR="00152F68">
        <w:t>a much lower percentage of NDRRA funding in the years before 2010-11</w:t>
      </w:r>
      <w:r w:rsidR="00D61E80">
        <w:t>.</w:t>
      </w:r>
      <w:r w:rsidRPr="00D61E80">
        <w:rPr>
          <w:rStyle w:val="FootnoteReference"/>
        </w:rPr>
        <w:footnoteReference w:id="3"/>
      </w:r>
      <w:r w:rsidR="00DF1CD2">
        <w:t xml:space="preserve"> </w:t>
      </w:r>
    </w:p>
    <w:p w:rsidR="00DF1CD2" w:rsidRDefault="00DF1CD2" w:rsidP="0066677A">
      <w:pPr>
        <w:pStyle w:val="BodyText"/>
      </w:pPr>
      <w:r>
        <w:t xml:space="preserve">   </w:t>
      </w:r>
    </w:p>
    <w:p w:rsidR="000036D0" w:rsidRDefault="000036D0" w:rsidP="00F25FC8">
      <w:pPr>
        <w:pStyle w:val="BodyText"/>
        <w:numPr>
          <w:ilvl w:val="0"/>
          <w:numId w:val="18"/>
        </w:numPr>
      </w:pPr>
      <w:r w:rsidRPr="00633BE2">
        <w:t xml:space="preserve">The </w:t>
      </w:r>
      <w:r>
        <w:t xml:space="preserve">Category B </w:t>
      </w:r>
      <w:r w:rsidRPr="00633BE2">
        <w:t xml:space="preserve">assistance </w:t>
      </w:r>
      <w:r>
        <w:t>under the NDRRA is intended to</w:t>
      </w:r>
      <w:r w:rsidR="00371C44">
        <w:t xml:space="preserve"> reduce the fiscal burden on a s</w:t>
      </w:r>
      <w:r>
        <w:t xml:space="preserve">tate from replacing/repairing essential public assets following natural </w:t>
      </w:r>
      <w:r>
        <w:lastRenderedPageBreak/>
        <w:t xml:space="preserve">disasters, in conjunction with </w:t>
      </w:r>
      <w:r w:rsidR="00CC4DB7">
        <w:t>state</w:t>
      </w:r>
      <w:r>
        <w:t xml:space="preserve"> measures including </w:t>
      </w:r>
      <w:r w:rsidRPr="00633BE2">
        <w:t>insurance and disaster mitigation planning</w:t>
      </w:r>
      <w:r>
        <w:t xml:space="preserve"> and implementation.</w:t>
      </w:r>
    </w:p>
    <w:p w:rsidR="00794545" w:rsidRDefault="00211EF6" w:rsidP="00F25FC8">
      <w:pPr>
        <w:pStyle w:val="BodyText"/>
        <w:numPr>
          <w:ilvl w:val="0"/>
          <w:numId w:val="18"/>
        </w:numPr>
      </w:pPr>
      <w:r>
        <w:t xml:space="preserve">Under </w:t>
      </w:r>
      <w:r w:rsidR="000F0CB9">
        <w:t>Category B</w:t>
      </w:r>
      <w:r>
        <w:t xml:space="preserve">, the Commonwealth provides up to 75 per cent of the cost of </w:t>
      </w:r>
      <w:r w:rsidR="009C79C7">
        <w:t xml:space="preserve">restoration or replacement of </w:t>
      </w:r>
      <w:r w:rsidR="00371C44">
        <w:t>s</w:t>
      </w:r>
      <w:r>
        <w:t xml:space="preserve">tate and local government </w:t>
      </w:r>
      <w:r w:rsidR="009C79C7">
        <w:t>essential public assets directly</w:t>
      </w:r>
      <w:r w:rsidR="00FB31D9">
        <w:t xml:space="preserve"> </w:t>
      </w:r>
      <w:r w:rsidR="00DF1CD2">
        <w:t>damaged by natural disasters</w:t>
      </w:r>
      <w:r>
        <w:t>.</w:t>
      </w:r>
      <w:r w:rsidR="009C79C7">
        <w:t xml:space="preserve">  This include</w:t>
      </w:r>
      <w:r w:rsidR="000036D0">
        <w:t>s</w:t>
      </w:r>
      <w:r w:rsidR="009C79C7">
        <w:t xml:space="preserve"> roads that </w:t>
      </w:r>
      <w:r w:rsidR="00C73E2F">
        <w:t xml:space="preserve">the state has assessed to be a </w:t>
      </w:r>
      <w:r w:rsidR="00AD546E">
        <w:t xml:space="preserve">necessary and integral part of </w:t>
      </w:r>
      <w:r w:rsidR="00C73E2F">
        <w:t xml:space="preserve">the state’s </w:t>
      </w:r>
      <w:r w:rsidR="00AD546E">
        <w:t>infrastructure</w:t>
      </w:r>
      <w:r w:rsidR="00C73E2F">
        <w:t xml:space="preserve">, which if lost would severely </w:t>
      </w:r>
      <w:r w:rsidR="00AD546E">
        <w:t>disrupt the normal functioning of a community.</w:t>
      </w:r>
      <w:r w:rsidR="00C73E2F">
        <w:t xml:space="preserve">  </w:t>
      </w:r>
    </w:p>
    <w:p w:rsidR="00371C44" w:rsidRDefault="00C73E2F" w:rsidP="00F25FC8">
      <w:pPr>
        <w:pStyle w:val="BodyText"/>
        <w:numPr>
          <w:ilvl w:val="0"/>
          <w:numId w:val="18"/>
        </w:numPr>
      </w:pPr>
      <w:r>
        <w:t xml:space="preserve">The 75 per cent </w:t>
      </w:r>
      <w:r w:rsidR="00C442A3">
        <w:t xml:space="preserve">Commonwealth </w:t>
      </w:r>
      <w:r>
        <w:t xml:space="preserve">contribution applies after </w:t>
      </w:r>
      <w:r w:rsidR="00EE0675">
        <w:t xml:space="preserve">eligible </w:t>
      </w:r>
      <w:r>
        <w:t xml:space="preserve">state expenditure </w:t>
      </w:r>
      <w:r w:rsidR="00794545">
        <w:t>on natural disasters for the financial year exceeds around 0.4 per cent of the state’s total general government revenue and grants received.</w:t>
      </w:r>
      <w:r w:rsidR="00EE0675">
        <w:t xml:space="preserve">  (Eligible expenditure includes state expenditure on a natural disaster in excess of $240,000</w:t>
      </w:r>
      <w:r w:rsidR="00371C44">
        <w:t>.)</w:t>
      </w:r>
      <w:r w:rsidR="00EE0675">
        <w:t xml:space="preserve"> </w:t>
      </w:r>
    </w:p>
    <w:p w:rsidR="00371C44" w:rsidRDefault="00371C44" w:rsidP="00F25FC8">
      <w:pPr>
        <w:pStyle w:val="BodyText"/>
        <w:numPr>
          <w:ilvl w:val="0"/>
          <w:numId w:val="18"/>
        </w:numPr>
      </w:pPr>
      <w:r>
        <w:t>Since 2007, t</w:t>
      </w:r>
      <w:r w:rsidRPr="007054DC">
        <w:t xml:space="preserve">he NDRRA </w:t>
      </w:r>
      <w:r>
        <w:t>ha</w:t>
      </w:r>
      <w:r w:rsidR="00C442A3">
        <w:t>ve</w:t>
      </w:r>
      <w:r>
        <w:t xml:space="preserve"> </w:t>
      </w:r>
      <w:r w:rsidR="00C442A3">
        <w:t>included</w:t>
      </w:r>
      <w:r w:rsidRPr="007054DC">
        <w:t xml:space="preserve"> </w:t>
      </w:r>
      <w:r w:rsidR="00C442A3">
        <w:t xml:space="preserve">a </w:t>
      </w:r>
      <w:r w:rsidRPr="007054DC">
        <w:t xml:space="preserve">provision for </w:t>
      </w:r>
      <w:r>
        <w:t xml:space="preserve">betterment funding (to restore an </w:t>
      </w:r>
      <w:r w:rsidRPr="00045C3D">
        <w:t>essential public asset</w:t>
      </w:r>
      <w:r>
        <w:t>, damaged by a</w:t>
      </w:r>
      <w:r w:rsidR="00A23D82">
        <w:t xml:space="preserve"> natural </w:t>
      </w:r>
      <w:r w:rsidRPr="00045C3D">
        <w:t>disaster</w:t>
      </w:r>
      <w:r w:rsidR="00F25FC8">
        <w:t>,</w:t>
      </w:r>
      <w:r w:rsidRPr="00CC7EA6">
        <w:t xml:space="preserve"> </w:t>
      </w:r>
      <w:r>
        <w:t>to a more disaster</w:t>
      </w:r>
      <w:r>
        <w:noBreakHyphen/>
        <w:t>resilient</w:t>
      </w:r>
      <w:r w:rsidRPr="00CC7EA6">
        <w:t xml:space="preserve"> </w:t>
      </w:r>
      <w:r>
        <w:t>standard than its pre-disaster condition)</w:t>
      </w:r>
      <w:r w:rsidRPr="007054DC">
        <w:t xml:space="preserve">.  The Commonwealth may reimburse up to one third of the betterment costs associated with restoring or replacing a local government owned asset, or up to 50 per cent of the betterment costs for restoring or replacing a state owned asset. </w:t>
      </w:r>
      <w:r>
        <w:t>This provision has been little used.  In contrast, a joint Commonwealth-Queensland $80 million betterment fund has received a high level of applications.</w:t>
      </w:r>
    </w:p>
    <w:p w:rsidR="00FB31D9" w:rsidRDefault="00371C44" w:rsidP="00F25FC8">
      <w:pPr>
        <w:pStyle w:val="BodyText"/>
        <w:numPr>
          <w:ilvl w:val="0"/>
          <w:numId w:val="18"/>
        </w:numPr>
      </w:pPr>
      <w:r>
        <w:t>While s</w:t>
      </w:r>
      <w:r w:rsidR="00EE207F">
        <w:t xml:space="preserve">tate </w:t>
      </w:r>
      <w:r w:rsidR="00C442A3">
        <w:t>g</w:t>
      </w:r>
      <w:r w:rsidR="00EE207F">
        <w:t>overnments have put in place insurance arrangements, including self</w:t>
      </w:r>
      <w:r w:rsidR="00EE207F">
        <w:noBreakHyphen/>
        <w:t>insurance arrangements</w:t>
      </w:r>
      <w:r w:rsidR="00DA4608">
        <w:t>,</w:t>
      </w:r>
      <w:r w:rsidR="00EE207F">
        <w:t xml:space="preserve"> for a range of public assets, these arrangements have generally not been extended to roads</w:t>
      </w:r>
      <w:r>
        <w:t xml:space="preserve">. In particular, </w:t>
      </w:r>
      <w:r w:rsidR="0016400F">
        <w:t>Queensland does not insure roads</w:t>
      </w:r>
      <w:r w:rsidR="00EE207F">
        <w:t>.</w:t>
      </w:r>
      <w:r w:rsidR="008737AA">
        <w:t xml:space="preserve">  Conventional private sector insurance cover for roads appears difficult or impossible to obtain in som</w:t>
      </w:r>
      <w:r>
        <w:t>e cases, but it is unclear what s</w:t>
      </w:r>
      <w:r w:rsidR="008737AA">
        <w:t>tate self-insurance arrangements</w:t>
      </w:r>
      <w:r w:rsidR="00045C3D">
        <w:t xml:space="preserve"> would have applied</w:t>
      </w:r>
      <w:r w:rsidR="008737AA">
        <w:t xml:space="preserve"> </w:t>
      </w:r>
      <w:r w:rsidR="00A23D82">
        <w:t xml:space="preserve">in the absence of the </w:t>
      </w:r>
      <w:r w:rsidR="008737AA">
        <w:t xml:space="preserve">NDRRA.  </w:t>
      </w:r>
      <w:r w:rsidR="00DA4608">
        <w:t xml:space="preserve">  </w:t>
      </w:r>
      <w:r w:rsidR="00E601A4">
        <w:t xml:space="preserve">  </w:t>
      </w:r>
      <w:r w:rsidR="00EE207F">
        <w:t xml:space="preserve">  </w:t>
      </w:r>
    </w:p>
    <w:p w:rsidR="00736A94" w:rsidRPr="00CC4DB7" w:rsidRDefault="00736A94" w:rsidP="00CC4DB7">
      <w:pPr>
        <w:pStyle w:val="BodyText"/>
        <w:rPr>
          <w:b/>
        </w:rPr>
      </w:pPr>
      <w:r w:rsidRPr="00736A94">
        <w:rPr>
          <w:b/>
        </w:rPr>
        <w:t xml:space="preserve">Implications </w:t>
      </w:r>
      <w:r w:rsidR="00EE0675">
        <w:rPr>
          <w:b/>
        </w:rPr>
        <w:t>for cost effective decision-making and resource allocation</w:t>
      </w:r>
    </w:p>
    <w:p w:rsidR="00EE0675" w:rsidRDefault="00371C44" w:rsidP="00F25FC8">
      <w:pPr>
        <w:pStyle w:val="BodyText"/>
        <w:numPr>
          <w:ilvl w:val="0"/>
          <w:numId w:val="13"/>
        </w:numPr>
        <w:ind w:left="0" w:firstLine="0"/>
      </w:pPr>
      <w:r>
        <w:t>In general, s</w:t>
      </w:r>
      <w:r w:rsidR="00633D19">
        <w:t xml:space="preserve">tates and local governments are responsible for expenditure decisions </w:t>
      </w:r>
      <w:r w:rsidR="00EE0675">
        <w:t>on roads</w:t>
      </w:r>
      <w:r w:rsidR="00633D19">
        <w:t xml:space="preserve">, including matters such as </w:t>
      </w:r>
      <w:r w:rsidR="00EE0675">
        <w:t>engineering standards</w:t>
      </w:r>
      <w:r w:rsidR="00633D19">
        <w:t xml:space="preserve">, road maintenance and addressing disaster resilience requirements.  </w:t>
      </w:r>
      <w:r w:rsidR="00C442A3">
        <w:t xml:space="preserve">These can be seen as matters that, as far as practicable, are </w:t>
      </w:r>
      <w:r w:rsidR="00633D19">
        <w:t xml:space="preserve">best </w:t>
      </w:r>
      <w:r w:rsidR="00EE0675">
        <w:t xml:space="preserve">left to the relevant level of government, </w:t>
      </w:r>
      <w:r w:rsidR="00633D19">
        <w:t xml:space="preserve">which would be </w:t>
      </w:r>
      <w:r w:rsidR="00EE0675">
        <w:t>best placed to assess priorities, ass</w:t>
      </w:r>
      <w:r w:rsidR="00CC4DB7">
        <w:t>et conditions and risks at the s</w:t>
      </w:r>
      <w:r w:rsidR="00EE0675">
        <w:t>tate and local level.</w:t>
      </w:r>
    </w:p>
    <w:p w:rsidR="00633D19" w:rsidRDefault="00D6761D" w:rsidP="00F25FC8">
      <w:pPr>
        <w:pStyle w:val="BodyText"/>
        <w:numPr>
          <w:ilvl w:val="0"/>
          <w:numId w:val="13"/>
        </w:numPr>
        <w:ind w:left="0" w:firstLine="0"/>
      </w:pPr>
      <w:r>
        <w:t>W</w:t>
      </w:r>
      <w:r w:rsidR="00633D19" w:rsidRPr="00633D19">
        <w:t xml:space="preserve">hen the </w:t>
      </w:r>
      <w:r w:rsidR="00684F42" w:rsidRPr="00633D19">
        <w:t>ND</w:t>
      </w:r>
      <w:r w:rsidR="00684F42">
        <w:t>R</w:t>
      </w:r>
      <w:r w:rsidR="00684F42" w:rsidRPr="00633D19">
        <w:t>RA</w:t>
      </w:r>
      <w:r w:rsidR="00633D19" w:rsidRPr="00633D19">
        <w:t xml:space="preserve"> Category B provisions are triggered, the </w:t>
      </w:r>
      <w:r w:rsidR="00684F42" w:rsidRPr="00633D19">
        <w:t>Commonwealth</w:t>
      </w:r>
      <w:r w:rsidR="00633D19" w:rsidRPr="00633D19">
        <w:t xml:space="preserve"> provides up to 75 per cent </w:t>
      </w:r>
      <w:r w:rsidR="00371C44">
        <w:t>of state</w:t>
      </w:r>
      <w:r w:rsidR="00633D19" w:rsidRPr="00633D19">
        <w:t xml:space="preserve"> and local government costs </w:t>
      </w:r>
      <w:r w:rsidR="00633D19">
        <w:t>of restoring the assets to the pre-disaster condition.</w:t>
      </w:r>
    </w:p>
    <w:p w:rsidR="003448F3" w:rsidRDefault="00D6761D" w:rsidP="00F25FC8">
      <w:pPr>
        <w:pStyle w:val="BodyText"/>
        <w:numPr>
          <w:ilvl w:val="0"/>
          <w:numId w:val="13"/>
        </w:numPr>
        <w:ind w:left="0" w:firstLine="0"/>
      </w:pPr>
      <w:r>
        <w:t xml:space="preserve">Accordingly, there is </w:t>
      </w:r>
      <w:r w:rsidR="00633D19">
        <w:t xml:space="preserve">a major </w:t>
      </w:r>
      <w:r w:rsidR="009002A3">
        <w:t>difference</w:t>
      </w:r>
      <w:r w:rsidR="00633D19">
        <w:t xml:space="preserve"> between </w:t>
      </w:r>
      <w:r w:rsidR="00152F68">
        <w:t xml:space="preserve">(a) </w:t>
      </w:r>
      <w:r w:rsidR="00633D19">
        <w:t xml:space="preserve">the normal </w:t>
      </w:r>
      <w:r w:rsidR="003F1C1E">
        <w:t xml:space="preserve">funding, </w:t>
      </w:r>
      <w:r w:rsidR="00633D19">
        <w:t>decision</w:t>
      </w:r>
      <w:r w:rsidR="00371C44">
        <w:t xml:space="preserve"> making and accountability for s</w:t>
      </w:r>
      <w:r w:rsidR="00633D19">
        <w:t xml:space="preserve">tate and local government roads and </w:t>
      </w:r>
      <w:r w:rsidR="00152F68">
        <w:t xml:space="preserve">(b) </w:t>
      </w:r>
      <w:r w:rsidR="00633D19">
        <w:t xml:space="preserve">funding responsibility following a natural disaster.  </w:t>
      </w:r>
    </w:p>
    <w:p w:rsidR="001B1D01" w:rsidRDefault="003448F3" w:rsidP="00F25FC8">
      <w:pPr>
        <w:pStyle w:val="BodyText"/>
        <w:numPr>
          <w:ilvl w:val="0"/>
          <w:numId w:val="13"/>
        </w:numPr>
        <w:ind w:left="0" w:firstLine="0"/>
      </w:pPr>
      <w:r>
        <w:lastRenderedPageBreak/>
        <w:t>Th</w:t>
      </w:r>
      <w:r w:rsidR="0066677A">
        <w:t>is</w:t>
      </w:r>
      <w:r>
        <w:t xml:space="preserve"> changes the financial costs/benefits relationship </w:t>
      </w:r>
      <w:r w:rsidR="001C608A">
        <w:t xml:space="preserve">for </w:t>
      </w:r>
      <w:r>
        <w:t>state and local government</w:t>
      </w:r>
      <w:r w:rsidR="001C608A">
        <w:t xml:space="preserve"> decision making </w:t>
      </w:r>
      <w:r>
        <w:t xml:space="preserve">on road expenditure and </w:t>
      </w:r>
      <w:r w:rsidR="00371C44" w:rsidRPr="00152F68">
        <w:t>may lead to under</w:t>
      </w:r>
      <w:r>
        <w:noBreakHyphen/>
      </w:r>
      <w:r w:rsidR="00371C44" w:rsidRPr="00152F68">
        <w:t>investment in mitigation of</w:t>
      </w:r>
      <w:r w:rsidR="00AD546E" w:rsidRPr="00152F68">
        <w:t xml:space="preserve"> disaster risks </w:t>
      </w:r>
      <w:r w:rsidR="0066677A">
        <w:t>(</w:t>
      </w:r>
      <w:r w:rsidR="00BA62DA">
        <w:t xml:space="preserve">for instance, </w:t>
      </w:r>
      <w:r w:rsidR="00371C44" w:rsidRPr="00152F68">
        <w:t xml:space="preserve">through </w:t>
      </w:r>
      <w:r w:rsidR="001C608A">
        <w:t xml:space="preserve">the choice of </w:t>
      </w:r>
      <w:r w:rsidR="00AD546E" w:rsidRPr="00152F68">
        <w:t xml:space="preserve">construction techniques or </w:t>
      </w:r>
      <w:r w:rsidR="00371C44" w:rsidRPr="00152F68">
        <w:t xml:space="preserve">the </w:t>
      </w:r>
      <w:r w:rsidR="001C608A">
        <w:t>location of r</w:t>
      </w:r>
      <w:r w:rsidR="00AD546E" w:rsidRPr="00152F68">
        <w:t>oads</w:t>
      </w:r>
      <w:r w:rsidR="0066677A">
        <w:t>)</w:t>
      </w:r>
      <w:r w:rsidR="00AD546E">
        <w:t>.</w:t>
      </w:r>
      <w:r w:rsidR="00371C44">
        <w:t xml:space="preserve"> The arrangements could</w:t>
      </w:r>
      <w:r w:rsidR="00AD546E">
        <w:t xml:space="preserve"> also create</w:t>
      </w:r>
      <w:r w:rsidR="00891EC2">
        <w:t xml:space="preserve"> a </w:t>
      </w:r>
      <w:r w:rsidR="00AD546E">
        <w:t>disincentive for further consideration of non</w:t>
      </w:r>
      <w:r w:rsidR="00AD546E">
        <w:noBreakHyphen/>
        <w:t xml:space="preserve">conventional insurance or self-insurance for roads affected </w:t>
      </w:r>
      <w:r w:rsidR="00D0693F">
        <w:t xml:space="preserve">by </w:t>
      </w:r>
      <w:r w:rsidR="00AD546E">
        <w:t>disaster events.</w:t>
      </w:r>
      <w:r w:rsidR="001B1D01">
        <w:t xml:space="preserve">  I</w:t>
      </w:r>
      <w:r w:rsidR="00AD546E">
        <w:t>n areas where Category B declaratio</w:t>
      </w:r>
      <w:r w:rsidR="00B44129">
        <w:t xml:space="preserve">ns are relatively frequent, it </w:t>
      </w:r>
      <w:r w:rsidR="001B1D01">
        <w:t>w</w:t>
      </w:r>
      <w:r w:rsidR="00AD546E">
        <w:t>ould also change</w:t>
      </w:r>
      <w:r w:rsidR="001B1D01">
        <w:t xml:space="preserve"> </w:t>
      </w:r>
      <w:r w:rsidR="00AD546E">
        <w:t>the risk/reward structure between regular road maintenance expenditure and expenditure following a disaster declaration.</w:t>
      </w:r>
    </w:p>
    <w:p w:rsidR="001B1D01" w:rsidRDefault="001B1D01" w:rsidP="00F25FC8">
      <w:pPr>
        <w:pStyle w:val="BodyText"/>
        <w:numPr>
          <w:ilvl w:val="0"/>
          <w:numId w:val="13"/>
        </w:numPr>
        <w:ind w:left="0" w:firstLine="0"/>
      </w:pPr>
      <w:r>
        <w:t xml:space="preserve">Overall, </w:t>
      </w:r>
      <w:r w:rsidR="00A23D82">
        <w:t xml:space="preserve">the </w:t>
      </w:r>
      <w:r>
        <w:t xml:space="preserve">gaps between costs and benefits for decision makers could be expected to have a negative impact on resource allocation.  It does not appear possible to quantify these impacts.  </w:t>
      </w:r>
      <w:r w:rsidR="00684F42">
        <w:t>However, the response to NDRRA betterment provisions may provide an illustration of how alternative incentives affect behaviour.</w:t>
      </w:r>
    </w:p>
    <w:p w:rsidR="003619FB" w:rsidRDefault="001B1D01" w:rsidP="00F25FC8">
      <w:pPr>
        <w:pStyle w:val="BodyText"/>
        <w:numPr>
          <w:ilvl w:val="0"/>
          <w:numId w:val="13"/>
        </w:numPr>
        <w:ind w:left="0" w:firstLine="0"/>
      </w:pPr>
      <w:r>
        <w:t>As noted above, t</w:t>
      </w:r>
      <w:r w:rsidRPr="007054DC">
        <w:t>he Commonwealth may reimburse up to one third of the betterment costs associated with restoring or replacing a local government owned asset, or up to 50 per cent of the betterment costs for restoring or replacing a state owned asset.</w:t>
      </w:r>
      <w:r>
        <w:t xml:space="preserve"> </w:t>
      </w:r>
      <w:r w:rsidR="003619FB">
        <w:t xml:space="preserve">  A requirement is that a more disaster</w:t>
      </w:r>
      <w:r w:rsidR="003619FB">
        <w:noBreakHyphen/>
        <w:t>resilient</w:t>
      </w:r>
      <w:r w:rsidR="003619FB" w:rsidRPr="00CC7EA6">
        <w:t xml:space="preserve"> </w:t>
      </w:r>
      <w:r w:rsidR="003619FB">
        <w:t xml:space="preserve">standard be achieved than pre-disaster.  </w:t>
      </w:r>
      <w:r>
        <w:t xml:space="preserve">However, these provisions have been little used.  </w:t>
      </w:r>
      <w:r w:rsidR="003619FB">
        <w:t xml:space="preserve">On the face of it, this suggests that the arrangements create a strong incentive </w:t>
      </w:r>
      <w:r w:rsidR="00C306C5">
        <w:t xml:space="preserve">to undertake </w:t>
      </w:r>
      <w:r w:rsidR="003619FB">
        <w:t xml:space="preserve">activities </w:t>
      </w:r>
      <w:r w:rsidR="00A23D82">
        <w:t xml:space="preserve">on which </w:t>
      </w:r>
      <w:r w:rsidR="003619FB">
        <w:t>75 per cent Commonwealth funding</w:t>
      </w:r>
      <w:r w:rsidR="00A23D82">
        <w:t xml:space="preserve"> is claimed</w:t>
      </w:r>
      <w:r w:rsidR="003619FB">
        <w:t xml:space="preserve">, even if the </w:t>
      </w:r>
      <w:r w:rsidR="00163056">
        <w:t xml:space="preserve">better long term </w:t>
      </w:r>
      <w:r w:rsidR="003619FB">
        <w:t xml:space="preserve">alternative </w:t>
      </w:r>
      <w:r w:rsidR="00163056">
        <w:t xml:space="preserve">option </w:t>
      </w:r>
      <w:r w:rsidR="003619FB">
        <w:t>is expenditure on more disaster</w:t>
      </w:r>
      <w:r w:rsidR="003619FB">
        <w:noBreakHyphen/>
        <w:t xml:space="preserve">resilient assets </w:t>
      </w:r>
      <w:r w:rsidR="00163056">
        <w:t>but which attract</w:t>
      </w:r>
      <w:r w:rsidR="00CB5929">
        <w:t>s</w:t>
      </w:r>
      <w:r w:rsidR="00163056">
        <w:t xml:space="preserve"> </w:t>
      </w:r>
      <w:r w:rsidR="003619FB">
        <w:t xml:space="preserve">a </w:t>
      </w:r>
      <w:r w:rsidR="007721C9">
        <w:t xml:space="preserve">substantial but </w:t>
      </w:r>
      <w:r w:rsidR="003619FB">
        <w:t xml:space="preserve">lower level of Commonwealth </w:t>
      </w:r>
      <w:r w:rsidR="007721C9">
        <w:t>contribution</w:t>
      </w:r>
      <w:r w:rsidR="003619FB">
        <w:t>.</w:t>
      </w:r>
      <w:r w:rsidR="00A144F7">
        <w:t xml:space="preserve">  </w:t>
      </w:r>
    </w:p>
    <w:p w:rsidR="00A23D82" w:rsidRPr="00A23D82" w:rsidRDefault="00891EC2" w:rsidP="00371C44">
      <w:pPr>
        <w:pStyle w:val="BodyText"/>
        <w:numPr>
          <w:ilvl w:val="0"/>
          <w:numId w:val="13"/>
        </w:numPr>
        <w:ind w:left="0" w:firstLine="0"/>
        <w:rPr>
          <w:i/>
        </w:rPr>
      </w:pPr>
      <w:r>
        <w:t xml:space="preserve">This contrasts to the experience with </w:t>
      </w:r>
      <w:r w:rsidR="00A35C33">
        <w:t xml:space="preserve">$80 million </w:t>
      </w:r>
      <w:r w:rsidR="00D0693F">
        <w:t>Betterment Fund</w:t>
      </w:r>
      <w:r w:rsidR="00C306C5">
        <w:t>,</w:t>
      </w:r>
      <w:r>
        <w:t xml:space="preserve"> jointly established by the Commonwealth and Queensland Governments in February 2013</w:t>
      </w:r>
      <w:r w:rsidR="00371C44">
        <w:t>.  Under this Fund, l</w:t>
      </w:r>
      <w:r w:rsidR="00A35C33">
        <w:t xml:space="preserve">ocal </w:t>
      </w:r>
      <w:r w:rsidR="00D0693F">
        <w:t>governments</w:t>
      </w:r>
      <w:r>
        <w:t xml:space="preserve"> could apply for grants of up to </w:t>
      </w:r>
      <w:r w:rsidR="00A35C33">
        <w:t xml:space="preserve">$2 million for betterment projects.  Local </w:t>
      </w:r>
      <w:r w:rsidR="00D0693F">
        <w:t xml:space="preserve">government </w:t>
      </w:r>
      <w:r w:rsidR="00A35C33">
        <w:t xml:space="preserve">contributions were considered to enhance applications but </w:t>
      </w:r>
      <w:r>
        <w:t>were</w:t>
      </w:r>
      <w:r w:rsidR="00A35C33">
        <w:t xml:space="preserve"> not required.</w:t>
      </w:r>
      <w:r w:rsidR="003619FB">
        <w:t xml:space="preserve">  </w:t>
      </w:r>
      <w:r w:rsidR="00D20B30" w:rsidRPr="00D20B30">
        <w:t xml:space="preserve">Expressions of </w:t>
      </w:r>
      <w:r w:rsidR="00D20B30">
        <w:t>i</w:t>
      </w:r>
      <w:r w:rsidR="00D20B30" w:rsidRPr="00D20B30">
        <w:t xml:space="preserve">nterest </w:t>
      </w:r>
      <w:r w:rsidR="00D20B30">
        <w:t xml:space="preserve">for funding </w:t>
      </w:r>
      <w:r w:rsidR="00D20B30" w:rsidRPr="00D20B30">
        <w:t xml:space="preserve">were received from </w:t>
      </w:r>
      <w:r w:rsidR="00A23D82">
        <w:t xml:space="preserve">local governments for more than </w:t>
      </w:r>
      <w:r w:rsidR="00D20B30" w:rsidRPr="00D20B30">
        <w:t xml:space="preserve">$1 billion worth of </w:t>
      </w:r>
      <w:r w:rsidR="009E2439">
        <w:t>b</w:t>
      </w:r>
      <w:r w:rsidR="00D20B30" w:rsidRPr="00D20B30">
        <w:t>etterment</w:t>
      </w:r>
      <w:r w:rsidR="00D20B30">
        <w:t xml:space="preserve"> </w:t>
      </w:r>
      <w:r w:rsidR="00D20B30" w:rsidRPr="00D20B30">
        <w:t>projects</w:t>
      </w:r>
      <w:r w:rsidR="00D20B30">
        <w:t xml:space="preserve">. </w:t>
      </w:r>
      <w:r w:rsidR="00C442A3">
        <w:t>Most of the</w:t>
      </w:r>
      <w:r w:rsidR="00D20B30" w:rsidRPr="00D20B30">
        <w:t xml:space="preserve"> Be</w:t>
      </w:r>
      <w:r w:rsidR="00D20B30">
        <w:t>tt</w:t>
      </w:r>
      <w:r w:rsidR="00D20B30" w:rsidRPr="00D20B30">
        <w:t xml:space="preserve">erment Fund has now been allocated. </w:t>
      </w:r>
      <w:r>
        <w:t xml:space="preserve"> </w:t>
      </w:r>
      <w:r w:rsidR="00045C3D">
        <w:t>T</w:t>
      </w:r>
      <w:r w:rsidR="00D20B30" w:rsidRPr="00DC497F">
        <w:t>he difference</w:t>
      </w:r>
      <w:r w:rsidR="00045C3D">
        <w:t>s</w:t>
      </w:r>
      <w:r w:rsidR="00D20B30" w:rsidRPr="00DC497F">
        <w:t xml:space="preserve"> </w:t>
      </w:r>
      <w:r>
        <w:t xml:space="preserve">from the NDRRA betterment provisions include that </w:t>
      </w:r>
      <w:r w:rsidR="00C306C5">
        <w:t xml:space="preserve">the Betterment Fund </w:t>
      </w:r>
      <w:r w:rsidR="00045C3D">
        <w:t>c</w:t>
      </w:r>
      <w:r>
        <w:t>ould</w:t>
      </w:r>
      <w:r w:rsidR="00045C3D">
        <w:t xml:space="preserve"> be applied for at any time</w:t>
      </w:r>
      <w:r w:rsidR="00C306C5">
        <w:t>,</w:t>
      </w:r>
      <w:r>
        <w:t xml:space="preserve"> rather than</w:t>
      </w:r>
      <w:r w:rsidR="00045C3D">
        <w:t xml:space="preserve"> after an eligible disaster</w:t>
      </w:r>
      <w:r w:rsidR="00C306C5">
        <w:t>,</w:t>
      </w:r>
      <w:r>
        <w:t xml:space="preserve"> and the </w:t>
      </w:r>
      <w:r w:rsidR="00D20B30" w:rsidRPr="00DC497F">
        <w:t>Commonwealth is providing a greater share of the funding</w:t>
      </w:r>
      <w:r w:rsidR="00DC497F" w:rsidRPr="00DC497F">
        <w:t>.</w:t>
      </w:r>
      <w:r w:rsidR="00371C44">
        <w:t xml:space="preserve"> </w:t>
      </w:r>
    </w:p>
    <w:p w:rsidR="00A23D82" w:rsidRDefault="00A23D82" w:rsidP="00A23D82">
      <w:pPr>
        <w:pStyle w:val="BodyText"/>
      </w:pPr>
    </w:p>
    <w:p w:rsidR="0066677A" w:rsidRDefault="0066677A">
      <w:pPr>
        <w:spacing w:after="120"/>
        <w:rPr>
          <w:rFonts w:ascii="Times New Roman" w:eastAsia="Times New Roman" w:hAnsi="Times New Roman" w:cs="Times New Roman"/>
          <w:i/>
          <w:sz w:val="26"/>
          <w:szCs w:val="20"/>
          <w:lang w:eastAsia="en-AU"/>
        </w:rPr>
      </w:pPr>
      <w:r>
        <w:rPr>
          <w:i/>
        </w:rPr>
        <w:br w:type="page"/>
      </w:r>
    </w:p>
    <w:p w:rsidR="007721C9" w:rsidRPr="00A23D82" w:rsidRDefault="007721C9" w:rsidP="00A23D82">
      <w:pPr>
        <w:pStyle w:val="BodyText"/>
        <w:rPr>
          <w:i/>
        </w:rPr>
      </w:pPr>
      <w:r w:rsidRPr="00A23D82">
        <w:rPr>
          <w:i/>
        </w:rPr>
        <w:lastRenderedPageBreak/>
        <w:t>Budget Allocation Issues</w:t>
      </w:r>
    </w:p>
    <w:p w:rsidR="00F84EF7" w:rsidRDefault="00F84EF7" w:rsidP="00F25FC8">
      <w:pPr>
        <w:pStyle w:val="BodyText"/>
        <w:numPr>
          <w:ilvl w:val="0"/>
          <w:numId w:val="13"/>
        </w:numPr>
        <w:ind w:left="0" w:firstLine="0"/>
      </w:pPr>
      <w:r>
        <w:t>Given the uncertainties involved in making reasonable estimates of the amounts of funding for future disaster, t</w:t>
      </w:r>
      <w:r w:rsidR="00F97525">
        <w:t>he Commonwealth</w:t>
      </w:r>
      <w:r w:rsidR="00AF28F9">
        <w:t xml:space="preserve"> </w:t>
      </w:r>
      <w:r w:rsidR="00F97525">
        <w:t xml:space="preserve">does not </w:t>
      </w:r>
      <w:r w:rsidR="00A144F7">
        <w:t xml:space="preserve">make </w:t>
      </w:r>
      <w:r w:rsidR="00F97525">
        <w:t xml:space="preserve">provision in </w:t>
      </w:r>
      <w:r w:rsidR="000B60D4">
        <w:t xml:space="preserve">its </w:t>
      </w:r>
      <w:r w:rsidR="00F97525">
        <w:t xml:space="preserve">estimates for future disasters, only for those that have occurred.  </w:t>
      </w:r>
    </w:p>
    <w:p w:rsidR="005151E3" w:rsidRDefault="00A144F7" w:rsidP="00F25FC8">
      <w:pPr>
        <w:pStyle w:val="BodyText"/>
        <w:numPr>
          <w:ilvl w:val="0"/>
          <w:numId w:val="13"/>
        </w:numPr>
        <w:ind w:left="0" w:firstLine="0"/>
      </w:pPr>
      <w:r>
        <w:t>After an event has occurred, the Commonwealth has no effective control over the level of eligible Category B expenditure that occurs</w:t>
      </w:r>
      <w:r w:rsidR="007721C9">
        <w:t xml:space="preserve"> (and there may also be significant changes in timing</w:t>
      </w:r>
      <w:r w:rsidR="00F84EF7">
        <w:t xml:space="preserve"> of </w:t>
      </w:r>
      <w:r w:rsidR="00C442A3">
        <w:t>payments compared to initial estimates</w:t>
      </w:r>
      <w:r w:rsidR="007721C9">
        <w:t>).</w:t>
      </w:r>
      <w:r>
        <w:t xml:space="preserve"> </w:t>
      </w:r>
      <w:r w:rsidR="00AF28F9">
        <w:t>As a result, NDRRA expenditure is not weighed against competing expenditure priorities through normal budget processes.</w:t>
      </w:r>
      <w:r w:rsidR="00356C59">
        <w:t xml:space="preserve">  </w:t>
      </w:r>
      <w:r w:rsidR="005151E3">
        <w:t xml:space="preserve">However, once events have occurred and the Commonwealth commitments estimated, </w:t>
      </w:r>
      <w:r w:rsidR="00F84EF7">
        <w:t>there is reduced scope</w:t>
      </w:r>
      <w:r w:rsidR="005151E3">
        <w:t xml:space="preserve"> for other Commonwealth expenditure wit</w:t>
      </w:r>
      <w:r w:rsidR="00F84EF7">
        <w:t xml:space="preserve">hin given fiscal constraints.  </w:t>
      </w:r>
    </w:p>
    <w:p w:rsidR="00FD6AA1" w:rsidRPr="00FD6AA1" w:rsidRDefault="00FD6AA1" w:rsidP="00F84EF7">
      <w:pPr>
        <w:pStyle w:val="BodyText"/>
        <w:rPr>
          <w:i/>
        </w:rPr>
      </w:pPr>
      <w:r w:rsidRPr="00FD6AA1">
        <w:rPr>
          <w:i/>
        </w:rPr>
        <w:t xml:space="preserve">Compliance </w:t>
      </w:r>
      <w:r w:rsidR="005A770A">
        <w:rPr>
          <w:i/>
        </w:rPr>
        <w:t>issues</w:t>
      </w:r>
    </w:p>
    <w:p w:rsidR="00356C59" w:rsidRDefault="00AF28F9" w:rsidP="00F25FC8">
      <w:pPr>
        <w:pStyle w:val="BodyText"/>
        <w:numPr>
          <w:ilvl w:val="0"/>
          <w:numId w:val="13"/>
        </w:numPr>
        <w:ind w:left="0" w:firstLine="0"/>
      </w:pPr>
      <w:r>
        <w:t xml:space="preserve">As Category B funding is tied to </w:t>
      </w:r>
      <w:r w:rsidR="007633E2">
        <w:t xml:space="preserve">eligible expenditure on individual road projects, </w:t>
      </w:r>
      <w:r>
        <w:t xml:space="preserve">the current arrangements require </w:t>
      </w:r>
      <w:r w:rsidR="00F84EF7">
        <w:t xml:space="preserve">the </w:t>
      </w:r>
      <w:r w:rsidR="007633E2">
        <w:t xml:space="preserve">Commonwealth </w:t>
      </w:r>
      <w:r>
        <w:t xml:space="preserve">to have a detailed interest </w:t>
      </w:r>
      <w:r w:rsidR="00EB3B7E">
        <w:t xml:space="preserve">in how the states and local governments undertake the </w:t>
      </w:r>
      <w:r>
        <w:t>relevant road projects</w:t>
      </w:r>
      <w:r w:rsidR="00EB3B7E">
        <w:t>.</w:t>
      </w:r>
      <w:r w:rsidR="00356C59">
        <w:t xml:space="preserve">  </w:t>
      </w:r>
    </w:p>
    <w:p w:rsidR="007633E2" w:rsidRDefault="00DF1CD2" w:rsidP="00F25FC8">
      <w:pPr>
        <w:pStyle w:val="BodyText"/>
        <w:numPr>
          <w:ilvl w:val="0"/>
          <w:numId w:val="13"/>
        </w:numPr>
        <w:ind w:left="0" w:firstLine="0"/>
      </w:pPr>
      <w:r>
        <w:t xml:space="preserve">This includes assessments of </w:t>
      </w:r>
      <w:r w:rsidR="00323ECB">
        <w:t xml:space="preserve">whether damage is due to the </w:t>
      </w:r>
      <w:r w:rsidR="00254521">
        <w:t>relevant weather event</w:t>
      </w:r>
      <w:r w:rsidR="00323ECB">
        <w:t xml:space="preserve"> or was pre</w:t>
      </w:r>
      <w:r>
        <w:noBreakHyphen/>
      </w:r>
      <w:r w:rsidR="00323ECB">
        <w:t xml:space="preserve">existing, whether the expenditure </w:t>
      </w:r>
      <w:r>
        <w:t xml:space="preserve">is </w:t>
      </w:r>
      <w:r w:rsidR="00323ECB">
        <w:t>value for money (</w:t>
      </w:r>
      <w:r w:rsidR="0069557B">
        <w:t>for example</w:t>
      </w:r>
      <w:r w:rsidR="00323ECB">
        <w:t xml:space="preserve"> could more cost effective construction methods</w:t>
      </w:r>
      <w:r w:rsidR="00A23D82">
        <w:t xml:space="preserve"> be used</w:t>
      </w:r>
      <w:r w:rsidR="00323ECB">
        <w:t>), has the work been undertaken using external suppliers or in</w:t>
      </w:r>
      <w:r w:rsidR="00356C59">
        <w:noBreakHyphen/>
      </w:r>
      <w:r w:rsidR="00323ECB">
        <w:t>house works capacity (and if the latter, what are the internal costing and charging processes)</w:t>
      </w:r>
      <w:r w:rsidR="000B60D4">
        <w:t>,</w:t>
      </w:r>
      <w:r w:rsidR="00323ECB">
        <w:t xml:space="preserve"> and is the expenditure </w:t>
      </w:r>
      <w:r w:rsidR="00254521">
        <w:t xml:space="preserve">only </w:t>
      </w:r>
      <w:r w:rsidR="00323ECB">
        <w:t xml:space="preserve">restoring an asset to the pre-existing level of utility.  </w:t>
      </w:r>
      <w:r w:rsidR="007633E2">
        <w:t xml:space="preserve">   </w:t>
      </w:r>
    </w:p>
    <w:p w:rsidR="00F536D6" w:rsidRDefault="00323ECB" w:rsidP="00F25FC8">
      <w:pPr>
        <w:pStyle w:val="BodyText"/>
        <w:numPr>
          <w:ilvl w:val="0"/>
          <w:numId w:val="13"/>
        </w:numPr>
        <w:ind w:left="0" w:firstLine="0"/>
      </w:pPr>
      <w:r>
        <w:t xml:space="preserve">The Commonwealth has developed additional </w:t>
      </w:r>
      <w:r w:rsidR="00AF28F9">
        <w:t xml:space="preserve">processes for </w:t>
      </w:r>
      <w:r>
        <w:t>assessing these issues</w:t>
      </w:r>
      <w:r w:rsidR="00977DF5">
        <w:t xml:space="preserve">, </w:t>
      </w:r>
      <w:r w:rsidR="0094532A">
        <w:t xml:space="preserve">and </w:t>
      </w:r>
      <w:r w:rsidR="00F84EF7">
        <w:t>substantial</w:t>
      </w:r>
      <w:r w:rsidR="004F28F2">
        <w:t xml:space="preserve"> savings </w:t>
      </w:r>
      <w:r w:rsidR="00AF28F9">
        <w:t xml:space="preserve">have been achieved </w:t>
      </w:r>
      <w:r w:rsidR="004F28F2">
        <w:t>compared to original funding requests.</w:t>
      </w:r>
      <w:r w:rsidR="005A770A">
        <w:t xml:space="preserve">  However, </w:t>
      </w:r>
      <w:r w:rsidR="00F536D6">
        <w:t xml:space="preserve">there </w:t>
      </w:r>
      <w:r w:rsidR="00254521">
        <w:t xml:space="preserve">are </w:t>
      </w:r>
      <w:r w:rsidR="00EB3B7E">
        <w:t xml:space="preserve">significant practical issues in </w:t>
      </w:r>
      <w:r w:rsidR="00254521">
        <w:t>p</w:t>
      </w:r>
      <w:r w:rsidR="00F536D6">
        <w:t>rovid</w:t>
      </w:r>
      <w:r w:rsidR="00254521">
        <w:t>ing</w:t>
      </w:r>
      <w:r w:rsidR="00F536D6">
        <w:t xml:space="preserve"> </w:t>
      </w:r>
      <w:r w:rsidR="005A770A">
        <w:t>ongoing a</w:t>
      </w:r>
      <w:r w:rsidR="00F536D6">
        <w:t>ssurance</w:t>
      </w:r>
      <w:r w:rsidR="005A770A">
        <w:t xml:space="preserve"> </w:t>
      </w:r>
      <w:r w:rsidR="00F536D6">
        <w:t xml:space="preserve">under </w:t>
      </w:r>
      <w:r w:rsidR="005A770A">
        <w:t xml:space="preserve">the existing arrangements, </w:t>
      </w:r>
      <w:r w:rsidR="00F536D6">
        <w:t>given the level of detail required and</w:t>
      </w:r>
      <w:r w:rsidR="00511B19">
        <w:t xml:space="preserve"> the</w:t>
      </w:r>
      <w:r w:rsidR="00F536D6">
        <w:t xml:space="preserve"> volume of work at </w:t>
      </w:r>
      <w:r w:rsidR="00511B19">
        <w:t>current</w:t>
      </w:r>
      <w:r w:rsidR="00F536D6">
        <w:t xml:space="preserve"> levels.</w:t>
      </w:r>
      <w:r w:rsidR="00511B19">
        <w:t xml:space="preserve">  For example, there are around 1,500 individual projects for Queensland 2010-11 disaster events alone.</w:t>
      </w:r>
    </w:p>
    <w:p w:rsidR="00F84EF7" w:rsidRPr="00152F68" w:rsidRDefault="00A23D82" w:rsidP="00F25FC8">
      <w:pPr>
        <w:pStyle w:val="BodyText"/>
        <w:numPr>
          <w:ilvl w:val="0"/>
          <w:numId w:val="13"/>
        </w:numPr>
        <w:ind w:left="0" w:firstLine="0"/>
      </w:pPr>
      <w:r>
        <w:t>T</w:t>
      </w:r>
      <w:r w:rsidR="00356C59">
        <w:t>he</w:t>
      </w:r>
      <w:r w:rsidR="00EB3B7E">
        <w:t xml:space="preserve">se issues, </w:t>
      </w:r>
      <w:r w:rsidR="00F84EF7" w:rsidRPr="00152F68">
        <w:t>together with primary responsibility for the assets resting within state and local governments</w:t>
      </w:r>
      <w:r w:rsidR="006F636E" w:rsidRPr="00152F68">
        <w:t>,</w:t>
      </w:r>
      <w:r w:rsidR="00F84EF7" w:rsidRPr="00152F68">
        <w:t xml:space="preserve"> raise the question as to whether a simpler funding mechanism</w:t>
      </w:r>
      <w:r w:rsidR="00356C59">
        <w:t>,</w:t>
      </w:r>
      <w:r w:rsidR="00F84EF7" w:rsidRPr="00152F68">
        <w:t xml:space="preserve"> less reliant on detailed Commonwealth involvement</w:t>
      </w:r>
      <w:r w:rsidR="00356C59">
        <w:t>,</w:t>
      </w:r>
      <w:r w:rsidR="00F84EF7" w:rsidRPr="00152F68">
        <w:t xml:space="preserve"> should be preferred.</w:t>
      </w:r>
    </w:p>
    <w:p w:rsidR="00A23D82" w:rsidRDefault="00A23D82">
      <w:pPr>
        <w:spacing w:after="120"/>
        <w:rPr>
          <w:rFonts w:ascii="Times New Roman" w:eastAsia="Times New Roman" w:hAnsi="Times New Roman" w:cs="Times New Roman"/>
          <w:b/>
          <w:sz w:val="26"/>
          <w:szCs w:val="20"/>
          <w:lang w:eastAsia="en-AU"/>
        </w:rPr>
      </w:pPr>
      <w:r>
        <w:rPr>
          <w:b/>
        </w:rPr>
        <w:br w:type="page"/>
      </w:r>
    </w:p>
    <w:p w:rsidR="008737AA" w:rsidRDefault="008737AA" w:rsidP="00CC4DB7">
      <w:pPr>
        <w:pStyle w:val="BodyText"/>
        <w:rPr>
          <w:b/>
        </w:rPr>
      </w:pPr>
      <w:r w:rsidRPr="008737AA">
        <w:rPr>
          <w:b/>
        </w:rPr>
        <w:lastRenderedPageBreak/>
        <w:t>Policy Options</w:t>
      </w:r>
    </w:p>
    <w:p w:rsidR="00A66C76" w:rsidRDefault="00A66C76" w:rsidP="00F25FC8">
      <w:pPr>
        <w:pStyle w:val="BodyText"/>
        <w:numPr>
          <w:ilvl w:val="0"/>
          <w:numId w:val="13"/>
        </w:numPr>
        <w:ind w:left="0" w:firstLine="0"/>
      </w:pPr>
      <w:r>
        <w:t>The National Commission of Audit set out policy altern</w:t>
      </w:r>
      <w:r w:rsidR="00511B19">
        <w:t>atives for future NDRRA funding</w:t>
      </w:r>
      <w:r>
        <w:t>.  Changes discussed included:</w:t>
      </w:r>
    </w:p>
    <w:p w:rsidR="00A66C76" w:rsidRDefault="00254521" w:rsidP="0077540C">
      <w:pPr>
        <w:pStyle w:val="BodyText"/>
        <w:numPr>
          <w:ilvl w:val="0"/>
          <w:numId w:val="19"/>
        </w:numPr>
      </w:pPr>
      <w:r>
        <w:t>r</w:t>
      </w:r>
      <w:r w:rsidR="006E1A83" w:rsidRPr="00B117F8">
        <w:t>educi</w:t>
      </w:r>
      <w:r w:rsidR="006E1A83">
        <w:t>ng</w:t>
      </w:r>
      <w:r w:rsidR="00B117F8" w:rsidRPr="00B117F8">
        <w:t xml:space="preserve"> </w:t>
      </w:r>
      <w:r w:rsidR="00A66C76">
        <w:t xml:space="preserve">the level of </w:t>
      </w:r>
      <w:r w:rsidR="00B117F8" w:rsidRPr="00B117F8">
        <w:t xml:space="preserve">Commonwealth </w:t>
      </w:r>
      <w:r w:rsidR="00D11E63">
        <w:t xml:space="preserve">Category B </w:t>
      </w:r>
      <w:r w:rsidR="00A66C76">
        <w:t>contribution as a percentage of the estimate</w:t>
      </w:r>
      <w:r w:rsidR="00511B19">
        <w:t>d</w:t>
      </w:r>
      <w:r w:rsidR="00A66C76">
        <w:t xml:space="preserve"> reconstruction costs</w:t>
      </w:r>
      <w:r w:rsidR="00D11E63">
        <w:t xml:space="preserve">, to </w:t>
      </w:r>
      <w:r w:rsidR="00A66C76">
        <w:t xml:space="preserve">assist in addressing </w:t>
      </w:r>
      <w:r w:rsidR="00891EC2">
        <w:t>the impact on cost effective decision making</w:t>
      </w:r>
      <w:r>
        <w:t>; and</w:t>
      </w:r>
      <w:r w:rsidR="006E1A83">
        <w:t xml:space="preserve">  </w:t>
      </w:r>
    </w:p>
    <w:p w:rsidR="00A66C76" w:rsidRDefault="00A66C76" w:rsidP="0077540C">
      <w:pPr>
        <w:pStyle w:val="BodyText"/>
        <w:numPr>
          <w:ilvl w:val="0"/>
          <w:numId w:val="19"/>
        </w:numPr>
      </w:pPr>
      <w:r>
        <w:t xml:space="preserve">the Commonwealth contribution </w:t>
      </w:r>
      <w:r w:rsidR="00254521">
        <w:t>(</w:t>
      </w:r>
      <w:r>
        <w:t>as the relevant percentage of the likely cost of replacing essential public assets</w:t>
      </w:r>
      <w:r w:rsidR="00254521">
        <w:t>)</w:t>
      </w:r>
      <w:r>
        <w:t xml:space="preserve"> </w:t>
      </w:r>
      <w:r w:rsidR="003F1C1E">
        <w:t xml:space="preserve">being </w:t>
      </w:r>
      <w:r>
        <w:t xml:space="preserve">based on an </w:t>
      </w:r>
      <w:r w:rsidR="006E1A83">
        <w:t xml:space="preserve">upfront </w:t>
      </w:r>
      <w:r>
        <w:t>assessment by independent assessors.  Th</w:t>
      </w:r>
      <w:r w:rsidR="006E1A83">
        <w:t xml:space="preserve">is would remove the need for </w:t>
      </w:r>
      <w:r>
        <w:t>detailed project</w:t>
      </w:r>
      <w:r w:rsidR="00EC65C4">
        <w:noBreakHyphen/>
      </w:r>
      <w:r>
        <w:t>by</w:t>
      </w:r>
      <w:r w:rsidR="000B60D4">
        <w:t>-</w:t>
      </w:r>
      <w:r>
        <w:t xml:space="preserve">project </w:t>
      </w:r>
      <w:r w:rsidR="00254521">
        <w:t xml:space="preserve">expenditure </w:t>
      </w:r>
      <w:r>
        <w:t xml:space="preserve">acquittal.  </w:t>
      </w:r>
    </w:p>
    <w:p w:rsidR="005151E3" w:rsidRDefault="003F1C1E" w:rsidP="00F25FC8">
      <w:pPr>
        <w:pStyle w:val="BodyText"/>
        <w:numPr>
          <w:ilvl w:val="0"/>
          <w:numId w:val="13"/>
        </w:numPr>
        <w:ind w:left="0" w:firstLine="0"/>
      </w:pPr>
      <w:r>
        <w:t xml:space="preserve">Another alternative discussed was raising the thresholds for </w:t>
      </w:r>
      <w:r w:rsidR="00CC4DB7">
        <w:t>s</w:t>
      </w:r>
      <w:r>
        <w:t xml:space="preserve">tate expenditure required for NDRRA Category B assistance.  This would </w:t>
      </w:r>
      <w:r w:rsidR="005151E3">
        <w:t>more closely align decision making and responsibility for funding, in circumstances where the fiscal impacts were limited.</w:t>
      </w:r>
    </w:p>
    <w:p w:rsidR="00BA6CB8" w:rsidRDefault="006E1A83" w:rsidP="00F25FC8">
      <w:pPr>
        <w:pStyle w:val="BodyText"/>
        <w:numPr>
          <w:ilvl w:val="0"/>
          <w:numId w:val="13"/>
        </w:numPr>
        <w:ind w:left="0" w:firstLine="0"/>
      </w:pPr>
      <w:r>
        <w:t>In t</w:t>
      </w:r>
      <w:r w:rsidR="0016400F">
        <w:t>h</w:t>
      </w:r>
      <w:r w:rsidR="00E23E24">
        <w:t>e</w:t>
      </w:r>
      <w:r>
        <w:t xml:space="preserve"> context</w:t>
      </w:r>
      <w:r w:rsidR="00E23E24">
        <w:t xml:space="preserve"> of </w:t>
      </w:r>
      <w:r w:rsidR="00D11E63">
        <w:t xml:space="preserve">the Commonwealth’s contribution being set by an upfront assessment, </w:t>
      </w:r>
      <w:r w:rsidR="00B117F8" w:rsidRPr="00B117F8">
        <w:t xml:space="preserve">the </w:t>
      </w:r>
      <w:r w:rsidR="00CC4DB7">
        <w:t>s</w:t>
      </w:r>
      <w:r w:rsidR="00B117F8" w:rsidRPr="00B117F8">
        <w:t xml:space="preserve">tates </w:t>
      </w:r>
      <w:r>
        <w:t xml:space="preserve">could have </w:t>
      </w:r>
      <w:r w:rsidR="00B117F8" w:rsidRPr="00B117F8">
        <w:t>flexibility as to how the funds were spent (</w:t>
      </w:r>
      <w:r w:rsidR="00D11E63">
        <w:t xml:space="preserve">for instance, on </w:t>
      </w:r>
      <w:r w:rsidR="00B117F8" w:rsidRPr="00B117F8">
        <w:t xml:space="preserve">whether the funds were used </w:t>
      </w:r>
      <w:r w:rsidR="00B117F8">
        <w:t xml:space="preserve">for </w:t>
      </w:r>
      <w:r w:rsidR="00EB3B7E">
        <w:t>like-for-like reconstruction</w:t>
      </w:r>
      <w:r w:rsidR="00D11E63">
        <w:t xml:space="preserve"> or for improving assets</w:t>
      </w:r>
      <w:r w:rsidR="00B117F8" w:rsidRPr="00B117F8">
        <w:t xml:space="preserve">).  </w:t>
      </w:r>
      <w:r w:rsidR="00BA6CB8">
        <w:t xml:space="preserve">This would allow </w:t>
      </w:r>
      <w:r w:rsidR="00F25FC8">
        <w:t>s</w:t>
      </w:r>
      <w:r w:rsidR="00CC4DB7">
        <w:t>tate</w:t>
      </w:r>
      <w:r w:rsidR="00B117F8" w:rsidRPr="00B117F8">
        <w:t xml:space="preserve">s to determine </w:t>
      </w:r>
      <w:r w:rsidR="00BA6CB8">
        <w:t>the most efficient allocation of the available funding.</w:t>
      </w:r>
    </w:p>
    <w:p w:rsidR="009F2C70" w:rsidRPr="00F25FC8" w:rsidRDefault="00BA6CB8" w:rsidP="00F25FC8">
      <w:pPr>
        <w:pStyle w:val="BodyText"/>
        <w:numPr>
          <w:ilvl w:val="0"/>
          <w:numId w:val="13"/>
        </w:numPr>
        <w:ind w:left="0" w:firstLine="0"/>
      </w:pPr>
      <w:r>
        <w:t xml:space="preserve">Given the significance of </w:t>
      </w:r>
      <w:r w:rsidR="00D11E63">
        <w:t xml:space="preserve">roads in </w:t>
      </w:r>
      <w:r>
        <w:t>NDRRA funding and the issues identified above, one</w:t>
      </w:r>
      <w:r w:rsidR="00301D6B">
        <w:t xml:space="preserve"> alternative would be to </w:t>
      </w:r>
      <w:r w:rsidR="00D11E63">
        <w:t>make change</w:t>
      </w:r>
      <w:r w:rsidR="0066677A">
        <w:t>s</w:t>
      </w:r>
      <w:r w:rsidR="00D11E63">
        <w:t xml:space="preserve"> </w:t>
      </w:r>
      <w:r w:rsidR="0066677A">
        <w:t xml:space="preserve">only </w:t>
      </w:r>
      <w:r w:rsidR="00D11E63">
        <w:t>to how the arrangements apply to road funding.</w:t>
      </w:r>
    </w:p>
    <w:p w:rsidR="008737AA" w:rsidRPr="008737AA" w:rsidRDefault="008737AA" w:rsidP="00323ECB">
      <w:pPr>
        <w:pStyle w:val="BodyText"/>
        <w:rPr>
          <w:b/>
        </w:rPr>
      </w:pPr>
    </w:p>
    <w:sectPr w:rsidR="008737AA" w:rsidRPr="008737AA" w:rsidSect="00DB3AF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18" w:rsidRPr="00A25439" w:rsidRDefault="003A6018" w:rsidP="00301D6B">
      <w:pPr>
        <w:spacing w:after="0" w:line="240" w:lineRule="auto"/>
        <w:rPr>
          <w:sz w:val="16"/>
        </w:rPr>
      </w:pPr>
      <w:r>
        <w:separator/>
      </w:r>
    </w:p>
  </w:endnote>
  <w:endnote w:type="continuationSeparator" w:id="0">
    <w:p w:rsidR="003A6018" w:rsidRPr="00A25439" w:rsidRDefault="003A6018" w:rsidP="00301D6B">
      <w:pPr>
        <w:spacing w:after="0" w:line="240" w:lineRule="auto"/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1538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48F3" w:rsidRDefault="0004058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3448F3">
          <w:t xml:space="preserve"> | </w:t>
        </w:r>
        <w:r w:rsidR="003448F3">
          <w:rPr>
            <w:color w:val="7F7F7F" w:themeColor="background1" w:themeShade="7F"/>
            <w:spacing w:val="60"/>
          </w:rPr>
          <w:t>Page</w:t>
        </w:r>
      </w:p>
    </w:sdtContent>
  </w:sdt>
  <w:p w:rsidR="003448F3" w:rsidRDefault="00344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18" w:rsidRPr="00A25439" w:rsidRDefault="003A6018" w:rsidP="00301D6B">
      <w:pPr>
        <w:spacing w:after="0" w:line="240" w:lineRule="auto"/>
        <w:rPr>
          <w:sz w:val="16"/>
        </w:rPr>
      </w:pPr>
      <w:r>
        <w:separator/>
      </w:r>
    </w:p>
  </w:footnote>
  <w:footnote w:type="continuationSeparator" w:id="0">
    <w:p w:rsidR="003A6018" w:rsidRPr="00A25439" w:rsidRDefault="003A6018" w:rsidP="00301D6B">
      <w:pPr>
        <w:spacing w:after="0" w:line="240" w:lineRule="auto"/>
        <w:rPr>
          <w:sz w:val="16"/>
        </w:rPr>
      </w:pPr>
      <w:r>
        <w:continuationSeparator/>
      </w:r>
    </w:p>
  </w:footnote>
  <w:footnote w:id="1">
    <w:p w:rsidR="003448F3" w:rsidRDefault="003448F3">
      <w:pPr>
        <w:pStyle w:val="FootnoteText"/>
      </w:pPr>
      <w:r>
        <w:rPr>
          <w:rStyle w:val="FootnoteReference"/>
        </w:rPr>
        <w:footnoteRef/>
      </w:r>
      <w:r>
        <w:t xml:space="preserve"> Commonwealth Budget Papers and Final Budget Outcomes.</w:t>
      </w:r>
    </w:p>
  </w:footnote>
  <w:footnote w:id="2">
    <w:p w:rsidR="003448F3" w:rsidRDefault="003448F3" w:rsidP="00AE6AD2">
      <w:pPr>
        <w:pStyle w:val="FootnoteText"/>
      </w:pPr>
      <w:r>
        <w:rPr>
          <w:rStyle w:val="FootnoteReference"/>
        </w:rPr>
        <w:footnoteRef/>
      </w:r>
      <w:r>
        <w:t xml:space="preserve"> Source:  Emergency Management Australia data.</w:t>
      </w:r>
    </w:p>
  </w:footnote>
  <w:footnote w:id="3">
    <w:p w:rsidR="003448F3" w:rsidRPr="0016400F" w:rsidRDefault="003448F3" w:rsidP="0016400F">
      <w:pPr>
        <w:autoSpaceDE w:val="0"/>
        <w:autoSpaceDN w:val="0"/>
        <w:adjustRightInd w:val="0"/>
        <w:spacing w:after="0" w:line="240" w:lineRule="auto"/>
        <w:ind w:right="-108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E6AD2">
        <w:rPr>
          <w:sz w:val="20"/>
          <w:szCs w:val="20"/>
        </w:rPr>
        <w:t xml:space="preserve">Source:  Department of Finance </w:t>
      </w:r>
      <w:r>
        <w:rPr>
          <w:sz w:val="20"/>
          <w:szCs w:val="20"/>
        </w:rPr>
        <w:t>and</w:t>
      </w:r>
      <w:r w:rsidRPr="00AE6AD2">
        <w:rPr>
          <w:sz w:val="20"/>
          <w:szCs w:val="20"/>
        </w:rPr>
        <w:t xml:space="preserve"> Deregulation</w:t>
      </w:r>
      <w:r>
        <w:rPr>
          <w:sz w:val="20"/>
          <w:szCs w:val="20"/>
        </w:rPr>
        <w:t xml:space="preserve"> - </w:t>
      </w:r>
      <w:r w:rsidRPr="00AE6AD2">
        <w:rPr>
          <w:sz w:val="20"/>
          <w:szCs w:val="20"/>
        </w:rPr>
        <w:t xml:space="preserve"> </w:t>
      </w:r>
      <w:r w:rsidRPr="00371C44">
        <w:rPr>
          <w:i/>
          <w:sz w:val="20"/>
          <w:szCs w:val="20"/>
        </w:rPr>
        <w:t xml:space="preserve">Review of Insurance Arrangements of State and Territory Governments under the Natural Disaster </w:t>
      </w:r>
      <w:r w:rsidRPr="00A23D82">
        <w:rPr>
          <w:sz w:val="20"/>
          <w:szCs w:val="20"/>
        </w:rPr>
        <w:t>Relief</w:t>
      </w:r>
      <w:r w:rsidRPr="00371C44">
        <w:rPr>
          <w:i/>
          <w:sz w:val="20"/>
          <w:szCs w:val="20"/>
        </w:rPr>
        <w:t xml:space="preserve"> and Recovery Arrangements Determination 2011 Phase 1 Report</w:t>
      </w:r>
      <w:r w:rsidRPr="00AE6AD2">
        <w:rPr>
          <w:sz w:val="20"/>
          <w:szCs w:val="20"/>
        </w:rPr>
        <w:t xml:space="preserve"> – March 2012 </w:t>
      </w:r>
      <w:r>
        <w:rPr>
          <w:sz w:val="20"/>
          <w:szCs w:val="20"/>
        </w:rPr>
        <w:t>(Appendices).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66E559B"/>
    <w:multiLevelType w:val="multilevel"/>
    <w:tmpl w:val="70F28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B3E63"/>
    <w:multiLevelType w:val="hybridMultilevel"/>
    <w:tmpl w:val="552495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0F3D"/>
    <w:multiLevelType w:val="hybridMultilevel"/>
    <w:tmpl w:val="8D30E906"/>
    <w:name w:val="StandardBulletedList_"/>
    <w:lvl w:ilvl="0" w:tplc="3A96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EC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AB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0B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4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43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8E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CC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4A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F2373"/>
    <w:multiLevelType w:val="hybridMultilevel"/>
    <w:tmpl w:val="42F2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F4BFA"/>
    <w:multiLevelType w:val="hybridMultilevel"/>
    <w:tmpl w:val="18C819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312CA"/>
    <w:multiLevelType w:val="multilevel"/>
    <w:tmpl w:val="DFEE2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9128C"/>
    <w:multiLevelType w:val="hybridMultilevel"/>
    <w:tmpl w:val="54A828C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1A5066"/>
    <w:multiLevelType w:val="hybridMultilevel"/>
    <w:tmpl w:val="2B8A9464"/>
    <w:lvl w:ilvl="0" w:tplc="6C14D584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F05479"/>
    <w:multiLevelType w:val="multilevel"/>
    <w:tmpl w:val="D8AE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54737"/>
    <w:multiLevelType w:val="hybridMultilevel"/>
    <w:tmpl w:val="BAC80C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A4702"/>
    <w:multiLevelType w:val="multilevel"/>
    <w:tmpl w:val="AA3AF8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ascii="Times" w:hAnsi="Times" w:cs="Times New Roman"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2">
    <w:nsid w:val="566766B5"/>
    <w:multiLevelType w:val="hybridMultilevel"/>
    <w:tmpl w:val="02C6CCEC"/>
    <w:lvl w:ilvl="0" w:tplc="ECECB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81019"/>
    <w:multiLevelType w:val="hybridMultilevel"/>
    <w:tmpl w:val="1F382640"/>
    <w:lvl w:ilvl="0" w:tplc="7E84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2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00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B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AB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7E2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AF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CC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4E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A2100"/>
    <w:multiLevelType w:val="hybridMultilevel"/>
    <w:tmpl w:val="6EB2049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C5564"/>
    <w:multiLevelType w:val="hybridMultilevel"/>
    <w:tmpl w:val="54A828C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9F439A"/>
    <w:multiLevelType w:val="multilevel"/>
    <w:tmpl w:val="70F28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B13365"/>
    <w:multiLevelType w:val="hybridMultilevel"/>
    <w:tmpl w:val="E0DABA7C"/>
    <w:lvl w:ilvl="0" w:tplc="95ECF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8C6820"/>
    <w:multiLevelType w:val="hybridMultilevel"/>
    <w:tmpl w:val="AB24077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12"/>
  </w:num>
  <w:num w:numId="8">
    <w:abstractNumId w:val="13"/>
  </w:num>
  <w:num w:numId="9">
    <w:abstractNumId w:val="18"/>
  </w:num>
  <w:num w:numId="10">
    <w:abstractNumId w:val="3"/>
  </w:num>
  <w:num w:numId="11">
    <w:abstractNumId w:val="8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0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7A2"/>
    <w:rsid w:val="000036D0"/>
    <w:rsid w:val="00012946"/>
    <w:rsid w:val="0002367B"/>
    <w:rsid w:val="000301E8"/>
    <w:rsid w:val="00040587"/>
    <w:rsid w:val="00045C3D"/>
    <w:rsid w:val="000B60D4"/>
    <w:rsid w:val="000C7294"/>
    <w:rsid w:val="000E316F"/>
    <w:rsid w:val="000F0C95"/>
    <w:rsid w:val="000F0CB9"/>
    <w:rsid w:val="000F29AC"/>
    <w:rsid w:val="0010750A"/>
    <w:rsid w:val="00123CFE"/>
    <w:rsid w:val="00123EF7"/>
    <w:rsid w:val="00152F68"/>
    <w:rsid w:val="00155A3F"/>
    <w:rsid w:val="00163056"/>
    <w:rsid w:val="0016400F"/>
    <w:rsid w:val="001B1D01"/>
    <w:rsid w:val="001B3CD0"/>
    <w:rsid w:val="001C3D54"/>
    <w:rsid w:val="001C608A"/>
    <w:rsid w:val="001E43A1"/>
    <w:rsid w:val="00203728"/>
    <w:rsid w:val="00211EF6"/>
    <w:rsid w:val="002142F9"/>
    <w:rsid w:val="0022364A"/>
    <w:rsid w:val="002443FE"/>
    <w:rsid w:val="002449CE"/>
    <w:rsid w:val="00246482"/>
    <w:rsid w:val="00254521"/>
    <w:rsid w:val="00262F42"/>
    <w:rsid w:val="00273808"/>
    <w:rsid w:val="0029049F"/>
    <w:rsid w:val="002B2A4D"/>
    <w:rsid w:val="002E41F8"/>
    <w:rsid w:val="00301D6B"/>
    <w:rsid w:val="00303430"/>
    <w:rsid w:val="00323ECB"/>
    <w:rsid w:val="0033612B"/>
    <w:rsid w:val="003448F3"/>
    <w:rsid w:val="00347AFB"/>
    <w:rsid w:val="00356C59"/>
    <w:rsid w:val="003619FB"/>
    <w:rsid w:val="00371C44"/>
    <w:rsid w:val="003A6018"/>
    <w:rsid w:val="003C5DF6"/>
    <w:rsid w:val="003F1C1E"/>
    <w:rsid w:val="00400EC1"/>
    <w:rsid w:val="00461215"/>
    <w:rsid w:val="00466688"/>
    <w:rsid w:val="00473E49"/>
    <w:rsid w:val="00487B34"/>
    <w:rsid w:val="004F28F2"/>
    <w:rsid w:val="00504677"/>
    <w:rsid w:val="00511B19"/>
    <w:rsid w:val="0051292A"/>
    <w:rsid w:val="005136DE"/>
    <w:rsid w:val="005151E3"/>
    <w:rsid w:val="00534498"/>
    <w:rsid w:val="00553757"/>
    <w:rsid w:val="00553FD6"/>
    <w:rsid w:val="00595568"/>
    <w:rsid w:val="005A770A"/>
    <w:rsid w:val="005C619D"/>
    <w:rsid w:val="005E1421"/>
    <w:rsid w:val="005F07A2"/>
    <w:rsid w:val="00633BE2"/>
    <w:rsid w:val="00633D19"/>
    <w:rsid w:val="00646EA5"/>
    <w:rsid w:val="0066677A"/>
    <w:rsid w:val="006716A9"/>
    <w:rsid w:val="00684F42"/>
    <w:rsid w:val="00694CAB"/>
    <w:rsid w:val="0069557B"/>
    <w:rsid w:val="006E1A83"/>
    <w:rsid w:val="006F636E"/>
    <w:rsid w:val="007054DC"/>
    <w:rsid w:val="00733354"/>
    <w:rsid w:val="00736A94"/>
    <w:rsid w:val="007633E2"/>
    <w:rsid w:val="007721C9"/>
    <w:rsid w:val="00773419"/>
    <w:rsid w:val="0077540C"/>
    <w:rsid w:val="00794545"/>
    <w:rsid w:val="007B6DCD"/>
    <w:rsid w:val="007C7EF1"/>
    <w:rsid w:val="007D30B1"/>
    <w:rsid w:val="007F3B41"/>
    <w:rsid w:val="007F6AEE"/>
    <w:rsid w:val="008132FE"/>
    <w:rsid w:val="00815C73"/>
    <w:rsid w:val="00816D0B"/>
    <w:rsid w:val="008509FA"/>
    <w:rsid w:val="008547E7"/>
    <w:rsid w:val="008737AA"/>
    <w:rsid w:val="00891EC2"/>
    <w:rsid w:val="00894D7C"/>
    <w:rsid w:val="008A58BC"/>
    <w:rsid w:val="008C2058"/>
    <w:rsid w:val="008C5A77"/>
    <w:rsid w:val="008E7A68"/>
    <w:rsid w:val="009002A3"/>
    <w:rsid w:val="009146CC"/>
    <w:rsid w:val="0094532A"/>
    <w:rsid w:val="00971AD0"/>
    <w:rsid w:val="00977DF5"/>
    <w:rsid w:val="00987B93"/>
    <w:rsid w:val="009B4B9A"/>
    <w:rsid w:val="009C79C7"/>
    <w:rsid w:val="009D0685"/>
    <w:rsid w:val="009D3BBC"/>
    <w:rsid w:val="009D6899"/>
    <w:rsid w:val="009E2439"/>
    <w:rsid w:val="009E29CA"/>
    <w:rsid w:val="009F1C41"/>
    <w:rsid w:val="009F2C70"/>
    <w:rsid w:val="009F56EF"/>
    <w:rsid w:val="00A144F7"/>
    <w:rsid w:val="00A14CE3"/>
    <w:rsid w:val="00A2242F"/>
    <w:rsid w:val="00A23D82"/>
    <w:rsid w:val="00A24382"/>
    <w:rsid w:val="00A309A6"/>
    <w:rsid w:val="00A35C33"/>
    <w:rsid w:val="00A47224"/>
    <w:rsid w:val="00A52D37"/>
    <w:rsid w:val="00A61E2C"/>
    <w:rsid w:val="00A66C76"/>
    <w:rsid w:val="00A877F9"/>
    <w:rsid w:val="00A91767"/>
    <w:rsid w:val="00A91A5B"/>
    <w:rsid w:val="00AC0522"/>
    <w:rsid w:val="00AD4DC2"/>
    <w:rsid w:val="00AD546E"/>
    <w:rsid w:val="00AE6AD2"/>
    <w:rsid w:val="00AF28F9"/>
    <w:rsid w:val="00B117F8"/>
    <w:rsid w:val="00B14A58"/>
    <w:rsid w:val="00B31BD3"/>
    <w:rsid w:val="00B35037"/>
    <w:rsid w:val="00B44129"/>
    <w:rsid w:val="00B540B2"/>
    <w:rsid w:val="00B57521"/>
    <w:rsid w:val="00B60AEA"/>
    <w:rsid w:val="00B6416B"/>
    <w:rsid w:val="00B91CCC"/>
    <w:rsid w:val="00BA62DA"/>
    <w:rsid w:val="00BA6CB8"/>
    <w:rsid w:val="00BC1A97"/>
    <w:rsid w:val="00BC2F9C"/>
    <w:rsid w:val="00BE00A2"/>
    <w:rsid w:val="00BE0F2A"/>
    <w:rsid w:val="00BF1A6E"/>
    <w:rsid w:val="00BF76D9"/>
    <w:rsid w:val="00C306C5"/>
    <w:rsid w:val="00C442A3"/>
    <w:rsid w:val="00C4474A"/>
    <w:rsid w:val="00C54EE4"/>
    <w:rsid w:val="00C73E2F"/>
    <w:rsid w:val="00C8226F"/>
    <w:rsid w:val="00C869E6"/>
    <w:rsid w:val="00CB5929"/>
    <w:rsid w:val="00CC4DB7"/>
    <w:rsid w:val="00CE2DE0"/>
    <w:rsid w:val="00D0693F"/>
    <w:rsid w:val="00D11E63"/>
    <w:rsid w:val="00D20B30"/>
    <w:rsid w:val="00D27B51"/>
    <w:rsid w:val="00D435FE"/>
    <w:rsid w:val="00D46391"/>
    <w:rsid w:val="00D61E80"/>
    <w:rsid w:val="00D6761D"/>
    <w:rsid w:val="00DA4608"/>
    <w:rsid w:val="00DA529B"/>
    <w:rsid w:val="00DB3AFA"/>
    <w:rsid w:val="00DC497F"/>
    <w:rsid w:val="00DF1CD2"/>
    <w:rsid w:val="00E02AD3"/>
    <w:rsid w:val="00E156C8"/>
    <w:rsid w:val="00E23E24"/>
    <w:rsid w:val="00E601A4"/>
    <w:rsid w:val="00E71961"/>
    <w:rsid w:val="00E81117"/>
    <w:rsid w:val="00E84DB2"/>
    <w:rsid w:val="00E91EC4"/>
    <w:rsid w:val="00EB1F6B"/>
    <w:rsid w:val="00EB3B7E"/>
    <w:rsid w:val="00EC1ACE"/>
    <w:rsid w:val="00EC65C4"/>
    <w:rsid w:val="00ED5055"/>
    <w:rsid w:val="00EE0675"/>
    <w:rsid w:val="00EE207F"/>
    <w:rsid w:val="00EF166D"/>
    <w:rsid w:val="00EF3525"/>
    <w:rsid w:val="00F218ED"/>
    <w:rsid w:val="00F25FC8"/>
    <w:rsid w:val="00F42A02"/>
    <w:rsid w:val="00F42B65"/>
    <w:rsid w:val="00F44ACB"/>
    <w:rsid w:val="00F536D6"/>
    <w:rsid w:val="00F84EF7"/>
    <w:rsid w:val="00F84FC3"/>
    <w:rsid w:val="00F850B1"/>
    <w:rsid w:val="00F86A9C"/>
    <w:rsid w:val="00F92775"/>
    <w:rsid w:val="00F95B86"/>
    <w:rsid w:val="00F96FA5"/>
    <w:rsid w:val="00F97525"/>
    <w:rsid w:val="00FA2D41"/>
    <w:rsid w:val="00FA307F"/>
    <w:rsid w:val="00FA7895"/>
    <w:rsid w:val="00FB31D9"/>
    <w:rsid w:val="00FD4EA9"/>
    <w:rsid w:val="00FD6AA1"/>
    <w:rsid w:val="00FD7A7B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A2"/>
    <w:pPr>
      <w:spacing w:after="200"/>
    </w:pPr>
  </w:style>
  <w:style w:type="paragraph" w:styleId="Heading1">
    <w:name w:val="heading 1"/>
    <w:aliases w:val="Part Heading"/>
    <w:basedOn w:val="Normal"/>
    <w:next w:val="Normal"/>
    <w:link w:val="Heading1Char"/>
    <w:qFormat/>
    <w:rsid w:val="00633BE2"/>
    <w:pPr>
      <w:keepNext/>
      <w:numPr>
        <w:numId w:val="3"/>
      </w:numPr>
      <w:tabs>
        <w:tab w:val="left" w:pos="851"/>
      </w:tabs>
      <w:spacing w:before="360" w:after="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paragraph" w:styleId="Heading2">
    <w:name w:val="heading 2"/>
    <w:aliases w:val="Section Heading"/>
    <w:basedOn w:val="Normal"/>
    <w:next w:val="Normal"/>
    <w:link w:val="Heading2Char"/>
    <w:qFormat/>
    <w:rsid w:val="00633BE2"/>
    <w:pPr>
      <w:keepNext/>
      <w:numPr>
        <w:ilvl w:val="1"/>
        <w:numId w:val="3"/>
      </w:numPr>
      <w:pBdr>
        <w:bottom w:val="single" w:sz="4" w:space="1" w:color="auto"/>
      </w:pBdr>
      <w:tabs>
        <w:tab w:val="left" w:pos="851"/>
      </w:tabs>
      <w:spacing w:before="24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en-AU"/>
    </w:rPr>
  </w:style>
  <w:style w:type="paragraph" w:styleId="Heading3">
    <w:name w:val="heading 3"/>
    <w:aliases w:val="Clause Heading"/>
    <w:basedOn w:val="Normal"/>
    <w:next w:val="Normal"/>
    <w:link w:val="Heading3Char"/>
    <w:qFormat/>
    <w:rsid w:val="00633BE2"/>
    <w:pPr>
      <w:keepNext/>
      <w:numPr>
        <w:ilvl w:val="2"/>
        <w:numId w:val="3"/>
      </w:numPr>
      <w:spacing w:before="240"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633BE2"/>
    <w:pPr>
      <w:keepNext/>
      <w:numPr>
        <w:ilvl w:val="3"/>
        <w:numId w:val="3"/>
      </w:numPr>
      <w:spacing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633BE2"/>
    <w:pPr>
      <w:keepNext/>
      <w:numPr>
        <w:ilvl w:val="4"/>
        <w:numId w:val="3"/>
      </w:numPr>
      <w:tabs>
        <w:tab w:val="left" w:pos="851"/>
      </w:tabs>
      <w:spacing w:after="0" w:line="240" w:lineRule="auto"/>
      <w:ind w:right="-199"/>
      <w:outlineLvl w:val="4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633BE2"/>
    <w:pPr>
      <w:keepNext/>
      <w:numPr>
        <w:ilvl w:val="5"/>
        <w:numId w:val="3"/>
      </w:numPr>
      <w:tabs>
        <w:tab w:val="left" w:pos="851"/>
      </w:tabs>
      <w:spacing w:after="0" w:line="240" w:lineRule="auto"/>
      <w:ind w:right="-199"/>
      <w:outlineLvl w:val="5"/>
    </w:pPr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633BE2"/>
    <w:pPr>
      <w:keepNext/>
      <w:numPr>
        <w:ilvl w:val="6"/>
        <w:numId w:val="3"/>
      </w:numPr>
      <w:tabs>
        <w:tab w:val="left" w:pos="851"/>
      </w:tabs>
      <w:spacing w:after="0" w:line="240" w:lineRule="auto"/>
      <w:ind w:right="-199"/>
      <w:outlineLvl w:val="6"/>
    </w:pPr>
    <w:rPr>
      <w:rFonts w:ascii="Times New Roman" w:eastAsia="Times New Roman" w:hAnsi="Times New Roman" w:cs="Times New Roman"/>
      <w:i/>
      <w:sz w:val="2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qFormat/>
    <w:rsid w:val="00633BE2"/>
    <w:pPr>
      <w:numPr>
        <w:ilvl w:val="7"/>
        <w:numId w:val="3"/>
      </w:numPr>
      <w:tabs>
        <w:tab w:val="left" w:pos="851"/>
      </w:tabs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qFormat/>
    <w:rsid w:val="00633BE2"/>
    <w:pPr>
      <w:numPr>
        <w:ilvl w:val="8"/>
        <w:numId w:val="3"/>
      </w:numPr>
      <w:tabs>
        <w:tab w:val="left" w:pos="851"/>
      </w:tabs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5F07A2"/>
    <w:pPr>
      <w:spacing w:before="240" w:after="0" w:line="320" w:lineRule="atLeast"/>
      <w:jc w:val="both"/>
    </w:pPr>
    <w:rPr>
      <w:rFonts w:ascii="Times New Roman" w:eastAsia="Times New Roman" w:hAnsi="Times New Roman" w:cs="Times New Roman"/>
      <w:sz w:val="26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5F07A2"/>
    <w:rPr>
      <w:rFonts w:ascii="Times New Roman" w:eastAsia="Times New Roman" w:hAnsi="Times New Roman" w:cs="Times New Roman"/>
      <w:sz w:val="26"/>
      <w:szCs w:val="20"/>
      <w:lang w:eastAsia="en-AU"/>
    </w:rPr>
  </w:style>
  <w:style w:type="paragraph" w:styleId="ListBullet">
    <w:name w:val="List Bullet"/>
    <w:basedOn w:val="BodyText"/>
    <w:rsid w:val="005F07A2"/>
    <w:pPr>
      <w:numPr>
        <w:numId w:val="1"/>
      </w:num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Part Heading Char"/>
    <w:basedOn w:val="DefaultParagraphFont"/>
    <w:link w:val="Heading1"/>
    <w:rsid w:val="00633BE2"/>
    <w:rPr>
      <w:rFonts w:ascii="Arial" w:eastAsia="Times New Roman" w:hAnsi="Arial" w:cs="Times New Roman"/>
      <w:b/>
      <w:kern w:val="28"/>
      <w:sz w:val="32"/>
      <w:szCs w:val="20"/>
      <w:lang w:eastAsia="en-AU"/>
    </w:rPr>
  </w:style>
  <w:style w:type="character" w:customStyle="1" w:styleId="Heading2Char">
    <w:name w:val="Heading 2 Char"/>
    <w:aliases w:val="Section Heading Char"/>
    <w:basedOn w:val="DefaultParagraphFont"/>
    <w:link w:val="Heading2"/>
    <w:rsid w:val="00633BE2"/>
    <w:rPr>
      <w:rFonts w:ascii="Arial" w:eastAsia="Times New Roman" w:hAnsi="Arial" w:cs="Times New Roman"/>
      <w:b/>
      <w:sz w:val="28"/>
      <w:szCs w:val="20"/>
      <w:lang w:eastAsia="en-AU"/>
    </w:rPr>
  </w:style>
  <w:style w:type="character" w:customStyle="1" w:styleId="Heading3Char">
    <w:name w:val="Heading 3 Char"/>
    <w:aliases w:val="Clause Heading Char"/>
    <w:basedOn w:val="DefaultParagraphFont"/>
    <w:link w:val="Heading3"/>
    <w:rsid w:val="00633BE2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633BE2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33BE2"/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633BE2"/>
    <w:rPr>
      <w:rFonts w:ascii="Times New Roman" w:eastAsia="Times New Roman" w:hAnsi="Times New Roman" w:cs="Times New Roman"/>
      <w:b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633BE2"/>
    <w:rPr>
      <w:rFonts w:ascii="Times New Roman" w:eastAsia="Times New Roman" w:hAnsi="Times New Roman" w:cs="Times New Roman"/>
      <w:i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633BE2"/>
    <w:rPr>
      <w:rFonts w:ascii="Times New Roman" w:eastAsia="Times New Roman" w:hAnsi="Times New Roman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633BE2"/>
    <w:rPr>
      <w:rFonts w:ascii="Arial" w:eastAsia="Times New Roman" w:hAnsi="Arial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30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D6B"/>
  </w:style>
  <w:style w:type="paragraph" w:styleId="Footer">
    <w:name w:val="footer"/>
    <w:basedOn w:val="Normal"/>
    <w:link w:val="FooterChar"/>
    <w:uiPriority w:val="99"/>
    <w:unhideWhenUsed/>
    <w:rsid w:val="00301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6B"/>
  </w:style>
  <w:style w:type="paragraph" w:styleId="FootnoteText">
    <w:name w:val="footnote text"/>
    <w:basedOn w:val="Normal"/>
    <w:link w:val="FootnoteTextChar"/>
    <w:uiPriority w:val="99"/>
    <w:semiHidden/>
    <w:unhideWhenUsed/>
    <w:rsid w:val="00816D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D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D0B"/>
    <w:rPr>
      <w:vertAlign w:val="superscript"/>
    </w:rPr>
  </w:style>
  <w:style w:type="paragraph" w:customStyle="1" w:styleId="Default">
    <w:name w:val="Default"/>
    <w:rsid w:val="00816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87B93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35C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7912">
                  <w:marLeft w:val="36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A055CF3113ACE489CC83C69505D2DFE" ma:contentTypeVersion="6" ma:contentTypeDescription="" ma:contentTypeScope="" ma:versionID="62ccce76cdb607479054b4b9d5eb4125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65ebb6cd10f8a82259486540d0a3c719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13109-AE2D-42D6-BE93-01590AF2A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2753D-3C5D-4DFC-AF47-2D5FEED9E2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24B632-0C0E-4E7D-B3BD-2F1D028225F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3DCB4CA-D759-4BBF-AB4D-46907C9E34C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869090F-E312-4D2F-8B07-B399C39E24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DBF228-F4B7-4B9B-BD72-4C0E1CCC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1587</Words>
  <Characters>9020</Characters>
  <Application>Microsoft Office Word</Application>
  <DocSecurity>0</DocSecurity>
  <Lines>152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92 - Department of Finance - Natural Disaster Funding - Public inquiry</vt:lpstr>
    </vt:vector>
  </TitlesOfParts>
  <Company>Department of Finance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92 - Department of Finance - Natural Disaster Funding - Public inquiry</dc:title>
  <dc:creator>Department of Finance</dc:creator>
  <cp:lastModifiedBy>Productivity Commission</cp:lastModifiedBy>
  <cp:revision>6</cp:revision>
  <cp:lastPrinted>2014-06-11T02:39:00Z</cp:lastPrinted>
  <dcterms:created xsi:type="dcterms:W3CDTF">2014-06-13T03:40:00Z</dcterms:created>
  <dcterms:modified xsi:type="dcterms:W3CDTF">2014-06-19T00:33:00Z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0x01010066EDC8E18BFE9C418F00295EA55D44EA0015EE9FD84A134F42A8E78176E2093D4400FA055CF3113ACE489CC83C69505D2DFE</vt:lpwstr>
  </property>
  <property fmtid="{D5CDD505-2E9C-101B-9397-08002B2CF9AE}" pid="3" name="Order">
    <vt:r8>15800</vt:r8>
  </property>
  <property fmtid="{D5CDD505-2E9C-101B-9397-08002B2CF9AE}" pid="4" name="RecordPoint_SubmissionDate">
    <vt:lpwstr/>
  </property>
  <property fmtid="{D5CDD505-2E9C-101B-9397-08002B2CF9AE}" pid="5" name="RecordPoint_RecordNumberSubmitted">
    <vt:lpwstr/>
  </property>
  <property fmtid="{D5CDD505-2E9C-101B-9397-08002B2CF9AE}" pid="6" name="RecordPoint_ActiveItemSiteId">
    <vt:lpwstr>{5750d626-0aa0-474c-a55f-8063909d4906}</vt:lpwstr>
  </property>
  <property fmtid="{D5CDD505-2E9C-101B-9397-08002B2CF9AE}" pid="7" name="RecordPoint_ActiveItemListId">
    <vt:lpwstr>{5ddcf88e-8444-4ec5-9e6b-ef3ebb4e4a49}</vt:lpwstr>
  </property>
  <property fmtid="{D5CDD505-2E9C-101B-9397-08002B2CF9AE}" pid="8" name="RecordPoint_ActiveItemMoved">
    <vt:lpwstr/>
  </property>
  <property fmtid="{D5CDD505-2E9C-101B-9397-08002B2CF9AE}" pid="9" name="RecordPoint_RecordFormat">
    <vt:lpwstr/>
  </property>
  <property fmtid="{D5CDD505-2E9C-101B-9397-08002B2CF9AE}" pid="10" name="RecordPoint_SubmissionCompleted">
    <vt:lpwstr>2014-06-18T12:23:28.0271727+10:00</vt:lpwstr>
  </property>
  <property fmtid="{D5CDD505-2E9C-101B-9397-08002B2CF9AE}" pid="11" name="RecordPoint_ActiveItemUniqueId">
    <vt:lpwstr>{663584ca-9e18-4416-9256-55ac8f2d5696}</vt:lpwstr>
  </property>
  <property fmtid="{D5CDD505-2E9C-101B-9397-08002B2CF9AE}" pid="12" name="RecordPoint_ActiveItemWebId">
    <vt:lpwstr>{2159b2f9-a7b8-4f1e-afd4-3e549d486baf}</vt:lpwstr>
  </property>
  <property fmtid="{D5CDD505-2E9C-101B-9397-08002B2CF9AE}" pid="13" name="RecordPoint_WorkflowType">
    <vt:lpwstr>ActiveSubmitStub</vt:lpwstr>
  </property>
</Properties>
</file>