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010" w:rsidRDefault="00906010" w:rsidP="002E3CCF">
      <w:pPr>
        <w:spacing w:before="0" w:after="0"/>
        <w:ind w:left="-567" w:right="532"/>
        <w:rPr>
          <w:noProof/>
          <w:sz w:val="52"/>
          <w:szCs w:val="52"/>
          <w:lang w:eastAsia="en-AU"/>
        </w:rPr>
      </w:pPr>
      <w:bookmarkStart w:id="0" w:name="_GoBack"/>
      <w:bookmarkEnd w:id="0"/>
    </w:p>
    <w:p w:rsidR="00906010" w:rsidRDefault="00906010" w:rsidP="002E3CCF">
      <w:pPr>
        <w:spacing w:before="0" w:after="0"/>
        <w:ind w:left="-567" w:right="532"/>
        <w:rPr>
          <w:noProof/>
          <w:sz w:val="52"/>
          <w:szCs w:val="52"/>
          <w:lang w:eastAsia="en-AU"/>
        </w:rPr>
      </w:pPr>
    </w:p>
    <w:p w:rsidR="00906010" w:rsidRDefault="00906010" w:rsidP="002E3CCF">
      <w:pPr>
        <w:spacing w:before="0" w:after="0"/>
        <w:ind w:left="-567" w:right="532"/>
        <w:rPr>
          <w:noProof/>
          <w:sz w:val="52"/>
          <w:szCs w:val="52"/>
          <w:lang w:eastAsia="en-AU"/>
        </w:rPr>
      </w:pPr>
    </w:p>
    <w:p w:rsidR="00906010" w:rsidRDefault="00906010" w:rsidP="002E3CCF">
      <w:pPr>
        <w:spacing w:before="0" w:after="0"/>
        <w:ind w:left="-567" w:right="532"/>
        <w:rPr>
          <w:noProof/>
          <w:sz w:val="52"/>
          <w:szCs w:val="52"/>
          <w:lang w:eastAsia="en-AU"/>
        </w:rPr>
      </w:pPr>
    </w:p>
    <w:p w:rsidR="00906010" w:rsidRDefault="00906010" w:rsidP="002E3CCF">
      <w:pPr>
        <w:spacing w:before="0" w:after="0"/>
        <w:ind w:left="-567" w:right="532"/>
        <w:rPr>
          <w:noProof/>
          <w:sz w:val="52"/>
          <w:szCs w:val="52"/>
          <w:lang w:eastAsia="en-AU"/>
        </w:rPr>
      </w:pPr>
    </w:p>
    <w:p w:rsidR="00906010" w:rsidRDefault="00906010" w:rsidP="00906010">
      <w:pPr>
        <w:pStyle w:val="Header"/>
        <w:jc w:val="center"/>
        <w:rPr>
          <w:sz w:val="10"/>
        </w:rPr>
      </w:pPr>
    </w:p>
    <w:p w:rsidR="00906010" w:rsidRDefault="00906010" w:rsidP="002E3CCF">
      <w:pPr>
        <w:spacing w:before="0" w:after="0"/>
        <w:ind w:left="-567" w:right="532"/>
        <w:rPr>
          <w:noProof/>
          <w:sz w:val="52"/>
          <w:szCs w:val="52"/>
          <w:lang w:eastAsia="en-AU"/>
        </w:rPr>
      </w:pPr>
    </w:p>
    <w:p w:rsidR="00906010" w:rsidRDefault="00906010" w:rsidP="002E3CCF">
      <w:pPr>
        <w:spacing w:before="0" w:after="0"/>
        <w:ind w:left="-567" w:right="532"/>
        <w:rPr>
          <w:noProof/>
          <w:sz w:val="52"/>
          <w:szCs w:val="52"/>
          <w:lang w:eastAsia="en-AU"/>
        </w:rPr>
      </w:pPr>
    </w:p>
    <w:p w:rsidR="00906010" w:rsidRDefault="00906010" w:rsidP="00906010">
      <w:pPr>
        <w:spacing w:before="0" w:after="0"/>
        <w:ind w:left="-567" w:right="532"/>
        <w:jc w:val="center"/>
        <w:rPr>
          <w:noProof/>
          <w:sz w:val="52"/>
          <w:szCs w:val="52"/>
          <w:lang w:eastAsia="en-AU"/>
        </w:rPr>
      </w:pPr>
      <w:r w:rsidRPr="00906010">
        <w:rPr>
          <w:noProof/>
          <w:sz w:val="52"/>
          <w:szCs w:val="52"/>
          <w:lang w:eastAsia="en-AU"/>
        </w:rPr>
        <w:t>ACT Government</w:t>
      </w:r>
    </w:p>
    <w:p w:rsidR="00163186" w:rsidRPr="00906010" w:rsidRDefault="00906010" w:rsidP="00906010">
      <w:pPr>
        <w:spacing w:before="0" w:after="0"/>
        <w:ind w:left="-567" w:right="532"/>
        <w:jc w:val="center"/>
        <w:rPr>
          <w:noProof/>
          <w:sz w:val="52"/>
          <w:szCs w:val="52"/>
          <w:lang w:val="en-US"/>
        </w:rPr>
        <w:sectPr w:rsidR="00163186" w:rsidRPr="00906010" w:rsidSect="002E3CCF">
          <w:headerReference w:type="even" r:id="rId15"/>
          <w:headerReference w:type="default" r:id="rId16"/>
          <w:footerReference w:type="even" r:id="rId17"/>
          <w:footerReference w:type="default" r:id="rId18"/>
          <w:headerReference w:type="first" r:id="rId19"/>
          <w:footerReference w:type="first" r:id="rId20"/>
          <w:type w:val="continuous"/>
          <w:pgSz w:w="11901" w:h="16817"/>
          <w:pgMar w:top="1440" w:right="561" w:bottom="1440" w:left="1077" w:header="567" w:footer="567" w:gutter="170"/>
          <w:cols w:space="720"/>
          <w:titlePg/>
          <w:docGrid w:linePitch="360"/>
        </w:sectPr>
      </w:pPr>
      <w:r w:rsidRPr="00906010">
        <w:rPr>
          <w:noProof/>
          <w:sz w:val="52"/>
          <w:szCs w:val="52"/>
          <w:lang w:eastAsia="en-AU"/>
        </w:rPr>
        <w:t>Pr</w:t>
      </w:r>
      <w:r>
        <w:rPr>
          <w:noProof/>
          <w:sz w:val="52"/>
          <w:szCs w:val="52"/>
          <w:lang w:eastAsia="en-AU"/>
        </w:rPr>
        <w:t>oductivi</w:t>
      </w:r>
      <w:r w:rsidRPr="00906010">
        <w:rPr>
          <w:noProof/>
          <w:sz w:val="52"/>
          <w:szCs w:val="52"/>
          <w:lang w:eastAsia="en-AU"/>
        </w:rPr>
        <w:t>ty Commission Submission Report 2014</w:t>
      </w:r>
    </w:p>
    <w:p w:rsidR="006D1A14" w:rsidRPr="00BC33D7" w:rsidRDefault="006D1A14" w:rsidP="00106FB6">
      <w:pPr>
        <w:spacing w:before="0" w:after="0"/>
        <w:ind w:right="532"/>
        <w:rPr>
          <w:noProof/>
          <w:lang w:val="en-US"/>
        </w:rPr>
        <w:sectPr w:rsidR="006D1A14" w:rsidRPr="00BC33D7" w:rsidSect="00163186">
          <w:pgSz w:w="11901" w:h="16817"/>
          <w:pgMar w:top="1440" w:right="1077" w:bottom="1440" w:left="1077" w:header="567" w:footer="567" w:gutter="170"/>
          <w:cols w:space="720"/>
          <w:titlePg/>
          <w:docGrid w:linePitch="360"/>
        </w:sectPr>
      </w:pPr>
    </w:p>
    <w:p w:rsidR="00172126" w:rsidRPr="00906010" w:rsidRDefault="00172126" w:rsidP="00106FB6">
      <w:pPr>
        <w:ind w:right="532"/>
        <w:rPr>
          <w:rFonts w:asciiTheme="majorHAnsi" w:hAnsiTheme="majorHAnsi"/>
          <w:sz w:val="24"/>
        </w:rPr>
      </w:pPr>
    </w:p>
    <w:p w:rsidR="00394FAD" w:rsidRDefault="00394FAD" w:rsidP="00FC7827">
      <w:pPr>
        <w:spacing w:before="0" w:after="0"/>
        <w:ind w:right="532"/>
      </w:pPr>
    </w:p>
    <w:p w:rsidR="00D22B5B" w:rsidRDefault="00D22B5B" w:rsidP="00106FB6">
      <w:pPr>
        <w:pStyle w:val="H1"/>
        <w:ind w:right="532"/>
      </w:pPr>
      <w:r>
        <w:t>CONTENTS</w:t>
      </w:r>
    </w:p>
    <w:p w:rsidR="00923FA6" w:rsidRPr="00923FA6" w:rsidRDefault="00923FA6" w:rsidP="00923FA6">
      <w:pPr>
        <w:rPr>
          <w:rFonts w:asciiTheme="majorHAnsi" w:hAnsiTheme="majorHAnsi"/>
          <w:b/>
          <w:sz w:val="24"/>
        </w:rPr>
      </w:pPr>
    </w:p>
    <w:p w:rsidR="00923FA6" w:rsidRPr="007917F8" w:rsidRDefault="00923FA6" w:rsidP="00923FA6">
      <w:pPr>
        <w:rPr>
          <w:rFonts w:asciiTheme="majorHAnsi" w:hAnsiTheme="majorHAnsi"/>
          <w:b/>
          <w:sz w:val="24"/>
        </w:rPr>
      </w:pPr>
      <w:r w:rsidRPr="007917F8">
        <w:rPr>
          <w:rFonts w:asciiTheme="majorHAnsi" w:hAnsiTheme="majorHAnsi"/>
          <w:b/>
          <w:sz w:val="24"/>
        </w:rPr>
        <w:t>1. Foreword</w:t>
      </w:r>
      <w:r w:rsidRPr="007917F8">
        <w:rPr>
          <w:rFonts w:asciiTheme="majorHAnsi" w:hAnsiTheme="majorHAnsi"/>
          <w:b/>
          <w:sz w:val="24"/>
        </w:rPr>
        <w:tab/>
      </w:r>
      <w:r w:rsidR="007917F8" w:rsidRPr="007917F8">
        <w:rPr>
          <w:rFonts w:asciiTheme="majorHAnsi" w:hAnsiTheme="majorHAnsi"/>
          <w:b/>
          <w:sz w:val="24"/>
        </w:rPr>
        <w:t>3</w:t>
      </w:r>
    </w:p>
    <w:p w:rsidR="00923FA6" w:rsidRPr="007917F8" w:rsidRDefault="00FC67BA" w:rsidP="00923FA6">
      <w:pPr>
        <w:rPr>
          <w:rFonts w:asciiTheme="majorHAnsi" w:hAnsiTheme="majorHAnsi"/>
          <w:b/>
          <w:sz w:val="24"/>
        </w:rPr>
      </w:pPr>
      <w:hyperlink w:anchor="_Toc372629927" w:history="1">
        <w:r w:rsidR="00923FA6" w:rsidRPr="007917F8">
          <w:rPr>
            <w:rFonts w:asciiTheme="majorHAnsi" w:hAnsiTheme="majorHAnsi"/>
            <w:b/>
            <w:sz w:val="24"/>
          </w:rPr>
          <w:t>2.</w:t>
        </w:r>
      </w:hyperlink>
      <w:hyperlink w:anchor="_Toc372629933" w:history="1">
        <w:r w:rsidR="00923FA6" w:rsidRPr="007917F8">
          <w:rPr>
            <w:rFonts w:asciiTheme="majorHAnsi" w:hAnsiTheme="majorHAnsi"/>
            <w:b/>
            <w:sz w:val="24"/>
          </w:rPr>
          <w:t xml:space="preserve"> The ACT Government Approach</w:t>
        </w:r>
        <w:r w:rsidR="00923FA6" w:rsidRPr="007917F8">
          <w:rPr>
            <w:rFonts w:asciiTheme="majorHAnsi" w:hAnsiTheme="majorHAnsi"/>
            <w:b/>
            <w:sz w:val="24"/>
          </w:rPr>
          <w:tab/>
        </w:r>
      </w:hyperlink>
      <w:r w:rsidR="007917F8" w:rsidRPr="007917F8">
        <w:rPr>
          <w:rFonts w:asciiTheme="majorHAnsi" w:hAnsiTheme="majorHAnsi"/>
          <w:b/>
          <w:sz w:val="24"/>
        </w:rPr>
        <w:t>4</w:t>
      </w:r>
    </w:p>
    <w:p w:rsidR="00923FA6" w:rsidRPr="007917F8" w:rsidRDefault="00FC67BA" w:rsidP="00923FA6">
      <w:pPr>
        <w:rPr>
          <w:rFonts w:asciiTheme="majorHAnsi" w:hAnsiTheme="majorHAnsi"/>
          <w:sz w:val="24"/>
        </w:rPr>
      </w:pPr>
      <w:hyperlink w:anchor="_Toc372629934" w:history="1">
        <w:r w:rsidR="00DA6787">
          <w:rPr>
            <w:rFonts w:asciiTheme="majorHAnsi" w:hAnsiTheme="majorHAnsi"/>
            <w:b/>
            <w:sz w:val="24"/>
          </w:rPr>
          <w:t>3</w:t>
        </w:r>
        <w:r w:rsidR="00923FA6" w:rsidRPr="007917F8">
          <w:rPr>
            <w:rFonts w:asciiTheme="majorHAnsi" w:hAnsiTheme="majorHAnsi"/>
            <w:b/>
            <w:sz w:val="24"/>
          </w:rPr>
          <w:t>. Current Funding Arrangements</w:t>
        </w:r>
        <w:r w:rsidR="00923FA6" w:rsidRPr="007917F8">
          <w:rPr>
            <w:rFonts w:asciiTheme="majorHAnsi" w:hAnsiTheme="majorHAnsi"/>
            <w:b/>
            <w:webHidden/>
            <w:sz w:val="24"/>
          </w:rPr>
          <w:tab/>
        </w:r>
        <w:r w:rsidR="007917F8" w:rsidRPr="007917F8">
          <w:rPr>
            <w:rFonts w:asciiTheme="majorHAnsi" w:hAnsiTheme="majorHAnsi"/>
            <w:b/>
            <w:webHidden/>
            <w:sz w:val="24"/>
          </w:rPr>
          <w:t>6</w:t>
        </w:r>
        <w:r w:rsidR="00923FA6" w:rsidRPr="007917F8">
          <w:rPr>
            <w:rFonts w:asciiTheme="majorHAnsi" w:hAnsiTheme="majorHAnsi"/>
            <w:b/>
            <w:webHidden/>
            <w:sz w:val="24"/>
          </w:rPr>
          <w:t xml:space="preserve"> </w:t>
        </w:r>
      </w:hyperlink>
    </w:p>
    <w:p w:rsidR="009E2A52" w:rsidRDefault="00DA6787">
      <w:pPr>
        <w:ind w:left="339"/>
        <w:rPr>
          <w:rFonts w:asciiTheme="majorHAnsi" w:hAnsiTheme="majorHAnsi"/>
          <w:sz w:val="24"/>
        </w:rPr>
      </w:pPr>
      <w:r>
        <w:rPr>
          <w:rFonts w:asciiTheme="majorHAnsi" w:hAnsiTheme="majorHAnsi"/>
          <w:sz w:val="24"/>
        </w:rPr>
        <w:t>3</w:t>
      </w:r>
      <w:r w:rsidR="00923FA6" w:rsidRPr="007917F8">
        <w:rPr>
          <w:rFonts w:asciiTheme="majorHAnsi" w:hAnsiTheme="majorHAnsi"/>
          <w:sz w:val="24"/>
        </w:rPr>
        <w:t>.1 Natural Disaster Relief and Recovery Arrangements</w:t>
      </w:r>
      <w:r w:rsidR="00AE79A9">
        <w:rPr>
          <w:rFonts w:asciiTheme="majorHAnsi" w:hAnsiTheme="majorHAnsi"/>
          <w:sz w:val="24"/>
        </w:rPr>
        <w:t xml:space="preserve"> and their interaction with broader Commonwealth-state financial arrangements</w:t>
      </w:r>
      <w:r w:rsidR="00923FA6" w:rsidRPr="007917F8">
        <w:rPr>
          <w:rFonts w:asciiTheme="majorHAnsi" w:hAnsiTheme="majorHAnsi"/>
          <w:sz w:val="24"/>
        </w:rPr>
        <w:t>...................................</w:t>
      </w:r>
      <w:r w:rsidR="007917F8" w:rsidRPr="007917F8">
        <w:rPr>
          <w:rFonts w:asciiTheme="majorHAnsi" w:hAnsiTheme="majorHAnsi"/>
          <w:sz w:val="24"/>
        </w:rPr>
        <w:t>.........................</w:t>
      </w:r>
      <w:r w:rsidR="00AE79A9">
        <w:rPr>
          <w:rFonts w:asciiTheme="majorHAnsi" w:hAnsiTheme="majorHAnsi"/>
          <w:sz w:val="24"/>
        </w:rPr>
        <w:t>..........</w:t>
      </w:r>
      <w:r w:rsidR="00923FA6" w:rsidRPr="007917F8">
        <w:rPr>
          <w:rFonts w:asciiTheme="majorHAnsi" w:hAnsiTheme="majorHAnsi"/>
          <w:sz w:val="24"/>
        </w:rPr>
        <w:t>7</w:t>
      </w:r>
    </w:p>
    <w:p w:rsidR="009E2A52" w:rsidRDefault="00DA6787">
      <w:pPr>
        <w:ind w:left="339"/>
        <w:rPr>
          <w:rFonts w:asciiTheme="majorHAnsi" w:hAnsiTheme="majorHAnsi"/>
          <w:sz w:val="24"/>
        </w:rPr>
      </w:pPr>
      <w:r>
        <w:rPr>
          <w:rFonts w:asciiTheme="majorHAnsi" w:hAnsiTheme="majorHAnsi"/>
          <w:sz w:val="24"/>
        </w:rPr>
        <w:t>3</w:t>
      </w:r>
      <w:r w:rsidR="00923FA6" w:rsidRPr="007917F8">
        <w:rPr>
          <w:rFonts w:asciiTheme="majorHAnsi" w:hAnsiTheme="majorHAnsi"/>
          <w:sz w:val="24"/>
        </w:rPr>
        <w:t>.2 Na</w:t>
      </w:r>
      <w:r w:rsidR="005238B9">
        <w:rPr>
          <w:rFonts w:asciiTheme="majorHAnsi" w:hAnsiTheme="majorHAnsi"/>
          <w:sz w:val="24"/>
        </w:rPr>
        <w:t>tional</w:t>
      </w:r>
      <w:r w:rsidR="00923FA6" w:rsidRPr="007917F8">
        <w:rPr>
          <w:rFonts w:asciiTheme="majorHAnsi" w:hAnsiTheme="majorHAnsi"/>
          <w:sz w:val="24"/>
        </w:rPr>
        <w:t xml:space="preserve"> Partnership Agreement on Natural Disaster Resilience....................................7</w:t>
      </w:r>
    </w:p>
    <w:p w:rsidR="009E2A52" w:rsidRDefault="00DA6787">
      <w:pPr>
        <w:ind w:left="339"/>
        <w:rPr>
          <w:rFonts w:asciiTheme="majorHAnsi" w:hAnsiTheme="majorHAnsi"/>
          <w:b/>
          <w:sz w:val="24"/>
        </w:rPr>
      </w:pPr>
      <w:r>
        <w:rPr>
          <w:rFonts w:asciiTheme="majorHAnsi" w:hAnsiTheme="majorHAnsi"/>
          <w:sz w:val="24"/>
        </w:rPr>
        <w:t>3</w:t>
      </w:r>
      <w:r w:rsidR="00923FA6" w:rsidRPr="007917F8">
        <w:rPr>
          <w:rFonts w:asciiTheme="majorHAnsi" w:hAnsiTheme="majorHAnsi"/>
          <w:sz w:val="24"/>
        </w:rPr>
        <w:t>.3 Australian Government Disaster Recovery Payment ...................................................</w:t>
      </w:r>
      <w:r w:rsidR="007917F8" w:rsidRPr="007917F8">
        <w:rPr>
          <w:rFonts w:asciiTheme="majorHAnsi" w:hAnsiTheme="majorHAnsi"/>
          <w:sz w:val="24"/>
        </w:rPr>
        <w:t>...</w:t>
      </w:r>
      <w:r w:rsidR="00923FA6" w:rsidRPr="007917F8">
        <w:rPr>
          <w:rFonts w:asciiTheme="majorHAnsi" w:hAnsiTheme="majorHAnsi"/>
          <w:sz w:val="24"/>
        </w:rPr>
        <w:t>8</w:t>
      </w:r>
    </w:p>
    <w:p w:rsidR="00923FA6" w:rsidRPr="007917F8" w:rsidRDefault="00FC67BA" w:rsidP="00923FA6">
      <w:pPr>
        <w:rPr>
          <w:rFonts w:asciiTheme="majorHAnsi" w:hAnsiTheme="majorHAnsi"/>
          <w:b/>
          <w:sz w:val="24"/>
        </w:rPr>
      </w:pPr>
      <w:hyperlink w:anchor="_Toc372629935" w:history="1">
        <w:r w:rsidR="000A5DE2">
          <w:rPr>
            <w:rFonts w:asciiTheme="majorHAnsi" w:hAnsiTheme="majorHAnsi"/>
            <w:b/>
            <w:sz w:val="24"/>
          </w:rPr>
          <w:t>4</w:t>
        </w:r>
        <w:r w:rsidR="00923FA6" w:rsidRPr="007917F8">
          <w:rPr>
            <w:rFonts w:asciiTheme="majorHAnsi" w:hAnsiTheme="majorHAnsi"/>
            <w:b/>
            <w:sz w:val="24"/>
          </w:rPr>
          <w:t>. Assessing Current Arrangements</w:t>
        </w:r>
        <w:r w:rsidR="00923FA6" w:rsidRPr="007917F8">
          <w:rPr>
            <w:rFonts w:asciiTheme="majorHAnsi" w:hAnsiTheme="majorHAnsi"/>
            <w:b/>
            <w:webHidden/>
            <w:sz w:val="24"/>
          </w:rPr>
          <w:tab/>
        </w:r>
        <w:r w:rsidR="007917F8" w:rsidRPr="007917F8">
          <w:rPr>
            <w:rFonts w:asciiTheme="majorHAnsi" w:hAnsiTheme="majorHAnsi"/>
            <w:b/>
            <w:webHidden/>
            <w:sz w:val="24"/>
          </w:rPr>
          <w:t>.......</w:t>
        </w:r>
        <w:r w:rsidR="000A5DE2">
          <w:rPr>
            <w:rFonts w:asciiTheme="majorHAnsi" w:hAnsiTheme="majorHAnsi"/>
            <w:b/>
            <w:webHidden/>
            <w:sz w:val="24"/>
          </w:rPr>
          <w:t xml:space="preserve"> </w:t>
        </w:r>
        <w:r w:rsidR="00F258FE">
          <w:rPr>
            <w:rFonts w:asciiTheme="majorHAnsi" w:hAnsiTheme="majorHAnsi"/>
            <w:b/>
            <w:webHidden/>
            <w:sz w:val="24"/>
          </w:rPr>
          <w:t>9</w:t>
        </w:r>
      </w:hyperlink>
    </w:p>
    <w:p w:rsidR="00923FA6" w:rsidRPr="007917F8" w:rsidRDefault="00FC67BA" w:rsidP="00923FA6">
      <w:pPr>
        <w:ind w:left="284"/>
        <w:rPr>
          <w:rFonts w:asciiTheme="majorHAnsi" w:hAnsiTheme="majorHAnsi"/>
          <w:sz w:val="24"/>
        </w:rPr>
      </w:pPr>
      <w:hyperlink w:anchor="_Toc372629936" w:history="1">
        <w:r w:rsidR="000A5DE2">
          <w:rPr>
            <w:rFonts w:asciiTheme="majorHAnsi" w:hAnsiTheme="majorHAnsi"/>
            <w:sz w:val="24"/>
          </w:rPr>
          <w:t>4</w:t>
        </w:r>
        <w:r w:rsidR="00923FA6" w:rsidRPr="007917F8">
          <w:rPr>
            <w:rFonts w:asciiTheme="majorHAnsi" w:hAnsiTheme="majorHAnsi"/>
            <w:sz w:val="24"/>
          </w:rPr>
          <w:t xml:space="preserve">.1 </w:t>
        </w:r>
        <w:r w:rsidR="009C7281">
          <w:rPr>
            <w:rFonts w:asciiTheme="majorHAnsi" w:hAnsiTheme="majorHAnsi"/>
            <w:sz w:val="24"/>
          </w:rPr>
          <w:t>Australian Government</w:t>
        </w:r>
        <w:r w:rsidR="007917F8" w:rsidRPr="007917F8">
          <w:rPr>
            <w:rFonts w:asciiTheme="majorHAnsi" w:hAnsiTheme="majorHAnsi"/>
            <w:sz w:val="24"/>
          </w:rPr>
          <w:t xml:space="preserve"> Assistance</w:t>
        </w:r>
        <w:r w:rsidR="00923FA6" w:rsidRPr="007917F8">
          <w:rPr>
            <w:rFonts w:asciiTheme="majorHAnsi" w:hAnsiTheme="majorHAnsi"/>
            <w:webHidden/>
            <w:sz w:val="24"/>
          </w:rPr>
          <w:tab/>
        </w:r>
      </w:hyperlink>
      <w:r w:rsidR="007917F8" w:rsidRPr="007917F8">
        <w:rPr>
          <w:rFonts w:asciiTheme="majorHAnsi" w:hAnsiTheme="majorHAnsi"/>
          <w:sz w:val="24"/>
        </w:rPr>
        <w:t>9</w:t>
      </w:r>
    </w:p>
    <w:p w:rsidR="00923FA6" w:rsidRDefault="00FC67BA" w:rsidP="00923FA6">
      <w:pPr>
        <w:ind w:left="284"/>
        <w:rPr>
          <w:rFonts w:asciiTheme="majorHAnsi" w:hAnsiTheme="majorHAnsi"/>
          <w:sz w:val="24"/>
        </w:rPr>
      </w:pPr>
      <w:hyperlink w:anchor="_Toc372629937" w:history="1">
        <w:r w:rsidR="000A5DE2">
          <w:rPr>
            <w:rFonts w:asciiTheme="majorHAnsi" w:hAnsiTheme="majorHAnsi"/>
            <w:sz w:val="24"/>
          </w:rPr>
          <w:t>4</w:t>
        </w:r>
        <w:r w:rsidR="00923FA6" w:rsidRPr="007917F8">
          <w:rPr>
            <w:rFonts w:asciiTheme="majorHAnsi" w:hAnsiTheme="majorHAnsi"/>
            <w:sz w:val="24"/>
          </w:rPr>
          <w:t xml:space="preserve">.2 </w:t>
        </w:r>
        <w:r w:rsidR="007917F8" w:rsidRPr="007917F8">
          <w:rPr>
            <w:rFonts w:asciiTheme="majorHAnsi" w:hAnsiTheme="majorHAnsi"/>
            <w:sz w:val="24"/>
          </w:rPr>
          <w:t>Local Arrangements</w:t>
        </w:r>
        <w:r w:rsidR="00923FA6" w:rsidRPr="007917F8">
          <w:rPr>
            <w:rFonts w:asciiTheme="majorHAnsi" w:hAnsiTheme="majorHAnsi"/>
            <w:webHidden/>
            <w:sz w:val="24"/>
          </w:rPr>
          <w:tab/>
        </w:r>
      </w:hyperlink>
      <w:r w:rsidR="00F258FE">
        <w:rPr>
          <w:rFonts w:asciiTheme="majorHAnsi" w:hAnsiTheme="majorHAnsi"/>
          <w:sz w:val="24"/>
        </w:rPr>
        <w:t>10</w:t>
      </w:r>
    </w:p>
    <w:p w:rsidR="00F96387" w:rsidRPr="007917F8" w:rsidRDefault="00F96387" w:rsidP="00923FA6">
      <w:pPr>
        <w:ind w:left="284"/>
        <w:rPr>
          <w:rFonts w:asciiTheme="majorHAnsi" w:hAnsiTheme="majorHAnsi"/>
          <w:sz w:val="24"/>
        </w:rPr>
      </w:pPr>
      <w:r>
        <w:rPr>
          <w:rFonts w:asciiTheme="majorHAnsi" w:hAnsiTheme="majorHAnsi"/>
          <w:sz w:val="24"/>
        </w:rPr>
        <w:t>4.3 ACT NDRP Case Study – building community resilience</w:t>
      </w:r>
      <w:r>
        <w:rPr>
          <w:rFonts w:asciiTheme="majorHAnsi" w:hAnsiTheme="majorHAnsi"/>
          <w:sz w:val="24"/>
        </w:rPr>
        <w:tab/>
        <w:t>1</w:t>
      </w:r>
      <w:r w:rsidR="00AB112D">
        <w:rPr>
          <w:rFonts w:asciiTheme="majorHAnsi" w:hAnsiTheme="majorHAnsi"/>
          <w:sz w:val="24"/>
        </w:rPr>
        <w:t>1</w:t>
      </w:r>
    </w:p>
    <w:p w:rsidR="00923FA6" w:rsidRPr="007917F8" w:rsidRDefault="00114863" w:rsidP="00923FA6">
      <w:pPr>
        <w:rPr>
          <w:rFonts w:asciiTheme="majorHAnsi" w:hAnsiTheme="majorHAnsi"/>
          <w:b/>
          <w:sz w:val="24"/>
        </w:rPr>
      </w:pPr>
      <w:r>
        <w:rPr>
          <w:rFonts w:asciiTheme="majorHAnsi" w:hAnsiTheme="majorHAnsi"/>
          <w:b/>
          <w:sz w:val="24"/>
        </w:rPr>
        <w:t>5</w:t>
      </w:r>
      <w:r w:rsidR="00923FA6" w:rsidRPr="007917F8">
        <w:rPr>
          <w:rFonts w:asciiTheme="majorHAnsi" w:hAnsiTheme="majorHAnsi"/>
          <w:b/>
          <w:sz w:val="24"/>
        </w:rPr>
        <w:t>. Legislation</w:t>
      </w:r>
      <w:r w:rsidR="00F258FE">
        <w:rPr>
          <w:rFonts w:asciiTheme="majorHAnsi" w:hAnsiTheme="majorHAnsi"/>
          <w:b/>
          <w:sz w:val="24"/>
        </w:rPr>
        <w:t xml:space="preserve"> and Planning System</w:t>
      </w:r>
      <w:r w:rsidR="00923FA6" w:rsidRPr="007917F8">
        <w:rPr>
          <w:rFonts w:asciiTheme="majorHAnsi" w:hAnsiTheme="majorHAnsi"/>
          <w:b/>
          <w:sz w:val="24"/>
        </w:rPr>
        <w:t>................................................................</w:t>
      </w:r>
      <w:r w:rsidR="007917F8" w:rsidRPr="007917F8">
        <w:rPr>
          <w:rFonts w:asciiTheme="majorHAnsi" w:hAnsiTheme="majorHAnsi"/>
          <w:b/>
          <w:sz w:val="24"/>
        </w:rPr>
        <w:t>......................</w:t>
      </w:r>
      <w:r w:rsidR="002D66B1" w:rsidRPr="007917F8">
        <w:rPr>
          <w:rFonts w:asciiTheme="majorHAnsi" w:hAnsiTheme="majorHAnsi"/>
          <w:b/>
          <w:sz w:val="24"/>
        </w:rPr>
        <w:t>1</w:t>
      </w:r>
      <w:r w:rsidR="00AB112D">
        <w:rPr>
          <w:rFonts w:asciiTheme="majorHAnsi" w:hAnsiTheme="majorHAnsi"/>
          <w:b/>
          <w:sz w:val="24"/>
        </w:rPr>
        <w:t>2</w:t>
      </w:r>
    </w:p>
    <w:p w:rsidR="00923FA6" w:rsidRPr="007917F8" w:rsidRDefault="00114863" w:rsidP="00923FA6">
      <w:pPr>
        <w:pStyle w:val="H2bold"/>
        <w:rPr>
          <w:rFonts w:asciiTheme="majorHAnsi" w:hAnsiTheme="majorHAnsi"/>
          <w:color w:val="auto"/>
          <w:sz w:val="24"/>
          <w:szCs w:val="24"/>
        </w:rPr>
      </w:pPr>
      <w:r>
        <w:rPr>
          <w:rFonts w:asciiTheme="majorHAnsi" w:hAnsiTheme="majorHAnsi"/>
          <w:color w:val="auto"/>
          <w:sz w:val="24"/>
          <w:szCs w:val="24"/>
        </w:rPr>
        <w:t>6</w:t>
      </w:r>
      <w:r w:rsidR="00923FA6" w:rsidRPr="007917F8">
        <w:rPr>
          <w:rFonts w:asciiTheme="majorHAnsi" w:hAnsiTheme="majorHAnsi"/>
          <w:color w:val="auto"/>
          <w:sz w:val="24"/>
          <w:szCs w:val="24"/>
        </w:rPr>
        <w:t>. Insurance for Residual Risk</w:t>
      </w:r>
      <w:r w:rsidR="002D66B1" w:rsidRPr="007917F8">
        <w:rPr>
          <w:rFonts w:asciiTheme="majorHAnsi" w:hAnsiTheme="majorHAnsi"/>
          <w:color w:val="auto"/>
          <w:sz w:val="24"/>
          <w:szCs w:val="24"/>
        </w:rPr>
        <w:t>.........................................................................</w:t>
      </w:r>
      <w:r w:rsidR="007917F8" w:rsidRPr="007917F8">
        <w:rPr>
          <w:rFonts w:asciiTheme="majorHAnsi" w:hAnsiTheme="majorHAnsi"/>
          <w:color w:val="auto"/>
          <w:sz w:val="24"/>
          <w:szCs w:val="24"/>
        </w:rPr>
        <w:t>...................</w:t>
      </w:r>
      <w:r w:rsidR="002D66B1" w:rsidRPr="007917F8">
        <w:rPr>
          <w:rFonts w:asciiTheme="majorHAnsi" w:hAnsiTheme="majorHAnsi"/>
          <w:color w:val="auto"/>
          <w:sz w:val="24"/>
          <w:szCs w:val="24"/>
        </w:rPr>
        <w:t>..1</w:t>
      </w:r>
      <w:r w:rsidR="00AB112D">
        <w:rPr>
          <w:rFonts w:asciiTheme="majorHAnsi" w:hAnsiTheme="majorHAnsi"/>
          <w:color w:val="auto"/>
          <w:sz w:val="24"/>
          <w:szCs w:val="24"/>
        </w:rPr>
        <w:t>3</w:t>
      </w:r>
    </w:p>
    <w:p w:rsidR="00006D06" w:rsidRDefault="00114863" w:rsidP="00923FA6">
      <w:pPr>
        <w:pStyle w:val="H2bold"/>
        <w:rPr>
          <w:rFonts w:asciiTheme="majorHAnsi" w:hAnsiTheme="majorHAnsi"/>
          <w:color w:val="auto"/>
          <w:sz w:val="24"/>
          <w:szCs w:val="24"/>
        </w:rPr>
      </w:pPr>
      <w:r>
        <w:rPr>
          <w:rFonts w:asciiTheme="majorHAnsi" w:hAnsiTheme="majorHAnsi"/>
          <w:color w:val="auto"/>
          <w:sz w:val="24"/>
          <w:szCs w:val="24"/>
        </w:rPr>
        <w:t>7</w:t>
      </w:r>
      <w:r w:rsidR="00006D06">
        <w:rPr>
          <w:rFonts w:asciiTheme="majorHAnsi" w:hAnsiTheme="majorHAnsi"/>
          <w:color w:val="auto"/>
          <w:sz w:val="24"/>
          <w:szCs w:val="24"/>
        </w:rPr>
        <w:t>. Summary of Recommendations.......................................................................................1</w:t>
      </w:r>
      <w:r w:rsidR="00AB112D">
        <w:rPr>
          <w:rFonts w:asciiTheme="majorHAnsi" w:hAnsiTheme="majorHAnsi"/>
          <w:color w:val="auto"/>
          <w:sz w:val="24"/>
          <w:szCs w:val="24"/>
        </w:rPr>
        <w:t>4</w:t>
      </w:r>
    </w:p>
    <w:p w:rsidR="00923FA6" w:rsidRPr="007917F8" w:rsidRDefault="00114863" w:rsidP="00923FA6">
      <w:pPr>
        <w:pStyle w:val="H2bold"/>
        <w:rPr>
          <w:rFonts w:asciiTheme="majorHAnsi" w:hAnsiTheme="majorHAnsi"/>
          <w:color w:val="auto"/>
          <w:sz w:val="24"/>
          <w:szCs w:val="24"/>
        </w:rPr>
      </w:pPr>
      <w:r>
        <w:rPr>
          <w:rFonts w:asciiTheme="majorHAnsi" w:hAnsiTheme="majorHAnsi"/>
          <w:color w:val="auto"/>
          <w:sz w:val="24"/>
          <w:szCs w:val="24"/>
        </w:rPr>
        <w:t>8</w:t>
      </w:r>
      <w:r w:rsidR="00923FA6" w:rsidRPr="007917F8">
        <w:rPr>
          <w:rFonts w:asciiTheme="majorHAnsi" w:hAnsiTheme="majorHAnsi"/>
          <w:color w:val="auto"/>
          <w:sz w:val="24"/>
          <w:szCs w:val="24"/>
        </w:rPr>
        <w:t>. Attachments</w:t>
      </w:r>
      <w:r w:rsidR="002D66B1" w:rsidRPr="007917F8">
        <w:rPr>
          <w:rFonts w:asciiTheme="majorHAnsi" w:hAnsiTheme="majorHAnsi"/>
          <w:color w:val="auto"/>
          <w:sz w:val="24"/>
          <w:szCs w:val="24"/>
        </w:rPr>
        <w:t>...............................................................................................</w:t>
      </w:r>
      <w:r w:rsidR="007917F8" w:rsidRPr="007917F8">
        <w:rPr>
          <w:rFonts w:asciiTheme="majorHAnsi" w:hAnsiTheme="majorHAnsi"/>
          <w:color w:val="auto"/>
          <w:sz w:val="24"/>
          <w:szCs w:val="24"/>
        </w:rPr>
        <w:t>...................</w:t>
      </w:r>
      <w:r w:rsidR="00F96387">
        <w:rPr>
          <w:rFonts w:asciiTheme="majorHAnsi" w:hAnsiTheme="majorHAnsi"/>
          <w:color w:val="auto"/>
          <w:sz w:val="24"/>
          <w:szCs w:val="24"/>
        </w:rPr>
        <w:t xml:space="preserve"> </w:t>
      </w:r>
      <w:r w:rsidR="002D66B1" w:rsidRPr="007917F8">
        <w:rPr>
          <w:rFonts w:asciiTheme="majorHAnsi" w:hAnsiTheme="majorHAnsi"/>
          <w:color w:val="auto"/>
          <w:sz w:val="24"/>
          <w:szCs w:val="24"/>
        </w:rPr>
        <w:t>1</w:t>
      </w:r>
      <w:r w:rsidR="00AB112D">
        <w:rPr>
          <w:rFonts w:asciiTheme="majorHAnsi" w:hAnsiTheme="majorHAnsi"/>
          <w:color w:val="auto"/>
          <w:sz w:val="24"/>
          <w:szCs w:val="24"/>
        </w:rPr>
        <w:t>5</w:t>
      </w:r>
    </w:p>
    <w:p w:rsidR="00394FAD" w:rsidRPr="00F93124" w:rsidRDefault="004A6491" w:rsidP="00106FB6">
      <w:pPr>
        <w:pStyle w:val="H1"/>
        <w:ind w:right="532"/>
        <w:rPr>
          <w:rFonts w:asciiTheme="majorHAnsi" w:hAnsiTheme="majorHAnsi"/>
          <w:sz w:val="24"/>
          <w:szCs w:val="24"/>
        </w:rPr>
      </w:pPr>
      <w:r w:rsidRPr="00F93124">
        <w:rPr>
          <w:rFonts w:asciiTheme="majorHAnsi" w:hAnsiTheme="majorHAnsi"/>
          <w:caps w:val="0"/>
          <w:color w:val="000000" w:themeColor="text1"/>
          <w:sz w:val="24"/>
          <w:szCs w:val="24"/>
        </w:rPr>
        <w:br w:type="page"/>
      </w:r>
    </w:p>
    <w:p w:rsidR="00D22B5B" w:rsidRPr="00F93124" w:rsidRDefault="00A00066" w:rsidP="00F93124">
      <w:pPr>
        <w:pStyle w:val="H1"/>
        <w:spacing w:line="360" w:lineRule="auto"/>
        <w:ind w:right="532"/>
        <w:rPr>
          <w:rFonts w:asciiTheme="majorHAnsi" w:hAnsiTheme="majorHAnsi"/>
          <w:b/>
          <w:color w:val="4F6228" w:themeColor="accent3" w:themeShade="80"/>
          <w:spacing w:val="-10"/>
          <w:szCs w:val="22"/>
        </w:rPr>
      </w:pPr>
      <w:r w:rsidRPr="00F93124">
        <w:rPr>
          <w:rFonts w:asciiTheme="majorHAnsi" w:hAnsiTheme="majorHAnsi"/>
          <w:b/>
          <w:color w:val="4F6228" w:themeColor="accent3" w:themeShade="80"/>
        </w:rPr>
        <w:lastRenderedPageBreak/>
        <w:t xml:space="preserve">1. </w:t>
      </w:r>
      <w:r w:rsidR="00D22B5B" w:rsidRPr="00F93124">
        <w:rPr>
          <w:rFonts w:asciiTheme="majorHAnsi" w:hAnsiTheme="majorHAnsi"/>
          <w:b/>
          <w:color w:val="4F6228" w:themeColor="accent3" w:themeShade="80"/>
        </w:rPr>
        <w:t>Foreword</w:t>
      </w:r>
    </w:p>
    <w:p w:rsidR="007B0E97" w:rsidRDefault="00892E1A" w:rsidP="00F93124">
      <w:pPr>
        <w:spacing w:after="0" w:line="360" w:lineRule="auto"/>
        <w:jc w:val="both"/>
        <w:rPr>
          <w:rFonts w:asciiTheme="majorHAnsi" w:hAnsiTheme="majorHAnsi"/>
          <w:sz w:val="24"/>
        </w:rPr>
      </w:pPr>
      <w:r w:rsidRPr="00F93124">
        <w:rPr>
          <w:rFonts w:asciiTheme="majorHAnsi" w:hAnsiTheme="majorHAnsi"/>
          <w:sz w:val="24"/>
        </w:rPr>
        <w:t xml:space="preserve">The ACT Government recognises that </w:t>
      </w:r>
      <w:r w:rsidR="005A6B80">
        <w:rPr>
          <w:rFonts w:asciiTheme="majorHAnsi" w:hAnsiTheme="majorHAnsi"/>
          <w:sz w:val="24"/>
        </w:rPr>
        <w:t xml:space="preserve">the </w:t>
      </w:r>
      <w:r w:rsidR="00642F82">
        <w:rPr>
          <w:rFonts w:asciiTheme="majorHAnsi" w:hAnsiTheme="majorHAnsi"/>
          <w:sz w:val="24"/>
        </w:rPr>
        <w:t xml:space="preserve">threat of </w:t>
      </w:r>
      <w:r w:rsidRPr="00F93124">
        <w:rPr>
          <w:rFonts w:asciiTheme="majorHAnsi" w:hAnsiTheme="majorHAnsi"/>
          <w:sz w:val="24"/>
        </w:rPr>
        <w:t>natural disaster</w:t>
      </w:r>
      <w:r w:rsidR="00642F82">
        <w:rPr>
          <w:rFonts w:asciiTheme="majorHAnsi" w:hAnsiTheme="majorHAnsi"/>
          <w:sz w:val="24"/>
        </w:rPr>
        <w:t>s</w:t>
      </w:r>
      <w:r w:rsidRPr="00F93124">
        <w:rPr>
          <w:rFonts w:asciiTheme="majorHAnsi" w:hAnsiTheme="majorHAnsi"/>
          <w:sz w:val="24"/>
        </w:rPr>
        <w:t xml:space="preserve"> pose a </w:t>
      </w:r>
      <w:r w:rsidR="00642F82">
        <w:rPr>
          <w:rFonts w:asciiTheme="majorHAnsi" w:hAnsiTheme="majorHAnsi"/>
          <w:sz w:val="24"/>
        </w:rPr>
        <w:t xml:space="preserve">risk </w:t>
      </w:r>
      <w:r w:rsidRPr="00F93124">
        <w:rPr>
          <w:rFonts w:asciiTheme="majorHAnsi" w:hAnsiTheme="majorHAnsi"/>
          <w:sz w:val="24"/>
        </w:rPr>
        <w:t xml:space="preserve">to </w:t>
      </w:r>
      <w:r w:rsidR="00FD728C">
        <w:rPr>
          <w:rFonts w:asciiTheme="majorHAnsi" w:hAnsiTheme="majorHAnsi"/>
          <w:sz w:val="24"/>
        </w:rPr>
        <w:t>the territory. The improved management of these risks is essential to</w:t>
      </w:r>
      <w:r w:rsidRPr="00F93124">
        <w:rPr>
          <w:rFonts w:asciiTheme="majorHAnsi" w:hAnsiTheme="majorHAnsi"/>
          <w:sz w:val="24"/>
        </w:rPr>
        <w:t xml:space="preserve"> increasing </w:t>
      </w:r>
      <w:r w:rsidR="005A6B80">
        <w:rPr>
          <w:rFonts w:asciiTheme="majorHAnsi" w:hAnsiTheme="majorHAnsi"/>
          <w:sz w:val="24"/>
        </w:rPr>
        <w:t xml:space="preserve">the </w:t>
      </w:r>
      <w:r w:rsidRPr="00F93124">
        <w:rPr>
          <w:rFonts w:asciiTheme="majorHAnsi" w:hAnsiTheme="majorHAnsi"/>
          <w:sz w:val="24"/>
        </w:rPr>
        <w:t>overall wellbeing</w:t>
      </w:r>
      <w:r w:rsidR="00FD728C">
        <w:rPr>
          <w:rFonts w:asciiTheme="majorHAnsi" w:hAnsiTheme="majorHAnsi"/>
          <w:sz w:val="24"/>
        </w:rPr>
        <w:t xml:space="preserve"> and resilience</w:t>
      </w:r>
      <w:r w:rsidR="005A6B80">
        <w:rPr>
          <w:rFonts w:asciiTheme="majorHAnsi" w:hAnsiTheme="majorHAnsi"/>
          <w:sz w:val="24"/>
        </w:rPr>
        <w:t xml:space="preserve"> of the ACT Community</w:t>
      </w:r>
      <w:r w:rsidRPr="00F93124">
        <w:rPr>
          <w:rFonts w:asciiTheme="majorHAnsi" w:hAnsiTheme="majorHAnsi"/>
          <w:sz w:val="24"/>
        </w:rPr>
        <w:t xml:space="preserve">. </w:t>
      </w:r>
      <w:r w:rsidR="006B61AE">
        <w:rPr>
          <w:rFonts w:asciiTheme="majorHAnsi" w:hAnsiTheme="majorHAnsi"/>
          <w:sz w:val="24"/>
        </w:rPr>
        <w:t xml:space="preserve"> The ACT adopts an</w:t>
      </w:r>
      <w:r w:rsidR="007B0E97">
        <w:rPr>
          <w:rFonts w:asciiTheme="majorHAnsi" w:hAnsiTheme="majorHAnsi"/>
          <w:sz w:val="24"/>
        </w:rPr>
        <w:t xml:space="preserve"> all hazards and </w:t>
      </w:r>
      <w:r w:rsidR="00642F82">
        <w:rPr>
          <w:rFonts w:asciiTheme="majorHAnsi" w:hAnsiTheme="majorHAnsi"/>
          <w:sz w:val="24"/>
        </w:rPr>
        <w:t>a whole-of-government</w:t>
      </w:r>
      <w:r w:rsidR="007B0E97">
        <w:rPr>
          <w:rFonts w:asciiTheme="majorHAnsi" w:hAnsiTheme="majorHAnsi"/>
          <w:sz w:val="24"/>
        </w:rPr>
        <w:t xml:space="preserve"> approach to </w:t>
      </w:r>
      <w:r w:rsidR="005238B9">
        <w:rPr>
          <w:rFonts w:asciiTheme="majorHAnsi" w:hAnsiTheme="majorHAnsi"/>
          <w:sz w:val="24"/>
        </w:rPr>
        <w:t>help the community better prepare for disasters and build</w:t>
      </w:r>
      <w:r w:rsidR="007B0E97">
        <w:rPr>
          <w:rFonts w:asciiTheme="majorHAnsi" w:hAnsiTheme="majorHAnsi"/>
          <w:sz w:val="24"/>
        </w:rPr>
        <w:t xml:space="preserve"> community resilience. </w:t>
      </w:r>
    </w:p>
    <w:p w:rsidR="007B0E97" w:rsidRDefault="007B0E97" w:rsidP="00F93124">
      <w:pPr>
        <w:spacing w:after="0" w:line="360" w:lineRule="auto"/>
        <w:jc w:val="both"/>
        <w:rPr>
          <w:rFonts w:asciiTheme="majorHAnsi" w:hAnsiTheme="majorHAnsi"/>
          <w:sz w:val="24"/>
        </w:rPr>
      </w:pPr>
    </w:p>
    <w:p w:rsidR="00892E1A" w:rsidRDefault="00517545" w:rsidP="00F93124">
      <w:pPr>
        <w:spacing w:after="0" w:line="360" w:lineRule="auto"/>
        <w:jc w:val="both"/>
        <w:rPr>
          <w:rFonts w:asciiTheme="majorHAnsi" w:hAnsiTheme="majorHAnsi"/>
          <w:sz w:val="24"/>
        </w:rPr>
      </w:pPr>
      <w:r>
        <w:rPr>
          <w:rFonts w:asciiTheme="majorHAnsi" w:hAnsiTheme="majorHAnsi"/>
          <w:sz w:val="24"/>
        </w:rPr>
        <w:t>The ACT Government</w:t>
      </w:r>
      <w:r w:rsidR="00892E1A" w:rsidRPr="00F93124">
        <w:rPr>
          <w:rFonts w:asciiTheme="majorHAnsi" w:hAnsiTheme="majorHAnsi"/>
          <w:sz w:val="24"/>
        </w:rPr>
        <w:t xml:space="preserve"> </w:t>
      </w:r>
      <w:r w:rsidR="00642F82">
        <w:rPr>
          <w:rFonts w:asciiTheme="majorHAnsi" w:hAnsiTheme="majorHAnsi"/>
          <w:sz w:val="24"/>
        </w:rPr>
        <w:t xml:space="preserve">invests in </w:t>
      </w:r>
      <w:r w:rsidR="005A6B80">
        <w:rPr>
          <w:rFonts w:asciiTheme="majorHAnsi" w:hAnsiTheme="majorHAnsi"/>
          <w:sz w:val="24"/>
        </w:rPr>
        <w:t xml:space="preserve">a </w:t>
      </w:r>
      <w:r w:rsidR="00DA6787">
        <w:rPr>
          <w:rFonts w:asciiTheme="majorHAnsi" w:hAnsiTheme="majorHAnsi"/>
          <w:sz w:val="24"/>
        </w:rPr>
        <w:t xml:space="preserve">wide range of </w:t>
      </w:r>
      <w:r w:rsidR="00642F82">
        <w:rPr>
          <w:rFonts w:asciiTheme="majorHAnsi" w:hAnsiTheme="majorHAnsi"/>
          <w:sz w:val="24"/>
        </w:rPr>
        <w:t>disaster</w:t>
      </w:r>
      <w:r w:rsidR="00FC7827">
        <w:rPr>
          <w:rFonts w:asciiTheme="majorHAnsi" w:hAnsiTheme="majorHAnsi"/>
          <w:sz w:val="24"/>
        </w:rPr>
        <w:t xml:space="preserve"> </w:t>
      </w:r>
      <w:r w:rsidR="00892E1A" w:rsidRPr="00F93124">
        <w:rPr>
          <w:rFonts w:asciiTheme="majorHAnsi" w:hAnsiTheme="majorHAnsi"/>
          <w:sz w:val="24"/>
        </w:rPr>
        <w:t>mitigation activities</w:t>
      </w:r>
      <w:r w:rsidR="005A6B80">
        <w:rPr>
          <w:rFonts w:asciiTheme="majorHAnsi" w:hAnsiTheme="majorHAnsi"/>
          <w:sz w:val="24"/>
        </w:rPr>
        <w:t>,</w:t>
      </w:r>
      <w:r w:rsidR="00892E1A" w:rsidRPr="00F93124">
        <w:rPr>
          <w:rFonts w:asciiTheme="majorHAnsi" w:hAnsiTheme="majorHAnsi"/>
          <w:sz w:val="24"/>
        </w:rPr>
        <w:t xml:space="preserve"> such as land</w:t>
      </w:r>
      <w:r w:rsidR="00892E1A" w:rsidRPr="00F93124">
        <w:rPr>
          <w:rFonts w:asciiTheme="majorHAnsi" w:hAnsiTheme="majorHAnsi"/>
          <w:sz w:val="24"/>
        </w:rPr>
        <w:noBreakHyphen/>
        <w:t xml:space="preserve">use planning, </w:t>
      </w:r>
      <w:r w:rsidR="00DA6787">
        <w:rPr>
          <w:rFonts w:asciiTheme="majorHAnsi" w:hAnsiTheme="majorHAnsi"/>
          <w:sz w:val="24"/>
        </w:rPr>
        <w:t>enhancement of key infrastructure</w:t>
      </w:r>
      <w:r w:rsidR="00892E1A" w:rsidRPr="00F93124">
        <w:rPr>
          <w:rFonts w:asciiTheme="majorHAnsi" w:hAnsiTheme="majorHAnsi"/>
          <w:sz w:val="24"/>
        </w:rPr>
        <w:t>, road maintenance,</w:t>
      </w:r>
      <w:r w:rsidR="00CD4E20">
        <w:rPr>
          <w:rFonts w:asciiTheme="majorHAnsi" w:hAnsiTheme="majorHAnsi"/>
          <w:sz w:val="24"/>
        </w:rPr>
        <w:t xml:space="preserve"> </w:t>
      </w:r>
      <w:r w:rsidR="005238B9">
        <w:rPr>
          <w:rFonts w:asciiTheme="majorHAnsi" w:hAnsiTheme="majorHAnsi"/>
          <w:sz w:val="24"/>
        </w:rPr>
        <w:t xml:space="preserve">landscape management, </w:t>
      </w:r>
      <w:r w:rsidR="00CD4E20">
        <w:rPr>
          <w:rFonts w:asciiTheme="majorHAnsi" w:hAnsiTheme="majorHAnsi"/>
          <w:sz w:val="24"/>
        </w:rPr>
        <w:t>comprehensive insurance</w:t>
      </w:r>
      <w:r w:rsidR="005A6B80">
        <w:rPr>
          <w:rFonts w:asciiTheme="majorHAnsi" w:hAnsiTheme="majorHAnsi"/>
          <w:sz w:val="24"/>
        </w:rPr>
        <w:t xml:space="preserve"> arrangements</w:t>
      </w:r>
      <w:r w:rsidR="00CD4E20">
        <w:rPr>
          <w:rFonts w:asciiTheme="majorHAnsi" w:hAnsiTheme="majorHAnsi"/>
          <w:sz w:val="24"/>
        </w:rPr>
        <w:t>,</w:t>
      </w:r>
      <w:r w:rsidR="00892E1A" w:rsidRPr="00F93124">
        <w:rPr>
          <w:rFonts w:asciiTheme="majorHAnsi" w:hAnsiTheme="majorHAnsi"/>
          <w:sz w:val="24"/>
        </w:rPr>
        <w:t xml:space="preserve"> </w:t>
      </w:r>
      <w:r w:rsidR="00DA6787">
        <w:rPr>
          <w:rFonts w:asciiTheme="majorHAnsi" w:hAnsiTheme="majorHAnsi"/>
          <w:sz w:val="24"/>
        </w:rPr>
        <w:t xml:space="preserve">emergency services, </w:t>
      </w:r>
      <w:r w:rsidR="00892E1A" w:rsidRPr="00F93124">
        <w:rPr>
          <w:rFonts w:asciiTheme="majorHAnsi" w:hAnsiTheme="majorHAnsi"/>
          <w:sz w:val="24"/>
        </w:rPr>
        <w:t xml:space="preserve">health care, </w:t>
      </w:r>
      <w:r w:rsidR="00DA6787">
        <w:rPr>
          <w:rFonts w:asciiTheme="majorHAnsi" w:hAnsiTheme="majorHAnsi"/>
          <w:sz w:val="24"/>
        </w:rPr>
        <w:t xml:space="preserve">community and </w:t>
      </w:r>
      <w:r w:rsidR="00892E1A" w:rsidRPr="00F93124">
        <w:rPr>
          <w:rFonts w:asciiTheme="majorHAnsi" w:hAnsiTheme="majorHAnsi"/>
          <w:sz w:val="24"/>
        </w:rPr>
        <w:t>social assistance</w:t>
      </w:r>
      <w:r w:rsidR="005A6B80">
        <w:rPr>
          <w:rFonts w:asciiTheme="majorHAnsi" w:hAnsiTheme="majorHAnsi"/>
          <w:sz w:val="24"/>
        </w:rPr>
        <w:t>,</w:t>
      </w:r>
      <w:r w:rsidR="00892E1A" w:rsidRPr="00F93124">
        <w:rPr>
          <w:rFonts w:asciiTheme="majorHAnsi" w:hAnsiTheme="majorHAnsi"/>
          <w:sz w:val="24"/>
        </w:rPr>
        <w:t xml:space="preserve"> and environmental management.</w:t>
      </w:r>
    </w:p>
    <w:p w:rsidR="006B61AE" w:rsidRPr="00F93124" w:rsidRDefault="006B61AE" w:rsidP="00F93124">
      <w:pPr>
        <w:spacing w:after="0" w:line="360" w:lineRule="auto"/>
        <w:jc w:val="both"/>
        <w:rPr>
          <w:rFonts w:asciiTheme="majorHAnsi" w:hAnsiTheme="majorHAnsi"/>
          <w:sz w:val="24"/>
        </w:rPr>
      </w:pPr>
    </w:p>
    <w:p w:rsidR="00A00066" w:rsidRPr="00F93124" w:rsidRDefault="00DA6787" w:rsidP="00F93124">
      <w:pPr>
        <w:spacing w:line="360" w:lineRule="auto"/>
        <w:ind w:right="532"/>
        <w:jc w:val="both"/>
        <w:rPr>
          <w:rFonts w:asciiTheme="majorHAnsi" w:hAnsiTheme="majorHAnsi"/>
          <w:sz w:val="24"/>
        </w:rPr>
      </w:pPr>
      <w:r w:rsidRPr="00F93124">
        <w:rPr>
          <w:rFonts w:asciiTheme="majorHAnsi" w:hAnsiTheme="majorHAnsi"/>
          <w:sz w:val="24"/>
        </w:rPr>
        <w:t xml:space="preserve">This submission </w:t>
      </w:r>
      <w:r>
        <w:rPr>
          <w:rFonts w:asciiTheme="majorHAnsi" w:hAnsiTheme="majorHAnsi"/>
          <w:sz w:val="24"/>
        </w:rPr>
        <w:t xml:space="preserve">highlights </w:t>
      </w:r>
      <w:r w:rsidRPr="00F93124">
        <w:rPr>
          <w:rFonts w:asciiTheme="majorHAnsi" w:hAnsiTheme="majorHAnsi"/>
          <w:sz w:val="24"/>
        </w:rPr>
        <w:t xml:space="preserve">the </w:t>
      </w:r>
      <w:r>
        <w:rPr>
          <w:rFonts w:asciiTheme="majorHAnsi" w:hAnsiTheme="majorHAnsi"/>
          <w:sz w:val="24"/>
        </w:rPr>
        <w:t>ACT Government</w:t>
      </w:r>
      <w:r w:rsidRPr="00F93124">
        <w:rPr>
          <w:rFonts w:asciiTheme="majorHAnsi" w:hAnsiTheme="majorHAnsi"/>
          <w:sz w:val="24"/>
        </w:rPr>
        <w:t xml:space="preserve">’s </w:t>
      </w:r>
      <w:r>
        <w:rPr>
          <w:rFonts w:asciiTheme="majorHAnsi" w:hAnsiTheme="majorHAnsi"/>
          <w:sz w:val="24"/>
        </w:rPr>
        <w:t xml:space="preserve">key </w:t>
      </w:r>
      <w:r w:rsidRPr="00F93124">
        <w:rPr>
          <w:rFonts w:asciiTheme="majorHAnsi" w:hAnsiTheme="majorHAnsi"/>
          <w:sz w:val="24"/>
        </w:rPr>
        <w:t xml:space="preserve">natural </w:t>
      </w:r>
      <w:r>
        <w:rPr>
          <w:rFonts w:asciiTheme="majorHAnsi" w:hAnsiTheme="majorHAnsi"/>
          <w:sz w:val="24"/>
        </w:rPr>
        <w:t xml:space="preserve">disaster mitigation </w:t>
      </w:r>
      <w:r w:rsidR="005238B9">
        <w:rPr>
          <w:rFonts w:asciiTheme="majorHAnsi" w:hAnsiTheme="majorHAnsi"/>
          <w:sz w:val="24"/>
        </w:rPr>
        <w:t xml:space="preserve">and resilience </w:t>
      </w:r>
      <w:r>
        <w:rPr>
          <w:rFonts w:asciiTheme="majorHAnsi" w:hAnsiTheme="majorHAnsi"/>
          <w:sz w:val="24"/>
        </w:rPr>
        <w:t xml:space="preserve">activities in response to </w:t>
      </w:r>
      <w:r w:rsidRPr="00F93124">
        <w:rPr>
          <w:rFonts w:asciiTheme="majorHAnsi" w:hAnsiTheme="majorHAnsi"/>
          <w:sz w:val="24"/>
        </w:rPr>
        <w:t xml:space="preserve">the </w:t>
      </w:r>
      <w:r>
        <w:rPr>
          <w:rFonts w:asciiTheme="majorHAnsi" w:hAnsiTheme="majorHAnsi"/>
          <w:sz w:val="24"/>
        </w:rPr>
        <w:t>National </w:t>
      </w:r>
      <w:r w:rsidRPr="00F93124">
        <w:rPr>
          <w:rFonts w:asciiTheme="majorHAnsi" w:hAnsiTheme="majorHAnsi"/>
          <w:sz w:val="24"/>
        </w:rPr>
        <w:t>Disaster Funding Arrangements - Productivity Comm</w:t>
      </w:r>
      <w:r>
        <w:rPr>
          <w:rFonts w:asciiTheme="majorHAnsi" w:hAnsiTheme="majorHAnsi"/>
          <w:sz w:val="24"/>
        </w:rPr>
        <w:t xml:space="preserve">ission Issues Paper (May 2014). It provides some observations and recommendations that reflect the ACT’s position </w:t>
      </w:r>
      <w:r w:rsidR="005A6B80">
        <w:rPr>
          <w:rFonts w:asciiTheme="majorHAnsi" w:hAnsiTheme="majorHAnsi"/>
          <w:sz w:val="24"/>
        </w:rPr>
        <w:t xml:space="preserve">in order </w:t>
      </w:r>
      <w:r>
        <w:rPr>
          <w:rFonts w:asciiTheme="majorHAnsi" w:hAnsiTheme="majorHAnsi"/>
          <w:sz w:val="24"/>
        </w:rPr>
        <w:t xml:space="preserve">to allow for an enhancement </w:t>
      </w:r>
      <w:r w:rsidR="005A6B80">
        <w:rPr>
          <w:rFonts w:asciiTheme="majorHAnsi" w:hAnsiTheme="majorHAnsi"/>
          <w:sz w:val="24"/>
        </w:rPr>
        <w:t xml:space="preserve">of </w:t>
      </w:r>
      <w:r>
        <w:rPr>
          <w:rFonts w:asciiTheme="majorHAnsi" w:hAnsiTheme="majorHAnsi"/>
          <w:sz w:val="24"/>
        </w:rPr>
        <w:t>the current natural disaster funding arrangements</w:t>
      </w:r>
      <w:r w:rsidR="005238B9">
        <w:rPr>
          <w:rFonts w:asciiTheme="majorHAnsi" w:hAnsiTheme="majorHAnsi"/>
          <w:sz w:val="24"/>
        </w:rPr>
        <w:t>.</w:t>
      </w:r>
    </w:p>
    <w:p w:rsidR="00A00066" w:rsidRPr="00F93124" w:rsidRDefault="00A00066" w:rsidP="00F93124">
      <w:pPr>
        <w:spacing w:line="360" w:lineRule="auto"/>
        <w:ind w:right="532"/>
        <w:jc w:val="both"/>
        <w:rPr>
          <w:rFonts w:asciiTheme="majorHAnsi" w:hAnsiTheme="majorHAnsi"/>
          <w:sz w:val="24"/>
        </w:rPr>
      </w:pPr>
    </w:p>
    <w:p w:rsidR="00A00066" w:rsidRPr="00F93124" w:rsidRDefault="00CD4E20" w:rsidP="00F93124">
      <w:pPr>
        <w:spacing w:line="360" w:lineRule="auto"/>
        <w:ind w:right="532"/>
        <w:rPr>
          <w:rFonts w:asciiTheme="majorHAnsi" w:hAnsiTheme="majorHAnsi"/>
          <w:sz w:val="24"/>
        </w:rPr>
      </w:pPr>
      <w:r>
        <w:rPr>
          <w:rFonts w:asciiTheme="majorHAnsi" w:hAnsiTheme="majorHAnsi"/>
          <w:sz w:val="24"/>
        </w:rPr>
        <w:t>Katy Gallagher</w:t>
      </w:r>
      <w:r w:rsidR="00A00066" w:rsidRPr="00F93124">
        <w:rPr>
          <w:rFonts w:asciiTheme="majorHAnsi" w:hAnsiTheme="majorHAnsi"/>
          <w:sz w:val="24"/>
        </w:rPr>
        <w:br/>
      </w:r>
      <w:r>
        <w:rPr>
          <w:rFonts w:asciiTheme="majorHAnsi" w:hAnsiTheme="majorHAnsi"/>
          <w:sz w:val="24"/>
        </w:rPr>
        <w:t>Chief Minister</w:t>
      </w:r>
    </w:p>
    <w:p w:rsidR="00892E1A" w:rsidRPr="00F93124" w:rsidRDefault="00892E1A" w:rsidP="00F93124">
      <w:pPr>
        <w:spacing w:before="0" w:after="0" w:line="360" w:lineRule="auto"/>
        <w:ind w:right="532"/>
        <w:rPr>
          <w:rFonts w:asciiTheme="majorHAnsi" w:hAnsiTheme="majorHAnsi"/>
          <w:sz w:val="24"/>
        </w:rPr>
        <w:sectPr w:rsidR="00892E1A" w:rsidRPr="00F93124" w:rsidSect="00163186">
          <w:type w:val="continuous"/>
          <w:pgSz w:w="11901" w:h="16817"/>
          <w:pgMar w:top="1440" w:right="1077" w:bottom="1440" w:left="1077" w:header="567" w:footer="567" w:gutter="170"/>
          <w:cols w:space="567"/>
          <w:docGrid w:linePitch="360"/>
        </w:sectPr>
      </w:pPr>
      <w:r w:rsidRPr="00F93124">
        <w:rPr>
          <w:rFonts w:asciiTheme="majorHAnsi" w:hAnsiTheme="majorHAnsi"/>
          <w:sz w:val="24"/>
        </w:rPr>
        <w:t xml:space="preserve">  </w:t>
      </w:r>
      <w:r w:rsidR="005A6B80">
        <w:rPr>
          <w:rFonts w:asciiTheme="majorHAnsi" w:hAnsiTheme="majorHAnsi"/>
          <w:sz w:val="24"/>
        </w:rPr>
        <w:t>June</w:t>
      </w:r>
      <w:r w:rsidR="005A6B80" w:rsidRPr="00F93124">
        <w:rPr>
          <w:rFonts w:asciiTheme="majorHAnsi" w:hAnsiTheme="majorHAnsi"/>
          <w:sz w:val="24"/>
        </w:rPr>
        <w:t xml:space="preserve"> </w:t>
      </w:r>
      <w:r w:rsidR="00A00066" w:rsidRPr="00F93124">
        <w:rPr>
          <w:rFonts w:asciiTheme="majorHAnsi" w:hAnsiTheme="majorHAnsi"/>
          <w:sz w:val="24"/>
        </w:rPr>
        <w:t>201</w:t>
      </w:r>
      <w:r w:rsidR="00E116D8" w:rsidRPr="00F93124">
        <w:rPr>
          <w:rFonts w:asciiTheme="majorHAnsi" w:hAnsiTheme="majorHAnsi"/>
          <w:sz w:val="24"/>
        </w:rPr>
        <w:t>4</w:t>
      </w:r>
    </w:p>
    <w:p w:rsidR="00D22B5B" w:rsidRPr="00F93124" w:rsidRDefault="00A00066" w:rsidP="00F93124">
      <w:pPr>
        <w:pStyle w:val="H1"/>
        <w:spacing w:line="360" w:lineRule="auto"/>
        <w:ind w:right="532"/>
        <w:rPr>
          <w:rFonts w:asciiTheme="majorHAnsi" w:hAnsiTheme="majorHAnsi"/>
          <w:b/>
          <w:color w:val="4F6228" w:themeColor="accent3" w:themeShade="80"/>
        </w:rPr>
      </w:pPr>
      <w:r w:rsidRPr="00F93124">
        <w:rPr>
          <w:rFonts w:asciiTheme="majorHAnsi" w:hAnsiTheme="majorHAnsi"/>
          <w:b/>
          <w:color w:val="4F6228" w:themeColor="accent3" w:themeShade="80"/>
        </w:rPr>
        <w:lastRenderedPageBreak/>
        <w:t>2.</w:t>
      </w:r>
      <w:r w:rsidR="00DA6787" w:rsidRPr="00DA6787">
        <w:rPr>
          <w:rFonts w:asciiTheme="majorHAnsi" w:hAnsiTheme="majorHAnsi"/>
          <w:b/>
          <w:color w:val="4F6228" w:themeColor="accent3" w:themeShade="80"/>
        </w:rPr>
        <w:t xml:space="preserve"> </w:t>
      </w:r>
      <w:r w:rsidR="00DA6787" w:rsidRPr="00F93124">
        <w:rPr>
          <w:rFonts w:asciiTheme="majorHAnsi" w:hAnsiTheme="majorHAnsi"/>
          <w:b/>
          <w:color w:val="4F6228" w:themeColor="accent3" w:themeShade="80"/>
        </w:rPr>
        <w:t>The ACT Government Approach</w:t>
      </w:r>
    </w:p>
    <w:p w:rsidR="006B61AE" w:rsidRPr="006B61AE" w:rsidRDefault="006B61AE" w:rsidP="006B61AE">
      <w:pPr>
        <w:spacing w:after="0" w:line="360" w:lineRule="auto"/>
        <w:rPr>
          <w:rFonts w:asciiTheme="majorHAnsi" w:hAnsiTheme="majorHAnsi"/>
          <w:sz w:val="24"/>
        </w:rPr>
      </w:pPr>
      <w:bookmarkStart w:id="1" w:name="_Toc372629934"/>
      <w:r w:rsidRPr="006B61AE">
        <w:rPr>
          <w:rFonts w:asciiTheme="majorHAnsi" w:hAnsiTheme="majorHAnsi"/>
          <w:sz w:val="24"/>
        </w:rPr>
        <w:t xml:space="preserve">The </w:t>
      </w:r>
      <w:r w:rsidR="005A6B80">
        <w:rPr>
          <w:rFonts w:asciiTheme="majorHAnsi" w:hAnsiTheme="majorHAnsi"/>
          <w:sz w:val="24"/>
        </w:rPr>
        <w:t xml:space="preserve">ACT </w:t>
      </w:r>
      <w:r>
        <w:rPr>
          <w:rFonts w:asciiTheme="majorHAnsi" w:hAnsiTheme="majorHAnsi"/>
          <w:sz w:val="24"/>
        </w:rPr>
        <w:t>Government continues to develop</w:t>
      </w:r>
      <w:r w:rsidRPr="006B61AE">
        <w:rPr>
          <w:rFonts w:asciiTheme="majorHAnsi" w:hAnsiTheme="majorHAnsi"/>
          <w:sz w:val="24"/>
        </w:rPr>
        <w:t xml:space="preserve"> its relationship with the ACT community </w:t>
      </w:r>
      <w:r w:rsidR="005A6B80">
        <w:rPr>
          <w:rFonts w:asciiTheme="majorHAnsi" w:hAnsiTheme="majorHAnsi"/>
          <w:sz w:val="24"/>
        </w:rPr>
        <w:t xml:space="preserve">in order </w:t>
      </w:r>
      <w:r w:rsidRPr="006B61AE">
        <w:rPr>
          <w:rFonts w:asciiTheme="majorHAnsi" w:hAnsiTheme="majorHAnsi"/>
          <w:sz w:val="24"/>
        </w:rPr>
        <w:t xml:space="preserve">to promote </w:t>
      </w:r>
      <w:r w:rsidR="00875473">
        <w:rPr>
          <w:rFonts w:asciiTheme="majorHAnsi" w:hAnsiTheme="majorHAnsi"/>
          <w:sz w:val="24"/>
        </w:rPr>
        <w:t xml:space="preserve">and develop </w:t>
      </w:r>
      <w:r w:rsidRPr="006B61AE">
        <w:rPr>
          <w:rFonts w:asciiTheme="majorHAnsi" w:hAnsiTheme="majorHAnsi"/>
          <w:sz w:val="24"/>
        </w:rPr>
        <w:t>resilience</w:t>
      </w:r>
      <w:r w:rsidR="00875473">
        <w:rPr>
          <w:rFonts w:asciiTheme="majorHAnsi" w:hAnsiTheme="majorHAnsi"/>
          <w:sz w:val="24"/>
        </w:rPr>
        <w:t xml:space="preserve"> within the community by assisting them in </w:t>
      </w:r>
      <w:r w:rsidRPr="006B61AE">
        <w:rPr>
          <w:rFonts w:asciiTheme="majorHAnsi" w:hAnsiTheme="majorHAnsi"/>
          <w:sz w:val="24"/>
        </w:rPr>
        <w:t>understand</w:t>
      </w:r>
      <w:r w:rsidR="00875473">
        <w:rPr>
          <w:rFonts w:asciiTheme="majorHAnsi" w:hAnsiTheme="majorHAnsi"/>
          <w:sz w:val="24"/>
        </w:rPr>
        <w:t>ing</w:t>
      </w:r>
      <w:r w:rsidRPr="006B61AE">
        <w:rPr>
          <w:rFonts w:asciiTheme="majorHAnsi" w:hAnsiTheme="majorHAnsi"/>
          <w:sz w:val="24"/>
        </w:rPr>
        <w:t xml:space="preserve"> and manag</w:t>
      </w:r>
      <w:r w:rsidR="00875473">
        <w:rPr>
          <w:rFonts w:asciiTheme="majorHAnsi" w:hAnsiTheme="majorHAnsi"/>
          <w:sz w:val="24"/>
        </w:rPr>
        <w:t>ing</w:t>
      </w:r>
      <w:r w:rsidRPr="006B61AE">
        <w:rPr>
          <w:rFonts w:asciiTheme="majorHAnsi" w:hAnsiTheme="majorHAnsi"/>
          <w:sz w:val="24"/>
        </w:rPr>
        <w:t xml:space="preserve"> the risks associated with living in the bush capital.</w:t>
      </w:r>
    </w:p>
    <w:p w:rsidR="00FD728C" w:rsidRDefault="00611958" w:rsidP="00F93124">
      <w:pPr>
        <w:spacing w:after="0" w:line="360" w:lineRule="auto"/>
        <w:rPr>
          <w:rFonts w:asciiTheme="majorHAnsi" w:hAnsiTheme="majorHAnsi"/>
          <w:sz w:val="24"/>
        </w:rPr>
      </w:pPr>
      <w:r>
        <w:rPr>
          <w:rFonts w:asciiTheme="majorHAnsi" w:hAnsiTheme="majorHAnsi"/>
          <w:sz w:val="24"/>
        </w:rPr>
        <w:t>The ACT Government recognises t</w:t>
      </w:r>
      <w:r w:rsidR="00517545">
        <w:rPr>
          <w:rFonts w:asciiTheme="majorHAnsi" w:hAnsiTheme="majorHAnsi"/>
          <w:sz w:val="24"/>
        </w:rPr>
        <w:t xml:space="preserve">hat a shared </w:t>
      </w:r>
      <w:r w:rsidR="00412FC0">
        <w:rPr>
          <w:rFonts w:asciiTheme="majorHAnsi" w:hAnsiTheme="majorHAnsi"/>
          <w:sz w:val="24"/>
        </w:rPr>
        <w:t>responsibility between</w:t>
      </w:r>
      <w:r w:rsidR="00747FD9">
        <w:rPr>
          <w:rFonts w:asciiTheme="majorHAnsi" w:hAnsiTheme="majorHAnsi"/>
          <w:sz w:val="24"/>
        </w:rPr>
        <w:t xml:space="preserve"> all levels of Government</w:t>
      </w:r>
      <w:r>
        <w:rPr>
          <w:rFonts w:asciiTheme="majorHAnsi" w:hAnsiTheme="majorHAnsi"/>
          <w:sz w:val="24"/>
        </w:rPr>
        <w:t xml:space="preserve">, </w:t>
      </w:r>
      <w:r w:rsidR="00747FD9">
        <w:rPr>
          <w:rFonts w:asciiTheme="majorHAnsi" w:hAnsiTheme="majorHAnsi"/>
          <w:sz w:val="24"/>
        </w:rPr>
        <w:t>business</w:t>
      </w:r>
      <w:r>
        <w:rPr>
          <w:rFonts w:asciiTheme="majorHAnsi" w:hAnsiTheme="majorHAnsi"/>
          <w:sz w:val="24"/>
        </w:rPr>
        <w:t xml:space="preserve"> and other organisations</w:t>
      </w:r>
      <w:r w:rsidR="00747FD9">
        <w:rPr>
          <w:rFonts w:asciiTheme="majorHAnsi" w:hAnsiTheme="majorHAnsi"/>
          <w:sz w:val="24"/>
        </w:rPr>
        <w:t>, as well as the broader community, helps to</w:t>
      </w:r>
      <w:r>
        <w:rPr>
          <w:rFonts w:asciiTheme="majorHAnsi" w:hAnsiTheme="majorHAnsi"/>
          <w:sz w:val="24"/>
        </w:rPr>
        <w:t xml:space="preserve"> improve</w:t>
      </w:r>
      <w:r w:rsidR="007B0E97">
        <w:rPr>
          <w:rFonts w:asciiTheme="majorHAnsi" w:hAnsiTheme="majorHAnsi"/>
          <w:sz w:val="24"/>
        </w:rPr>
        <w:t xml:space="preserve"> and build</w:t>
      </w:r>
      <w:r>
        <w:rPr>
          <w:rFonts w:asciiTheme="majorHAnsi" w:hAnsiTheme="majorHAnsi"/>
          <w:sz w:val="24"/>
        </w:rPr>
        <w:t xml:space="preserve"> disaster resilience.</w:t>
      </w:r>
      <w:r w:rsidR="002D66B1">
        <w:rPr>
          <w:rFonts w:asciiTheme="majorHAnsi" w:hAnsiTheme="majorHAnsi"/>
          <w:sz w:val="24"/>
        </w:rPr>
        <w:t xml:space="preserve"> </w:t>
      </w:r>
      <w:r>
        <w:rPr>
          <w:rFonts w:asciiTheme="majorHAnsi" w:hAnsiTheme="majorHAnsi"/>
          <w:sz w:val="24"/>
        </w:rPr>
        <w:t xml:space="preserve"> </w:t>
      </w:r>
      <w:r w:rsidR="00FD728C" w:rsidRPr="00611958">
        <w:rPr>
          <w:rFonts w:asciiTheme="majorHAnsi" w:hAnsiTheme="majorHAnsi"/>
          <w:sz w:val="24"/>
        </w:rPr>
        <w:t>The</w:t>
      </w:r>
      <w:r w:rsidR="00FD728C">
        <w:rPr>
          <w:rFonts w:asciiTheme="majorHAnsi" w:hAnsiTheme="majorHAnsi"/>
          <w:sz w:val="24"/>
        </w:rPr>
        <w:t xml:space="preserve"> ACT Government endorses the </w:t>
      </w:r>
      <w:r w:rsidR="00FD728C" w:rsidRPr="00611958">
        <w:rPr>
          <w:rFonts w:asciiTheme="majorHAnsi" w:hAnsiTheme="majorHAnsi"/>
          <w:sz w:val="24"/>
        </w:rPr>
        <w:t xml:space="preserve">continued participation and support from the </w:t>
      </w:r>
      <w:r w:rsidR="009C7281">
        <w:rPr>
          <w:rFonts w:asciiTheme="majorHAnsi" w:hAnsiTheme="majorHAnsi"/>
          <w:sz w:val="24"/>
        </w:rPr>
        <w:t>Australian Government</w:t>
      </w:r>
      <w:r w:rsidR="00747FD9">
        <w:rPr>
          <w:rFonts w:asciiTheme="majorHAnsi" w:hAnsiTheme="majorHAnsi"/>
          <w:sz w:val="24"/>
        </w:rPr>
        <w:t xml:space="preserve"> in aiding </w:t>
      </w:r>
      <w:r w:rsidR="007564F6">
        <w:rPr>
          <w:rFonts w:asciiTheme="majorHAnsi" w:hAnsiTheme="majorHAnsi"/>
          <w:sz w:val="24"/>
        </w:rPr>
        <w:t>mitigation</w:t>
      </w:r>
      <w:r w:rsidR="00747FD9">
        <w:rPr>
          <w:rFonts w:asciiTheme="majorHAnsi" w:hAnsiTheme="majorHAnsi"/>
          <w:sz w:val="24"/>
        </w:rPr>
        <w:t xml:space="preserve"> and recovery efforts,</w:t>
      </w:r>
      <w:r w:rsidR="00FD728C" w:rsidRPr="00611958">
        <w:rPr>
          <w:rFonts w:asciiTheme="majorHAnsi" w:hAnsiTheme="majorHAnsi"/>
          <w:sz w:val="24"/>
        </w:rPr>
        <w:t xml:space="preserve"> </w:t>
      </w:r>
      <w:r w:rsidR="00FD728C">
        <w:rPr>
          <w:rFonts w:asciiTheme="majorHAnsi" w:hAnsiTheme="majorHAnsi"/>
          <w:sz w:val="24"/>
        </w:rPr>
        <w:t xml:space="preserve">and </w:t>
      </w:r>
      <w:r w:rsidR="00747FD9">
        <w:rPr>
          <w:rFonts w:asciiTheme="majorHAnsi" w:hAnsiTheme="majorHAnsi"/>
          <w:sz w:val="24"/>
        </w:rPr>
        <w:t xml:space="preserve">acknowledges that </w:t>
      </w:r>
      <w:r w:rsidR="00FD728C">
        <w:rPr>
          <w:rFonts w:asciiTheme="majorHAnsi" w:hAnsiTheme="majorHAnsi"/>
          <w:sz w:val="24"/>
        </w:rPr>
        <w:t xml:space="preserve">this </w:t>
      </w:r>
      <w:r w:rsidR="00747FD9">
        <w:rPr>
          <w:rFonts w:asciiTheme="majorHAnsi" w:hAnsiTheme="majorHAnsi"/>
          <w:sz w:val="24"/>
        </w:rPr>
        <w:t>aids in ensuring</w:t>
      </w:r>
      <w:r w:rsidR="00FD728C" w:rsidRPr="00611958">
        <w:rPr>
          <w:rFonts w:asciiTheme="majorHAnsi" w:hAnsiTheme="majorHAnsi"/>
          <w:sz w:val="24"/>
        </w:rPr>
        <w:t xml:space="preserve"> the safety and wellbeing of </w:t>
      </w:r>
      <w:r w:rsidR="00DA6787">
        <w:rPr>
          <w:rFonts w:asciiTheme="majorHAnsi" w:hAnsiTheme="majorHAnsi"/>
          <w:sz w:val="24"/>
        </w:rPr>
        <w:t>T</w:t>
      </w:r>
      <w:r w:rsidR="00FD728C" w:rsidRPr="00611958">
        <w:rPr>
          <w:rFonts w:asciiTheme="majorHAnsi" w:hAnsiTheme="majorHAnsi"/>
          <w:sz w:val="24"/>
        </w:rPr>
        <w:t>erritorians</w:t>
      </w:r>
      <w:r w:rsidR="00FD728C">
        <w:rPr>
          <w:rFonts w:asciiTheme="majorHAnsi" w:hAnsiTheme="majorHAnsi"/>
          <w:sz w:val="24"/>
        </w:rPr>
        <w:t xml:space="preserve"> during natural </w:t>
      </w:r>
      <w:r w:rsidR="00FD728C" w:rsidRPr="00611958">
        <w:rPr>
          <w:rFonts w:asciiTheme="majorHAnsi" w:hAnsiTheme="majorHAnsi"/>
          <w:sz w:val="24"/>
        </w:rPr>
        <w:t>disaster</w:t>
      </w:r>
      <w:r w:rsidR="00FD728C">
        <w:rPr>
          <w:rFonts w:asciiTheme="majorHAnsi" w:hAnsiTheme="majorHAnsi"/>
          <w:sz w:val="24"/>
        </w:rPr>
        <w:t xml:space="preserve"> events</w:t>
      </w:r>
      <w:r w:rsidR="00DA6787">
        <w:rPr>
          <w:rFonts w:asciiTheme="majorHAnsi" w:hAnsiTheme="majorHAnsi"/>
          <w:sz w:val="24"/>
        </w:rPr>
        <w:t>.</w:t>
      </w:r>
    </w:p>
    <w:p w:rsidR="00611958" w:rsidRDefault="006A5BF7" w:rsidP="00F93124">
      <w:pPr>
        <w:spacing w:after="0" w:line="360" w:lineRule="auto"/>
        <w:rPr>
          <w:rFonts w:asciiTheme="majorHAnsi" w:hAnsiTheme="majorHAnsi"/>
          <w:sz w:val="24"/>
        </w:rPr>
      </w:pPr>
      <w:r>
        <w:rPr>
          <w:rFonts w:asciiTheme="majorHAnsi" w:hAnsiTheme="majorHAnsi"/>
          <w:sz w:val="24"/>
        </w:rPr>
        <w:t xml:space="preserve">The ACT Government supports the National Strategy for Disaster Resilience (NSDR), and </w:t>
      </w:r>
      <w:r w:rsidR="007B0E97">
        <w:rPr>
          <w:rFonts w:asciiTheme="majorHAnsi" w:hAnsiTheme="majorHAnsi"/>
          <w:sz w:val="24"/>
        </w:rPr>
        <w:t>undertakes</w:t>
      </w:r>
      <w:r w:rsidR="00C14ACD">
        <w:rPr>
          <w:rFonts w:asciiTheme="majorHAnsi" w:hAnsiTheme="majorHAnsi"/>
          <w:sz w:val="24"/>
        </w:rPr>
        <w:t xml:space="preserve"> </w:t>
      </w:r>
      <w:r w:rsidR="007B0E97">
        <w:rPr>
          <w:rFonts w:asciiTheme="majorHAnsi" w:hAnsiTheme="majorHAnsi"/>
          <w:sz w:val="24"/>
        </w:rPr>
        <w:t xml:space="preserve">a range of </w:t>
      </w:r>
      <w:r w:rsidR="00C14ACD">
        <w:rPr>
          <w:rFonts w:asciiTheme="majorHAnsi" w:hAnsiTheme="majorHAnsi"/>
          <w:sz w:val="24"/>
        </w:rPr>
        <w:t>activities</w:t>
      </w:r>
      <w:r w:rsidR="007E54EB">
        <w:rPr>
          <w:rFonts w:asciiTheme="majorHAnsi" w:hAnsiTheme="majorHAnsi"/>
          <w:sz w:val="24"/>
        </w:rPr>
        <w:t>, programs and policies</w:t>
      </w:r>
      <w:r w:rsidR="00C14ACD">
        <w:rPr>
          <w:rFonts w:asciiTheme="majorHAnsi" w:hAnsiTheme="majorHAnsi"/>
          <w:sz w:val="24"/>
        </w:rPr>
        <w:t xml:space="preserve"> </w:t>
      </w:r>
      <w:r w:rsidR="007B0E97">
        <w:rPr>
          <w:rFonts w:asciiTheme="majorHAnsi" w:hAnsiTheme="majorHAnsi"/>
          <w:sz w:val="24"/>
        </w:rPr>
        <w:t>aligned</w:t>
      </w:r>
      <w:r w:rsidR="00C14ACD">
        <w:rPr>
          <w:rFonts w:asciiTheme="majorHAnsi" w:hAnsiTheme="majorHAnsi"/>
          <w:sz w:val="24"/>
        </w:rPr>
        <w:t xml:space="preserve"> with </w:t>
      </w:r>
      <w:r>
        <w:rPr>
          <w:rFonts w:asciiTheme="majorHAnsi" w:hAnsiTheme="majorHAnsi"/>
          <w:sz w:val="24"/>
        </w:rPr>
        <w:t xml:space="preserve">its </w:t>
      </w:r>
      <w:r w:rsidR="00E763EF">
        <w:rPr>
          <w:rFonts w:asciiTheme="majorHAnsi" w:hAnsiTheme="majorHAnsi"/>
          <w:sz w:val="24"/>
        </w:rPr>
        <w:t>strategic priorities. Th</w:t>
      </w:r>
      <w:r w:rsidR="00994019">
        <w:rPr>
          <w:rFonts w:asciiTheme="majorHAnsi" w:hAnsiTheme="majorHAnsi"/>
          <w:sz w:val="24"/>
        </w:rPr>
        <w:t>e</w:t>
      </w:r>
      <w:r>
        <w:rPr>
          <w:rFonts w:asciiTheme="majorHAnsi" w:hAnsiTheme="majorHAnsi"/>
          <w:sz w:val="24"/>
        </w:rPr>
        <w:t>se strategic priorities, and</w:t>
      </w:r>
      <w:r w:rsidR="00994019">
        <w:rPr>
          <w:rFonts w:asciiTheme="majorHAnsi" w:hAnsiTheme="majorHAnsi"/>
          <w:sz w:val="24"/>
        </w:rPr>
        <w:t xml:space="preserve"> key </w:t>
      </w:r>
      <w:r w:rsidR="00DA6787">
        <w:rPr>
          <w:rFonts w:asciiTheme="majorHAnsi" w:hAnsiTheme="majorHAnsi"/>
          <w:sz w:val="24"/>
        </w:rPr>
        <w:t>ACT activities and programs under</w:t>
      </w:r>
      <w:r>
        <w:rPr>
          <w:rFonts w:asciiTheme="majorHAnsi" w:hAnsiTheme="majorHAnsi"/>
          <w:sz w:val="24"/>
        </w:rPr>
        <w:t xml:space="preserve"> them,</w:t>
      </w:r>
      <w:r w:rsidR="00DA6787">
        <w:rPr>
          <w:rFonts w:asciiTheme="majorHAnsi" w:hAnsiTheme="majorHAnsi"/>
          <w:sz w:val="24"/>
        </w:rPr>
        <w:t xml:space="preserve"> </w:t>
      </w:r>
      <w:r w:rsidR="00994019">
        <w:rPr>
          <w:rFonts w:asciiTheme="majorHAnsi" w:hAnsiTheme="majorHAnsi"/>
          <w:sz w:val="24"/>
        </w:rPr>
        <w:t>are</w:t>
      </w:r>
      <w:r w:rsidR="00DA6787">
        <w:rPr>
          <w:rFonts w:asciiTheme="majorHAnsi" w:hAnsiTheme="majorHAnsi"/>
          <w:sz w:val="24"/>
        </w:rPr>
        <w:t>:</w:t>
      </w:r>
    </w:p>
    <w:p w:rsidR="00412FC0" w:rsidRDefault="00412FC0" w:rsidP="00F93124">
      <w:pPr>
        <w:spacing w:after="0" w:line="360" w:lineRule="auto"/>
        <w:rPr>
          <w:rFonts w:asciiTheme="majorHAnsi" w:hAnsiTheme="majorHAnsi"/>
          <w:sz w:val="24"/>
        </w:rPr>
      </w:pPr>
    </w:p>
    <w:p w:rsidR="00C14ACD" w:rsidRPr="008D2F8F" w:rsidRDefault="008D2F8F" w:rsidP="002407E4">
      <w:pPr>
        <w:pStyle w:val="ListParagraph"/>
        <w:numPr>
          <w:ilvl w:val="0"/>
          <w:numId w:val="38"/>
        </w:numPr>
        <w:spacing w:after="0" w:line="360" w:lineRule="auto"/>
        <w:rPr>
          <w:rFonts w:asciiTheme="majorHAnsi" w:hAnsiTheme="majorHAnsi"/>
          <w:b/>
          <w:sz w:val="24"/>
        </w:rPr>
      </w:pPr>
      <w:r w:rsidRPr="008D2F8F">
        <w:rPr>
          <w:rFonts w:asciiTheme="majorHAnsi" w:hAnsiTheme="majorHAnsi"/>
          <w:b/>
          <w:sz w:val="24"/>
        </w:rPr>
        <w:t xml:space="preserve">Strategic Priority 1: </w:t>
      </w:r>
      <w:r w:rsidR="00C14ACD" w:rsidRPr="008D2F8F">
        <w:rPr>
          <w:rFonts w:asciiTheme="majorHAnsi" w:hAnsiTheme="majorHAnsi"/>
          <w:b/>
          <w:sz w:val="24"/>
        </w:rPr>
        <w:t>Leading change and coordinating effort</w:t>
      </w:r>
    </w:p>
    <w:p w:rsidR="002F3FEA" w:rsidRPr="00FD728C" w:rsidRDefault="006B47A7" w:rsidP="002F3FEA">
      <w:pPr>
        <w:pStyle w:val="ListParagraph"/>
        <w:numPr>
          <w:ilvl w:val="1"/>
          <w:numId w:val="38"/>
        </w:numPr>
        <w:spacing w:after="0" w:line="360" w:lineRule="auto"/>
        <w:rPr>
          <w:rFonts w:asciiTheme="majorHAnsi" w:hAnsiTheme="majorHAnsi"/>
          <w:sz w:val="24"/>
        </w:rPr>
      </w:pPr>
      <w:r>
        <w:rPr>
          <w:rFonts w:asciiTheme="majorHAnsi" w:hAnsiTheme="majorHAnsi"/>
          <w:i/>
          <w:sz w:val="24"/>
        </w:rPr>
        <w:t xml:space="preserve">ACT Implementation Plan for the </w:t>
      </w:r>
      <w:r w:rsidR="002F3FEA">
        <w:rPr>
          <w:rFonts w:asciiTheme="majorHAnsi" w:hAnsiTheme="majorHAnsi"/>
          <w:i/>
          <w:sz w:val="24"/>
        </w:rPr>
        <w:t>Natural Disaster Resilience Program</w:t>
      </w:r>
      <w:r w:rsidR="007E54EB">
        <w:rPr>
          <w:rFonts w:asciiTheme="majorHAnsi" w:hAnsiTheme="majorHAnsi"/>
          <w:i/>
          <w:sz w:val="24"/>
        </w:rPr>
        <w:t xml:space="preserve"> 2013-15</w:t>
      </w:r>
      <w:r w:rsidR="008D2F8F">
        <w:rPr>
          <w:rFonts w:asciiTheme="majorHAnsi" w:hAnsiTheme="majorHAnsi"/>
          <w:i/>
          <w:sz w:val="24"/>
        </w:rPr>
        <w:t xml:space="preserve"> </w:t>
      </w:r>
      <w:r>
        <w:rPr>
          <w:rFonts w:asciiTheme="majorHAnsi" w:hAnsiTheme="majorHAnsi"/>
          <w:i/>
          <w:sz w:val="24"/>
        </w:rPr>
        <w:t>under</w:t>
      </w:r>
      <w:r w:rsidR="007B0E97">
        <w:rPr>
          <w:rFonts w:asciiTheme="majorHAnsi" w:hAnsiTheme="majorHAnsi"/>
          <w:i/>
          <w:sz w:val="24"/>
        </w:rPr>
        <w:t xml:space="preserve"> the National Partnership Agreement</w:t>
      </w:r>
      <w:r>
        <w:rPr>
          <w:rFonts w:asciiTheme="majorHAnsi" w:hAnsiTheme="majorHAnsi"/>
          <w:i/>
          <w:sz w:val="24"/>
        </w:rPr>
        <w:t xml:space="preserve"> on Natural Disaster Resilience (NPANDR)</w:t>
      </w:r>
      <w:r w:rsidR="007B0E97">
        <w:rPr>
          <w:rFonts w:asciiTheme="majorHAnsi" w:hAnsiTheme="majorHAnsi"/>
          <w:i/>
          <w:sz w:val="24"/>
        </w:rPr>
        <w:t>.</w:t>
      </w:r>
    </w:p>
    <w:p w:rsidR="00C14ACD" w:rsidRPr="008D2F8F" w:rsidRDefault="008D2F8F" w:rsidP="002407E4">
      <w:pPr>
        <w:pStyle w:val="ListParagraph"/>
        <w:numPr>
          <w:ilvl w:val="0"/>
          <w:numId w:val="38"/>
        </w:numPr>
        <w:spacing w:after="0" w:line="360" w:lineRule="auto"/>
        <w:rPr>
          <w:rFonts w:asciiTheme="majorHAnsi" w:hAnsiTheme="majorHAnsi"/>
          <w:b/>
          <w:sz w:val="24"/>
        </w:rPr>
      </w:pPr>
      <w:r w:rsidRPr="008D2F8F">
        <w:rPr>
          <w:rFonts w:asciiTheme="majorHAnsi" w:hAnsiTheme="majorHAnsi"/>
          <w:b/>
          <w:sz w:val="24"/>
        </w:rPr>
        <w:t xml:space="preserve">Strategic Priority </w:t>
      </w:r>
      <w:r>
        <w:rPr>
          <w:rFonts w:asciiTheme="majorHAnsi" w:hAnsiTheme="majorHAnsi"/>
          <w:b/>
          <w:sz w:val="24"/>
        </w:rPr>
        <w:t xml:space="preserve">2: </w:t>
      </w:r>
      <w:r w:rsidR="00C14ACD" w:rsidRPr="008D2F8F">
        <w:rPr>
          <w:rFonts w:asciiTheme="majorHAnsi" w:hAnsiTheme="majorHAnsi"/>
          <w:b/>
          <w:sz w:val="24"/>
        </w:rPr>
        <w:t>Understanding risk</w:t>
      </w:r>
    </w:p>
    <w:p w:rsidR="008D2F8F" w:rsidRDefault="008D2F8F" w:rsidP="002F3FEA">
      <w:pPr>
        <w:pStyle w:val="ListParagraph"/>
        <w:numPr>
          <w:ilvl w:val="1"/>
          <w:numId w:val="38"/>
        </w:numPr>
        <w:spacing w:after="0" w:line="360" w:lineRule="auto"/>
        <w:rPr>
          <w:rFonts w:asciiTheme="majorHAnsi" w:hAnsiTheme="majorHAnsi"/>
          <w:sz w:val="24"/>
        </w:rPr>
      </w:pPr>
      <w:r w:rsidRPr="008D2F8F">
        <w:rPr>
          <w:rFonts w:asciiTheme="majorHAnsi" w:hAnsiTheme="majorHAnsi"/>
          <w:i/>
          <w:sz w:val="24"/>
        </w:rPr>
        <w:t>Strategic Bushfire Management Plan</w:t>
      </w:r>
      <w:r>
        <w:rPr>
          <w:rFonts w:asciiTheme="majorHAnsi" w:hAnsiTheme="majorHAnsi"/>
          <w:i/>
          <w:sz w:val="24"/>
        </w:rPr>
        <w:t xml:space="preserve"> (SBMP)</w:t>
      </w:r>
      <w:r w:rsidRPr="008D2F8F">
        <w:rPr>
          <w:rFonts w:asciiTheme="majorHAnsi" w:hAnsiTheme="majorHAnsi"/>
          <w:i/>
          <w:sz w:val="24"/>
        </w:rPr>
        <w:t xml:space="preserve"> v2 2009</w:t>
      </w:r>
      <w:r>
        <w:rPr>
          <w:rFonts w:asciiTheme="majorHAnsi" w:hAnsiTheme="majorHAnsi"/>
          <w:sz w:val="24"/>
        </w:rPr>
        <w:t xml:space="preserve"> </w:t>
      </w:r>
      <w:r w:rsidR="006B47A7">
        <w:rPr>
          <w:rFonts w:asciiTheme="majorHAnsi" w:hAnsiTheme="majorHAnsi"/>
          <w:sz w:val="24"/>
        </w:rPr>
        <w:t xml:space="preserve"> - see</w:t>
      </w:r>
      <w:r>
        <w:rPr>
          <w:rFonts w:asciiTheme="majorHAnsi" w:hAnsiTheme="majorHAnsi"/>
          <w:sz w:val="24"/>
        </w:rPr>
        <w:t xml:space="preserve"> </w:t>
      </w:r>
      <w:hyperlink r:id="rId21" w:history="1">
        <w:r w:rsidR="00E763EF" w:rsidRPr="008914C5">
          <w:rPr>
            <w:rStyle w:val="Hyperlink"/>
            <w:rFonts w:asciiTheme="majorHAnsi" w:hAnsiTheme="majorHAnsi"/>
            <w:sz w:val="24"/>
          </w:rPr>
          <w:t>http://esa.act.gov.au/community-information/livingontheedge/</w:t>
        </w:r>
      </w:hyperlink>
    </w:p>
    <w:p w:rsidR="007B0E97" w:rsidRPr="007B0E97" w:rsidRDefault="007B0E97" w:rsidP="002F3FEA">
      <w:pPr>
        <w:pStyle w:val="ListParagraph"/>
        <w:numPr>
          <w:ilvl w:val="1"/>
          <w:numId w:val="38"/>
        </w:numPr>
        <w:spacing w:after="0" w:line="360" w:lineRule="auto"/>
        <w:rPr>
          <w:rFonts w:asciiTheme="majorHAnsi" w:hAnsiTheme="majorHAnsi"/>
          <w:i/>
          <w:sz w:val="24"/>
        </w:rPr>
      </w:pPr>
      <w:r w:rsidRPr="007B0E97">
        <w:rPr>
          <w:rFonts w:asciiTheme="majorHAnsi" w:hAnsiTheme="majorHAnsi"/>
          <w:i/>
          <w:sz w:val="24"/>
        </w:rPr>
        <w:t>Flood Risk Mapping</w:t>
      </w:r>
      <w:r>
        <w:rPr>
          <w:rFonts w:asciiTheme="majorHAnsi" w:hAnsiTheme="majorHAnsi"/>
          <w:i/>
          <w:sz w:val="24"/>
        </w:rPr>
        <w:t xml:space="preserve"> projects</w:t>
      </w:r>
      <w:r w:rsidR="00FD728C">
        <w:rPr>
          <w:rFonts w:asciiTheme="majorHAnsi" w:hAnsiTheme="majorHAnsi"/>
          <w:i/>
          <w:sz w:val="24"/>
        </w:rPr>
        <w:t xml:space="preserve"> and products</w:t>
      </w:r>
    </w:p>
    <w:p w:rsidR="007E54EB" w:rsidRPr="007E54EB" w:rsidRDefault="002F3FEA" w:rsidP="002F3FEA">
      <w:pPr>
        <w:pStyle w:val="ListParagraph"/>
        <w:numPr>
          <w:ilvl w:val="1"/>
          <w:numId w:val="38"/>
        </w:numPr>
        <w:spacing w:after="0" w:line="360" w:lineRule="auto"/>
        <w:rPr>
          <w:rFonts w:asciiTheme="majorHAnsi" w:hAnsiTheme="majorHAnsi"/>
          <w:sz w:val="24"/>
        </w:rPr>
      </w:pPr>
      <w:r>
        <w:rPr>
          <w:rFonts w:asciiTheme="majorHAnsi" w:hAnsiTheme="majorHAnsi"/>
          <w:i/>
          <w:sz w:val="24"/>
        </w:rPr>
        <w:t xml:space="preserve">Territory Wide Risk Assessment </w:t>
      </w:r>
      <w:r w:rsidR="007E54EB">
        <w:rPr>
          <w:rFonts w:asciiTheme="majorHAnsi" w:hAnsiTheme="majorHAnsi"/>
          <w:i/>
          <w:sz w:val="24"/>
        </w:rPr>
        <w:t>2012</w:t>
      </w:r>
      <w:r w:rsidR="007B0E97">
        <w:rPr>
          <w:rFonts w:asciiTheme="majorHAnsi" w:hAnsiTheme="majorHAnsi"/>
          <w:i/>
          <w:sz w:val="24"/>
        </w:rPr>
        <w:t xml:space="preserve"> developed under the National Emergency Risk Assessment Guidelines (NERAG)</w:t>
      </w:r>
      <w:r w:rsidR="007E54EB">
        <w:rPr>
          <w:rFonts w:asciiTheme="majorHAnsi" w:hAnsiTheme="majorHAnsi"/>
          <w:i/>
          <w:sz w:val="24"/>
        </w:rPr>
        <w:t>; and</w:t>
      </w:r>
    </w:p>
    <w:p w:rsidR="002F3FEA" w:rsidRPr="002F3FEA" w:rsidRDefault="002F3FEA" w:rsidP="002F3FEA">
      <w:pPr>
        <w:pStyle w:val="ListParagraph"/>
        <w:numPr>
          <w:ilvl w:val="1"/>
          <w:numId w:val="38"/>
        </w:numPr>
        <w:spacing w:after="0" w:line="360" w:lineRule="auto"/>
        <w:rPr>
          <w:rFonts w:asciiTheme="majorHAnsi" w:hAnsiTheme="majorHAnsi"/>
          <w:sz w:val="24"/>
        </w:rPr>
      </w:pPr>
      <w:r>
        <w:rPr>
          <w:rFonts w:asciiTheme="majorHAnsi" w:hAnsiTheme="majorHAnsi"/>
          <w:i/>
          <w:sz w:val="24"/>
        </w:rPr>
        <w:t xml:space="preserve">Climate Change </w:t>
      </w:r>
      <w:r w:rsidR="007E54EB">
        <w:rPr>
          <w:rFonts w:asciiTheme="majorHAnsi" w:hAnsiTheme="majorHAnsi"/>
          <w:i/>
          <w:sz w:val="24"/>
        </w:rPr>
        <w:t>Vulnerability Assessment framework for Infrastructure 2012</w:t>
      </w:r>
    </w:p>
    <w:p w:rsidR="007E54EB" w:rsidRPr="00E763EF" w:rsidRDefault="00E763EF" w:rsidP="002407E4">
      <w:pPr>
        <w:pStyle w:val="ListParagraph"/>
        <w:numPr>
          <w:ilvl w:val="0"/>
          <w:numId w:val="38"/>
        </w:numPr>
        <w:spacing w:after="0" w:line="360" w:lineRule="auto"/>
        <w:rPr>
          <w:rFonts w:asciiTheme="majorHAnsi" w:hAnsiTheme="majorHAnsi"/>
          <w:b/>
          <w:sz w:val="24"/>
        </w:rPr>
      </w:pPr>
      <w:r w:rsidRPr="00E763EF">
        <w:rPr>
          <w:rFonts w:asciiTheme="majorHAnsi" w:hAnsiTheme="majorHAnsi"/>
          <w:b/>
          <w:sz w:val="24"/>
        </w:rPr>
        <w:t xml:space="preserve">Strategic Priority 3: </w:t>
      </w:r>
      <w:r w:rsidR="007E54EB" w:rsidRPr="00E763EF">
        <w:rPr>
          <w:rFonts w:asciiTheme="majorHAnsi" w:hAnsiTheme="majorHAnsi"/>
          <w:b/>
          <w:sz w:val="24"/>
        </w:rPr>
        <w:t>Communicating with and educating people about risk</w:t>
      </w:r>
    </w:p>
    <w:p w:rsidR="008D2F8F" w:rsidRDefault="008D2F8F" w:rsidP="007E54EB">
      <w:pPr>
        <w:pStyle w:val="ListParagraph"/>
        <w:numPr>
          <w:ilvl w:val="1"/>
          <w:numId w:val="38"/>
        </w:numPr>
        <w:spacing w:after="0" w:line="360" w:lineRule="auto"/>
        <w:rPr>
          <w:rFonts w:asciiTheme="majorHAnsi" w:hAnsiTheme="majorHAnsi"/>
          <w:i/>
          <w:sz w:val="24"/>
        </w:rPr>
      </w:pPr>
      <w:r>
        <w:rPr>
          <w:rFonts w:asciiTheme="majorHAnsi" w:hAnsiTheme="majorHAnsi"/>
          <w:i/>
          <w:sz w:val="24"/>
        </w:rPr>
        <w:t>‘Living on the edge’ – SBMP community consultation program</w:t>
      </w:r>
      <w:r w:rsidR="006B47A7">
        <w:rPr>
          <w:rFonts w:asciiTheme="majorHAnsi" w:hAnsiTheme="majorHAnsi"/>
          <w:i/>
          <w:sz w:val="24"/>
        </w:rPr>
        <w:t xml:space="preserve"> - see</w:t>
      </w:r>
      <w:r>
        <w:rPr>
          <w:rFonts w:asciiTheme="majorHAnsi" w:hAnsiTheme="majorHAnsi"/>
          <w:i/>
          <w:sz w:val="24"/>
        </w:rPr>
        <w:t xml:space="preserve"> </w:t>
      </w:r>
      <w:hyperlink r:id="rId22" w:history="1">
        <w:r w:rsidRPr="008914C5">
          <w:rPr>
            <w:rStyle w:val="Hyperlink"/>
            <w:rFonts w:asciiTheme="majorHAnsi" w:hAnsiTheme="majorHAnsi"/>
            <w:i/>
            <w:sz w:val="24"/>
          </w:rPr>
          <w:t>http://esa.act.gov.au/community-information/livingontheedge/</w:t>
        </w:r>
      </w:hyperlink>
    </w:p>
    <w:p w:rsidR="007E54EB" w:rsidRDefault="00E763EF" w:rsidP="007E54EB">
      <w:pPr>
        <w:pStyle w:val="ListParagraph"/>
        <w:numPr>
          <w:ilvl w:val="1"/>
          <w:numId w:val="38"/>
        </w:numPr>
        <w:spacing w:after="0" w:line="360" w:lineRule="auto"/>
        <w:rPr>
          <w:rFonts w:asciiTheme="majorHAnsi" w:hAnsiTheme="majorHAnsi"/>
          <w:i/>
          <w:sz w:val="24"/>
        </w:rPr>
      </w:pPr>
      <w:r>
        <w:rPr>
          <w:rFonts w:asciiTheme="majorHAnsi" w:hAnsiTheme="majorHAnsi"/>
          <w:i/>
          <w:sz w:val="24"/>
        </w:rPr>
        <w:t>Emergency Services Agency website</w:t>
      </w:r>
      <w:r w:rsidR="006B47A7">
        <w:rPr>
          <w:rFonts w:asciiTheme="majorHAnsi" w:hAnsiTheme="majorHAnsi"/>
          <w:i/>
          <w:sz w:val="24"/>
        </w:rPr>
        <w:t xml:space="preserve"> - see</w:t>
      </w:r>
      <w:r>
        <w:rPr>
          <w:rFonts w:asciiTheme="majorHAnsi" w:hAnsiTheme="majorHAnsi"/>
          <w:i/>
          <w:sz w:val="24"/>
        </w:rPr>
        <w:t xml:space="preserve">  </w:t>
      </w:r>
      <w:hyperlink r:id="rId23" w:history="1">
        <w:r w:rsidRPr="008914C5">
          <w:rPr>
            <w:rStyle w:val="Hyperlink"/>
            <w:rFonts w:asciiTheme="majorHAnsi" w:hAnsiTheme="majorHAnsi"/>
            <w:i/>
            <w:sz w:val="24"/>
          </w:rPr>
          <w:t>http://esa.act.gov.au/</w:t>
        </w:r>
      </w:hyperlink>
    </w:p>
    <w:p w:rsidR="00E763EF" w:rsidRDefault="007E54EB" w:rsidP="007E54EB">
      <w:pPr>
        <w:pStyle w:val="ListParagraph"/>
        <w:numPr>
          <w:ilvl w:val="1"/>
          <w:numId w:val="38"/>
        </w:numPr>
        <w:spacing w:after="0" w:line="360" w:lineRule="auto"/>
        <w:rPr>
          <w:rFonts w:asciiTheme="majorHAnsi" w:hAnsiTheme="majorHAnsi"/>
          <w:i/>
          <w:sz w:val="24"/>
        </w:rPr>
      </w:pPr>
      <w:r>
        <w:rPr>
          <w:rFonts w:asciiTheme="majorHAnsi" w:hAnsiTheme="majorHAnsi"/>
          <w:i/>
          <w:sz w:val="24"/>
        </w:rPr>
        <w:lastRenderedPageBreak/>
        <w:t>ACT community education</w:t>
      </w:r>
      <w:r w:rsidR="00994019">
        <w:rPr>
          <w:rFonts w:asciiTheme="majorHAnsi" w:hAnsiTheme="majorHAnsi"/>
          <w:i/>
          <w:sz w:val="24"/>
        </w:rPr>
        <w:t xml:space="preserve"> and engagements</w:t>
      </w:r>
      <w:r>
        <w:rPr>
          <w:rFonts w:asciiTheme="majorHAnsi" w:hAnsiTheme="majorHAnsi"/>
          <w:i/>
          <w:sz w:val="24"/>
        </w:rPr>
        <w:t xml:space="preserve"> campaigns – StormSafe</w:t>
      </w:r>
      <w:r w:rsidR="006B47A7">
        <w:rPr>
          <w:rFonts w:asciiTheme="majorHAnsi" w:hAnsiTheme="majorHAnsi"/>
          <w:i/>
          <w:sz w:val="24"/>
        </w:rPr>
        <w:t xml:space="preserve"> - see</w:t>
      </w:r>
      <w:r w:rsidR="00E763EF">
        <w:rPr>
          <w:rFonts w:asciiTheme="majorHAnsi" w:hAnsiTheme="majorHAnsi"/>
          <w:i/>
          <w:sz w:val="24"/>
        </w:rPr>
        <w:t xml:space="preserve">  </w:t>
      </w:r>
      <w:hyperlink r:id="rId24" w:history="1">
        <w:r w:rsidR="00E763EF" w:rsidRPr="008914C5">
          <w:rPr>
            <w:rStyle w:val="Hyperlink"/>
            <w:rFonts w:asciiTheme="majorHAnsi" w:hAnsiTheme="majorHAnsi"/>
            <w:i/>
            <w:sz w:val="24"/>
          </w:rPr>
          <w:t>http://esa.act.gov.au/community-information/storms-and-floods/</w:t>
        </w:r>
      </w:hyperlink>
    </w:p>
    <w:p w:rsidR="007E54EB" w:rsidRDefault="00E763EF" w:rsidP="007E54EB">
      <w:pPr>
        <w:pStyle w:val="ListParagraph"/>
        <w:numPr>
          <w:ilvl w:val="1"/>
          <w:numId w:val="38"/>
        </w:numPr>
        <w:spacing w:after="0" w:line="360" w:lineRule="auto"/>
        <w:rPr>
          <w:rFonts w:asciiTheme="majorHAnsi" w:hAnsiTheme="majorHAnsi"/>
          <w:i/>
          <w:sz w:val="24"/>
        </w:rPr>
      </w:pPr>
      <w:r>
        <w:rPr>
          <w:rFonts w:asciiTheme="majorHAnsi" w:hAnsiTheme="majorHAnsi"/>
          <w:i/>
          <w:sz w:val="24"/>
        </w:rPr>
        <w:t>Bushfire Survival Plan</w:t>
      </w:r>
      <w:r w:rsidR="006B47A7">
        <w:rPr>
          <w:rFonts w:asciiTheme="majorHAnsi" w:hAnsiTheme="majorHAnsi"/>
          <w:i/>
          <w:sz w:val="24"/>
        </w:rPr>
        <w:t xml:space="preserve"> - see</w:t>
      </w:r>
      <w:r>
        <w:rPr>
          <w:rFonts w:asciiTheme="majorHAnsi" w:hAnsiTheme="majorHAnsi"/>
          <w:i/>
          <w:sz w:val="24"/>
        </w:rPr>
        <w:t xml:space="preserve"> </w:t>
      </w:r>
      <w:hyperlink r:id="rId25" w:history="1">
        <w:r w:rsidRPr="008914C5">
          <w:rPr>
            <w:rStyle w:val="Hyperlink"/>
            <w:rFonts w:asciiTheme="majorHAnsi" w:hAnsiTheme="majorHAnsi"/>
            <w:i/>
            <w:sz w:val="24"/>
          </w:rPr>
          <w:t>http://esa.act.gov.au/community-information/bushfires/</w:t>
        </w:r>
      </w:hyperlink>
    </w:p>
    <w:p w:rsidR="007E54EB" w:rsidRDefault="00E763EF" w:rsidP="002407E4">
      <w:pPr>
        <w:pStyle w:val="ListParagraph"/>
        <w:numPr>
          <w:ilvl w:val="0"/>
          <w:numId w:val="38"/>
        </w:numPr>
        <w:spacing w:after="0" w:line="360" w:lineRule="auto"/>
        <w:rPr>
          <w:rFonts w:asciiTheme="majorHAnsi" w:hAnsiTheme="majorHAnsi"/>
          <w:sz w:val="24"/>
        </w:rPr>
      </w:pPr>
      <w:r w:rsidRPr="00E763EF">
        <w:rPr>
          <w:rFonts w:asciiTheme="majorHAnsi" w:hAnsiTheme="majorHAnsi"/>
          <w:b/>
          <w:sz w:val="24"/>
        </w:rPr>
        <w:t xml:space="preserve">Strategic Priority </w:t>
      </w:r>
      <w:r>
        <w:rPr>
          <w:rFonts w:asciiTheme="majorHAnsi" w:hAnsiTheme="majorHAnsi"/>
          <w:b/>
          <w:sz w:val="24"/>
        </w:rPr>
        <w:t xml:space="preserve">4: </w:t>
      </w:r>
      <w:r w:rsidRPr="00E763EF">
        <w:rPr>
          <w:rFonts w:asciiTheme="majorHAnsi" w:hAnsiTheme="majorHAnsi"/>
          <w:b/>
          <w:sz w:val="24"/>
        </w:rPr>
        <w:t>Partnerships with</w:t>
      </w:r>
      <w:r w:rsidR="00C14ACD" w:rsidRPr="00E763EF">
        <w:rPr>
          <w:rFonts w:asciiTheme="majorHAnsi" w:hAnsiTheme="majorHAnsi"/>
          <w:b/>
          <w:sz w:val="24"/>
        </w:rPr>
        <w:t xml:space="preserve"> those who effect change</w:t>
      </w:r>
      <w:r w:rsidR="00C14ACD" w:rsidRPr="00C14ACD">
        <w:rPr>
          <w:rFonts w:asciiTheme="majorHAnsi" w:hAnsiTheme="majorHAnsi"/>
          <w:sz w:val="24"/>
        </w:rPr>
        <w:t xml:space="preserve"> </w:t>
      </w:r>
    </w:p>
    <w:p w:rsidR="007E54EB" w:rsidRDefault="007E54EB" w:rsidP="007E54EB">
      <w:pPr>
        <w:pStyle w:val="ListParagraph"/>
        <w:numPr>
          <w:ilvl w:val="1"/>
          <w:numId w:val="38"/>
        </w:numPr>
        <w:spacing w:after="0" w:line="360" w:lineRule="auto"/>
        <w:rPr>
          <w:rFonts w:asciiTheme="majorHAnsi" w:hAnsiTheme="majorHAnsi"/>
          <w:i/>
          <w:sz w:val="24"/>
        </w:rPr>
      </w:pPr>
      <w:r w:rsidRPr="007E54EB">
        <w:rPr>
          <w:rFonts w:asciiTheme="majorHAnsi" w:hAnsiTheme="majorHAnsi"/>
          <w:i/>
          <w:sz w:val="24"/>
        </w:rPr>
        <w:t>Emergency Plan 2012</w:t>
      </w:r>
      <w:r w:rsidR="003A4B4F">
        <w:rPr>
          <w:rFonts w:asciiTheme="majorHAnsi" w:hAnsiTheme="majorHAnsi"/>
          <w:i/>
          <w:sz w:val="24"/>
        </w:rPr>
        <w:t xml:space="preserve"> and associated su</w:t>
      </w:r>
      <w:r w:rsidR="000F631C">
        <w:rPr>
          <w:rFonts w:asciiTheme="majorHAnsi" w:hAnsiTheme="majorHAnsi"/>
          <w:i/>
          <w:sz w:val="24"/>
        </w:rPr>
        <w:t>b</w:t>
      </w:r>
      <w:r w:rsidR="006B47A7">
        <w:rPr>
          <w:rFonts w:asciiTheme="majorHAnsi" w:hAnsiTheme="majorHAnsi"/>
          <w:i/>
          <w:sz w:val="24"/>
        </w:rPr>
        <w:t>-plans and</w:t>
      </w:r>
      <w:r w:rsidR="000F631C">
        <w:rPr>
          <w:rFonts w:asciiTheme="majorHAnsi" w:hAnsiTheme="majorHAnsi"/>
          <w:i/>
          <w:sz w:val="24"/>
        </w:rPr>
        <w:t xml:space="preserve"> hazard specific plans</w:t>
      </w:r>
    </w:p>
    <w:p w:rsidR="000F631C" w:rsidRDefault="000F631C" w:rsidP="007E54EB">
      <w:pPr>
        <w:pStyle w:val="ListParagraph"/>
        <w:numPr>
          <w:ilvl w:val="1"/>
          <w:numId w:val="38"/>
        </w:numPr>
        <w:spacing w:after="0" w:line="360" w:lineRule="auto"/>
        <w:rPr>
          <w:rFonts w:asciiTheme="majorHAnsi" w:hAnsiTheme="majorHAnsi"/>
          <w:i/>
          <w:sz w:val="24"/>
        </w:rPr>
      </w:pPr>
      <w:r>
        <w:rPr>
          <w:rFonts w:asciiTheme="majorHAnsi" w:hAnsiTheme="majorHAnsi"/>
          <w:i/>
          <w:sz w:val="24"/>
        </w:rPr>
        <w:t>Engagement with private sector through critical</w:t>
      </w:r>
      <w:r w:rsidR="00FD728C">
        <w:rPr>
          <w:rFonts w:asciiTheme="majorHAnsi" w:hAnsiTheme="majorHAnsi"/>
          <w:i/>
          <w:sz w:val="24"/>
        </w:rPr>
        <w:t xml:space="preserve"> infrastructure providers and non government organisations </w:t>
      </w:r>
    </w:p>
    <w:p w:rsidR="000F631C" w:rsidRDefault="000F631C" w:rsidP="007E54EB">
      <w:pPr>
        <w:pStyle w:val="ListParagraph"/>
        <w:numPr>
          <w:ilvl w:val="1"/>
          <w:numId w:val="38"/>
        </w:numPr>
        <w:spacing w:after="0" w:line="360" w:lineRule="auto"/>
        <w:rPr>
          <w:rFonts w:asciiTheme="majorHAnsi" w:hAnsiTheme="majorHAnsi"/>
          <w:i/>
          <w:sz w:val="24"/>
        </w:rPr>
      </w:pPr>
      <w:r>
        <w:rPr>
          <w:rFonts w:asciiTheme="majorHAnsi" w:hAnsiTheme="majorHAnsi"/>
          <w:i/>
          <w:sz w:val="24"/>
        </w:rPr>
        <w:t>Cross-border emergency management arrangements</w:t>
      </w:r>
    </w:p>
    <w:p w:rsidR="000F631C" w:rsidRPr="007E54EB" w:rsidRDefault="000F631C" w:rsidP="007E54EB">
      <w:pPr>
        <w:pStyle w:val="ListParagraph"/>
        <w:numPr>
          <w:ilvl w:val="1"/>
          <w:numId w:val="38"/>
        </w:numPr>
        <w:spacing w:after="0" w:line="360" w:lineRule="auto"/>
        <w:rPr>
          <w:rFonts w:asciiTheme="majorHAnsi" w:hAnsiTheme="majorHAnsi"/>
          <w:i/>
          <w:sz w:val="24"/>
        </w:rPr>
      </w:pPr>
      <w:r>
        <w:rPr>
          <w:rFonts w:asciiTheme="majorHAnsi" w:hAnsiTheme="majorHAnsi"/>
          <w:i/>
          <w:sz w:val="24"/>
        </w:rPr>
        <w:t xml:space="preserve">Linkages and participation in national committees and </w:t>
      </w:r>
      <w:r w:rsidR="00FD728C">
        <w:rPr>
          <w:rFonts w:asciiTheme="majorHAnsi" w:hAnsiTheme="majorHAnsi"/>
          <w:i/>
          <w:sz w:val="24"/>
        </w:rPr>
        <w:t>working groups</w:t>
      </w:r>
      <w:r>
        <w:rPr>
          <w:rFonts w:asciiTheme="majorHAnsi" w:hAnsiTheme="majorHAnsi"/>
          <w:i/>
          <w:sz w:val="24"/>
        </w:rPr>
        <w:t xml:space="preserve"> to enhance national and jurisdictional arrangements</w:t>
      </w:r>
    </w:p>
    <w:p w:rsidR="00E763EF" w:rsidRPr="00994019" w:rsidRDefault="00E763EF" w:rsidP="002407E4">
      <w:pPr>
        <w:pStyle w:val="ListParagraph"/>
        <w:numPr>
          <w:ilvl w:val="0"/>
          <w:numId w:val="38"/>
        </w:numPr>
        <w:spacing w:after="0" w:line="360" w:lineRule="auto"/>
        <w:rPr>
          <w:rFonts w:asciiTheme="majorHAnsi" w:hAnsiTheme="majorHAnsi"/>
          <w:sz w:val="24"/>
        </w:rPr>
      </w:pPr>
      <w:r w:rsidRPr="00E763EF">
        <w:rPr>
          <w:rFonts w:asciiTheme="majorHAnsi" w:hAnsiTheme="majorHAnsi"/>
          <w:b/>
          <w:sz w:val="24"/>
        </w:rPr>
        <w:t xml:space="preserve">Strategic Priority </w:t>
      </w:r>
      <w:r>
        <w:rPr>
          <w:rFonts w:asciiTheme="majorHAnsi" w:hAnsiTheme="majorHAnsi"/>
          <w:b/>
          <w:sz w:val="24"/>
        </w:rPr>
        <w:t>5: Empowering individuals and communities</w:t>
      </w:r>
    </w:p>
    <w:p w:rsidR="00994019" w:rsidRDefault="00994019" w:rsidP="00994019">
      <w:pPr>
        <w:pStyle w:val="ListParagraph"/>
        <w:numPr>
          <w:ilvl w:val="1"/>
          <w:numId w:val="38"/>
        </w:numPr>
        <w:spacing w:after="0" w:line="360" w:lineRule="auto"/>
        <w:rPr>
          <w:rFonts w:asciiTheme="majorHAnsi" w:hAnsiTheme="majorHAnsi"/>
          <w:sz w:val="24"/>
        </w:rPr>
      </w:pPr>
      <w:r w:rsidRPr="003A4B4F">
        <w:rPr>
          <w:rFonts w:asciiTheme="majorHAnsi" w:hAnsiTheme="majorHAnsi"/>
          <w:i/>
          <w:sz w:val="24"/>
        </w:rPr>
        <w:t>Community Fire Units</w:t>
      </w:r>
      <w:r w:rsidR="006B47A7">
        <w:rPr>
          <w:rFonts w:asciiTheme="majorHAnsi" w:hAnsiTheme="majorHAnsi"/>
          <w:i/>
          <w:sz w:val="24"/>
        </w:rPr>
        <w:t xml:space="preserve"> - see</w:t>
      </w:r>
      <w:r w:rsidR="00B70E77">
        <w:rPr>
          <w:rFonts w:asciiTheme="majorHAnsi" w:hAnsiTheme="majorHAnsi"/>
          <w:sz w:val="24"/>
        </w:rPr>
        <w:t xml:space="preserve"> </w:t>
      </w:r>
      <w:hyperlink r:id="rId26" w:history="1">
        <w:r w:rsidR="00B70E77" w:rsidRPr="008914C5">
          <w:rPr>
            <w:rStyle w:val="Hyperlink"/>
            <w:rFonts w:asciiTheme="majorHAnsi" w:hAnsiTheme="majorHAnsi"/>
            <w:sz w:val="24"/>
          </w:rPr>
          <w:t>http://esa.act.gov.au/actfr/community-fire-units/</w:t>
        </w:r>
      </w:hyperlink>
    </w:p>
    <w:p w:rsidR="00B70E77" w:rsidRDefault="00B70E77" w:rsidP="00994019">
      <w:pPr>
        <w:pStyle w:val="ListParagraph"/>
        <w:numPr>
          <w:ilvl w:val="1"/>
          <w:numId w:val="38"/>
        </w:numPr>
        <w:spacing w:after="0" w:line="360" w:lineRule="auto"/>
        <w:rPr>
          <w:rFonts w:asciiTheme="majorHAnsi" w:hAnsiTheme="majorHAnsi"/>
          <w:sz w:val="24"/>
        </w:rPr>
      </w:pPr>
      <w:r w:rsidRPr="003A4B4F">
        <w:rPr>
          <w:rFonts w:asciiTheme="majorHAnsi" w:hAnsiTheme="majorHAnsi"/>
          <w:i/>
          <w:sz w:val="24"/>
        </w:rPr>
        <w:t>Emergency Guide and Grab and Go booklet</w:t>
      </w:r>
      <w:r w:rsidR="006B47A7">
        <w:rPr>
          <w:rFonts w:asciiTheme="majorHAnsi" w:hAnsiTheme="majorHAnsi"/>
          <w:i/>
          <w:sz w:val="24"/>
        </w:rPr>
        <w:t xml:space="preserve"> - see</w:t>
      </w:r>
      <w:r>
        <w:rPr>
          <w:rFonts w:asciiTheme="majorHAnsi" w:hAnsiTheme="majorHAnsi"/>
          <w:sz w:val="24"/>
        </w:rPr>
        <w:t xml:space="preserve"> </w:t>
      </w:r>
      <w:hyperlink r:id="rId27" w:history="1">
        <w:r w:rsidRPr="008914C5">
          <w:rPr>
            <w:rStyle w:val="Hyperlink"/>
            <w:rFonts w:asciiTheme="majorHAnsi" w:hAnsiTheme="majorHAnsi"/>
            <w:sz w:val="24"/>
          </w:rPr>
          <w:t>http://www.communityservices.act.gov.au/wac/community_recovery</w:t>
        </w:r>
      </w:hyperlink>
    </w:p>
    <w:p w:rsidR="00B70E77" w:rsidRDefault="003A4B4F" w:rsidP="00994019">
      <w:pPr>
        <w:pStyle w:val="ListParagraph"/>
        <w:numPr>
          <w:ilvl w:val="1"/>
          <w:numId w:val="38"/>
        </w:numPr>
        <w:spacing w:after="0" w:line="360" w:lineRule="auto"/>
        <w:rPr>
          <w:rFonts w:asciiTheme="majorHAnsi" w:hAnsiTheme="majorHAnsi"/>
          <w:i/>
          <w:sz w:val="24"/>
        </w:rPr>
      </w:pPr>
      <w:r w:rsidRPr="000F631C">
        <w:rPr>
          <w:rFonts w:asciiTheme="majorHAnsi" w:hAnsiTheme="majorHAnsi"/>
          <w:i/>
          <w:sz w:val="24"/>
        </w:rPr>
        <w:t>Working with schools</w:t>
      </w:r>
    </w:p>
    <w:p w:rsidR="00E763EF" w:rsidRPr="00B70E77" w:rsidRDefault="00E763EF" w:rsidP="002407E4">
      <w:pPr>
        <w:pStyle w:val="ListParagraph"/>
        <w:numPr>
          <w:ilvl w:val="0"/>
          <w:numId w:val="38"/>
        </w:numPr>
        <w:spacing w:after="0" w:line="360" w:lineRule="auto"/>
        <w:rPr>
          <w:rFonts w:asciiTheme="majorHAnsi" w:hAnsiTheme="majorHAnsi"/>
          <w:sz w:val="24"/>
        </w:rPr>
      </w:pPr>
      <w:r w:rsidRPr="00E763EF">
        <w:rPr>
          <w:rFonts w:asciiTheme="majorHAnsi" w:hAnsiTheme="majorHAnsi"/>
          <w:b/>
          <w:sz w:val="24"/>
        </w:rPr>
        <w:t xml:space="preserve">Strategic Priority </w:t>
      </w:r>
      <w:r>
        <w:rPr>
          <w:rFonts w:asciiTheme="majorHAnsi" w:hAnsiTheme="majorHAnsi"/>
          <w:b/>
          <w:sz w:val="24"/>
        </w:rPr>
        <w:t>6: Reducing Risks in the built environment</w:t>
      </w:r>
    </w:p>
    <w:p w:rsidR="00B70E77" w:rsidRPr="00B70E77" w:rsidRDefault="00B70E77" w:rsidP="00B70E77">
      <w:pPr>
        <w:pStyle w:val="ListParagraph"/>
        <w:numPr>
          <w:ilvl w:val="1"/>
          <w:numId w:val="38"/>
        </w:numPr>
        <w:spacing w:after="0" w:line="360" w:lineRule="auto"/>
        <w:rPr>
          <w:rFonts w:asciiTheme="majorHAnsi" w:hAnsiTheme="majorHAnsi"/>
          <w:i/>
          <w:sz w:val="24"/>
        </w:rPr>
      </w:pPr>
      <w:r w:rsidRPr="00B70E77">
        <w:rPr>
          <w:rFonts w:asciiTheme="majorHAnsi" w:hAnsiTheme="majorHAnsi"/>
          <w:i/>
          <w:sz w:val="24"/>
        </w:rPr>
        <w:t>Securing electricity supply</w:t>
      </w:r>
      <w:r>
        <w:rPr>
          <w:rFonts w:asciiTheme="majorHAnsi" w:hAnsiTheme="majorHAnsi"/>
          <w:i/>
          <w:sz w:val="24"/>
        </w:rPr>
        <w:t xml:space="preserve"> – range of major </w:t>
      </w:r>
      <w:r w:rsidR="003A4B4F">
        <w:rPr>
          <w:rFonts w:asciiTheme="majorHAnsi" w:hAnsiTheme="majorHAnsi"/>
          <w:i/>
          <w:sz w:val="24"/>
        </w:rPr>
        <w:t>infrastructure projects</w:t>
      </w:r>
    </w:p>
    <w:p w:rsidR="00C14ACD" w:rsidRPr="00B70E77" w:rsidRDefault="00E763EF" w:rsidP="002407E4">
      <w:pPr>
        <w:pStyle w:val="ListParagraph"/>
        <w:numPr>
          <w:ilvl w:val="0"/>
          <w:numId w:val="38"/>
        </w:numPr>
        <w:spacing w:after="0" w:line="360" w:lineRule="auto"/>
        <w:rPr>
          <w:rFonts w:asciiTheme="majorHAnsi" w:hAnsiTheme="majorHAnsi"/>
          <w:sz w:val="24"/>
        </w:rPr>
      </w:pPr>
      <w:r w:rsidRPr="00E763EF">
        <w:rPr>
          <w:rFonts w:asciiTheme="majorHAnsi" w:hAnsiTheme="majorHAnsi"/>
          <w:b/>
          <w:sz w:val="24"/>
        </w:rPr>
        <w:t xml:space="preserve">Strategic Priority </w:t>
      </w:r>
      <w:r>
        <w:rPr>
          <w:rFonts w:asciiTheme="majorHAnsi" w:hAnsiTheme="majorHAnsi"/>
          <w:b/>
          <w:sz w:val="24"/>
        </w:rPr>
        <w:t xml:space="preserve">7: </w:t>
      </w:r>
      <w:r w:rsidR="00994019" w:rsidRPr="00994019">
        <w:rPr>
          <w:rFonts w:asciiTheme="majorHAnsi" w:hAnsiTheme="majorHAnsi"/>
          <w:b/>
          <w:sz w:val="24"/>
        </w:rPr>
        <w:t>C</w:t>
      </w:r>
      <w:r w:rsidR="00C14ACD" w:rsidRPr="00994019">
        <w:rPr>
          <w:rFonts w:asciiTheme="majorHAnsi" w:hAnsiTheme="majorHAnsi"/>
          <w:b/>
          <w:sz w:val="24"/>
        </w:rPr>
        <w:t xml:space="preserve">apabilities </w:t>
      </w:r>
      <w:r w:rsidR="00994019" w:rsidRPr="00994019">
        <w:rPr>
          <w:rFonts w:asciiTheme="majorHAnsi" w:hAnsiTheme="majorHAnsi"/>
          <w:b/>
          <w:sz w:val="24"/>
        </w:rPr>
        <w:t>to support</w:t>
      </w:r>
      <w:r w:rsidR="00C14ACD" w:rsidRPr="00994019">
        <w:rPr>
          <w:rFonts w:asciiTheme="majorHAnsi" w:hAnsiTheme="majorHAnsi"/>
          <w:b/>
          <w:sz w:val="24"/>
        </w:rPr>
        <w:t xml:space="preserve"> disaster resilience</w:t>
      </w:r>
    </w:p>
    <w:p w:rsidR="00B70E77" w:rsidRPr="00B70E77" w:rsidRDefault="00B70E77" w:rsidP="00B70E77">
      <w:pPr>
        <w:pStyle w:val="ListParagraph"/>
        <w:numPr>
          <w:ilvl w:val="1"/>
          <w:numId w:val="38"/>
        </w:numPr>
        <w:spacing w:after="0" w:line="360" w:lineRule="auto"/>
        <w:rPr>
          <w:rFonts w:asciiTheme="majorHAnsi" w:hAnsiTheme="majorHAnsi"/>
          <w:i/>
          <w:sz w:val="24"/>
        </w:rPr>
      </w:pPr>
      <w:r w:rsidRPr="00B70E77">
        <w:rPr>
          <w:rFonts w:asciiTheme="majorHAnsi" w:hAnsiTheme="majorHAnsi"/>
          <w:i/>
          <w:sz w:val="24"/>
        </w:rPr>
        <w:t>Emergency warnings</w:t>
      </w:r>
      <w:r>
        <w:rPr>
          <w:rFonts w:asciiTheme="majorHAnsi" w:hAnsiTheme="majorHAnsi"/>
          <w:i/>
          <w:sz w:val="24"/>
        </w:rPr>
        <w:t xml:space="preserve"> – </w:t>
      </w:r>
      <w:r w:rsidR="000F631C">
        <w:rPr>
          <w:rFonts w:asciiTheme="majorHAnsi" w:hAnsiTheme="majorHAnsi"/>
          <w:i/>
          <w:sz w:val="24"/>
        </w:rPr>
        <w:t xml:space="preserve"> MOU’s with local media outlets, </w:t>
      </w:r>
      <w:r>
        <w:rPr>
          <w:rFonts w:asciiTheme="majorHAnsi" w:hAnsiTheme="majorHAnsi"/>
          <w:i/>
          <w:sz w:val="24"/>
        </w:rPr>
        <w:t xml:space="preserve">ESA website and </w:t>
      </w:r>
      <w:r w:rsidR="000F631C">
        <w:rPr>
          <w:rFonts w:asciiTheme="majorHAnsi" w:hAnsiTheme="majorHAnsi"/>
          <w:i/>
          <w:sz w:val="24"/>
        </w:rPr>
        <w:t xml:space="preserve">the </w:t>
      </w:r>
      <w:r>
        <w:rPr>
          <w:rFonts w:asciiTheme="majorHAnsi" w:hAnsiTheme="majorHAnsi"/>
          <w:i/>
          <w:sz w:val="24"/>
        </w:rPr>
        <w:t>use of Emergency Alert</w:t>
      </w:r>
    </w:p>
    <w:p w:rsidR="00B70E77" w:rsidRPr="00B70E77" w:rsidRDefault="00B70E77" w:rsidP="00B70E77">
      <w:pPr>
        <w:pStyle w:val="ListParagraph"/>
        <w:numPr>
          <w:ilvl w:val="1"/>
          <w:numId w:val="38"/>
        </w:numPr>
        <w:spacing w:after="0" w:line="360" w:lineRule="auto"/>
        <w:rPr>
          <w:rFonts w:asciiTheme="majorHAnsi" w:hAnsiTheme="majorHAnsi"/>
          <w:i/>
          <w:sz w:val="24"/>
        </w:rPr>
      </w:pPr>
      <w:r w:rsidRPr="00B70E77">
        <w:rPr>
          <w:rFonts w:asciiTheme="majorHAnsi" w:hAnsiTheme="majorHAnsi"/>
          <w:i/>
          <w:sz w:val="24"/>
        </w:rPr>
        <w:t>Enhancing capability – drafting of Strategic Bushfire Management Plan version 3</w:t>
      </w:r>
    </w:p>
    <w:p w:rsidR="006B47A7" w:rsidRDefault="006B47A7" w:rsidP="00F93124">
      <w:pPr>
        <w:spacing w:after="0" w:line="360" w:lineRule="auto"/>
        <w:rPr>
          <w:rFonts w:asciiTheme="majorHAnsi" w:hAnsiTheme="majorHAnsi"/>
          <w:sz w:val="24"/>
        </w:rPr>
      </w:pPr>
    </w:p>
    <w:p w:rsidR="00892E1A" w:rsidRPr="00F93124" w:rsidRDefault="006B47A7" w:rsidP="00F93124">
      <w:pPr>
        <w:spacing w:after="0" w:line="360" w:lineRule="auto"/>
        <w:rPr>
          <w:rFonts w:asciiTheme="majorHAnsi" w:hAnsiTheme="majorHAnsi"/>
          <w:sz w:val="24"/>
        </w:rPr>
      </w:pPr>
      <w:r>
        <w:rPr>
          <w:rFonts w:asciiTheme="majorHAnsi" w:hAnsiTheme="majorHAnsi"/>
          <w:sz w:val="24"/>
        </w:rPr>
        <w:t>In addition to the above, t</w:t>
      </w:r>
      <w:r w:rsidR="00892E1A" w:rsidRPr="00F93124">
        <w:rPr>
          <w:rFonts w:asciiTheme="majorHAnsi" w:hAnsiTheme="majorHAnsi"/>
          <w:sz w:val="24"/>
        </w:rPr>
        <w:t xml:space="preserve">he ACT Government </w:t>
      </w:r>
      <w:r w:rsidR="00C14ACD">
        <w:rPr>
          <w:rFonts w:asciiTheme="majorHAnsi" w:hAnsiTheme="majorHAnsi"/>
          <w:sz w:val="24"/>
        </w:rPr>
        <w:t>has conti</w:t>
      </w:r>
      <w:r w:rsidR="00517545">
        <w:rPr>
          <w:rFonts w:asciiTheme="majorHAnsi" w:hAnsiTheme="majorHAnsi"/>
          <w:sz w:val="24"/>
        </w:rPr>
        <w:t xml:space="preserve">nued to invest </w:t>
      </w:r>
      <w:r>
        <w:rPr>
          <w:rFonts w:asciiTheme="majorHAnsi" w:hAnsiTheme="majorHAnsi"/>
          <w:sz w:val="24"/>
        </w:rPr>
        <w:t xml:space="preserve">in, </w:t>
      </w:r>
      <w:r w:rsidR="00517545">
        <w:rPr>
          <w:rFonts w:asciiTheme="majorHAnsi" w:hAnsiTheme="majorHAnsi"/>
          <w:sz w:val="24"/>
        </w:rPr>
        <w:t>and develop</w:t>
      </w:r>
      <w:r>
        <w:rPr>
          <w:rFonts w:asciiTheme="majorHAnsi" w:hAnsiTheme="majorHAnsi"/>
          <w:sz w:val="24"/>
        </w:rPr>
        <w:t>,</w:t>
      </w:r>
      <w:r w:rsidR="00517545">
        <w:rPr>
          <w:rFonts w:asciiTheme="majorHAnsi" w:hAnsiTheme="majorHAnsi"/>
          <w:sz w:val="24"/>
        </w:rPr>
        <w:t xml:space="preserve"> the t</w:t>
      </w:r>
      <w:r w:rsidR="00C14ACD">
        <w:rPr>
          <w:rFonts w:asciiTheme="majorHAnsi" w:hAnsiTheme="majorHAnsi"/>
          <w:sz w:val="24"/>
        </w:rPr>
        <w:t xml:space="preserve">erritory’s </w:t>
      </w:r>
      <w:r w:rsidR="00892E1A" w:rsidRPr="00F93124">
        <w:rPr>
          <w:rFonts w:asciiTheme="majorHAnsi" w:hAnsiTheme="majorHAnsi"/>
          <w:sz w:val="24"/>
        </w:rPr>
        <w:t>preparedness</w:t>
      </w:r>
      <w:r w:rsidR="007B0E97">
        <w:rPr>
          <w:rFonts w:asciiTheme="majorHAnsi" w:hAnsiTheme="majorHAnsi"/>
          <w:sz w:val="24"/>
        </w:rPr>
        <w:t xml:space="preserve"> and resilience</w:t>
      </w:r>
      <w:r w:rsidR="00892E1A" w:rsidRPr="00F93124">
        <w:rPr>
          <w:rFonts w:asciiTheme="majorHAnsi" w:hAnsiTheme="majorHAnsi"/>
          <w:sz w:val="24"/>
        </w:rPr>
        <w:t xml:space="preserve"> </w:t>
      </w:r>
      <w:r>
        <w:rPr>
          <w:rFonts w:asciiTheme="majorHAnsi" w:hAnsiTheme="majorHAnsi"/>
          <w:sz w:val="24"/>
        </w:rPr>
        <w:t>to</w:t>
      </w:r>
      <w:r w:rsidRPr="00F93124">
        <w:rPr>
          <w:rFonts w:asciiTheme="majorHAnsi" w:hAnsiTheme="majorHAnsi"/>
          <w:sz w:val="24"/>
        </w:rPr>
        <w:t xml:space="preserve"> </w:t>
      </w:r>
      <w:r w:rsidR="00892E1A" w:rsidRPr="00F93124">
        <w:rPr>
          <w:rFonts w:asciiTheme="majorHAnsi" w:hAnsiTheme="majorHAnsi"/>
          <w:sz w:val="24"/>
        </w:rPr>
        <w:t>natural disaster</w:t>
      </w:r>
      <w:r w:rsidR="000F631C">
        <w:rPr>
          <w:rFonts w:asciiTheme="majorHAnsi" w:hAnsiTheme="majorHAnsi"/>
          <w:sz w:val="24"/>
        </w:rPr>
        <w:t>s</w:t>
      </w:r>
      <w:r w:rsidR="00DA6787">
        <w:rPr>
          <w:rFonts w:asciiTheme="majorHAnsi" w:hAnsiTheme="majorHAnsi"/>
          <w:sz w:val="24"/>
        </w:rPr>
        <w:t>. This is evidenced by</w:t>
      </w:r>
      <w:r w:rsidR="00892E1A" w:rsidRPr="00F93124">
        <w:rPr>
          <w:rFonts w:asciiTheme="majorHAnsi" w:hAnsiTheme="majorHAnsi"/>
          <w:sz w:val="24"/>
        </w:rPr>
        <w:t xml:space="preserve"> the:</w:t>
      </w:r>
    </w:p>
    <w:p w:rsidR="00892E1A" w:rsidRPr="00F93124" w:rsidRDefault="00892E1A" w:rsidP="00F93124">
      <w:pPr>
        <w:pStyle w:val="ListParagraph"/>
        <w:numPr>
          <w:ilvl w:val="0"/>
          <w:numId w:val="24"/>
        </w:numPr>
        <w:tabs>
          <w:tab w:val="clear" w:pos="4536"/>
        </w:tabs>
        <w:spacing w:after="0" w:line="360" w:lineRule="auto"/>
        <w:rPr>
          <w:rFonts w:asciiTheme="majorHAnsi" w:hAnsiTheme="majorHAnsi"/>
          <w:sz w:val="24"/>
          <w:szCs w:val="24"/>
        </w:rPr>
      </w:pPr>
      <w:r w:rsidRPr="00F93124">
        <w:rPr>
          <w:rFonts w:asciiTheme="majorHAnsi" w:hAnsiTheme="majorHAnsi"/>
          <w:sz w:val="24"/>
          <w:szCs w:val="24"/>
        </w:rPr>
        <w:t>U</w:t>
      </w:r>
      <w:r w:rsidR="002E0DB0">
        <w:rPr>
          <w:rFonts w:asciiTheme="majorHAnsi" w:hAnsiTheme="majorHAnsi"/>
          <w:sz w:val="24"/>
          <w:szCs w:val="24"/>
        </w:rPr>
        <w:t>nited Nations International Strategy for Disaster Resilience (U</w:t>
      </w:r>
      <w:r w:rsidRPr="00F93124">
        <w:rPr>
          <w:rFonts w:asciiTheme="majorHAnsi" w:hAnsiTheme="majorHAnsi"/>
          <w:sz w:val="24"/>
          <w:szCs w:val="24"/>
        </w:rPr>
        <w:t>NISDR</w:t>
      </w:r>
      <w:r w:rsidR="002E0DB0">
        <w:rPr>
          <w:rFonts w:asciiTheme="majorHAnsi" w:hAnsiTheme="majorHAnsi"/>
          <w:sz w:val="24"/>
          <w:szCs w:val="24"/>
        </w:rPr>
        <w:t>)</w:t>
      </w:r>
      <w:r w:rsidRPr="00F93124">
        <w:rPr>
          <w:rFonts w:asciiTheme="majorHAnsi" w:hAnsiTheme="majorHAnsi"/>
          <w:sz w:val="24"/>
          <w:szCs w:val="24"/>
        </w:rPr>
        <w:t xml:space="preserve"> recognition of Canberra in 2012 as </w:t>
      </w:r>
      <w:r w:rsidR="006B47A7">
        <w:rPr>
          <w:rFonts w:asciiTheme="majorHAnsi" w:hAnsiTheme="majorHAnsi"/>
          <w:sz w:val="24"/>
          <w:szCs w:val="24"/>
        </w:rPr>
        <w:t>a</w:t>
      </w:r>
      <w:r w:rsidRPr="00F93124">
        <w:rPr>
          <w:rFonts w:asciiTheme="majorHAnsi" w:hAnsiTheme="majorHAnsi"/>
          <w:sz w:val="24"/>
          <w:szCs w:val="24"/>
        </w:rPr>
        <w:t xml:space="preserve"> ‘</w:t>
      </w:r>
      <w:r w:rsidRPr="00F93124">
        <w:rPr>
          <w:rFonts w:asciiTheme="majorHAnsi" w:hAnsiTheme="majorHAnsi"/>
          <w:i/>
          <w:sz w:val="24"/>
          <w:szCs w:val="24"/>
        </w:rPr>
        <w:t xml:space="preserve">role model city for emergency management’ </w:t>
      </w:r>
      <w:r w:rsidR="006B47A7">
        <w:rPr>
          <w:rFonts w:asciiTheme="majorHAnsi" w:hAnsiTheme="majorHAnsi"/>
          <w:i/>
          <w:sz w:val="24"/>
          <w:szCs w:val="24"/>
        </w:rPr>
        <w:t xml:space="preserve">(copy at </w:t>
      </w:r>
      <w:r w:rsidRPr="000F631C">
        <w:rPr>
          <w:rFonts w:asciiTheme="majorHAnsi" w:hAnsiTheme="majorHAnsi"/>
          <w:b/>
          <w:sz w:val="24"/>
          <w:szCs w:val="24"/>
          <w:u w:val="single"/>
        </w:rPr>
        <w:t>Attachment A</w:t>
      </w:r>
      <w:r w:rsidR="00BC5CE2" w:rsidRPr="00BC5CE2">
        <w:rPr>
          <w:rFonts w:asciiTheme="majorHAnsi" w:hAnsiTheme="majorHAnsi"/>
          <w:sz w:val="24"/>
          <w:szCs w:val="24"/>
          <w:u w:val="single"/>
        </w:rPr>
        <w:t>)</w:t>
      </w:r>
      <w:r w:rsidRPr="00F93124">
        <w:rPr>
          <w:rFonts w:asciiTheme="majorHAnsi" w:hAnsiTheme="majorHAnsi"/>
          <w:i/>
          <w:sz w:val="24"/>
          <w:szCs w:val="24"/>
        </w:rPr>
        <w:t>;</w:t>
      </w:r>
      <w:r w:rsidRPr="00F93124">
        <w:rPr>
          <w:rFonts w:asciiTheme="majorHAnsi" w:hAnsiTheme="majorHAnsi"/>
          <w:sz w:val="24"/>
          <w:szCs w:val="24"/>
        </w:rPr>
        <w:t xml:space="preserve"> </w:t>
      </w:r>
    </w:p>
    <w:p w:rsidR="00892E1A" w:rsidRPr="00F93124" w:rsidRDefault="00892E1A" w:rsidP="00F93124">
      <w:pPr>
        <w:pStyle w:val="ListParagraph"/>
        <w:numPr>
          <w:ilvl w:val="0"/>
          <w:numId w:val="24"/>
        </w:numPr>
        <w:tabs>
          <w:tab w:val="clear" w:pos="4536"/>
        </w:tabs>
        <w:spacing w:after="0" w:line="360" w:lineRule="auto"/>
        <w:rPr>
          <w:rFonts w:asciiTheme="majorHAnsi" w:hAnsiTheme="majorHAnsi"/>
          <w:sz w:val="24"/>
          <w:szCs w:val="24"/>
        </w:rPr>
      </w:pPr>
      <w:r w:rsidRPr="00F93124">
        <w:rPr>
          <w:rFonts w:asciiTheme="majorHAnsi" w:hAnsiTheme="majorHAnsi"/>
          <w:sz w:val="24"/>
          <w:szCs w:val="24"/>
        </w:rPr>
        <w:lastRenderedPageBreak/>
        <w:t xml:space="preserve">Completion </w:t>
      </w:r>
      <w:r w:rsidR="002E0DB0">
        <w:rPr>
          <w:rFonts w:asciiTheme="majorHAnsi" w:hAnsiTheme="majorHAnsi"/>
          <w:sz w:val="24"/>
          <w:szCs w:val="24"/>
        </w:rPr>
        <w:t xml:space="preserve"> and publication </w:t>
      </w:r>
      <w:r w:rsidRPr="00F93124">
        <w:rPr>
          <w:rFonts w:asciiTheme="majorHAnsi" w:hAnsiTheme="majorHAnsi"/>
          <w:sz w:val="24"/>
          <w:szCs w:val="24"/>
        </w:rPr>
        <w:t xml:space="preserve">of </w:t>
      </w:r>
      <w:r w:rsidR="002E0DB0">
        <w:rPr>
          <w:rFonts w:asciiTheme="majorHAnsi" w:hAnsiTheme="majorHAnsi"/>
          <w:sz w:val="24"/>
          <w:szCs w:val="24"/>
        </w:rPr>
        <w:t>the</w:t>
      </w:r>
      <w:r w:rsidRPr="00F93124">
        <w:rPr>
          <w:rFonts w:asciiTheme="majorHAnsi" w:hAnsiTheme="majorHAnsi"/>
          <w:sz w:val="24"/>
          <w:szCs w:val="24"/>
        </w:rPr>
        <w:t xml:space="preserve"> </w:t>
      </w:r>
      <w:r w:rsidRPr="00F93124">
        <w:rPr>
          <w:rFonts w:asciiTheme="majorHAnsi" w:hAnsiTheme="majorHAnsi"/>
          <w:i/>
          <w:sz w:val="24"/>
          <w:szCs w:val="24"/>
        </w:rPr>
        <w:t>Territory Wide Risk Assessment 2012</w:t>
      </w:r>
      <w:r w:rsidRPr="00F93124">
        <w:rPr>
          <w:rFonts w:asciiTheme="majorHAnsi" w:hAnsiTheme="majorHAnsi"/>
          <w:sz w:val="24"/>
          <w:szCs w:val="24"/>
        </w:rPr>
        <w:t xml:space="preserve"> </w:t>
      </w:r>
      <w:r w:rsidR="006B47A7">
        <w:rPr>
          <w:rFonts w:asciiTheme="majorHAnsi" w:hAnsiTheme="majorHAnsi"/>
          <w:sz w:val="24"/>
          <w:szCs w:val="24"/>
        </w:rPr>
        <w:t xml:space="preserve">(copy at </w:t>
      </w:r>
      <w:r w:rsidRPr="000F631C">
        <w:rPr>
          <w:rFonts w:asciiTheme="majorHAnsi" w:hAnsiTheme="majorHAnsi"/>
          <w:b/>
          <w:sz w:val="24"/>
          <w:szCs w:val="24"/>
          <w:u w:val="single"/>
        </w:rPr>
        <w:t>Attachment B</w:t>
      </w:r>
      <w:r w:rsidR="00BC5CE2" w:rsidRPr="00BC5CE2">
        <w:rPr>
          <w:rFonts w:asciiTheme="majorHAnsi" w:hAnsiTheme="majorHAnsi"/>
          <w:sz w:val="24"/>
          <w:szCs w:val="24"/>
          <w:u w:val="single"/>
        </w:rPr>
        <w:t>)</w:t>
      </w:r>
      <w:r w:rsidRPr="00F93124">
        <w:rPr>
          <w:rFonts w:asciiTheme="majorHAnsi" w:hAnsiTheme="majorHAnsi"/>
          <w:sz w:val="24"/>
          <w:szCs w:val="24"/>
          <w:u w:val="single"/>
        </w:rPr>
        <w:t>;</w:t>
      </w:r>
      <w:r w:rsidRPr="00F93124">
        <w:rPr>
          <w:rFonts w:asciiTheme="majorHAnsi" w:hAnsiTheme="majorHAnsi"/>
          <w:sz w:val="24"/>
          <w:szCs w:val="24"/>
        </w:rPr>
        <w:t xml:space="preserve"> and </w:t>
      </w:r>
    </w:p>
    <w:p w:rsidR="00892E1A" w:rsidRPr="00F93124" w:rsidRDefault="002E0DB0" w:rsidP="00F93124">
      <w:pPr>
        <w:pStyle w:val="ListParagraph"/>
        <w:numPr>
          <w:ilvl w:val="0"/>
          <w:numId w:val="24"/>
        </w:numPr>
        <w:tabs>
          <w:tab w:val="clear" w:pos="4536"/>
        </w:tabs>
        <w:spacing w:after="0" w:line="360" w:lineRule="auto"/>
        <w:rPr>
          <w:rFonts w:asciiTheme="majorHAnsi" w:hAnsiTheme="majorHAnsi"/>
          <w:b/>
          <w:sz w:val="24"/>
          <w:szCs w:val="24"/>
        </w:rPr>
      </w:pPr>
      <w:r>
        <w:rPr>
          <w:rFonts w:asciiTheme="majorHAnsi" w:hAnsiTheme="majorHAnsi"/>
          <w:sz w:val="24"/>
          <w:szCs w:val="24"/>
        </w:rPr>
        <w:t>Updating</w:t>
      </w:r>
      <w:r w:rsidR="00892E1A" w:rsidRPr="00F93124">
        <w:rPr>
          <w:rFonts w:asciiTheme="majorHAnsi" w:hAnsiTheme="majorHAnsi"/>
          <w:sz w:val="24"/>
          <w:szCs w:val="24"/>
        </w:rPr>
        <w:t xml:space="preserve"> </w:t>
      </w:r>
      <w:r w:rsidR="00892E1A" w:rsidRPr="00F93124">
        <w:rPr>
          <w:rFonts w:asciiTheme="majorHAnsi" w:hAnsiTheme="majorHAnsi"/>
          <w:i/>
          <w:sz w:val="24"/>
          <w:szCs w:val="24"/>
        </w:rPr>
        <w:t>Strategic</w:t>
      </w:r>
      <w:r w:rsidR="00517545">
        <w:rPr>
          <w:rFonts w:asciiTheme="majorHAnsi" w:hAnsiTheme="majorHAnsi"/>
          <w:i/>
          <w:sz w:val="24"/>
          <w:szCs w:val="24"/>
        </w:rPr>
        <w:t xml:space="preserve"> Bushfire Management Plan (V2) </w:t>
      </w:r>
      <w:r w:rsidR="00892E1A" w:rsidRPr="00F93124">
        <w:rPr>
          <w:rFonts w:asciiTheme="majorHAnsi" w:hAnsiTheme="majorHAnsi"/>
          <w:i/>
          <w:sz w:val="24"/>
          <w:szCs w:val="24"/>
        </w:rPr>
        <w:t xml:space="preserve">2009 </w:t>
      </w:r>
      <w:r w:rsidR="006B47A7">
        <w:rPr>
          <w:rFonts w:asciiTheme="majorHAnsi" w:hAnsiTheme="majorHAnsi"/>
          <w:i/>
          <w:sz w:val="24"/>
          <w:szCs w:val="24"/>
        </w:rPr>
        <w:t xml:space="preserve">(copy at </w:t>
      </w:r>
      <w:r w:rsidR="00517545" w:rsidRPr="000F631C">
        <w:rPr>
          <w:rFonts w:asciiTheme="majorHAnsi" w:hAnsiTheme="majorHAnsi"/>
          <w:b/>
          <w:sz w:val="24"/>
          <w:szCs w:val="24"/>
          <w:u w:val="single"/>
        </w:rPr>
        <w:t>Attachment </w:t>
      </w:r>
      <w:r w:rsidR="00892E1A" w:rsidRPr="000F631C">
        <w:rPr>
          <w:rFonts w:asciiTheme="majorHAnsi" w:hAnsiTheme="majorHAnsi"/>
          <w:b/>
          <w:sz w:val="24"/>
          <w:szCs w:val="24"/>
          <w:u w:val="single"/>
        </w:rPr>
        <w:t>C</w:t>
      </w:r>
      <w:r w:rsidR="00BC5CE2" w:rsidRPr="00BC5CE2">
        <w:rPr>
          <w:rFonts w:asciiTheme="majorHAnsi" w:hAnsiTheme="majorHAnsi"/>
          <w:sz w:val="24"/>
          <w:szCs w:val="24"/>
          <w:u w:val="single"/>
        </w:rPr>
        <w:t>)</w:t>
      </w:r>
      <w:r w:rsidR="00892E1A" w:rsidRPr="000F631C">
        <w:rPr>
          <w:rFonts w:asciiTheme="majorHAnsi" w:hAnsiTheme="majorHAnsi"/>
          <w:b/>
          <w:sz w:val="24"/>
          <w:szCs w:val="24"/>
          <w:u w:val="single"/>
        </w:rPr>
        <w:t>.</w:t>
      </w:r>
    </w:p>
    <w:p w:rsidR="002E0DB0" w:rsidRPr="002E0DB0" w:rsidRDefault="006B47A7" w:rsidP="002E0DB0">
      <w:pPr>
        <w:spacing w:after="0" w:line="360" w:lineRule="auto"/>
        <w:rPr>
          <w:rFonts w:asciiTheme="majorHAnsi" w:hAnsiTheme="majorHAnsi"/>
          <w:sz w:val="24"/>
        </w:rPr>
      </w:pPr>
      <w:r>
        <w:rPr>
          <w:rFonts w:asciiTheme="majorHAnsi" w:hAnsiTheme="majorHAnsi"/>
          <w:sz w:val="24"/>
        </w:rPr>
        <w:t>T</w:t>
      </w:r>
      <w:r w:rsidR="002E0DB0" w:rsidRPr="002E0DB0">
        <w:rPr>
          <w:rFonts w:asciiTheme="majorHAnsi" w:hAnsiTheme="majorHAnsi"/>
          <w:sz w:val="24"/>
        </w:rPr>
        <w:t xml:space="preserve">he submission </w:t>
      </w:r>
      <w:r>
        <w:rPr>
          <w:rFonts w:asciiTheme="majorHAnsi" w:hAnsiTheme="majorHAnsi"/>
          <w:sz w:val="24"/>
        </w:rPr>
        <w:t xml:space="preserve">to the UNISDR Resilient Cities Campaign </w:t>
      </w:r>
      <w:r w:rsidR="002E0DB0" w:rsidRPr="002E0DB0">
        <w:rPr>
          <w:rFonts w:asciiTheme="majorHAnsi" w:hAnsiTheme="majorHAnsi"/>
          <w:sz w:val="24"/>
        </w:rPr>
        <w:t xml:space="preserve">at </w:t>
      </w:r>
      <w:r w:rsidR="00BC5CE2" w:rsidRPr="00BC5CE2">
        <w:rPr>
          <w:rFonts w:asciiTheme="majorHAnsi" w:hAnsiTheme="majorHAnsi"/>
          <w:b/>
          <w:sz w:val="24"/>
          <w:u w:val="single"/>
        </w:rPr>
        <w:t>Attachment A</w:t>
      </w:r>
      <w:r w:rsidR="002E0DB0" w:rsidRPr="002E0DB0">
        <w:rPr>
          <w:rFonts w:asciiTheme="majorHAnsi" w:hAnsiTheme="majorHAnsi"/>
          <w:sz w:val="24"/>
        </w:rPr>
        <w:t xml:space="preserve"> provides much of the information sought from the ACT.</w:t>
      </w:r>
    </w:p>
    <w:p w:rsidR="00733E81" w:rsidRDefault="00733E81" w:rsidP="0002119C">
      <w:pPr>
        <w:pStyle w:val="H1"/>
        <w:rPr>
          <w:rFonts w:asciiTheme="majorHAnsi" w:hAnsiTheme="majorHAnsi"/>
          <w:b/>
          <w:color w:val="4F6228" w:themeColor="accent3" w:themeShade="80"/>
        </w:rPr>
      </w:pPr>
    </w:p>
    <w:p w:rsidR="0002119C" w:rsidRDefault="00DA6787" w:rsidP="0002119C">
      <w:pPr>
        <w:pStyle w:val="H1"/>
        <w:rPr>
          <w:rFonts w:asciiTheme="majorHAnsi" w:hAnsiTheme="majorHAnsi"/>
          <w:b/>
          <w:color w:val="4F6228" w:themeColor="accent3" w:themeShade="80"/>
        </w:rPr>
      </w:pPr>
      <w:r>
        <w:rPr>
          <w:rFonts w:asciiTheme="majorHAnsi" w:hAnsiTheme="majorHAnsi"/>
          <w:b/>
          <w:color w:val="4F6228" w:themeColor="accent3" w:themeShade="80"/>
        </w:rPr>
        <w:t>3</w:t>
      </w:r>
      <w:r w:rsidR="00106FB6" w:rsidRPr="00F93124">
        <w:rPr>
          <w:rFonts w:asciiTheme="majorHAnsi" w:hAnsiTheme="majorHAnsi"/>
          <w:b/>
          <w:color w:val="4F6228" w:themeColor="accent3" w:themeShade="80"/>
        </w:rPr>
        <w:t>.</w:t>
      </w:r>
      <w:r w:rsidR="0002119C" w:rsidRPr="00314755">
        <w:rPr>
          <w:rFonts w:asciiTheme="majorHAnsi" w:hAnsiTheme="majorHAnsi"/>
          <w:b/>
          <w:color w:val="4F6228" w:themeColor="accent3" w:themeShade="80"/>
        </w:rPr>
        <w:t xml:space="preserve"> Current Funding Arrangements</w:t>
      </w:r>
    </w:p>
    <w:p w:rsidR="0002119C" w:rsidRPr="0002119C" w:rsidRDefault="0002119C" w:rsidP="0002119C">
      <w:pPr>
        <w:spacing w:line="360" w:lineRule="auto"/>
        <w:jc w:val="both"/>
        <w:rPr>
          <w:rFonts w:asciiTheme="majorHAnsi" w:hAnsiTheme="majorHAnsi"/>
          <w:sz w:val="24"/>
        </w:rPr>
      </w:pPr>
      <w:r w:rsidRPr="0002119C">
        <w:rPr>
          <w:rFonts w:asciiTheme="majorHAnsi" w:hAnsiTheme="majorHAnsi"/>
          <w:sz w:val="24"/>
        </w:rPr>
        <w:t xml:space="preserve">The </w:t>
      </w:r>
      <w:r>
        <w:rPr>
          <w:rFonts w:asciiTheme="majorHAnsi" w:hAnsiTheme="majorHAnsi"/>
          <w:sz w:val="24"/>
        </w:rPr>
        <w:t>Territory</w:t>
      </w:r>
      <w:r w:rsidRPr="0002119C">
        <w:rPr>
          <w:rFonts w:asciiTheme="majorHAnsi" w:hAnsiTheme="majorHAnsi"/>
          <w:sz w:val="24"/>
        </w:rPr>
        <w:t xml:space="preserve"> acknowledges that </w:t>
      </w:r>
      <w:r w:rsidR="007465EB">
        <w:rPr>
          <w:rFonts w:asciiTheme="majorHAnsi" w:hAnsiTheme="majorHAnsi"/>
          <w:sz w:val="24"/>
        </w:rPr>
        <w:t xml:space="preserve">the </w:t>
      </w:r>
      <w:r>
        <w:rPr>
          <w:rFonts w:asciiTheme="majorHAnsi" w:hAnsiTheme="majorHAnsi"/>
          <w:sz w:val="24"/>
        </w:rPr>
        <w:t>natural disaster mitigation, resilience</w:t>
      </w:r>
      <w:r w:rsidR="00BC3DD6">
        <w:rPr>
          <w:rFonts w:asciiTheme="majorHAnsi" w:hAnsiTheme="majorHAnsi"/>
          <w:sz w:val="24"/>
        </w:rPr>
        <w:t>,</w:t>
      </w:r>
      <w:r>
        <w:rPr>
          <w:rFonts w:asciiTheme="majorHAnsi" w:hAnsiTheme="majorHAnsi"/>
          <w:sz w:val="24"/>
        </w:rPr>
        <w:t xml:space="preserve"> and recovery activities are </w:t>
      </w:r>
      <w:r w:rsidR="005238B9">
        <w:rPr>
          <w:rFonts w:asciiTheme="majorHAnsi" w:hAnsiTheme="majorHAnsi"/>
          <w:sz w:val="24"/>
        </w:rPr>
        <w:t>a shared</w:t>
      </w:r>
      <w:r>
        <w:rPr>
          <w:rFonts w:asciiTheme="majorHAnsi" w:hAnsiTheme="majorHAnsi"/>
          <w:sz w:val="24"/>
        </w:rPr>
        <w:t xml:space="preserve"> responsibility </w:t>
      </w:r>
      <w:r w:rsidR="005238B9">
        <w:rPr>
          <w:rFonts w:asciiTheme="majorHAnsi" w:hAnsiTheme="majorHAnsi"/>
          <w:sz w:val="24"/>
        </w:rPr>
        <w:t>between all levels of government and the community.</w:t>
      </w:r>
      <w:r w:rsidR="002D66B1">
        <w:rPr>
          <w:rFonts w:asciiTheme="majorHAnsi" w:hAnsiTheme="majorHAnsi"/>
          <w:sz w:val="24"/>
        </w:rPr>
        <w:t xml:space="preserve"> </w:t>
      </w:r>
      <w:r>
        <w:rPr>
          <w:rFonts w:asciiTheme="majorHAnsi" w:hAnsiTheme="majorHAnsi"/>
          <w:sz w:val="24"/>
        </w:rPr>
        <w:t xml:space="preserve">The ACT Government also recognises the </w:t>
      </w:r>
      <w:r w:rsidR="009C7281">
        <w:rPr>
          <w:rFonts w:asciiTheme="majorHAnsi" w:hAnsiTheme="majorHAnsi"/>
          <w:sz w:val="24"/>
        </w:rPr>
        <w:t>Australian Government</w:t>
      </w:r>
      <w:r w:rsidR="005238B9">
        <w:rPr>
          <w:rFonts w:asciiTheme="majorHAnsi" w:hAnsiTheme="majorHAnsi"/>
          <w:sz w:val="24"/>
        </w:rPr>
        <w:t xml:space="preserve"> provide</w:t>
      </w:r>
      <w:r w:rsidR="00BC3DD6">
        <w:rPr>
          <w:rFonts w:asciiTheme="majorHAnsi" w:hAnsiTheme="majorHAnsi"/>
          <w:sz w:val="24"/>
        </w:rPr>
        <w:t>s</w:t>
      </w:r>
      <w:r w:rsidR="005238B9">
        <w:rPr>
          <w:rFonts w:asciiTheme="majorHAnsi" w:hAnsiTheme="majorHAnsi"/>
          <w:sz w:val="24"/>
        </w:rPr>
        <w:t xml:space="preserve"> </w:t>
      </w:r>
      <w:r>
        <w:rPr>
          <w:rFonts w:asciiTheme="majorHAnsi" w:hAnsiTheme="majorHAnsi"/>
          <w:sz w:val="24"/>
        </w:rPr>
        <w:t xml:space="preserve">financial support for </w:t>
      </w:r>
      <w:r w:rsidR="005238B9">
        <w:rPr>
          <w:rFonts w:asciiTheme="majorHAnsi" w:hAnsiTheme="majorHAnsi"/>
          <w:sz w:val="24"/>
        </w:rPr>
        <w:t>recovery</w:t>
      </w:r>
      <w:r>
        <w:rPr>
          <w:rFonts w:asciiTheme="majorHAnsi" w:hAnsiTheme="majorHAnsi"/>
          <w:sz w:val="24"/>
        </w:rPr>
        <w:t xml:space="preserve"> funding </w:t>
      </w:r>
      <w:r w:rsidR="005238B9">
        <w:rPr>
          <w:rFonts w:asciiTheme="majorHAnsi" w:hAnsiTheme="majorHAnsi"/>
          <w:sz w:val="24"/>
        </w:rPr>
        <w:t>through the Natural Disaster Relief and Recovery Arrangements</w:t>
      </w:r>
      <w:r>
        <w:rPr>
          <w:rFonts w:asciiTheme="majorHAnsi" w:hAnsiTheme="majorHAnsi"/>
          <w:sz w:val="24"/>
        </w:rPr>
        <w:t xml:space="preserve"> (NDRRA)</w:t>
      </w:r>
      <w:r w:rsidR="005238B9">
        <w:rPr>
          <w:rFonts w:asciiTheme="majorHAnsi" w:hAnsiTheme="majorHAnsi"/>
          <w:sz w:val="24"/>
        </w:rPr>
        <w:t xml:space="preserve"> and</w:t>
      </w:r>
      <w:r>
        <w:rPr>
          <w:rFonts w:asciiTheme="majorHAnsi" w:hAnsiTheme="majorHAnsi"/>
          <w:sz w:val="24"/>
        </w:rPr>
        <w:t xml:space="preserve"> resilience and mitigation</w:t>
      </w:r>
      <w:r w:rsidR="005238B9">
        <w:rPr>
          <w:rFonts w:asciiTheme="majorHAnsi" w:hAnsiTheme="majorHAnsi"/>
          <w:sz w:val="24"/>
        </w:rPr>
        <w:t xml:space="preserve"> funding through the </w:t>
      </w:r>
      <w:r>
        <w:rPr>
          <w:rFonts w:asciiTheme="majorHAnsi" w:hAnsiTheme="majorHAnsi"/>
          <w:sz w:val="24"/>
        </w:rPr>
        <w:t>NPANDR</w:t>
      </w:r>
      <w:r w:rsidR="005238B9">
        <w:rPr>
          <w:rFonts w:asciiTheme="majorHAnsi" w:hAnsiTheme="majorHAnsi"/>
          <w:sz w:val="24"/>
        </w:rPr>
        <w:t>.</w:t>
      </w:r>
      <w:r>
        <w:rPr>
          <w:rFonts w:asciiTheme="majorHAnsi" w:hAnsiTheme="majorHAnsi"/>
          <w:sz w:val="24"/>
        </w:rPr>
        <w:t xml:space="preserve"> </w:t>
      </w:r>
      <w:r w:rsidR="005238B9">
        <w:rPr>
          <w:rFonts w:asciiTheme="majorHAnsi" w:hAnsiTheme="majorHAnsi"/>
          <w:sz w:val="24"/>
        </w:rPr>
        <w:t xml:space="preserve"> However</w:t>
      </w:r>
      <w:r w:rsidR="00BC3DD6">
        <w:rPr>
          <w:rFonts w:asciiTheme="majorHAnsi" w:hAnsiTheme="majorHAnsi"/>
          <w:sz w:val="24"/>
        </w:rPr>
        <w:t>,</w:t>
      </w:r>
      <w:r w:rsidR="005238B9">
        <w:rPr>
          <w:rFonts w:asciiTheme="majorHAnsi" w:hAnsiTheme="majorHAnsi"/>
          <w:sz w:val="24"/>
        </w:rPr>
        <w:t xml:space="preserve"> since 2003 the ACT has not acc</w:t>
      </w:r>
      <w:r w:rsidR="009C7281">
        <w:rPr>
          <w:rFonts w:asciiTheme="majorHAnsi" w:hAnsiTheme="majorHAnsi"/>
          <w:sz w:val="24"/>
        </w:rPr>
        <w:t xml:space="preserve">essed funding through the NDRRA and </w:t>
      </w:r>
      <w:r w:rsidR="00BC3DD6">
        <w:rPr>
          <w:rFonts w:asciiTheme="majorHAnsi" w:hAnsiTheme="majorHAnsi"/>
          <w:sz w:val="24"/>
        </w:rPr>
        <w:t xml:space="preserve">this </w:t>
      </w:r>
      <w:r w:rsidR="009C7281">
        <w:rPr>
          <w:rFonts w:asciiTheme="majorHAnsi" w:hAnsiTheme="majorHAnsi"/>
          <w:sz w:val="24"/>
        </w:rPr>
        <w:t xml:space="preserve">limits our </w:t>
      </w:r>
      <w:r w:rsidR="00BC3DD6">
        <w:rPr>
          <w:rFonts w:asciiTheme="majorHAnsi" w:hAnsiTheme="majorHAnsi"/>
          <w:sz w:val="24"/>
        </w:rPr>
        <w:t xml:space="preserve">ability to </w:t>
      </w:r>
      <w:r w:rsidR="009C7281">
        <w:rPr>
          <w:rFonts w:asciiTheme="majorHAnsi" w:hAnsiTheme="majorHAnsi"/>
          <w:sz w:val="24"/>
        </w:rPr>
        <w:t>respon</w:t>
      </w:r>
      <w:r w:rsidR="00BC3DD6">
        <w:rPr>
          <w:rFonts w:asciiTheme="majorHAnsi" w:hAnsiTheme="majorHAnsi"/>
          <w:sz w:val="24"/>
        </w:rPr>
        <w:t>d</w:t>
      </w:r>
      <w:r w:rsidR="009C7281">
        <w:rPr>
          <w:rFonts w:asciiTheme="majorHAnsi" w:hAnsiTheme="majorHAnsi"/>
          <w:sz w:val="24"/>
        </w:rPr>
        <w:t xml:space="preserve"> to this section. The area </w:t>
      </w:r>
      <w:r w:rsidR="00BC3DD6">
        <w:rPr>
          <w:rFonts w:asciiTheme="majorHAnsi" w:hAnsiTheme="majorHAnsi"/>
          <w:sz w:val="24"/>
        </w:rPr>
        <w:t>where</w:t>
      </w:r>
      <w:r w:rsidR="009C7281">
        <w:rPr>
          <w:rFonts w:asciiTheme="majorHAnsi" w:hAnsiTheme="majorHAnsi"/>
          <w:sz w:val="24"/>
        </w:rPr>
        <w:t xml:space="preserve"> the ACT </w:t>
      </w:r>
      <w:r w:rsidR="00BC3DD6">
        <w:rPr>
          <w:rFonts w:asciiTheme="majorHAnsi" w:hAnsiTheme="majorHAnsi"/>
          <w:sz w:val="24"/>
        </w:rPr>
        <w:t xml:space="preserve">receives most financial assistance from the Commonwealth </w:t>
      </w:r>
      <w:r w:rsidR="009C7281">
        <w:rPr>
          <w:rFonts w:asciiTheme="majorHAnsi" w:hAnsiTheme="majorHAnsi"/>
          <w:sz w:val="24"/>
        </w:rPr>
        <w:t xml:space="preserve">is the allocation and co-contribution </w:t>
      </w:r>
      <w:r w:rsidR="00BC3DD6">
        <w:rPr>
          <w:rFonts w:asciiTheme="majorHAnsi" w:hAnsiTheme="majorHAnsi"/>
          <w:sz w:val="24"/>
        </w:rPr>
        <w:t xml:space="preserve">under the </w:t>
      </w:r>
      <w:r w:rsidR="009C7281">
        <w:rPr>
          <w:rFonts w:asciiTheme="majorHAnsi" w:hAnsiTheme="majorHAnsi"/>
          <w:sz w:val="24"/>
        </w:rPr>
        <w:t>NPANDR.</w:t>
      </w:r>
    </w:p>
    <w:p w:rsidR="0002119C" w:rsidRPr="00314755" w:rsidRDefault="00DA6787" w:rsidP="002E0DB0">
      <w:pPr>
        <w:pStyle w:val="H2bold"/>
        <w:spacing w:after="120"/>
        <w:rPr>
          <w:rFonts w:asciiTheme="majorHAnsi" w:hAnsiTheme="majorHAnsi"/>
          <w:color w:val="4F6228" w:themeColor="accent3" w:themeShade="80"/>
          <w:sz w:val="28"/>
          <w:szCs w:val="28"/>
        </w:rPr>
      </w:pPr>
      <w:r>
        <w:rPr>
          <w:rFonts w:asciiTheme="majorHAnsi" w:hAnsiTheme="majorHAnsi"/>
          <w:color w:val="4F6228" w:themeColor="accent3" w:themeShade="80"/>
          <w:sz w:val="28"/>
          <w:szCs w:val="28"/>
        </w:rPr>
        <w:t>3</w:t>
      </w:r>
      <w:r w:rsidR="0002119C" w:rsidRPr="00314755">
        <w:rPr>
          <w:rFonts w:asciiTheme="majorHAnsi" w:hAnsiTheme="majorHAnsi"/>
          <w:color w:val="4F6228" w:themeColor="accent3" w:themeShade="80"/>
          <w:sz w:val="28"/>
          <w:szCs w:val="28"/>
        </w:rPr>
        <w:t>.1</w:t>
      </w:r>
      <w:r w:rsidR="0002119C" w:rsidRPr="00314755">
        <w:rPr>
          <w:rFonts w:asciiTheme="majorHAnsi" w:hAnsiTheme="majorHAnsi"/>
          <w:color w:val="4F6228" w:themeColor="accent3" w:themeShade="80"/>
          <w:sz w:val="28"/>
          <w:szCs w:val="28"/>
        </w:rPr>
        <w:tab/>
        <w:t xml:space="preserve">Natural </w:t>
      </w:r>
      <w:r w:rsidR="002E0DB0">
        <w:rPr>
          <w:rFonts w:asciiTheme="majorHAnsi" w:hAnsiTheme="majorHAnsi"/>
          <w:color w:val="4F6228" w:themeColor="accent3" w:themeShade="80"/>
          <w:sz w:val="28"/>
          <w:szCs w:val="28"/>
        </w:rPr>
        <w:t>D</w:t>
      </w:r>
      <w:r w:rsidR="0002119C" w:rsidRPr="00314755">
        <w:rPr>
          <w:rFonts w:asciiTheme="majorHAnsi" w:hAnsiTheme="majorHAnsi"/>
          <w:color w:val="4F6228" w:themeColor="accent3" w:themeShade="80"/>
          <w:sz w:val="28"/>
          <w:szCs w:val="28"/>
        </w:rPr>
        <w:t xml:space="preserve">isaster </w:t>
      </w:r>
      <w:r w:rsidR="002E0DB0">
        <w:rPr>
          <w:rFonts w:asciiTheme="majorHAnsi" w:hAnsiTheme="majorHAnsi"/>
          <w:color w:val="4F6228" w:themeColor="accent3" w:themeShade="80"/>
          <w:sz w:val="28"/>
          <w:szCs w:val="28"/>
        </w:rPr>
        <w:t>R</w:t>
      </w:r>
      <w:r w:rsidR="0002119C" w:rsidRPr="00314755">
        <w:rPr>
          <w:rFonts w:asciiTheme="majorHAnsi" w:hAnsiTheme="majorHAnsi"/>
          <w:color w:val="4F6228" w:themeColor="accent3" w:themeShade="80"/>
          <w:sz w:val="28"/>
          <w:szCs w:val="28"/>
        </w:rPr>
        <w:t xml:space="preserve">elief and </w:t>
      </w:r>
      <w:r w:rsidR="002E0DB0">
        <w:rPr>
          <w:rFonts w:asciiTheme="majorHAnsi" w:hAnsiTheme="majorHAnsi"/>
          <w:color w:val="4F6228" w:themeColor="accent3" w:themeShade="80"/>
          <w:sz w:val="28"/>
          <w:szCs w:val="28"/>
        </w:rPr>
        <w:t>R</w:t>
      </w:r>
      <w:r w:rsidR="0002119C" w:rsidRPr="00314755">
        <w:rPr>
          <w:rFonts w:asciiTheme="majorHAnsi" w:hAnsiTheme="majorHAnsi"/>
          <w:color w:val="4F6228" w:themeColor="accent3" w:themeShade="80"/>
          <w:sz w:val="28"/>
          <w:szCs w:val="28"/>
        </w:rPr>
        <w:t xml:space="preserve">ecovery </w:t>
      </w:r>
      <w:r w:rsidR="002E0DB0">
        <w:rPr>
          <w:rFonts w:asciiTheme="majorHAnsi" w:hAnsiTheme="majorHAnsi"/>
          <w:color w:val="4F6228" w:themeColor="accent3" w:themeShade="80"/>
          <w:sz w:val="28"/>
          <w:szCs w:val="28"/>
        </w:rPr>
        <w:t>A</w:t>
      </w:r>
      <w:r w:rsidR="0002119C" w:rsidRPr="00314755">
        <w:rPr>
          <w:rFonts w:asciiTheme="majorHAnsi" w:hAnsiTheme="majorHAnsi"/>
          <w:color w:val="4F6228" w:themeColor="accent3" w:themeShade="80"/>
          <w:sz w:val="28"/>
          <w:szCs w:val="28"/>
        </w:rPr>
        <w:t>rrangements</w:t>
      </w:r>
      <w:r w:rsidR="002E0DB0">
        <w:rPr>
          <w:rFonts w:asciiTheme="majorHAnsi" w:hAnsiTheme="majorHAnsi"/>
          <w:color w:val="4F6228" w:themeColor="accent3" w:themeShade="80"/>
          <w:sz w:val="28"/>
          <w:szCs w:val="28"/>
        </w:rPr>
        <w:t xml:space="preserve"> </w:t>
      </w:r>
      <w:r w:rsidR="00AE79A9">
        <w:rPr>
          <w:rFonts w:asciiTheme="majorHAnsi" w:hAnsiTheme="majorHAnsi"/>
          <w:color w:val="4F6228" w:themeColor="accent3" w:themeShade="80"/>
          <w:sz w:val="28"/>
          <w:szCs w:val="28"/>
        </w:rPr>
        <w:t>and their interaction with broader Commonwealth-state financial arrangements</w:t>
      </w:r>
    </w:p>
    <w:p w:rsidR="002E0DB0" w:rsidRPr="00314755" w:rsidRDefault="002E0DB0" w:rsidP="002E0DB0">
      <w:pPr>
        <w:spacing w:after="0" w:line="360" w:lineRule="auto"/>
        <w:jc w:val="both"/>
        <w:rPr>
          <w:rFonts w:asciiTheme="majorHAnsi" w:hAnsiTheme="majorHAnsi"/>
          <w:sz w:val="24"/>
        </w:rPr>
      </w:pPr>
      <w:r w:rsidRPr="00314755">
        <w:rPr>
          <w:rFonts w:asciiTheme="majorHAnsi" w:hAnsiTheme="majorHAnsi"/>
          <w:sz w:val="24"/>
        </w:rPr>
        <w:t xml:space="preserve">The ACT received funding under the </w:t>
      </w:r>
      <w:r>
        <w:rPr>
          <w:rFonts w:asciiTheme="majorHAnsi" w:hAnsiTheme="majorHAnsi"/>
          <w:sz w:val="24"/>
        </w:rPr>
        <w:t xml:space="preserve">NDRRA </w:t>
      </w:r>
      <w:r w:rsidRPr="00314755">
        <w:rPr>
          <w:rFonts w:asciiTheme="majorHAnsi" w:hAnsiTheme="majorHAnsi"/>
          <w:sz w:val="24"/>
        </w:rPr>
        <w:t>following the 2003 bushfires.</w:t>
      </w:r>
      <w:r>
        <w:rPr>
          <w:rFonts w:asciiTheme="majorHAnsi" w:hAnsiTheme="majorHAnsi"/>
          <w:sz w:val="24"/>
        </w:rPr>
        <w:t xml:space="preserve"> </w:t>
      </w:r>
      <w:r w:rsidRPr="00314755">
        <w:rPr>
          <w:rFonts w:asciiTheme="majorHAnsi" w:hAnsiTheme="majorHAnsi"/>
          <w:sz w:val="24"/>
        </w:rPr>
        <w:t xml:space="preserve"> This was the only occasion that the ACT has met the threshold for Category B assistance. Although the ACT has experienced severe storms since that time, the cost to the ACT after insurance </w:t>
      </w:r>
      <w:r w:rsidR="00391299">
        <w:rPr>
          <w:rFonts w:asciiTheme="majorHAnsi" w:hAnsiTheme="majorHAnsi"/>
          <w:sz w:val="24"/>
        </w:rPr>
        <w:t>recoveries</w:t>
      </w:r>
      <w:r w:rsidR="00391299" w:rsidRPr="00314755">
        <w:rPr>
          <w:rFonts w:asciiTheme="majorHAnsi" w:hAnsiTheme="majorHAnsi"/>
          <w:sz w:val="24"/>
        </w:rPr>
        <w:t xml:space="preserve"> </w:t>
      </w:r>
      <w:r w:rsidRPr="00314755">
        <w:rPr>
          <w:rFonts w:asciiTheme="majorHAnsi" w:hAnsiTheme="majorHAnsi"/>
          <w:sz w:val="24"/>
        </w:rPr>
        <w:t xml:space="preserve">claimed has not met the </w:t>
      </w:r>
      <w:r w:rsidR="00BC3DD6">
        <w:rPr>
          <w:rFonts w:asciiTheme="majorHAnsi" w:hAnsiTheme="majorHAnsi"/>
          <w:sz w:val="24"/>
        </w:rPr>
        <w:t xml:space="preserve">minimum </w:t>
      </w:r>
      <w:r w:rsidRPr="00314755">
        <w:rPr>
          <w:rFonts w:asciiTheme="majorHAnsi" w:hAnsiTheme="majorHAnsi"/>
          <w:sz w:val="24"/>
        </w:rPr>
        <w:t xml:space="preserve">threshold for </w:t>
      </w:r>
      <w:r w:rsidR="009C7281">
        <w:rPr>
          <w:rFonts w:asciiTheme="majorHAnsi" w:hAnsiTheme="majorHAnsi"/>
          <w:sz w:val="24"/>
        </w:rPr>
        <w:t>Australian Government</w:t>
      </w:r>
      <w:r w:rsidRPr="00314755">
        <w:rPr>
          <w:rFonts w:asciiTheme="majorHAnsi" w:hAnsiTheme="majorHAnsi"/>
          <w:sz w:val="24"/>
        </w:rPr>
        <w:t xml:space="preserve"> assistance.</w:t>
      </w:r>
    </w:p>
    <w:p w:rsidR="0002119C" w:rsidRDefault="00517545" w:rsidP="0002119C">
      <w:pPr>
        <w:spacing w:after="0" w:line="360" w:lineRule="auto"/>
        <w:jc w:val="both"/>
        <w:rPr>
          <w:rFonts w:asciiTheme="majorHAnsi" w:hAnsiTheme="majorHAnsi"/>
          <w:sz w:val="24"/>
        </w:rPr>
      </w:pPr>
      <w:r>
        <w:rPr>
          <w:rFonts w:asciiTheme="majorHAnsi" w:hAnsiTheme="majorHAnsi"/>
          <w:sz w:val="24"/>
        </w:rPr>
        <w:t xml:space="preserve">Under the </w:t>
      </w:r>
      <w:r w:rsidR="002E0DB0">
        <w:rPr>
          <w:rFonts w:asciiTheme="majorHAnsi" w:hAnsiTheme="majorHAnsi"/>
          <w:sz w:val="24"/>
        </w:rPr>
        <w:t>NDRRA</w:t>
      </w:r>
      <w:r>
        <w:rPr>
          <w:rFonts w:asciiTheme="majorHAnsi" w:hAnsiTheme="majorHAnsi"/>
          <w:sz w:val="24"/>
        </w:rPr>
        <w:t>, the first ‘s</w:t>
      </w:r>
      <w:r w:rsidR="0002119C" w:rsidRPr="00314755">
        <w:rPr>
          <w:rFonts w:asciiTheme="majorHAnsi" w:hAnsiTheme="majorHAnsi"/>
          <w:sz w:val="24"/>
        </w:rPr>
        <w:t xml:space="preserve">tate expenditure’ threshold for the ACT to claim the broader range of measures, including for infrastructure damage, under Category B is $8,583,000 (based on 0.225% of Territory revenue). </w:t>
      </w:r>
      <w:r w:rsidR="002D66B1">
        <w:rPr>
          <w:rFonts w:asciiTheme="majorHAnsi" w:hAnsiTheme="majorHAnsi"/>
          <w:sz w:val="24"/>
        </w:rPr>
        <w:t xml:space="preserve"> </w:t>
      </w:r>
      <w:r w:rsidR="0002119C" w:rsidRPr="00314755">
        <w:rPr>
          <w:rFonts w:asciiTheme="majorHAnsi" w:hAnsiTheme="majorHAnsi"/>
          <w:sz w:val="24"/>
        </w:rPr>
        <w:t xml:space="preserve">The </w:t>
      </w:r>
      <w:r w:rsidR="009C7281">
        <w:rPr>
          <w:rFonts w:asciiTheme="majorHAnsi" w:hAnsiTheme="majorHAnsi"/>
          <w:sz w:val="24"/>
        </w:rPr>
        <w:t>Australian Government</w:t>
      </w:r>
      <w:r w:rsidR="0002119C" w:rsidRPr="00314755">
        <w:rPr>
          <w:rFonts w:asciiTheme="majorHAnsi" w:hAnsiTheme="majorHAnsi"/>
          <w:sz w:val="24"/>
        </w:rPr>
        <w:t xml:space="preserve"> matches state/territory expenditure as a result of natural disasters at a rate of 50% until the second threshold (1.75% of state/territory revenue) is reached and 75 % thereafter.</w:t>
      </w:r>
    </w:p>
    <w:p w:rsidR="00AE79A9" w:rsidRDefault="00AE79A9" w:rsidP="0002119C">
      <w:pPr>
        <w:spacing w:after="0" w:line="360" w:lineRule="auto"/>
        <w:jc w:val="both"/>
        <w:rPr>
          <w:rFonts w:asciiTheme="majorHAnsi" w:hAnsiTheme="majorHAnsi"/>
          <w:sz w:val="24"/>
        </w:rPr>
      </w:pPr>
      <w:r>
        <w:rPr>
          <w:rFonts w:asciiTheme="majorHAnsi" w:hAnsiTheme="majorHAnsi"/>
          <w:sz w:val="24"/>
        </w:rPr>
        <w:t xml:space="preserve">Commonwealth and State/Territory expenditures on natural disaster mitigation, resilience and recovery spending are also assessed by the Commonwealth Grants Commission (CGC) as part of </w:t>
      </w:r>
      <w:r>
        <w:rPr>
          <w:rFonts w:asciiTheme="majorHAnsi" w:hAnsiTheme="majorHAnsi"/>
          <w:sz w:val="24"/>
        </w:rPr>
        <w:lastRenderedPageBreak/>
        <w:t>the process used to determine GST revenue sharing relativities (known as horizontal fiscal equalisation).  Consequently, these expenditures can affect the distribution of GST between the States and Territories.</w:t>
      </w:r>
    </w:p>
    <w:p w:rsidR="00AE79A9" w:rsidRDefault="00AE79A9" w:rsidP="0002119C">
      <w:pPr>
        <w:spacing w:after="0" w:line="360" w:lineRule="auto"/>
        <w:jc w:val="both"/>
        <w:rPr>
          <w:rFonts w:asciiTheme="majorHAnsi" w:hAnsiTheme="majorHAnsi"/>
          <w:sz w:val="24"/>
        </w:rPr>
      </w:pPr>
      <w:r>
        <w:rPr>
          <w:rFonts w:asciiTheme="majorHAnsi" w:hAnsiTheme="majorHAnsi"/>
          <w:sz w:val="24"/>
        </w:rPr>
        <w:t>The overall effect of the CGC’s approach is that</w:t>
      </w:r>
      <w:r w:rsidR="00391299">
        <w:rPr>
          <w:rFonts w:asciiTheme="majorHAnsi" w:hAnsiTheme="majorHAnsi"/>
          <w:sz w:val="24"/>
        </w:rPr>
        <w:t>, net of GST, a State will only pay its actual per capita share of the costs of a natural disaster above the level of the NDRRA payment.  Hence all States and Territories bear a population share of natural disaster costs net of the Commonwealth payments, with the Commonwealth bearing a share as determined by the NDRRA provisions.</w:t>
      </w:r>
    </w:p>
    <w:p w:rsidR="00391299" w:rsidRPr="00314755" w:rsidRDefault="00391299" w:rsidP="0002119C">
      <w:pPr>
        <w:spacing w:after="0" w:line="360" w:lineRule="auto"/>
        <w:jc w:val="both"/>
        <w:rPr>
          <w:rFonts w:asciiTheme="majorHAnsi" w:hAnsiTheme="majorHAnsi"/>
          <w:sz w:val="24"/>
        </w:rPr>
      </w:pPr>
      <w:r>
        <w:rPr>
          <w:rFonts w:asciiTheme="majorHAnsi" w:hAnsiTheme="majorHAnsi"/>
          <w:sz w:val="24"/>
        </w:rPr>
        <w:t>The ACT’s view is that the CGC’s use of an actual per capita assessment of Commonwealth payments to the States and Territories under the horizontal fiscal equalisation arrangements has potential to distort State and Territory decisions on natural disaster risk management.  In particular, it may reduce the incentive to take appropriate prevention and insurance measures.</w:t>
      </w:r>
    </w:p>
    <w:p w:rsidR="0002119C" w:rsidRDefault="0002119C" w:rsidP="0002119C">
      <w:pPr>
        <w:spacing w:after="0" w:line="360" w:lineRule="auto"/>
        <w:jc w:val="both"/>
        <w:rPr>
          <w:rFonts w:asciiTheme="majorHAnsi" w:hAnsiTheme="majorHAnsi"/>
          <w:sz w:val="24"/>
        </w:rPr>
      </w:pPr>
      <w:r w:rsidRPr="00314755">
        <w:rPr>
          <w:rFonts w:asciiTheme="majorHAnsi" w:hAnsiTheme="majorHAnsi"/>
          <w:sz w:val="24"/>
        </w:rPr>
        <w:t xml:space="preserve">The ACT </w:t>
      </w:r>
      <w:r w:rsidR="00BC3DD6">
        <w:rPr>
          <w:rFonts w:asciiTheme="majorHAnsi" w:hAnsiTheme="majorHAnsi"/>
          <w:sz w:val="24"/>
        </w:rPr>
        <w:t xml:space="preserve">Government </w:t>
      </w:r>
      <w:r w:rsidRPr="00314755">
        <w:rPr>
          <w:rFonts w:asciiTheme="majorHAnsi" w:hAnsiTheme="majorHAnsi"/>
          <w:sz w:val="24"/>
        </w:rPr>
        <w:t xml:space="preserve">has been limited in claiming </w:t>
      </w:r>
      <w:r w:rsidR="009C7281">
        <w:rPr>
          <w:rFonts w:asciiTheme="majorHAnsi" w:hAnsiTheme="majorHAnsi"/>
          <w:sz w:val="24"/>
        </w:rPr>
        <w:t>Australian Government</w:t>
      </w:r>
      <w:r w:rsidRPr="00314755">
        <w:rPr>
          <w:rFonts w:asciiTheme="majorHAnsi" w:hAnsiTheme="majorHAnsi"/>
          <w:sz w:val="24"/>
        </w:rPr>
        <w:t xml:space="preserve"> financial assistance because of </w:t>
      </w:r>
      <w:r w:rsidR="00BC3DD6">
        <w:rPr>
          <w:rFonts w:asciiTheme="majorHAnsi" w:hAnsiTheme="majorHAnsi"/>
          <w:sz w:val="24"/>
        </w:rPr>
        <w:t xml:space="preserve">comprehensive </w:t>
      </w:r>
      <w:r w:rsidRPr="00314755">
        <w:rPr>
          <w:rFonts w:asciiTheme="majorHAnsi" w:hAnsiTheme="majorHAnsi"/>
          <w:sz w:val="24"/>
        </w:rPr>
        <w:t xml:space="preserve">insurance policies and asset coverage.  </w:t>
      </w:r>
      <w:r w:rsidRPr="00BC2241">
        <w:rPr>
          <w:rFonts w:asciiTheme="majorHAnsi" w:hAnsiTheme="majorHAnsi"/>
          <w:sz w:val="24"/>
        </w:rPr>
        <w:t xml:space="preserve">These factors contribute to a relative disadvantage for the ACT to access </w:t>
      </w:r>
      <w:r w:rsidR="00BC3DD6">
        <w:rPr>
          <w:rFonts w:asciiTheme="majorHAnsi" w:hAnsiTheme="majorHAnsi"/>
          <w:sz w:val="24"/>
        </w:rPr>
        <w:t xml:space="preserve">Commonwealth assistance under the </w:t>
      </w:r>
      <w:r w:rsidRPr="00BC2241">
        <w:rPr>
          <w:rFonts w:asciiTheme="majorHAnsi" w:hAnsiTheme="majorHAnsi"/>
          <w:sz w:val="24"/>
        </w:rPr>
        <w:t>NDR</w:t>
      </w:r>
      <w:r w:rsidR="00BC3DD6">
        <w:rPr>
          <w:rFonts w:asciiTheme="majorHAnsi" w:hAnsiTheme="majorHAnsi"/>
          <w:sz w:val="24"/>
        </w:rPr>
        <w:t>R</w:t>
      </w:r>
      <w:r w:rsidRPr="00BC2241">
        <w:rPr>
          <w:rFonts w:asciiTheme="majorHAnsi" w:hAnsiTheme="majorHAnsi"/>
          <w:sz w:val="24"/>
        </w:rPr>
        <w:t>A.</w:t>
      </w:r>
    </w:p>
    <w:p w:rsidR="005176FC" w:rsidRDefault="00BC3DD6" w:rsidP="0002119C">
      <w:pPr>
        <w:spacing w:after="0" w:line="360" w:lineRule="auto"/>
        <w:jc w:val="both"/>
        <w:rPr>
          <w:rFonts w:asciiTheme="majorHAnsi" w:hAnsiTheme="majorHAnsi"/>
          <w:sz w:val="24"/>
        </w:rPr>
      </w:pPr>
      <w:r>
        <w:rPr>
          <w:rFonts w:asciiTheme="majorHAnsi" w:hAnsiTheme="majorHAnsi"/>
          <w:sz w:val="24"/>
        </w:rPr>
        <w:t xml:space="preserve">Whilst the ACT notes that the betterment provisions under the NDRRA have not been utilised by many, if any, jurisdictions, this ‘inability’ for the ACT to meet the first threshold for Commonwealth assistance under </w:t>
      </w:r>
      <w:r w:rsidR="005176FC">
        <w:rPr>
          <w:rFonts w:asciiTheme="majorHAnsi" w:hAnsiTheme="majorHAnsi"/>
          <w:sz w:val="24"/>
        </w:rPr>
        <w:t xml:space="preserve">the NDRRA is an added barrier.  The ACT Government suggests that, as part of this review, the issue of how the betterment provisions under the NDRRA may be better utilised could be considered.  For example, it may be possible for the funding of any betterment </w:t>
      </w:r>
      <w:r w:rsidR="00FB7073">
        <w:rPr>
          <w:rFonts w:asciiTheme="majorHAnsi" w:hAnsiTheme="majorHAnsi"/>
          <w:sz w:val="24"/>
        </w:rPr>
        <w:t>of an essential public asset to a more disaster-resilient standard to be ‘de-coupled’ from the requirement that the asset be destroyed by an eligible disaster.  In this way jurisdictions may be able to request funding from the Commonwealth for 50% of the cost above and beyond what they may have ordinarily spent in order to ensure the asset is built to a more disaster</w:t>
      </w:r>
      <w:r w:rsidR="00F258FE">
        <w:rPr>
          <w:rFonts w:asciiTheme="majorHAnsi" w:hAnsiTheme="majorHAnsi"/>
          <w:sz w:val="24"/>
        </w:rPr>
        <w:t xml:space="preserve"> </w:t>
      </w:r>
      <w:r w:rsidR="00FB7073">
        <w:rPr>
          <w:rFonts w:asciiTheme="majorHAnsi" w:hAnsiTheme="majorHAnsi"/>
          <w:sz w:val="24"/>
        </w:rPr>
        <w:t>resilient standard.</w:t>
      </w:r>
    </w:p>
    <w:p w:rsidR="008355FE" w:rsidRPr="00314755" w:rsidRDefault="00FC67BA" w:rsidP="008355FE">
      <w:pPr>
        <w:spacing w:after="0" w:line="360" w:lineRule="auto"/>
        <w:jc w:val="both"/>
        <w:rPr>
          <w:rFonts w:asciiTheme="majorHAnsi" w:hAnsiTheme="majorHAnsi"/>
          <w:sz w:val="24"/>
        </w:rPr>
      </w:pPr>
      <w:r>
        <w:rPr>
          <w:rFonts w:asciiTheme="majorHAnsi" w:hAnsiTheme="majorHAnsi"/>
          <w:noProof/>
          <w:color w:val="4F6228" w:themeColor="accent3" w:themeShade="80"/>
          <w:sz w:val="28"/>
          <w:szCs w:val="28"/>
          <w:lang w:eastAsia="en-AU"/>
        </w:rPr>
        <w:pict>
          <v:shapetype id="_x0000_t202" coordsize="21600,21600" o:spt="202" path="m,l,21600r21600,l21600,xe">
            <v:stroke joinstyle="miter"/>
            <v:path gradientshapeok="t" o:connecttype="rect"/>
          </v:shapetype>
          <v:shape id="_x0000_s1029" type="#_x0000_t202" style="position:absolute;left:0;text-align:left;margin-left:-.1pt;margin-top:9.35pt;width:474.2pt;height:94.5pt;z-index:251677696;mso-width-relative:margin;mso-height-relative:margin">
            <v:textbox>
              <w:txbxContent>
                <w:p w:rsidR="00020AF2" w:rsidRDefault="00020AF2" w:rsidP="00733E81">
                  <w:pPr>
                    <w:spacing w:after="0"/>
                    <w:rPr>
                      <w:rFonts w:asciiTheme="majorHAnsi" w:hAnsiTheme="majorHAnsi"/>
                      <w:color w:val="4F6228" w:themeColor="accent3" w:themeShade="80"/>
                      <w:sz w:val="24"/>
                    </w:rPr>
                  </w:pPr>
                  <w:r w:rsidRPr="00314755">
                    <w:rPr>
                      <w:rFonts w:asciiTheme="majorHAnsi" w:hAnsiTheme="majorHAnsi"/>
                      <w:b/>
                      <w:color w:val="4F6228" w:themeColor="accent3" w:themeShade="80"/>
                      <w:sz w:val="24"/>
                      <w:u w:val="single"/>
                    </w:rPr>
                    <w:t xml:space="preserve">Recommendation </w:t>
                  </w:r>
                  <w:r>
                    <w:rPr>
                      <w:rFonts w:asciiTheme="majorHAnsi" w:hAnsiTheme="majorHAnsi"/>
                      <w:b/>
                      <w:color w:val="4F6228" w:themeColor="accent3" w:themeShade="80"/>
                      <w:sz w:val="24"/>
                      <w:u w:val="single"/>
                    </w:rPr>
                    <w:t>1</w:t>
                  </w:r>
                  <w:r w:rsidRPr="00314755">
                    <w:rPr>
                      <w:rFonts w:asciiTheme="majorHAnsi" w:hAnsiTheme="majorHAnsi"/>
                      <w:color w:val="4F6228" w:themeColor="accent3" w:themeShade="80"/>
                      <w:sz w:val="24"/>
                    </w:rPr>
                    <w:t xml:space="preserve">: </w:t>
                  </w:r>
                </w:p>
                <w:p w:rsidR="00020AF2" w:rsidRPr="00733E81" w:rsidRDefault="00020AF2" w:rsidP="00733E81">
                  <w:pPr>
                    <w:spacing w:after="0" w:line="360" w:lineRule="auto"/>
                    <w:jc w:val="both"/>
                    <w:rPr>
                      <w:rFonts w:asciiTheme="majorHAnsi" w:hAnsiTheme="majorHAnsi"/>
                      <w:color w:val="4F6228" w:themeColor="accent3" w:themeShade="80"/>
                      <w:sz w:val="24"/>
                    </w:rPr>
                  </w:pPr>
                  <w:r w:rsidRPr="00733E81">
                    <w:rPr>
                      <w:rFonts w:asciiTheme="majorHAnsi" w:hAnsiTheme="majorHAnsi"/>
                      <w:color w:val="4F6228" w:themeColor="accent3" w:themeShade="80"/>
                      <w:sz w:val="24"/>
                    </w:rPr>
                    <w:t>The ACT Government supports the examination of NDRAA as part of the Productivity Commission’s focus noting the costs of the arrangements in Australia are at historically high and unsustainable levels.</w:t>
                  </w:r>
                </w:p>
                <w:p w:rsidR="00020AF2" w:rsidRDefault="00020AF2" w:rsidP="00733E81">
                  <w:pPr>
                    <w:spacing w:after="0"/>
                    <w:rPr>
                      <w:rFonts w:asciiTheme="majorHAnsi" w:hAnsiTheme="majorHAnsi"/>
                      <w:color w:val="4F6228" w:themeColor="accent3" w:themeShade="80"/>
                      <w:sz w:val="24"/>
                    </w:rPr>
                  </w:pPr>
                </w:p>
              </w:txbxContent>
            </v:textbox>
          </v:shape>
        </w:pict>
      </w:r>
    </w:p>
    <w:p w:rsidR="0002119C" w:rsidRDefault="0002119C" w:rsidP="0002119C">
      <w:pPr>
        <w:pStyle w:val="H2bold"/>
        <w:rPr>
          <w:rFonts w:asciiTheme="majorHAnsi" w:hAnsiTheme="majorHAnsi"/>
          <w:color w:val="4F6228" w:themeColor="accent3" w:themeShade="80"/>
          <w:sz w:val="28"/>
          <w:szCs w:val="28"/>
        </w:rPr>
      </w:pPr>
    </w:p>
    <w:p w:rsidR="00BE4FDB" w:rsidRDefault="00BE4FDB" w:rsidP="0002119C">
      <w:pPr>
        <w:pStyle w:val="H2bold"/>
        <w:rPr>
          <w:rFonts w:asciiTheme="majorHAnsi" w:hAnsiTheme="majorHAnsi"/>
          <w:color w:val="4F6228" w:themeColor="accent3" w:themeShade="80"/>
          <w:sz w:val="28"/>
          <w:szCs w:val="28"/>
        </w:rPr>
      </w:pPr>
    </w:p>
    <w:p w:rsidR="00BE4FDB" w:rsidRDefault="00BE4FDB" w:rsidP="0002119C">
      <w:pPr>
        <w:pStyle w:val="H2bold"/>
        <w:rPr>
          <w:rFonts w:asciiTheme="majorHAnsi" w:hAnsiTheme="majorHAnsi"/>
          <w:color w:val="4F6228" w:themeColor="accent3" w:themeShade="80"/>
          <w:sz w:val="28"/>
          <w:szCs w:val="28"/>
        </w:rPr>
      </w:pPr>
    </w:p>
    <w:p w:rsidR="00BE4FDB" w:rsidRDefault="00BE4FDB" w:rsidP="0002119C">
      <w:pPr>
        <w:pStyle w:val="H2bold"/>
        <w:rPr>
          <w:rFonts w:asciiTheme="majorHAnsi" w:hAnsiTheme="majorHAnsi"/>
          <w:color w:val="4F6228" w:themeColor="accent3" w:themeShade="80"/>
          <w:sz w:val="28"/>
          <w:szCs w:val="28"/>
        </w:rPr>
      </w:pPr>
    </w:p>
    <w:p w:rsidR="00851862" w:rsidRDefault="00851862" w:rsidP="00BC2241">
      <w:pPr>
        <w:pStyle w:val="H2bold"/>
        <w:spacing w:after="120"/>
        <w:rPr>
          <w:rFonts w:asciiTheme="majorHAnsi" w:hAnsiTheme="majorHAnsi"/>
          <w:color w:val="4F6228" w:themeColor="accent3" w:themeShade="80"/>
          <w:sz w:val="28"/>
          <w:szCs w:val="28"/>
        </w:rPr>
      </w:pPr>
    </w:p>
    <w:p w:rsidR="0002119C" w:rsidRPr="00314755" w:rsidRDefault="00DA6787" w:rsidP="00851862">
      <w:pPr>
        <w:pStyle w:val="H2bold"/>
        <w:spacing w:after="240"/>
        <w:rPr>
          <w:rFonts w:asciiTheme="majorHAnsi" w:hAnsiTheme="majorHAnsi"/>
          <w:color w:val="4F6228" w:themeColor="accent3" w:themeShade="80"/>
          <w:sz w:val="28"/>
          <w:szCs w:val="28"/>
        </w:rPr>
      </w:pPr>
      <w:r>
        <w:rPr>
          <w:rFonts w:asciiTheme="majorHAnsi" w:hAnsiTheme="majorHAnsi"/>
          <w:color w:val="4F6228" w:themeColor="accent3" w:themeShade="80"/>
          <w:sz w:val="28"/>
          <w:szCs w:val="28"/>
        </w:rPr>
        <w:t>3</w:t>
      </w:r>
      <w:r w:rsidR="0002119C" w:rsidRPr="00314755">
        <w:rPr>
          <w:rFonts w:asciiTheme="majorHAnsi" w:hAnsiTheme="majorHAnsi"/>
          <w:color w:val="4F6228" w:themeColor="accent3" w:themeShade="80"/>
          <w:sz w:val="28"/>
          <w:szCs w:val="28"/>
        </w:rPr>
        <w:t>.</w:t>
      </w:r>
      <w:r w:rsidR="0002119C">
        <w:rPr>
          <w:rFonts w:asciiTheme="majorHAnsi" w:hAnsiTheme="majorHAnsi"/>
          <w:color w:val="4F6228" w:themeColor="accent3" w:themeShade="80"/>
          <w:sz w:val="28"/>
          <w:szCs w:val="28"/>
        </w:rPr>
        <w:t>2</w:t>
      </w:r>
      <w:r w:rsidR="0002119C" w:rsidRPr="00314755">
        <w:rPr>
          <w:rFonts w:asciiTheme="majorHAnsi" w:hAnsiTheme="majorHAnsi"/>
          <w:color w:val="4F6228" w:themeColor="accent3" w:themeShade="80"/>
          <w:sz w:val="28"/>
          <w:szCs w:val="28"/>
        </w:rPr>
        <w:tab/>
        <w:t xml:space="preserve">Natural </w:t>
      </w:r>
      <w:r w:rsidR="0002119C">
        <w:rPr>
          <w:rFonts w:asciiTheme="majorHAnsi" w:hAnsiTheme="majorHAnsi"/>
          <w:color w:val="4F6228" w:themeColor="accent3" w:themeShade="80"/>
          <w:sz w:val="28"/>
          <w:szCs w:val="28"/>
        </w:rPr>
        <w:t xml:space="preserve">Partnership Agreement on Natural Disaster Resilience </w:t>
      </w:r>
    </w:p>
    <w:p w:rsidR="00BC2241" w:rsidRPr="00F97921" w:rsidRDefault="00BC2241" w:rsidP="00BC2241">
      <w:pPr>
        <w:spacing w:line="360" w:lineRule="auto"/>
        <w:jc w:val="both"/>
        <w:rPr>
          <w:rFonts w:asciiTheme="majorHAnsi" w:hAnsiTheme="majorHAnsi"/>
          <w:sz w:val="24"/>
        </w:rPr>
      </w:pPr>
      <w:r w:rsidRPr="00F97921">
        <w:rPr>
          <w:rFonts w:asciiTheme="majorHAnsi" w:hAnsiTheme="majorHAnsi"/>
          <w:sz w:val="24"/>
        </w:rPr>
        <w:t>The ACT Government agrees with the Commissions</w:t>
      </w:r>
      <w:r>
        <w:rPr>
          <w:rFonts w:asciiTheme="majorHAnsi" w:hAnsiTheme="majorHAnsi"/>
          <w:sz w:val="24"/>
        </w:rPr>
        <w:t>’</w:t>
      </w:r>
      <w:r w:rsidRPr="00F97921">
        <w:rPr>
          <w:rFonts w:asciiTheme="majorHAnsi" w:hAnsiTheme="majorHAnsi"/>
          <w:sz w:val="24"/>
        </w:rPr>
        <w:t xml:space="preserve"> </w:t>
      </w:r>
      <w:r>
        <w:rPr>
          <w:rFonts w:asciiTheme="majorHAnsi" w:hAnsiTheme="majorHAnsi"/>
          <w:sz w:val="24"/>
        </w:rPr>
        <w:t>statement on</w:t>
      </w:r>
      <w:r w:rsidRPr="00F97921">
        <w:rPr>
          <w:rFonts w:asciiTheme="majorHAnsi" w:hAnsiTheme="majorHAnsi"/>
          <w:sz w:val="24"/>
        </w:rPr>
        <w:t xml:space="preserve"> p.13, “...</w:t>
      </w:r>
      <w:r w:rsidRPr="00F97921">
        <w:rPr>
          <w:rFonts w:asciiTheme="majorHAnsi" w:hAnsiTheme="majorHAnsi"/>
          <w:i/>
          <w:sz w:val="24"/>
        </w:rPr>
        <w:t>Australian Government spending on the NPANDR is small relative to natural disaster recovery expenditure</w:t>
      </w:r>
      <w:r w:rsidRPr="00F97921">
        <w:rPr>
          <w:rFonts w:asciiTheme="majorHAnsi" w:hAnsiTheme="majorHAnsi"/>
          <w:sz w:val="24"/>
        </w:rPr>
        <w:t>”.</w:t>
      </w:r>
    </w:p>
    <w:p w:rsidR="0002119C" w:rsidRPr="00314755" w:rsidRDefault="0002119C" w:rsidP="00BC2241">
      <w:pPr>
        <w:spacing w:after="120" w:line="360" w:lineRule="auto"/>
        <w:jc w:val="both"/>
        <w:rPr>
          <w:rFonts w:asciiTheme="majorHAnsi" w:hAnsiTheme="majorHAnsi"/>
          <w:sz w:val="24"/>
        </w:rPr>
      </w:pPr>
      <w:r w:rsidRPr="00314755">
        <w:rPr>
          <w:rFonts w:asciiTheme="majorHAnsi" w:hAnsiTheme="majorHAnsi"/>
          <w:sz w:val="24"/>
        </w:rPr>
        <w:t xml:space="preserve">The </w:t>
      </w:r>
      <w:r w:rsidR="00FB7073">
        <w:rPr>
          <w:rFonts w:asciiTheme="majorHAnsi" w:hAnsiTheme="majorHAnsi"/>
          <w:sz w:val="24"/>
        </w:rPr>
        <w:t>NPANDR</w:t>
      </w:r>
      <w:r w:rsidRPr="00314755">
        <w:rPr>
          <w:rFonts w:asciiTheme="majorHAnsi" w:hAnsiTheme="majorHAnsi"/>
          <w:sz w:val="24"/>
        </w:rPr>
        <w:t xml:space="preserve"> aims to be tailored to the specific disaster needs of each state and territory (states).  The need for </w:t>
      </w:r>
      <w:r w:rsidR="001726B2" w:rsidRPr="00314755">
        <w:rPr>
          <w:rFonts w:asciiTheme="majorHAnsi" w:hAnsiTheme="majorHAnsi"/>
          <w:sz w:val="24"/>
        </w:rPr>
        <w:t>match</w:t>
      </w:r>
      <w:r w:rsidR="001726B2">
        <w:rPr>
          <w:rFonts w:asciiTheme="majorHAnsi" w:hAnsiTheme="majorHAnsi"/>
          <w:sz w:val="24"/>
        </w:rPr>
        <w:t>ed</w:t>
      </w:r>
      <w:r w:rsidR="001726B2" w:rsidRPr="00314755">
        <w:rPr>
          <w:rFonts w:asciiTheme="majorHAnsi" w:hAnsiTheme="majorHAnsi"/>
          <w:sz w:val="24"/>
        </w:rPr>
        <w:t xml:space="preserve"> </w:t>
      </w:r>
      <w:r w:rsidRPr="00314755">
        <w:rPr>
          <w:rFonts w:asciiTheme="majorHAnsi" w:hAnsiTheme="majorHAnsi"/>
          <w:sz w:val="24"/>
        </w:rPr>
        <w:t xml:space="preserve">funding from states </w:t>
      </w:r>
      <w:r w:rsidR="001726B2">
        <w:rPr>
          <w:rFonts w:asciiTheme="majorHAnsi" w:hAnsiTheme="majorHAnsi"/>
          <w:sz w:val="24"/>
        </w:rPr>
        <w:t>is</w:t>
      </w:r>
      <w:r w:rsidR="001726B2" w:rsidRPr="00314755">
        <w:rPr>
          <w:rFonts w:asciiTheme="majorHAnsi" w:hAnsiTheme="majorHAnsi"/>
          <w:sz w:val="24"/>
        </w:rPr>
        <w:t xml:space="preserve"> </w:t>
      </w:r>
      <w:r w:rsidRPr="00314755">
        <w:rPr>
          <w:rFonts w:asciiTheme="majorHAnsi" w:hAnsiTheme="majorHAnsi"/>
          <w:sz w:val="24"/>
        </w:rPr>
        <w:t>better suit</w:t>
      </w:r>
      <w:r w:rsidR="001726B2">
        <w:rPr>
          <w:rFonts w:asciiTheme="majorHAnsi" w:hAnsiTheme="majorHAnsi"/>
          <w:sz w:val="24"/>
        </w:rPr>
        <w:t>ed to funding</w:t>
      </w:r>
      <w:r w:rsidRPr="00314755">
        <w:rPr>
          <w:rFonts w:asciiTheme="majorHAnsi" w:hAnsiTheme="majorHAnsi"/>
          <w:sz w:val="24"/>
        </w:rPr>
        <w:t xml:space="preserve"> projects </w:t>
      </w:r>
      <w:r w:rsidR="00085E8B">
        <w:rPr>
          <w:rFonts w:asciiTheme="majorHAnsi" w:hAnsiTheme="majorHAnsi"/>
          <w:sz w:val="24"/>
        </w:rPr>
        <w:t xml:space="preserve">from Government agencies or larger organisations </w:t>
      </w:r>
      <w:r w:rsidRPr="00314755">
        <w:rPr>
          <w:rFonts w:asciiTheme="majorHAnsi" w:hAnsiTheme="majorHAnsi"/>
          <w:sz w:val="24"/>
        </w:rPr>
        <w:t xml:space="preserve">rather than community based projects  </w:t>
      </w:r>
      <w:r w:rsidR="001726B2">
        <w:rPr>
          <w:rFonts w:asciiTheme="majorHAnsi" w:hAnsiTheme="majorHAnsi"/>
          <w:sz w:val="24"/>
        </w:rPr>
        <w:t xml:space="preserve">because </w:t>
      </w:r>
      <w:r w:rsidRPr="00314755">
        <w:rPr>
          <w:rFonts w:asciiTheme="majorHAnsi" w:hAnsiTheme="majorHAnsi"/>
          <w:sz w:val="24"/>
        </w:rPr>
        <w:t xml:space="preserve">the capacity of volunteer groups (a stated priority of the NPA) to contribute is significantly less.  </w:t>
      </w:r>
    </w:p>
    <w:p w:rsidR="0002119C" w:rsidRPr="00314755" w:rsidRDefault="00085E8B" w:rsidP="0002119C">
      <w:pPr>
        <w:spacing w:after="0" w:line="360" w:lineRule="auto"/>
        <w:jc w:val="both"/>
        <w:rPr>
          <w:rFonts w:asciiTheme="majorHAnsi" w:hAnsiTheme="majorHAnsi"/>
          <w:sz w:val="24"/>
        </w:rPr>
      </w:pPr>
      <w:r>
        <w:rPr>
          <w:rFonts w:asciiTheme="majorHAnsi" w:hAnsiTheme="majorHAnsi"/>
          <w:sz w:val="24"/>
        </w:rPr>
        <w:t>T</w:t>
      </w:r>
      <w:r w:rsidR="0002119C" w:rsidRPr="00314755">
        <w:rPr>
          <w:rFonts w:asciiTheme="majorHAnsi" w:hAnsiTheme="majorHAnsi"/>
          <w:sz w:val="24"/>
        </w:rPr>
        <w:t xml:space="preserve">he ACT </w:t>
      </w:r>
      <w:r>
        <w:rPr>
          <w:rFonts w:asciiTheme="majorHAnsi" w:hAnsiTheme="majorHAnsi"/>
          <w:sz w:val="24"/>
        </w:rPr>
        <w:t xml:space="preserve">Government’s </w:t>
      </w:r>
      <w:r w:rsidR="0002119C" w:rsidRPr="00314755">
        <w:rPr>
          <w:rFonts w:asciiTheme="majorHAnsi" w:hAnsiTheme="majorHAnsi"/>
          <w:sz w:val="24"/>
        </w:rPr>
        <w:t>focus</w:t>
      </w:r>
      <w:r>
        <w:rPr>
          <w:rFonts w:asciiTheme="majorHAnsi" w:hAnsiTheme="majorHAnsi"/>
          <w:sz w:val="24"/>
        </w:rPr>
        <w:t xml:space="preserve"> when it comes to disaster mitigation spending</w:t>
      </w:r>
      <w:r w:rsidR="0002119C" w:rsidRPr="00314755">
        <w:rPr>
          <w:rFonts w:asciiTheme="majorHAnsi" w:hAnsiTheme="majorHAnsi"/>
          <w:sz w:val="24"/>
        </w:rPr>
        <w:t xml:space="preserve"> is on </w:t>
      </w:r>
      <w:r w:rsidR="009C7281">
        <w:rPr>
          <w:rFonts w:asciiTheme="majorHAnsi" w:hAnsiTheme="majorHAnsi"/>
          <w:sz w:val="24"/>
        </w:rPr>
        <w:t>enhancing emergency management capa</w:t>
      </w:r>
      <w:r w:rsidR="000A5DE2">
        <w:rPr>
          <w:rFonts w:asciiTheme="majorHAnsi" w:hAnsiTheme="majorHAnsi"/>
          <w:sz w:val="24"/>
        </w:rPr>
        <w:t xml:space="preserve">bility and </w:t>
      </w:r>
      <w:r w:rsidR="009C7281">
        <w:rPr>
          <w:rFonts w:asciiTheme="majorHAnsi" w:hAnsiTheme="majorHAnsi"/>
          <w:sz w:val="24"/>
        </w:rPr>
        <w:t>c</w:t>
      </w:r>
      <w:r w:rsidR="0002119C" w:rsidRPr="00314755">
        <w:rPr>
          <w:rFonts w:asciiTheme="majorHAnsi" w:hAnsiTheme="majorHAnsi"/>
          <w:sz w:val="24"/>
        </w:rPr>
        <w:t>ommunity resilience</w:t>
      </w:r>
      <w:r w:rsidR="000A5DE2">
        <w:rPr>
          <w:rFonts w:asciiTheme="majorHAnsi" w:hAnsiTheme="majorHAnsi"/>
          <w:sz w:val="24"/>
        </w:rPr>
        <w:t>.</w:t>
      </w:r>
      <w:r w:rsidR="0002119C" w:rsidRPr="00314755">
        <w:rPr>
          <w:rFonts w:asciiTheme="majorHAnsi" w:hAnsiTheme="majorHAnsi"/>
          <w:sz w:val="24"/>
        </w:rPr>
        <w:t xml:space="preserve"> </w:t>
      </w:r>
      <w:r>
        <w:rPr>
          <w:rFonts w:asciiTheme="majorHAnsi" w:hAnsiTheme="majorHAnsi"/>
          <w:sz w:val="24"/>
        </w:rPr>
        <w:t>Unfortunately, as stated above, i</w:t>
      </w:r>
      <w:r w:rsidR="0002119C" w:rsidRPr="00314755">
        <w:rPr>
          <w:rFonts w:asciiTheme="majorHAnsi" w:hAnsiTheme="majorHAnsi"/>
          <w:sz w:val="24"/>
        </w:rPr>
        <w:t xml:space="preserve">t is more difficult for </w:t>
      </w:r>
      <w:r w:rsidR="000A5DE2">
        <w:rPr>
          <w:rFonts w:asciiTheme="majorHAnsi" w:hAnsiTheme="majorHAnsi"/>
          <w:sz w:val="24"/>
        </w:rPr>
        <w:t xml:space="preserve">the community </w:t>
      </w:r>
      <w:r w:rsidR="0002119C" w:rsidRPr="00314755">
        <w:rPr>
          <w:rFonts w:asciiTheme="majorHAnsi" w:hAnsiTheme="majorHAnsi"/>
          <w:sz w:val="24"/>
        </w:rPr>
        <w:t>sector to provide match</w:t>
      </w:r>
      <w:r>
        <w:rPr>
          <w:rFonts w:asciiTheme="majorHAnsi" w:hAnsiTheme="majorHAnsi"/>
          <w:sz w:val="24"/>
        </w:rPr>
        <w:t>ed</w:t>
      </w:r>
      <w:r w:rsidR="0002119C" w:rsidRPr="00314755">
        <w:rPr>
          <w:rFonts w:asciiTheme="majorHAnsi" w:hAnsiTheme="majorHAnsi"/>
          <w:sz w:val="24"/>
        </w:rPr>
        <w:t xml:space="preserve"> funding for such projects</w:t>
      </w:r>
      <w:r>
        <w:rPr>
          <w:rFonts w:asciiTheme="majorHAnsi" w:hAnsiTheme="majorHAnsi"/>
          <w:sz w:val="24"/>
        </w:rPr>
        <w:t xml:space="preserve"> under the NDANDR</w:t>
      </w:r>
      <w:r w:rsidR="0002119C" w:rsidRPr="00314755">
        <w:rPr>
          <w:rFonts w:asciiTheme="majorHAnsi" w:hAnsiTheme="majorHAnsi"/>
          <w:sz w:val="24"/>
        </w:rPr>
        <w:t xml:space="preserve">.  </w:t>
      </w:r>
      <w:r>
        <w:rPr>
          <w:rFonts w:asciiTheme="majorHAnsi" w:hAnsiTheme="majorHAnsi"/>
          <w:sz w:val="24"/>
        </w:rPr>
        <w:t>Additionally, funding under the NPANDR cannot be used for ‘business as usual’ activities.  As a result, the ACT often times finds itself unable to utilise the entirety of the funding provided under the NPANDR.</w:t>
      </w:r>
    </w:p>
    <w:p w:rsidR="0002119C" w:rsidRDefault="0002119C" w:rsidP="0002119C">
      <w:pPr>
        <w:spacing w:after="0" w:line="360" w:lineRule="auto"/>
        <w:jc w:val="both"/>
        <w:rPr>
          <w:rFonts w:asciiTheme="majorHAnsi" w:hAnsiTheme="majorHAnsi"/>
          <w:sz w:val="24"/>
        </w:rPr>
      </w:pPr>
      <w:r w:rsidRPr="00314755">
        <w:rPr>
          <w:rFonts w:asciiTheme="majorHAnsi" w:hAnsiTheme="majorHAnsi"/>
          <w:sz w:val="24"/>
        </w:rPr>
        <w:t xml:space="preserve">The ACT </w:t>
      </w:r>
      <w:r w:rsidR="00085E8B">
        <w:rPr>
          <w:rFonts w:asciiTheme="majorHAnsi" w:hAnsiTheme="majorHAnsi"/>
          <w:sz w:val="24"/>
        </w:rPr>
        <w:t xml:space="preserve">Government would welcome a revised approach to funding under the NPANDR that accounts for these issues, such as a </w:t>
      </w:r>
      <w:r w:rsidRPr="00314755">
        <w:rPr>
          <w:rFonts w:asciiTheme="majorHAnsi" w:hAnsiTheme="majorHAnsi"/>
          <w:sz w:val="24"/>
        </w:rPr>
        <w:t>lower fund matching limit in NDRP Implementation Plan</w:t>
      </w:r>
      <w:r w:rsidR="00085E8B">
        <w:rPr>
          <w:rFonts w:asciiTheme="majorHAnsi" w:hAnsiTheme="majorHAnsi"/>
          <w:sz w:val="24"/>
        </w:rPr>
        <w:t>s that provide funding to a greater proportion of community or volunteer based organisations</w:t>
      </w:r>
      <w:r w:rsidRPr="00314755">
        <w:rPr>
          <w:rFonts w:asciiTheme="majorHAnsi" w:hAnsiTheme="majorHAnsi"/>
          <w:sz w:val="24"/>
        </w:rPr>
        <w:t>.  As a suggestion, the limit could be in the range of 25% - 33%, as suggested for grants in Option 1 in the Commission’s paper.</w:t>
      </w:r>
    </w:p>
    <w:p w:rsidR="0002119C" w:rsidRDefault="00FC67BA" w:rsidP="0002119C">
      <w:pPr>
        <w:pStyle w:val="H1"/>
        <w:spacing w:line="360" w:lineRule="auto"/>
        <w:jc w:val="both"/>
        <w:rPr>
          <w:rFonts w:asciiTheme="majorHAnsi" w:hAnsiTheme="majorHAnsi"/>
          <w:b/>
          <w:color w:val="4F6228" w:themeColor="accent3" w:themeShade="80"/>
          <w:sz w:val="24"/>
          <w:szCs w:val="24"/>
        </w:rPr>
      </w:pPr>
      <w:r>
        <w:rPr>
          <w:rFonts w:asciiTheme="majorHAnsi" w:hAnsiTheme="majorHAnsi"/>
          <w:noProof/>
          <w:color w:val="4F6228" w:themeColor="accent3" w:themeShade="80"/>
          <w:sz w:val="28"/>
          <w:szCs w:val="28"/>
          <w:lang w:eastAsia="en-AU"/>
        </w:rPr>
        <w:pict>
          <v:shape id="_x0000_s1027" type="#_x0000_t202" style="position:absolute;left:0;text-align:left;margin-left:-.85pt;margin-top:1.85pt;width:474.2pt;height:204.75pt;z-index:251675648;mso-width-relative:margin;mso-height-relative:margin">
            <v:textbox>
              <w:txbxContent>
                <w:p w:rsidR="00020AF2" w:rsidRDefault="00020AF2" w:rsidP="00733E81">
                  <w:pPr>
                    <w:spacing w:after="0"/>
                    <w:rPr>
                      <w:rFonts w:asciiTheme="majorHAnsi" w:hAnsiTheme="majorHAnsi"/>
                      <w:color w:val="4F6228" w:themeColor="accent3" w:themeShade="80"/>
                      <w:sz w:val="24"/>
                    </w:rPr>
                  </w:pPr>
                  <w:r w:rsidRPr="00314755">
                    <w:rPr>
                      <w:rFonts w:asciiTheme="majorHAnsi" w:hAnsiTheme="majorHAnsi"/>
                      <w:b/>
                      <w:color w:val="4F6228" w:themeColor="accent3" w:themeShade="80"/>
                      <w:sz w:val="24"/>
                      <w:u w:val="single"/>
                    </w:rPr>
                    <w:t xml:space="preserve">Recommendation </w:t>
                  </w:r>
                  <w:r>
                    <w:rPr>
                      <w:rFonts w:asciiTheme="majorHAnsi" w:hAnsiTheme="majorHAnsi"/>
                      <w:b/>
                      <w:color w:val="4F6228" w:themeColor="accent3" w:themeShade="80"/>
                      <w:sz w:val="24"/>
                      <w:u w:val="single"/>
                    </w:rPr>
                    <w:t>2</w:t>
                  </w:r>
                  <w:r w:rsidRPr="00314755">
                    <w:rPr>
                      <w:rFonts w:asciiTheme="majorHAnsi" w:hAnsiTheme="majorHAnsi"/>
                      <w:color w:val="4F6228" w:themeColor="accent3" w:themeShade="80"/>
                      <w:sz w:val="24"/>
                    </w:rPr>
                    <w:t xml:space="preserve">: </w:t>
                  </w:r>
                </w:p>
                <w:p w:rsidR="00020AF2" w:rsidRDefault="00020AF2" w:rsidP="000A5DE2">
                  <w:pPr>
                    <w:spacing w:after="0" w:line="360" w:lineRule="auto"/>
                    <w:jc w:val="both"/>
                    <w:rPr>
                      <w:rFonts w:asciiTheme="majorHAnsi" w:hAnsiTheme="majorHAnsi"/>
                      <w:color w:val="4F6228" w:themeColor="accent3" w:themeShade="80"/>
                      <w:sz w:val="24"/>
                    </w:rPr>
                  </w:pPr>
                  <w:r w:rsidRPr="00314755">
                    <w:rPr>
                      <w:rFonts w:asciiTheme="majorHAnsi" w:hAnsiTheme="majorHAnsi"/>
                      <w:color w:val="4F6228" w:themeColor="accent3" w:themeShade="80"/>
                      <w:sz w:val="24"/>
                    </w:rPr>
                    <w:t xml:space="preserve">The ACT </w:t>
                  </w:r>
                  <w:r>
                    <w:rPr>
                      <w:rFonts w:asciiTheme="majorHAnsi" w:hAnsiTheme="majorHAnsi"/>
                      <w:color w:val="4F6228" w:themeColor="accent3" w:themeShade="80"/>
                      <w:sz w:val="24"/>
                    </w:rPr>
                    <w:t>Government strongly recommends</w:t>
                  </w:r>
                  <w:r w:rsidRPr="00314755">
                    <w:rPr>
                      <w:rFonts w:asciiTheme="majorHAnsi" w:hAnsiTheme="majorHAnsi"/>
                      <w:color w:val="4F6228" w:themeColor="accent3" w:themeShade="80"/>
                      <w:sz w:val="24"/>
                    </w:rPr>
                    <w:t xml:space="preserve"> the</w:t>
                  </w:r>
                  <w:r>
                    <w:rPr>
                      <w:rFonts w:asciiTheme="majorHAnsi" w:hAnsiTheme="majorHAnsi"/>
                      <w:color w:val="4F6228" w:themeColor="accent3" w:themeShade="80"/>
                      <w:sz w:val="24"/>
                    </w:rPr>
                    <w:t xml:space="preserve"> continuation of the</w:t>
                  </w:r>
                  <w:r w:rsidRPr="00314755">
                    <w:rPr>
                      <w:rFonts w:asciiTheme="majorHAnsi" w:hAnsiTheme="majorHAnsi"/>
                      <w:color w:val="4F6228" w:themeColor="accent3" w:themeShade="80"/>
                      <w:sz w:val="24"/>
                    </w:rPr>
                    <w:t xml:space="preserve"> National Partnership Agreement on Natural Disaster Resilience (NPANDR)</w:t>
                  </w:r>
                  <w:r>
                    <w:rPr>
                      <w:rFonts w:asciiTheme="majorHAnsi" w:hAnsiTheme="majorHAnsi"/>
                      <w:color w:val="4F6228" w:themeColor="accent3" w:themeShade="80"/>
                      <w:sz w:val="24"/>
                    </w:rPr>
                    <w:t xml:space="preserve"> funding. However, the NPANDR should be refined and identify the specific requirements of states and territories. This would reflect jurisdictional </w:t>
                  </w:r>
                  <w:r w:rsidRPr="00314755">
                    <w:rPr>
                      <w:rFonts w:asciiTheme="majorHAnsi" w:hAnsiTheme="majorHAnsi"/>
                      <w:color w:val="4F6228" w:themeColor="accent3" w:themeShade="80"/>
                      <w:sz w:val="24"/>
                    </w:rPr>
                    <w:t>priorities,</w:t>
                  </w:r>
                  <w:r>
                    <w:rPr>
                      <w:rFonts w:asciiTheme="majorHAnsi" w:hAnsiTheme="majorHAnsi"/>
                      <w:color w:val="4F6228" w:themeColor="accent3" w:themeShade="80"/>
                      <w:sz w:val="24"/>
                    </w:rPr>
                    <w:t xml:space="preserve"> current investment initiatives</w:t>
                  </w:r>
                  <w:r w:rsidRPr="00314755">
                    <w:rPr>
                      <w:rFonts w:asciiTheme="majorHAnsi" w:hAnsiTheme="majorHAnsi"/>
                      <w:color w:val="4F6228" w:themeColor="accent3" w:themeShade="80"/>
                      <w:sz w:val="24"/>
                    </w:rPr>
                    <w:t xml:space="preserve"> and</w:t>
                  </w:r>
                  <w:r>
                    <w:rPr>
                      <w:rFonts w:asciiTheme="majorHAnsi" w:hAnsiTheme="majorHAnsi"/>
                      <w:color w:val="4F6228" w:themeColor="accent3" w:themeShade="80"/>
                      <w:sz w:val="24"/>
                    </w:rPr>
                    <w:t xml:space="preserve"> our comprehensive</w:t>
                  </w:r>
                  <w:r w:rsidRPr="00314755">
                    <w:rPr>
                      <w:rFonts w:asciiTheme="majorHAnsi" w:hAnsiTheme="majorHAnsi"/>
                      <w:color w:val="4F6228" w:themeColor="accent3" w:themeShade="80"/>
                      <w:sz w:val="24"/>
                    </w:rPr>
                    <w:t xml:space="preserve"> self-insurance measures</w:t>
                  </w:r>
                  <w:r>
                    <w:rPr>
                      <w:rFonts w:asciiTheme="majorHAnsi" w:hAnsiTheme="majorHAnsi"/>
                      <w:color w:val="4F6228" w:themeColor="accent3" w:themeShade="80"/>
                      <w:sz w:val="24"/>
                    </w:rPr>
                    <w:t>.</w:t>
                  </w:r>
                </w:p>
                <w:p w:rsidR="00020AF2" w:rsidRPr="00314755" w:rsidRDefault="00020AF2" w:rsidP="00733E81">
                  <w:pPr>
                    <w:spacing w:after="0"/>
                    <w:rPr>
                      <w:rFonts w:asciiTheme="majorHAnsi" w:hAnsiTheme="majorHAnsi"/>
                      <w:b/>
                      <w:color w:val="4F6228" w:themeColor="accent3" w:themeShade="80"/>
                      <w:sz w:val="24"/>
                      <w:u w:val="single"/>
                    </w:rPr>
                  </w:pPr>
                  <w:r w:rsidRPr="00314755">
                    <w:rPr>
                      <w:rFonts w:asciiTheme="majorHAnsi" w:hAnsiTheme="majorHAnsi"/>
                      <w:b/>
                      <w:color w:val="4F6228" w:themeColor="accent3" w:themeShade="80"/>
                      <w:sz w:val="24"/>
                      <w:u w:val="single"/>
                    </w:rPr>
                    <w:t xml:space="preserve">Recommendation </w:t>
                  </w:r>
                  <w:r>
                    <w:rPr>
                      <w:rFonts w:asciiTheme="majorHAnsi" w:hAnsiTheme="majorHAnsi"/>
                      <w:b/>
                      <w:color w:val="4F6228" w:themeColor="accent3" w:themeShade="80"/>
                      <w:sz w:val="24"/>
                      <w:u w:val="single"/>
                    </w:rPr>
                    <w:t>3</w:t>
                  </w:r>
                  <w:r w:rsidRPr="00314755">
                    <w:rPr>
                      <w:rFonts w:asciiTheme="majorHAnsi" w:hAnsiTheme="majorHAnsi"/>
                      <w:b/>
                      <w:color w:val="4F6228" w:themeColor="accent3" w:themeShade="80"/>
                      <w:sz w:val="24"/>
                      <w:u w:val="single"/>
                    </w:rPr>
                    <w:t>:</w:t>
                  </w:r>
                </w:p>
                <w:p w:rsidR="00020AF2" w:rsidRPr="000A5DE2" w:rsidRDefault="00020AF2" w:rsidP="000A5DE2">
                  <w:pPr>
                    <w:spacing w:after="0" w:line="360" w:lineRule="auto"/>
                    <w:jc w:val="both"/>
                    <w:rPr>
                      <w:rFonts w:asciiTheme="majorHAnsi" w:hAnsiTheme="majorHAnsi"/>
                      <w:color w:val="4F6228" w:themeColor="accent3" w:themeShade="80"/>
                      <w:sz w:val="24"/>
                    </w:rPr>
                  </w:pPr>
                  <w:r w:rsidRPr="000A5DE2">
                    <w:rPr>
                      <w:rFonts w:asciiTheme="majorHAnsi" w:hAnsiTheme="majorHAnsi"/>
                      <w:color w:val="4F6228" w:themeColor="accent3" w:themeShade="80"/>
                      <w:sz w:val="24"/>
                    </w:rPr>
                    <w:t xml:space="preserve">The ACT Government recommends the </w:t>
                  </w:r>
                  <w:r>
                    <w:rPr>
                      <w:rFonts w:asciiTheme="majorHAnsi" w:hAnsiTheme="majorHAnsi"/>
                      <w:color w:val="4F6228" w:themeColor="accent3" w:themeShade="80"/>
                      <w:sz w:val="24"/>
                    </w:rPr>
                    <w:t>fund matching limit</w:t>
                  </w:r>
                  <w:r w:rsidRPr="000A5DE2">
                    <w:rPr>
                      <w:rFonts w:asciiTheme="majorHAnsi" w:hAnsiTheme="majorHAnsi"/>
                      <w:color w:val="4F6228" w:themeColor="accent3" w:themeShade="80"/>
                      <w:sz w:val="24"/>
                    </w:rPr>
                    <w:t xml:space="preserve"> be </w:t>
                  </w:r>
                  <w:r>
                    <w:rPr>
                      <w:rFonts w:asciiTheme="majorHAnsi" w:hAnsiTheme="majorHAnsi"/>
                      <w:color w:val="4F6228" w:themeColor="accent3" w:themeShade="80"/>
                      <w:sz w:val="24"/>
                    </w:rPr>
                    <w:t>in the range of</w:t>
                  </w:r>
                  <w:r w:rsidRPr="000A5DE2">
                    <w:rPr>
                      <w:rFonts w:asciiTheme="majorHAnsi" w:hAnsiTheme="majorHAnsi"/>
                      <w:color w:val="4F6228" w:themeColor="accent3" w:themeShade="80"/>
                      <w:sz w:val="24"/>
                    </w:rPr>
                    <w:t xml:space="preserve"> 25 - 33</w:t>
                  </w:r>
                  <w:r>
                    <w:rPr>
                      <w:rFonts w:asciiTheme="majorHAnsi" w:hAnsiTheme="majorHAnsi"/>
                      <w:color w:val="4F6228" w:themeColor="accent3" w:themeShade="80"/>
                      <w:sz w:val="24"/>
                    </w:rPr>
                    <w:t xml:space="preserve"> per cent</w:t>
                  </w:r>
                  <w:r w:rsidRPr="000A5DE2">
                    <w:rPr>
                      <w:rFonts w:asciiTheme="majorHAnsi" w:hAnsiTheme="majorHAnsi"/>
                      <w:color w:val="4F6228" w:themeColor="accent3" w:themeShade="80"/>
                      <w:sz w:val="24"/>
                    </w:rPr>
                    <w:t xml:space="preserve">, </w:t>
                  </w:r>
                  <w:r>
                    <w:rPr>
                      <w:rFonts w:asciiTheme="majorHAnsi" w:hAnsiTheme="majorHAnsi"/>
                      <w:color w:val="4F6228" w:themeColor="accent3" w:themeShade="80"/>
                      <w:sz w:val="24"/>
                    </w:rPr>
                    <w:t>as suggested in</w:t>
                  </w:r>
                  <w:r w:rsidRPr="000A5DE2">
                    <w:rPr>
                      <w:rFonts w:asciiTheme="majorHAnsi" w:hAnsiTheme="majorHAnsi"/>
                      <w:color w:val="4F6228" w:themeColor="accent3" w:themeShade="80"/>
                      <w:sz w:val="24"/>
                    </w:rPr>
                    <w:t xml:space="preserve"> Option 1</w:t>
                  </w:r>
                  <w:r>
                    <w:rPr>
                      <w:rFonts w:asciiTheme="majorHAnsi" w:hAnsiTheme="majorHAnsi"/>
                      <w:color w:val="4F6228" w:themeColor="accent3" w:themeShade="80"/>
                      <w:sz w:val="24"/>
                    </w:rPr>
                    <w:t xml:space="preserve"> of the Commission’s paper</w:t>
                  </w:r>
                  <w:r w:rsidRPr="000A5DE2">
                    <w:rPr>
                      <w:rFonts w:asciiTheme="majorHAnsi" w:hAnsiTheme="majorHAnsi"/>
                      <w:color w:val="4F6228" w:themeColor="accent3" w:themeShade="80"/>
                      <w:sz w:val="24"/>
                    </w:rPr>
                    <w:t xml:space="preserve">.  </w:t>
                  </w:r>
                </w:p>
                <w:p w:rsidR="00020AF2" w:rsidRPr="000A5DE2" w:rsidRDefault="00020AF2" w:rsidP="000A5DE2">
                  <w:pPr>
                    <w:spacing w:after="0" w:line="360" w:lineRule="auto"/>
                    <w:jc w:val="both"/>
                    <w:rPr>
                      <w:rFonts w:asciiTheme="majorHAnsi" w:hAnsiTheme="majorHAnsi"/>
                      <w:i/>
                      <w:color w:val="4F6228" w:themeColor="accent3" w:themeShade="80"/>
                      <w:sz w:val="24"/>
                    </w:rPr>
                  </w:pPr>
                </w:p>
              </w:txbxContent>
            </v:textbox>
          </v:shape>
        </w:pict>
      </w:r>
    </w:p>
    <w:p w:rsidR="0002119C" w:rsidRDefault="0002119C" w:rsidP="0002119C">
      <w:pPr>
        <w:pStyle w:val="H1"/>
        <w:spacing w:line="360" w:lineRule="auto"/>
        <w:jc w:val="both"/>
        <w:rPr>
          <w:rFonts w:asciiTheme="majorHAnsi" w:hAnsiTheme="majorHAnsi"/>
          <w:b/>
          <w:color w:val="4F6228" w:themeColor="accent3" w:themeShade="80"/>
          <w:sz w:val="24"/>
          <w:szCs w:val="24"/>
        </w:rPr>
      </w:pPr>
    </w:p>
    <w:p w:rsidR="0002119C" w:rsidRDefault="0002119C" w:rsidP="0002119C">
      <w:pPr>
        <w:pStyle w:val="H1"/>
        <w:spacing w:line="360" w:lineRule="auto"/>
        <w:jc w:val="both"/>
        <w:rPr>
          <w:rFonts w:asciiTheme="majorHAnsi" w:hAnsiTheme="majorHAnsi"/>
          <w:b/>
          <w:color w:val="4F6228" w:themeColor="accent3" w:themeShade="80"/>
          <w:sz w:val="24"/>
          <w:szCs w:val="24"/>
        </w:rPr>
      </w:pPr>
    </w:p>
    <w:p w:rsidR="0002119C" w:rsidRDefault="0002119C" w:rsidP="0002119C">
      <w:pPr>
        <w:pStyle w:val="H2bold"/>
        <w:rPr>
          <w:rFonts w:asciiTheme="majorHAnsi" w:hAnsiTheme="majorHAnsi"/>
          <w:color w:val="4F6228" w:themeColor="accent3" w:themeShade="80"/>
          <w:sz w:val="28"/>
          <w:szCs w:val="28"/>
        </w:rPr>
      </w:pPr>
    </w:p>
    <w:p w:rsidR="0002119C" w:rsidRDefault="0002119C" w:rsidP="0002119C">
      <w:pPr>
        <w:pStyle w:val="H2bold"/>
        <w:rPr>
          <w:rFonts w:asciiTheme="majorHAnsi" w:hAnsiTheme="majorHAnsi"/>
          <w:color w:val="4F6228" w:themeColor="accent3" w:themeShade="80"/>
          <w:sz w:val="28"/>
          <w:szCs w:val="28"/>
        </w:rPr>
      </w:pPr>
    </w:p>
    <w:p w:rsidR="00517545" w:rsidRDefault="00517545" w:rsidP="0002119C">
      <w:pPr>
        <w:pStyle w:val="H2bold"/>
        <w:rPr>
          <w:rFonts w:asciiTheme="majorHAnsi" w:hAnsiTheme="majorHAnsi"/>
          <w:color w:val="4F6228" w:themeColor="accent3" w:themeShade="80"/>
          <w:sz w:val="28"/>
          <w:szCs w:val="28"/>
        </w:rPr>
      </w:pPr>
    </w:p>
    <w:p w:rsidR="00BC2241" w:rsidRDefault="00BC2241" w:rsidP="0002119C">
      <w:pPr>
        <w:pStyle w:val="H2bold"/>
        <w:rPr>
          <w:rFonts w:asciiTheme="majorHAnsi" w:hAnsiTheme="majorHAnsi"/>
          <w:color w:val="4F6228" w:themeColor="accent3" w:themeShade="80"/>
          <w:sz w:val="28"/>
          <w:szCs w:val="28"/>
        </w:rPr>
      </w:pPr>
    </w:p>
    <w:p w:rsidR="00BC2241" w:rsidRDefault="00BC2241" w:rsidP="0002119C">
      <w:pPr>
        <w:pStyle w:val="H2bold"/>
        <w:rPr>
          <w:rFonts w:asciiTheme="majorHAnsi" w:hAnsiTheme="majorHAnsi"/>
          <w:color w:val="4F6228" w:themeColor="accent3" w:themeShade="80"/>
          <w:sz w:val="28"/>
          <w:szCs w:val="28"/>
        </w:rPr>
      </w:pPr>
    </w:p>
    <w:p w:rsidR="00851862" w:rsidRDefault="00851862" w:rsidP="0002119C">
      <w:pPr>
        <w:pStyle w:val="H2bold"/>
        <w:rPr>
          <w:rFonts w:asciiTheme="majorHAnsi" w:hAnsiTheme="majorHAnsi"/>
          <w:color w:val="4F6228" w:themeColor="accent3" w:themeShade="80"/>
          <w:sz w:val="28"/>
          <w:szCs w:val="28"/>
        </w:rPr>
      </w:pPr>
    </w:p>
    <w:p w:rsidR="0002119C" w:rsidRDefault="000A5DE2" w:rsidP="0002119C">
      <w:pPr>
        <w:pStyle w:val="H2bold"/>
        <w:rPr>
          <w:rFonts w:asciiTheme="majorHAnsi" w:hAnsiTheme="majorHAnsi"/>
          <w:color w:val="4F6228" w:themeColor="accent3" w:themeShade="80"/>
          <w:sz w:val="28"/>
          <w:szCs w:val="28"/>
        </w:rPr>
      </w:pPr>
      <w:r>
        <w:rPr>
          <w:rFonts w:asciiTheme="majorHAnsi" w:hAnsiTheme="majorHAnsi"/>
          <w:color w:val="4F6228" w:themeColor="accent3" w:themeShade="80"/>
          <w:sz w:val="28"/>
          <w:szCs w:val="28"/>
        </w:rPr>
        <w:t>3</w:t>
      </w:r>
      <w:r w:rsidR="0002119C" w:rsidRPr="00314755">
        <w:rPr>
          <w:rFonts w:asciiTheme="majorHAnsi" w:hAnsiTheme="majorHAnsi"/>
          <w:color w:val="4F6228" w:themeColor="accent3" w:themeShade="80"/>
          <w:sz w:val="28"/>
          <w:szCs w:val="28"/>
        </w:rPr>
        <w:t>.</w:t>
      </w:r>
      <w:r w:rsidR="0002119C">
        <w:rPr>
          <w:rFonts w:asciiTheme="majorHAnsi" w:hAnsiTheme="majorHAnsi"/>
          <w:color w:val="4F6228" w:themeColor="accent3" w:themeShade="80"/>
          <w:sz w:val="28"/>
          <w:szCs w:val="28"/>
        </w:rPr>
        <w:t>3</w:t>
      </w:r>
      <w:r w:rsidR="0002119C" w:rsidRPr="00314755">
        <w:rPr>
          <w:rFonts w:asciiTheme="majorHAnsi" w:hAnsiTheme="majorHAnsi"/>
          <w:color w:val="4F6228" w:themeColor="accent3" w:themeShade="80"/>
          <w:sz w:val="28"/>
          <w:szCs w:val="28"/>
        </w:rPr>
        <w:tab/>
      </w:r>
      <w:r w:rsidR="0002119C">
        <w:rPr>
          <w:rFonts w:asciiTheme="majorHAnsi" w:hAnsiTheme="majorHAnsi"/>
          <w:color w:val="4F6228" w:themeColor="accent3" w:themeShade="80"/>
          <w:sz w:val="28"/>
          <w:szCs w:val="28"/>
        </w:rPr>
        <w:t>Australian Government Disaster Recovery Payment</w:t>
      </w:r>
    </w:p>
    <w:p w:rsidR="0002119C" w:rsidRPr="00C51DBD" w:rsidRDefault="0002119C" w:rsidP="0002119C">
      <w:pPr>
        <w:pStyle w:val="BodyText"/>
        <w:spacing w:line="360" w:lineRule="auto"/>
        <w:rPr>
          <w:rFonts w:asciiTheme="majorHAnsi" w:hAnsiTheme="majorHAnsi"/>
          <w:sz w:val="24"/>
          <w:szCs w:val="24"/>
        </w:rPr>
      </w:pPr>
      <w:r w:rsidRPr="00C51DBD">
        <w:rPr>
          <w:rFonts w:asciiTheme="majorHAnsi" w:hAnsiTheme="majorHAnsi"/>
          <w:sz w:val="24"/>
          <w:szCs w:val="24"/>
        </w:rPr>
        <w:t xml:space="preserve">The Australian Government provides financial assistance to households through the Australian Government Disaster Recovery Payment (AGDRP) and the Disaster Recovery Allowance (DRA). </w:t>
      </w:r>
    </w:p>
    <w:p w:rsidR="0002119C" w:rsidRPr="00C51DBD" w:rsidRDefault="00BE4FDB" w:rsidP="0002119C">
      <w:pPr>
        <w:spacing w:after="0" w:line="360" w:lineRule="auto"/>
        <w:jc w:val="both"/>
        <w:rPr>
          <w:rFonts w:asciiTheme="majorHAnsi" w:hAnsiTheme="majorHAnsi"/>
          <w:sz w:val="24"/>
        </w:rPr>
      </w:pPr>
      <w:r>
        <w:rPr>
          <w:rFonts w:asciiTheme="majorHAnsi" w:hAnsiTheme="majorHAnsi"/>
          <w:sz w:val="24"/>
        </w:rPr>
        <w:t xml:space="preserve">The ACT </w:t>
      </w:r>
      <w:r w:rsidR="000A5DE2">
        <w:rPr>
          <w:rFonts w:asciiTheme="majorHAnsi" w:hAnsiTheme="majorHAnsi"/>
          <w:sz w:val="24"/>
        </w:rPr>
        <w:t>Government</w:t>
      </w:r>
      <w:r>
        <w:rPr>
          <w:rFonts w:asciiTheme="majorHAnsi" w:hAnsiTheme="majorHAnsi"/>
          <w:sz w:val="24"/>
        </w:rPr>
        <w:t xml:space="preserve"> n</w:t>
      </w:r>
      <w:r w:rsidR="0002119C" w:rsidRPr="00C51DBD">
        <w:rPr>
          <w:rFonts w:asciiTheme="majorHAnsi" w:hAnsiTheme="majorHAnsi"/>
          <w:sz w:val="24"/>
        </w:rPr>
        <w:t>ot</w:t>
      </w:r>
      <w:r>
        <w:rPr>
          <w:rFonts w:asciiTheme="majorHAnsi" w:hAnsiTheme="majorHAnsi"/>
          <w:sz w:val="24"/>
        </w:rPr>
        <w:t>es</w:t>
      </w:r>
      <w:r w:rsidR="0002119C" w:rsidRPr="00C51DBD">
        <w:rPr>
          <w:rFonts w:asciiTheme="majorHAnsi" w:hAnsiTheme="majorHAnsi"/>
          <w:sz w:val="24"/>
        </w:rPr>
        <w:t xml:space="preserve"> that the DRA has only been offered to individuals affected by the NSW bushfires of October 2013 and no major disasters have occurred within the </w:t>
      </w:r>
      <w:r w:rsidR="00517545">
        <w:rPr>
          <w:rFonts w:asciiTheme="majorHAnsi" w:hAnsiTheme="majorHAnsi"/>
          <w:sz w:val="24"/>
        </w:rPr>
        <w:t>ACT</w:t>
      </w:r>
      <w:r w:rsidR="0002119C" w:rsidRPr="00C51DBD">
        <w:rPr>
          <w:rFonts w:asciiTheme="majorHAnsi" w:hAnsiTheme="majorHAnsi"/>
          <w:sz w:val="24"/>
        </w:rPr>
        <w:t xml:space="preserve"> since the establishment of the AGDRP.</w:t>
      </w:r>
      <w:r w:rsidR="003471ED">
        <w:rPr>
          <w:rFonts w:asciiTheme="majorHAnsi" w:hAnsiTheme="majorHAnsi"/>
          <w:sz w:val="24"/>
        </w:rPr>
        <w:t xml:space="preserve"> </w:t>
      </w:r>
    </w:p>
    <w:p w:rsidR="0002119C" w:rsidRDefault="00FC67BA" w:rsidP="0002119C">
      <w:pPr>
        <w:pStyle w:val="H2bold"/>
        <w:rPr>
          <w:rFonts w:asciiTheme="majorHAnsi" w:hAnsiTheme="majorHAnsi"/>
          <w:color w:val="4F6228" w:themeColor="accent3" w:themeShade="80"/>
          <w:sz w:val="28"/>
          <w:szCs w:val="28"/>
        </w:rPr>
      </w:pPr>
      <w:r>
        <w:rPr>
          <w:rFonts w:asciiTheme="majorHAnsi" w:hAnsiTheme="majorHAnsi"/>
          <w:noProof/>
          <w:color w:val="4F6228" w:themeColor="accent3" w:themeShade="80"/>
          <w:sz w:val="28"/>
          <w:szCs w:val="28"/>
          <w:lang w:eastAsia="en-AU"/>
        </w:rPr>
        <w:pict>
          <v:shape id="_x0000_s1028" type="#_x0000_t202" style="position:absolute;margin-left:-.85pt;margin-top:8.1pt;width:474.2pt;height:92.05pt;z-index:251676672;mso-width-relative:margin;mso-height-relative:margin">
            <v:textbox style="mso-next-textbox:#_x0000_s1028">
              <w:txbxContent>
                <w:p w:rsidR="00020AF2" w:rsidRDefault="00020AF2" w:rsidP="00733E81">
                  <w:pPr>
                    <w:spacing w:after="0"/>
                    <w:rPr>
                      <w:rFonts w:asciiTheme="majorHAnsi" w:hAnsiTheme="majorHAnsi"/>
                      <w:color w:val="4F6228" w:themeColor="accent3" w:themeShade="80"/>
                      <w:sz w:val="24"/>
                    </w:rPr>
                  </w:pPr>
                  <w:r w:rsidRPr="00314755">
                    <w:rPr>
                      <w:rFonts w:asciiTheme="majorHAnsi" w:hAnsiTheme="majorHAnsi"/>
                      <w:b/>
                      <w:color w:val="4F6228" w:themeColor="accent3" w:themeShade="80"/>
                      <w:sz w:val="24"/>
                      <w:u w:val="single"/>
                    </w:rPr>
                    <w:t xml:space="preserve">Recommendation </w:t>
                  </w:r>
                  <w:r>
                    <w:rPr>
                      <w:rFonts w:asciiTheme="majorHAnsi" w:hAnsiTheme="majorHAnsi"/>
                      <w:b/>
                      <w:color w:val="4F6228" w:themeColor="accent3" w:themeShade="80"/>
                      <w:sz w:val="24"/>
                      <w:u w:val="single"/>
                    </w:rPr>
                    <w:t>4</w:t>
                  </w:r>
                  <w:r w:rsidRPr="00314755">
                    <w:rPr>
                      <w:rFonts w:asciiTheme="majorHAnsi" w:hAnsiTheme="majorHAnsi"/>
                      <w:color w:val="4F6228" w:themeColor="accent3" w:themeShade="80"/>
                      <w:sz w:val="24"/>
                    </w:rPr>
                    <w:t xml:space="preserve">: </w:t>
                  </w:r>
                </w:p>
                <w:p w:rsidR="00020AF2" w:rsidRPr="00733E81" w:rsidRDefault="00020AF2" w:rsidP="000A5DE2">
                  <w:pPr>
                    <w:spacing w:after="0" w:line="360" w:lineRule="auto"/>
                    <w:jc w:val="both"/>
                    <w:rPr>
                      <w:rFonts w:asciiTheme="majorHAnsi" w:hAnsiTheme="majorHAnsi"/>
                      <w:color w:val="4F6228" w:themeColor="accent3" w:themeShade="80"/>
                      <w:sz w:val="24"/>
                    </w:rPr>
                  </w:pPr>
                  <w:r w:rsidRPr="00733E81">
                    <w:rPr>
                      <w:rFonts w:asciiTheme="majorHAnsi" w:hAnsiTheme="majorHAnsi"/>
                      <w:color w:val="4F6228" w:themeColor="accent3" w:themeShade="80"/>
                      <w:sz w:val="24"/>
                    </w:rPr>
                    <w:t xml:space="preserve">The ACT Government supports the examination of </w:t>
                  </w:r>
                  <w:r>
                    <w:rPr>
                      <w:rFonts w:asciiTheme="majorHAnsi" w:hAnsiTheme="majorHAnsi"/>
                      <w:color w:val="4F6228" w:themeColor="accent3" w:themeShade="80"/>
                      <w:sz w:val="24"/>
                    </w:rPr>
                    <w:t>AGDRP</w:t>
                  </w:r>
                  <w:r w:rsidRPr="00733E81">
                    <w:rPr>
                      <w:rFonts w:asciiTheme="majorHAnsi" w:hAnsiTheme="majorHAnsi"/>
                      <w:color w:val="4F6228" w:themeColor="accent3" w:themeShade="80"/>
                      <w:sz w:val="24"/>
                    </w:rPr>
                    <w:t xml:space="preserve"> as part of the Productivity Commission’s focus noting the costs of the arrangements in Australia are at historically high and unsustainable levels.</w:t>
                  </w:r>
                </w:p>
                <w:p w:rsidR="00020AF2" w:rsidRDefault="00020AF2" w:rsidP="00733E81">
                  <w:pPr>
                    <w:spacing w:after="0"/>
                    <w:rPr>
                      <w:rFonts w:asciiTheme="majorHAnsi" w:hAnsiTheme="majorHAnsi"/>
                      <w:color w:val="4F6228" w:themeColor="accent3" w:themeShade="80"/>
                      <w:sz w:val="24"/>
                    </w:rPr>
                  </w:pPr>
                </w:p>
                <w:p w:rsidR="00020AF2" w:rsidRPr="0041490A" w:rsidRDefault="00020AF2" w:rsidP="00733E81">
                  <w:pPr>
                    <w:spacing w:after="0"/>
                  </w:pPr>
                </w:p>
              </w:txbxContent>
            </v:textbox>
          </v:shape>
        </w:pict>
      </w:r>
    </w:p>
    <w:p w:rsidR="0002119C" w:rsidRDefault="0002119C" w:rsidP="0002119C">
      <w:pPr>
        <w:pStyle w:val="H2bold"/>
        <w:rPr>
          <w:rFonts w:asciiTheme="majorHAnsi" w:hAnsiTheme="majorHAnsi"/>
          <w:color w:val="4F6228" w:themeColor="accent3" w:themeShade="80"/>
          <w:sz w:val="28"/>
          <w:szCs w:val="28"/>
        </w:rPr>
      </w:pPr>
    </w:p>
    <w:p w:rsidR="0002119C" w:rsidRDefault="0002119C" w:rsidP="0002119C">
      <w:pPr>
        <w:pStyle w:val="H2bold"/>
        <w:rPr>
          <w:rFonts w:asciiTheme="majorHAnsi" w:hAnsiTheme="majorHAnsi"/>
          <w:color w:val="4F6228" w:themeColor="accent3" w:themeShade="80"/>
          <w:sz w:val="28"/>
          <w:szCs w:val="28"/>
        </w:rPr>
      </w:pPr>
    </w:p>
    <w:p w:rsidR="000A5DE2" w:rsidRDefault="000A5DE2" w:rsidP="0002119C">
      <w:pPr>
        <w:pStyle w:val="H2bold"/>
        <w:rPr>
          <w:rFonts w:asciiTheme="majorHAnsi" w:hAnsiTheme="majorHAnsi"/>
          <w:color w:val="4F6228" w:themeColor="accent3" w:themeShade="80"/>
          <w:sz w:val="28"/>
          <w:szCs w:val="28"/>
        </w:rPr>
      </w:pPr>
    </w:p>
    <w:p w:rsidR="000A5DE2" w:rsidRDefault="000A5DE2" w:rsidP="0002119C">
      <w:pPr>
        <w:pStyle w:val="H2bold"/>
        <w:rPr>
          <w:rFonts w:asciiTheme="majorHAnsi" w:hAnsiTheme="majorHAnsi"/>
          <w:color w:val="4F6228" w:themeColor="accent3" w:themeShade="80"/>
          <w:sz w:val="28"/>
          <w:szCs w:val="28"/>
        </w:rPr>
      </w:pPr>
    </w:p>
    <w:p w:rsidR="000A5DE2" w:rsidRDefault="000A5DE2" w:rsidP="0002119C">
      <w:pPr>
        <w:pStyle w:val="H2bold"/>
        <w:rPr>
          <w:rFonts w:asciiTheme="majorHAnsi" w:hAnsiTheme="majorHAnsi"/>
          <w:color w:val="4F6228" w:themeColor="accent3" w:themeShade="80"/>
          <w:sz w:val="28"/>
          <w:szCs w:val="28"/>
        </w:rPr>
      </w:pPr>
    </w:p>
    <w:p w:rsidR="0002119C" w:rsidRDefault="000A5DE2" w:rsidP="0002119C">
      <w:pPr>
        <w:pStyle w:val="H1"/>
        <w:rPr>
          <w:rFonts w:asciiTheme="majorHAnsi" w:hAnsiTheme="majorHAnsi"/>
          <w:b/>
          <w:color w:val="4F6228" w:themeColor="accent3" w:themeShade="80"/>
        </w:rPr>
      </w:pPr>
      <w:r>
        <w:rPr>
          <w:rFonts w:asciiTheme="majorHAnsi" w:hAnsiTheme="majorHAnsi"/>
          <w:b/>
          <w:color w:val="4F6228" w:themeColor="accent3" w:themeShade="80"/>
        </w:rPr>
        <w:t>4</w:t>
      </w:r>
      <w:r w:rsidR="0002119C" w:rsidRPr="00C51DBD">
        <w:rPr>
          <w:rFonts w:asciiTheme="majorHAnsi" w:hAnsiTheme="majorHAnsi"/>
          <w:b/>
          <w:color w:val="4F6228" w:themeColor="accent3" w:themeShade="80"/>
        </w:rPr>
        <w:t xml:space="preserve">.  </w:t>
      </w:r>
      <w:r w:rsidR="0002119C">
        <w:rPr>
          <w:rFonts w:asciiTheme="majorHAnsi" w:hAnsiTheme="majorHAnsi"/>
          <w:b/>
          <w:color w:val="4F6228" w:themeColor="accent3" w:themeShade="80"/>
        </w:rPr>
        <w:t>Assessing</w:t>
      </w:r>
      <w:r w:rsidR="002326E3">
        <w:rPr>
          <w:rFonts w:asciiTheme="majorHAnsi" w:hAnsiTheme="majorHAnsi"/>
          <w:b/>
          <w:color w:val="4F6228" w:themeColor="accent3" w:themeShade="80"/>
        </w:rPr>
        <w:t xml:space="preserve"> THE</w:t>
      </w:r>
      <w:r w:rsidR="0002119C">
        <w:rPr>
          <w:rFonts w:asciiTheme="majorHAnsi" w:hAnsiTheme="majorHAnsi"/>
          <w:b/>
          <w:color w:val="4F6228" w:themeColor="accent3" w:themeShade="80"/>
        </w:rPr>
        <w:t xml:space="preserve"> current A</w:t>
      </w:r>
      <w:r w:rsidR="0002119C" w:rsidRPr="00C51DBD">
        <w:rPr>
          <w:rFonts w:asciiTheme="majorHAnsi" w:hAnsiTheme="majorHAnsi"/>
          <w:b/>
          <w:color w:val="4F6228" w:themeColor="accent3" w:themeShade="80"/>
        </w:rPr>
        <w:t>rrangements</w:t>
      </w:r>
    </w:p>
    <w:p w:rsidR="009E2A52" w:rsidRDefault="000A5DE2">
      <w:pPr>
        <w:pStyle w:val="H2bold"/>
        <w:spacing w:before="240" w:after="240"/>
        <w:rPr>
          <w:rFonts w:asciiTheme="majorHAnsi" w:hAnsiTheme="majorHAnsi"/>
          <w:color w:val="4F6228" w:themeColor="accent3" w:themeShade="80"/>
          <w:sz w:val="28"/>
          <w:szCs w:val="28"/>
        </w:rPr>
      </w:pPr>
      <w:r>
        <w:rPr>
          <w:rFonts w:asciiTheme="majorHAnsi" w:hAnsiTheme="majorHAnsi"/>
          <w:color w:val="4F6228" w:themeColor="accent3" w:themeShade="80"/>
          <w:sz w:val="28"/>
          <w:szCs w:val="28"/>
        </w:rPr>
        <w:t>4</w:t>
      </w:r>
      <w:r w:rsidR="00A21D10">
        <w:rPr>
          <w:rFonts w:asciiTheme="majorHAnsi" w:hAnsiTheme="majorHAnsi"/>
          <w:color w:val="4F6228" w:themeColor="accent3" w:themeShade="80"/>
          <w:sz w:val="28"/>
          <w:szCs w:val="28"/>
        </w:rPr>
        <w:t xml:space="preserve">.1 </w:t>
      </w:r>
      <w:r w:rsidR="009C7281">
        <w:rPr>
          <w:rFonts w:asciiTheme="majorHAnsi" w:hAnsiTheme="majorHAnsi"/>
          <w:color w:val="4F6228" w:themeColor="accent3" w:themeShade="80"/>
          <w:sz w:val="28"/>
          <w:szCs w:val="28"/>
        </w:rPr>
        <w:t>Australian Government</w:t>
      </w:r>
      <w:r w:rsidR="00A21D10" w:rsidRPr="00A21D10">
        <w:rPr>
          <w:rFonts w:asciiTheme="majorHAnsi" w:hAnsiTheme="majorHAnsi"/>
          <w:color w:val="4F6228" w:themeColor="accent3" w:themeShade="80"/>
          <w:sz w:val="28"/>
          <w:szCs w:val="28"/>
        </w:rPr>
        <w:t xml:space="preserve"> assistance</w:t>
      </w:r>
    </w:p>
    <w:p w:rsidR="009E2A52" w:rsidRDefault="00AB190E">
      <w:pPr>
        <w:spacing w:before="240" w:line="360" w:lineRule="auto"/>
        <w:jc w:val="both"/>
        <w:rPr>
          <w:rFonts w:asciiTheme="majorHAnsi" w:hAnsiTheme="majorHAnsi"/>
          <w:sz w:val="24"/>
        </w:rPr>
      </w:pPr>
      <w:r w:rsidRPr="00AB190E">
        <w:rPr>
          <w:rFonts w:asciiTheme="majorHAnsi" w:hAnsiTheme="majorHAnsi"/>
          <w:sz w:val="24"/>
          <w:lang w:val="en-US"/>
        </w:rPr>
        <w:t xml:space="preserve">The ACT Government continues to invest in </w:t>
      </w:r>
      <w:r w:rsidR="000A5DE2">
        <w:rPr>
          <w:rFonts w:asciiTheme="majorHAnsi" w:hAnsiTheme="majorHAnsi"/>
          <w:sz w:val="24"/>
          <w:lang w:val="en-US"/>
        </w:rPr>
        <w:t xml:space="preserve">research, </w:t>
      </w:r>
      <w:r w:rsidRPr="00AB190E">
        <w:rPr>
          <w:rFonts w:asciiTheme="majorHAnsi" w:hAnsiTheme="majorHAnsi"/>
          <w:sz w:val="24"/>
          <w:lang w:val="en-US"/>
        </w:rPr>
        <w:t>prevention, preparedness, response</w:t>
      </w:r>
      <w:r w:rsidR="0084545D">
        <w:rPr>
          <w:rFonts w:asciiTheme="majorHAnsi" w:hAnsiTheme="majorHAnsi"/>
          <w:sz w:val="24"/>
          <w:lang w:val="en-US"/>
        </w:rPr>
        <w:t>,</w:t>
      </w:r>
      <w:r w:rsidRPr="00AB190E">
        <w:rPr>
          <w:rFonts w:asciiTheme="majorHAnsi" w:hAnsiTheme="majorHAnsi"/>
          <w:sz w:val="24"/>
          <w:lang w:val="en-US"/>
        </w:rPr>
        <w:t xml:space="preserve"> and recovery</w:t>
      </w:r>
      <w:r w:rsidR="000A5DE2">
        <w:rPr>
          <w:rFonts w:asciiTheme="majorHAnsi" w:hAnsiTheme="majorHAnsi"/>
          <w:sz w:val="24"/>
          <w:lang w:val="en-US"/>
        </w:rPr>
        <w:t xml:space="preserve"> programs</w:t>
      </w:r>
      <w:r w:rsidRPr="00AB190E">
        <w:rPr>
          <w:rFonts w:asciiTheme="majorHAnsi" w:hAnsiTheme="majorHAnsi"/>
          <w:sz w:val="24"/>
          <w:lang w:val="en-US"/>
        </w:rPr>
        <w:t xml:space="preserve"> across a range of hazards in the</w:t>
      </w:r>
      <w:r w:rsidR="00C44E5E">
        <w:rPr>
          <w:rFonts w:asciiTheme="majorHAnsi" w:hAnsiTheme="majorHAnsi"/>
          <w:sz w:val="24"/>
          <w:lang w:val="en-US"/>
        </w:rPr>
        <w:t xml:space="preserve"> Territory</w:t>
      </w:r>
      <w:r w:rsidRPr="00AB190E">
        <w:rPr>
          <w:rFonts w:asciiTheme="majorHAnsi" w:hAnsiTheme="majorHAnsi"/>
          <w:sz w:val="24"/>
          <w:lang w:val="en-US"/>
        </w:rPr>
        <w:t xml:space="preserve">. </w:t>
      </w:r>
      <w:r w:rsidR="0084545D">
        <w:rPr>
          <w:rFonts w:asciiTheme="majorHAnsi" w:hAnsiTheme="majorHAnsi"/>
          <w:sz w:val="24"/>
        </w:rPr>
        <w:t>T</w:t>
      </w:r>
      <w:r w:rsidRPr="00AB190E">
        <w:rPr>
          <w:rFonts w:asciiTheme="majorHAnsi" w:hAnsiTheme="majorHAnsi"/>
          <w:sz w:val="24"/>
        </w:rPr>
        <w:t xml:space="preserve">he ACT Government also considers that there is a </w:t>
      </w:r>
      <w:r w:rsidR="000A5DE2">
        <w:rPr>
          <w:rFonts w:asciiTheme="majorHAnsi" w:hAnsiTheme="majorHAnsi"/>
          <w:sz w:val="24"/>
        </w:rPr>
        <w:t>shared responsibility and a role</w:t>
      </w:r>
      <w:r w:rsidRPr="00AB190E">
        <w:rPr>
          <w:rFonts w:asciiTheme="majorHAnsi" w:hAnsiTheme="majorHAnsi"/>
          <w:sz w:val="24"/>
        </w:rPr>
        <w:t xml:space="preserve"> for the </w:t>
      </w:r>
      <w:r w:rsidR="009C7281">
        <w:rPr>
          <w:rFonts w:asciiTheme="majorHAnsi" w:hAnsiTheme="majorHAnsi"/>
          <w:sz w:val="24"/>
        </w:rPr>
        <w:t>Australian Government</w:t>
      </w:r>
      <w:r w:rsidRPr="00AB190E">
        <w:rPr>
          <w:rFonts w:asciiTheme="majorHAnsi" w:hAnsiTheme="majorHAnsi"/>
          <w:sz w:val="24"/>
        </w:rPr>
        <w:t xml:space="preserve"> to </w:t>
      </w:r>
      <w:r w:rsidR="0084545D">
        <w:rPr>
          <w:rFonts w:asciiTheme="majorHAnsi" w:hAnsiTheme="majorHAnsi"/>
          <w:sz w:val="24"/>
        </w:rPr>
        <w:t xml:space="preserve">play in </w:t>
      </w:r>
      <w:r w:rsidRPr="00AB190E">
        <w:rPr>
          <w:rFonts w:asciiTheme="majorHAnsi" w:hAnsiTheme="majorHAnsi"/>
          <w:sz w:val="24"/>
        </w:rPr>
        <w:t>assist</w:t>
      </w:r>
      <w:r w:rsidR="0084545D">
        <w:rPr>
          <w:rFonts w:asciiTheme="majorHAnsi" w:hAnsiTheme="majorHAnsi"/>
          <w:sz w:val="24"/>
        </w:rPr>
        <w:t>ing</w:t>
      </w:r>
      <w:r w:rsidRPr="00AB190E">
        <w:rPr>
          <w:rFonts w:asciiTheme="majorHAnsi" w:hAnsiTheme="majorHAnsi"/>
          <w:sz w:val="24"/>
        </w:rPr>
        <w:t xml:space="preserve"> </w:t>
      </w:r>
      <w:r w:rsidR="0084545D">
        <w:rPr>
          <w:rFonts w:asciiTheme="majorHAnsi" w:hAnsiTheme="majorHAnsi"/>
          <w:sz w:val="24"/>
        </w:rPr>
        <w:t xml:space="preserve">their </w:t>
      </w:r>
      <w:r w:rsidRPr="00AB190E">
        <w:rPr>
          <w:rFonts w:asciiTheme="majorHAnsi" w:hAnsiTheme="majorHAnsi"/>
          <w:sz w:val="24"/>
        </w:rPr>
        <w:t>state and territor</w:t>
      </w:r>
      <w:r w:rsidR="0084545D">
        <w:rPr>
          <w:rFonts w:asciiTheme="majorHAnsi" w:hAnsiTheme="majorHAnsi"/>
          <w:sz w:val="24"/>
        </w:rPr>
        <w:t>y</w:t>
      </w:r>
      <w:r w:rsidRPr="00AB190E">
        <w:rPr>
          <w:rFonts w:asciiTheme="majorHAnsi" w:hAnsiTheme="majorHAnsi"/>
          <w:sz w:val="24"/>
        </w:rPr>
        <w:t xml:space="preserve"> partners. </w:t>
      </w:r>
    </w:p>
    <w:p w:rsidR="00AB190E" w:rsidRPr="00AB190E" w:rsidRDefault="00AB190E" w:rsidP="00AB190E">
      <w:pPr>
        <w:spacing w:line="360" w:lineRule="auto"/>
        <w:jc w:val="both"/>
        <w:rPr>
          <w:rFonts w:asciiTheme="majorHAnsi" w:hAnsiTheme="majorHAnsi"/>
          <w:sz w:val="24"/>
        </w:rPr>
      </w:pPr>
      <w:r w:rsidRPr="00AB190E">
        <w:rPr>
          <w:rFonts w:asciiTheme="majorHAnsi" w:hAnsiTheme="majorHAnsi"/>
          <w:sz w:val="24"/>
        </w:rPr>
        <w:t xml:space="preserve">Noting that disasters cross borders and impact the </w:t>
      </w:r>
      <w:r w:rsidR="0084545D">
        <w:rPr>
          <w:rFonts w:asciiTheme="majorHAnsi" w:hAnsiTheme="majorHAnsi"/>
          <w:sz w:val="24"/>
        </w:rPr>
        <w:t xml:space="preserve">wide sections of the </w:t>
      </w:r>
      <w:r w:rsidRPr="00AB190E">
        <w:rPr>
          <w:rFonts w:asciiTheme="majorHAnsi" w:hAnsiTheme="majorHAnsi"/>
          <w:sz w:val="24"/>
        </w:rPr>
        <w:t>community, industry and tourism</w:t>
      </w:r>
      <w:r w:rsidR="0084545D">
        <w:rPr>
          <w:rFonts w:asciiTheme="majorHAnsi" w:hAnsiTheme="majorHAnsi"/>
          <w:sz w:val="24"/>
        </w:rPr>
        <w:t>,</w:t>
      </w:r>
      <w:r w:rsidRPr="00AB190E">
        <w:rPr>
          <w:rFonts w:asciiTheme="majorHAnsi" w:hAnsiTheme="majorHAnsi"/>
          <w:sz w:val="24"/>
        </w:rPr>
        <w:t xml:space="preserve"> the ACT Government identifies that </w:t>
      </w:r>
      <w:r w:rsidR="0084545D">
        <w:rPr>
          <w:rFonts w:asciiTheme="majorHAnsi" w:hAnsiTheme="majorHAnsi"/>
          <w:sz w:val="24"/>
        </w:rPr>
        <w:t xml:space="preserve">the support provided by the </w:t>
      </w:r>
      <w:r w:rsidR="009C7281">
        <w:rPr>
          <w:rFonts w:asciiTheme="majorHAnsi" w:hAnsiTheme="majorHAnsi"/>
          <w:sz w:val="24"/>
        </w:rPr>
        <w:t>Australian Government</w:t>
      </w:r>
      <w:r w:rsidRPr="00AB190E">
        <w:rPr>
          <w:rFonts w:asciiTheme="majorHAnsi" w:hAnsiTheme="majorHAnsi"/>
          <w:sz w:val="24"/>
        </w:rPr>
        <w:t xml:space="preserve"> is not only through financial partnership</w:t>
      </w:r>
      <w:r w:rsidR="0084545D">
        <w:rPr>
          <w:rFonts w:asciiTheme="majorHAnsi" w:hAnsiTheme="majorHAnsi"/>
          <w:sz w:val="24"/>
        </w:rPr>
        <w:t>s,</w:t>
      </w:r>
      <w:r w:rsidRPr="00AB190E">
        <w:rPr>
          <w:rFonts w:asciiTheme="majorHAnsi" w:hAnsiTheme="majorHAnsi"/>
          <w:sz w:val="24"/>
        </w:rPr>
        <w:t xml:space="preserve"> but </w:t>
      </w:r>
      <w:r w:rsidR="0084545D">
        <w:rPr>
          <w:rFonts w:asciiTheme="majorHAnsi" w:hAnsiTheme="majorHAnsi"/>
          <w:sz w:val="24"/>
        </w:rPr>
        <w:t xml:space="preserve">also </w:t>
      </w:r>
      <w:r w:rsidRPr="00AB190E">
        <w:rPr>
          <w:rFonts w:asciiTheme="majorHAnsi" w:hAnsiTheme="majorHAnsi"/>
          <w:sz w:val="24"/>
        </w:rPr>
        <w:t>through the facilitation of cross jurisdictional agreements</w:t>
      </w:r>
      <w:r w:rsidR="00C44E5E">
        <w:rPr>
          <w:rFonts w:asciiTheme="majorHAnsi" w:hAnsiTheme="majorHAnsi"/>
          <w:sz w:val="24"/>
        </w:rPr>
        <w:t>. This support</w:t>
      </w:r>
      <w:r w:rsidRPr="00AB190E">
        <w:rPr>
          <w:rFonts w:asciiTheme="majorHAnsi" w:hAnsiTheme="majorHAnsi"/>
          <w:sz w:val="24"/>
        </w:rPr>
        <w:t xml:space="preserve"> allow</w:t>
      </w:r>
      <w:r w:rsidR="003471ED">
        <w:rPr>
          <w:rFonts w:asciiTheme="majorHAnsi" w:hAnsiTheme="majorHAnsi"/>
          <w:sz w:val="24"/>
        </w:rPr>
        <w:t>s</w:t>
      </w:r>
      <w:r w:rsidRPr="00AB190E">
        <w:rPr>
          <w:rFonts w:asciiTheme="majorHAnsi" w:hAnsiTheme="majorHAnsi"/>
          <w:sz w:val="24"/>
        </w:rPr>
        <w:t xml:space="preserve"> for </w:t>
      </w:r>
      <w:r w:rsidR="003471ED">
        <w:rPr>
          <w:rFonts w:asciiTheme="majorHAnsi" w:hAnsiTheme="majorHAnsi"/>
          <w:sz w:val="24"/>
        </w:rPr>
        <w:t>acces</w:t>
      </w:r>
      <w:r w:rsidRPr="00AB190E">
        <w:rPr>
          <w:rFonts w:asciiTheme="majorHAnsi" w:hAnsiTheme="majorHAnsi"/>
          <w:sz w:val="24"/>
        </w:rPr>
        <w:t>s</w:t>
      </w:r>
      <w:r w:rsidR="003471ED">
        <w:rPr>
          <w:rFonts w:asciiTheme="majorHAnsi" w:hAnsiTheme="majorHAnsi"/>
          <w:sz w:val="24"/>
        </w:rPr>
        <w:t xml:space="preserve"> to jurisdictional programs and tools</w:t>
      </w:r>
      <w:r w:rsidR="0084545D">
        <w:rPr>
          <w:rFonts w:asciiTheme="majorHAnsi" w:hAnsiTheme="majorHAnsi"/>
          <w:sz w:val="24"/>
        </w:rPr>
        <w:t>,</w:t>
      </w:r>
      <w:r w:rsidR="003471ED">
        <w:rPr>
          <w:rFonts w:asciiTheme="majorHAnsi" w:hAnsiTheme="majorHAnsi"/>
          <w:sz w:val="24"/>
        </w:rPr>
        <w:t xml:space="preserve"> and the s</w:t>
      </w:r>
      <w:r w:rsidRPr="00AB190E">
        <w:rPr>
          <w:rFonts w:asciiTheme="majorHAnsi" w:hAnsiTheme="majorHAnsi"/>
          <w:sz w:val="24"/>
        </w:rPr>
        <w:t>haring of resources</w:t>
      </w:r>
      <w:r w:rsidR="00EC3B8B">
        <w:rPr>
          <w:rFonts w:asciiTheme="majorHAnsi" w:hAnsiTheme="majorHAnsi"/>
          <w:sz w:val="24"/>
        </w:rPr>
        <w:t xml:space="preserve"> that adds to </w:t>
      </w:r>
      <w:r w:rsidR="007C5066">
        <w:rPr>
          <w:rFonts w:asciiTheme="majorHAnsi" w:hAnsiTheme="majorHAnsi"/>
          <w:sz w:val="24"/>
        </w:rPr>
        <w:t xml:space="preserve">effective </w:t>
      </w:r>
      <w:r w:rsidR="00EC3B8B">
        <w:rPr>
          <w:rFonts w:asciiTheme="majorHAnsi" w:hAnsiTheme="majorHAnsi"/>
          <w:sz w:val="24"/>
        </w:rPr>
        <w:t>capacity without unnecessary duplication</w:t>
      </w:r>
      <w:r w:rsidR="003471ED">
        <w:rPr>
          <w:rFonts w:asciiTheme="majorHAnsi" w:hAnsiTheme="majorHAnsi"/>
          <w:sz w:val="24"/>
        </w:rPr>
        <w:t>.</w:t>
      </w:r>
      <w:r w:rsidRPr="00AB190E">
        <w:rPr>
          <w:rFonts w:asciiTheme="majorHAnsi" w:hAnsiTheme="majorHAnsi"/>
          <w:sz w:val="24"/>
        </w:rPr>
        <w:t xml:space="preserve"> </w:t>
      </w:r>
    </w:p>
    <w:p w:rsidR="0002119C" w:rsidRPr="00C51DBD" w:rsidRDefault="0002119C" w:rsidP="0002119C">
      <w:pPr>
        <w:spacing w:after="0" w:line="360" w:lineRule="auto"/>
        <w:jc w:val="both"/>
        <w:rPr>
          <w:rFonts w:asciiTheme="majorHAnsi" w:eastAsia="Calibri" w:hAnsiTheme="majorHAnsi" w:cs="Times New Roman"/>
          <w:sz w:val="24"/>
        </w:rPr>
      </w:pPr>
    </w:p>
    <w:p w:rsidR="0002119C" w:rsidRPr="00C51DBD" w:rsidRDefault="0002119C" w:rsidP="0002119C">
      <w:pPr>
        <w:spacing w:after="0" w:line="360" w:lineRule="auto"/>
        <w:jc w:val="both"/>
        <w:rPr>
          <w:rFonts w:asciiTheme="majorHAnsi" w:eastAsia="Calibri" w:hAnsiTheme="majorHAnsi" w:cs="Times New Roman"/>
          <w:sz w:val="24"/>
        </w:rPr>
      </w:pPr>
    </w:p>
    <w:p w:rsidR="000A5DE2" w:rsidRDefault="000A5DE2" w:rsidP="00A21D10">
      <w:pPr>
        <w:pStyle w:val="H2bold"/>
        <w:rPr>
          <w:rFonts w:asciiTheme="majorHAnsi" w:hAnsiTheme="majorHAnsi"/>
          <w:color w:val="4F6228" w:themeColor="accent3" w:themeShade="80"/>
          <w:sz w:val="28"/>
          <w:szCs w:val="28"/>
        </w:rPr>
      </w:pPr>
    </w:p>
    <w:p w:rsidR="000A5DE2" w:rsidRDefault="00FC67BA" w:rsidP="00A21D10">
      <w:pPr>
        <w:pStyle w:val="H2bold"/>
        <w:rPr>
          <w:rFonts w:asciiTheme="majorHAnsi" w:hAnsiTheme="majorHAnsi"/>
          <w:color w:val="4F6228" w:themeColor="accent3" w:themeShade="80"/>
          <w:sz w:val="28"/>
          <w:szCs w:val="28"/>
        </w:rPr>
      </w:pPr>
      <w:r>
        <w:rPr>
          <w:rFonts w:asciiTheme="majorHAnsi" w:hAnsiTheme="majorHAnsi"/>
          <w:noProof/>
          <w:color w:val="4F6228" w:themeColor="accent3" w:themeShade="80"/>
          <w:sz w:val="28"/>
          <w:szCs w:val="28"/>
          <w:lang w:eastAsia="en-AU"/>
        </w:rPr>
        <w:pict>
          <v:shape id="_x0000_s1030" type="#_x0000_t202" style="position:absolute;margin-left:11.15pt;margin-top:14.95pt;width:474.2pt;height:281.25pt;z-index:251678720;mso-width-relative:margin;mso-height-relative:margin">
            <v:textbox style="mso-next-textbox:#_x0000_s1030">
              <w:txbxContent>
                <w:p w:rsidR="00020AF2" w:rsidRDefault="00020AF2" w:rsidP="008F1557">
                  <w:pPr>
                    <w:spacing w:after="0"/>
                    <w:rPr>
                      <w:rFonts w:asciiTheme="majorHAnsi" w:hAnsiTheme="majorHAnsi"/>
                      <w:color w:val="4F6228" w:themeColor="accent3" w:themeShade="80"/>
                      <w:sz w:val="24"/>
                    </w:rPr>
                  </w:pPr>
                  <w:r w:rsidRPr="00314755">
                    <w:rPr>
                      <w:rFonts w:asciiTheme="majorHAnsi" w:hAnsiTheme="majorHAnsi"/>
                      <w:b/>
                      <w:color w:val="4F6228" w:themeColor="accent3" w:themeShade="80"/>
                      <w:sz w:val="24"/>
                      <w:u w:val="single"/>
                    </w:rPr>
                    <w:t xml:space="preserve">Recommendation </w:t>
                  </w:r>
                  <w:r>
                    <w:rPr>
                      <w:rFonts w:asciiTheme="majorHAnsi" w:hAnsiTheme="majorHAnsi"/>
                      <w:b/>
                      <w:color w:val="4F6228" w:themeColor="accent3" w:themeShade="80"/>
                      <w:sz w:val="24"/>
                      <w:u w:val="single"/>
                    </w:rPr>
                    <w:t>5</w:t>
                  </w:r>
                  <w:r w:rsidRPr="00314755">
                    <w:rPr>
                      <w:rFonts w:asciiTheme="majorHAnsi" w:hAnsiTheme="majorHAnsi"/>
                      <w:color w:val="4F6228" w:themeColor="accent3" w:themeShade="80"/>
                      <w:sz w:val="24"/>
                    </w:rPr>
                    <w:t xml:space="preserve">: </w:t>
                  </w:r>
                </w:p>
                <w:p w:rsidR="00020AF2" w:rsidRDefault="00020AF2" w:rsidP="008F1557">
                  <w:pPr>
                    <w:spacing w:after="0" w:line="360" w:lineRule="auto"/>
                    <w:jc w:val="both"/>
                    <w:rPr>
                      <w:rFonts w:asciiTheme="majorHAnsi" w:hAnsiTheme="majorHAnsi"/>
                      <w:color w:val="4F6228" w:themeColor="accent3" w:themeShade="80"/>
                      <w:sz w:val="24"/>
                    </w:rPr>
                  </w:pPr>
                  <w:r>
                    <w:rPr>
                      <w:rFonts w:asciiTheme="majorHAnsi" w:hAnsiTheme="majorHAnsi"/>
                      <w:color w:val="4F6228" w:themeColor="accent3" w:themeShade="80"/>
                      <w:sz w:val="24"/>
                    </w:rPr>
                    <w:t>In summary, t</w:t>
                  </w:r>
                  <w:r w:rsidRPr="00733E81">
                    <w:rPr>
                      <w:rFonts w:asciiTheme="majorHAnsi" w:hAnsiTheme="majorHAnsi"/>
                      <w:color w:val="4F6228" w:themeColor="accent3" w:themeShade="80"/>
                      <w:sz w:val="24"/>
                    </w:rPr>
                    <w:t xml:space="preserve">he ACT Government </w:t>
                  </w:r>
                  <w:r>
                    <w:rPr>
                      <w:rFonts w:asciiTheme="majorHAnsi" w:hAnsiTheme="majorHAnsi"/>
                      <w:color w:val="4F6228" w:themeColor="accent3" w:themeShade="80"/>
                      <w:sz w:val="24"/>
                    </w:rPr>
                    <w:t>recognises</w:t>
                  </w:r>
                  <w:r w:rsidRPr="002326E3">
                    <w:rPr>
                      <w:rFonts w:asciiTheme="majorHAnsi" w:hAnsiTheme="majorHAnsi"/>
                      <w:color w:val="4F6228" w:themeColor="accent3" w:themeShade="80"/>
                      <w:sz w:val="24"/>
                    </w:rPr>
                    <w:t xml:space="preserve"> no state</w:t>
                  </w:r>
                  <w:r>
                    <w:rPr>
                      <w:rFonts w:asciiTheme="majorHAnsi" w:hAnsiTheme="majorHAnsi"/>
                      <w:color w:val="4F6228" w:themeColor="accent3" w:themeShade="80"/>
                      <w:sz w:val="24"/>
                    </w:rPr>
                    <w:t xml:space="preserve"> or territory</w:t>
                  </w:r>
                  <w:r w:rsidRPr="002326E3">
                    <w:rPr>
                      <w:rFonts w:asciiTheme="majorHAnsi" w:hAnsiTheme="majorHAnsi"/>
                      <w:color w:val="4F6228" w:themeColor="accent3" w:themeShade="80"/>
                      <w:sz w:val="24"/>
                    </w:rPr>
                    <w:t xml:space="preserve"> can fully prepare to manage and recover from large disasters alone</w:t>
                  </w:r>
                  <w:r>
                    <w:rPr>
                      <w:rFonts w:asciiTheme="majorHAnsi" w:hAnsiTheme="majorHAnsi"/>
                      <w:color w:val="4F6228" w:themeColor="accent3" w:themeShade="80"/>
                      <w:sz w:val="24"/>
                    </w:rPr>
                    <w:t>. Continued Australian Government</w:t>
                  </w:r>
                  <w:r w:rsidRPr="002326E3">
                    <w:rPr>
                      <w:rFonts w:asciiTheme="majorHAnsi" w:hAnsiTheme="majorHAnsi"/>
                      <w:color w:val="4F6228" w:themeColor="accent3" w:themeShade="80"/>
                      <w:sz w:val="24"/>
                    </w:rPr>
                    <w:t xml:space="preserve"> </w:t>
                  </w:r>
                  <w:r>
                    <w:rPr>
                      <w:rFonts w:asciiTheme="majorHAnsi" w:hAnsiTheme="majorHAnsi"/>
                      <w:color w:val="4F6228" w:themeColor="accent3" w:themeShade="80"/>
                      <w:sz w:val="24"/>
                    </w:rPr>
                    <w:t>assistance in the following areas would assist:</w:t>
                  </w:r>
                </w:p>
                <w:p w:rsidR="00020AF2" w:rsidRPr="003471ED" w:rsidRDefault="00020AF2" w:rsidP="00462D92">
                  <w:pPr>
                    <w:pStyle w:val="ListParagraph"/>
                    <w:numPr>
                      <w:ilvl w:val="0"/>
                      <w:numId w:val="40"/>
                    </w:numPr>
                    <w:spacing w:after="0" w:line="360" w:lineRule="auto"/>
                    <w:jc w:val="both"/>
                    <w:rPr>
                      <w:rFonts w:asciiTheme="majorHAnsi" w:hAnsiTheme="majorHAnsi"/>
                      <w:color w:val="4F6228" w:themeColor="accent3" w:themeShade="80"/>
                      <w:sz w:val="24"/>
                    </w:rPr>
                  </w:pPr>
                  <w:r w:rsidRPr="003471ED">
                    <w:rPr>
                      <w:rFonts w:asciiTheme="majorHAnsi" w:hAnsiTheme="majorHAnsi"/>
                      <w:color w:val="4F6228" w:themeColor="accent3" w:themeShade="80"/>
                      <w:sz w:val="24"/>
                    </w:rPr>
                    <w:t xml:space="preserve">the identification of the key disaster prone areas/infrastructure regularly impacted by disasters; </w:t>
                  </w:r>
                </w:p>
                <w:p w:rsidR="00020AF2" w:rsidRDefault="00020AF2" w:rsidP="00462D92">
                  <w:pPr>
                    <w:pStyle w:val="ListParagraph"/>
                    <w:numPr>
                      <w:ilvl w:val="0"/>
                      <w:numId w:val="40"/>
                    </w:numPr>
                    <w:spacing w:after="0" w:line="360" w:lineRule="auto"/>
                    <w:jc w:val="both"/>
                    <w:rPr>
                      <w:rFonts w:asciiTheme="majorHAnsi" w:hAnsiTheme="majorHAnsi"/>
                      <w:color w:val="4F6228" w:themeColor="accent3" w:themeShade="80"/>
                      <w:sz w:val="24"/>
                    </w:rPr>
                  </w:pPr>
                  <w:r w:rsidRPr="003471ED">
                    <w:rPr>
                      <w:rFonts w:asciiTheme="majorHAnsi" w:hAnsiTheme="majorHAnsi"/>
                      <w:color w:val="4F6228" w:themeColor="accent3" w:themeShade="80"/>
                      <w:sz w:val="24"/>
                    </w:rPr>
                    <w:t xml:space="preserve">continue with national interoperability, regulation and provision of disaster assistance, including Defence;  </w:t>
                  </w:r>
                </w:p>
                <w:p w:rsidR="00020AF2" w:rsidRPr="003471ED" w:rsidRDefault="00020AF2" w:rsidP="00462D92">
                  <w:pPr>
                    <w:pStyle w:val="ListParagraph"/>
                    <w:numPr>
                      <w:ilvl w:val="0"/>
                      <w:numId w:val="40"/>
                    </w:numPr>
                    <w:spacing w:after="0" w:line="360" w:lineRule="auto"/>
                    <w:jc w:val="both"/>
                    <w:rPr>
                      <w:rFonts w:asciiTheme="majorHAnsi" w:hAnsiTheme="majorHAnsi"/>
                      <w:color w:val="4F6228" w:themeColor="accent3" w:themeShade="80"/>
                      <w:sz w:val="24"/>
                    </w:rPr>
                  </w:pPr>
                  <w:r w:rsidRPr="003471ED">
                    <w:rPr>
                      <w:rFonts w:asciiTheme="majorHAnsi" w:hAnsiTheme="majorHAnsi"/>
                      <w:color w:val="4F6228" w:themeColor="accent3" w:themeShade="80"/>
                      <w:sz w:val="24"/>
                    </w:rPr>
                    <w:t>continue with national capability tools such as Emergency Alert; and</w:t>
                  </w:r>
                </w:p>
                <w:p w:rsidR="00020AF2" w:rsidRPr="003471ED" w:rsidRDefault="00020AF2" w:rsidP="00462D92">
                  <w:pPr>
                    <w:pStyle w:val="ListParagraph"/>
                    <w:numPr>
                      <w:ilvl w:val="0"/>
                      <w:numId w:val="40"/>
                    </w:numPr>
                    <w:spacing w:after="0" w:line="360" w:lineRule="auto"/>
                    <w:jc w:val="both"/>
                    <w:rPr>
                      <w:rFonts w:asciiTheme="majorHAnsi" w:hAnsiTheme="majorHAnsi"/>
                      <w:color w:val="4F6228" w:themeColor="accent3" w:themeShade="80"/>
                      <w:sz w:val="24"/>
                    </w:rPr>
                  </w:pPr>
                  <w:r>
                    <w:rPr>
                      <w:rFonts w:asciiTheme="majorHAnsi" w:hAnsiTheme="majorHAnsi"/>
                      <w:color w:val="4F6228" w:themeColor="accent3" w:themeShade="80"/>
                      <w:sz w:val="24"/>
                    </w:rPr>
                    <w:t xml:space="preserve">to </w:t>
                  </w:r>
                  <w:r w:rsidRPr="003471ED">
                    <w:rPr>
                      <w:rFonts w:asciiTheme="majorHAnsi" w:hAnsiTheme="majorHAnsi"/>
                      <w:color w:val="4F6228" w:themeColor="accent3" w:themeShade="80"/>
                      <w:sz w:val="24"/>
                    </w:rPr>
                    <w:t>support the states and territories to promote community preparedness and emergency management capability across</w:t>
                  </w:r>
                  <w:r>
                    <w:rPr>
                      <w:rFonts w:asciiTheme="majorHAnsi" w:hAnsiTheme="majorHAnsi"/>
                      <w:color w:val="4F6228" w:themeColor="accent3" w:themeShade="80"/>
                      <w:sz w:val="24"/>
                    </w:rPr>
                    <w:t xml:space="preserve"> the Research,</w:t>
                  </w:r>
                  <w:r w:rsidRPr="003471ED">
                    <w:rPr>
                      <w:rFonts w:asciiTheme="majorHAnsi" w:hAnsiTheme="majorHAnsi"/>
                      <w:color w:val="4F6228" w:themeColor="accent3" w:themeShade="80"/>
                      <w:sz w:val="24"/>
                    </w:rPr>
                    <w:t xml:space="preserve"> Prevention, Preparedness, Response and Recovery</w:t>
                  </w:r>
                  <w:r>
                    <w:rPr>
                      <w:rFonts w:asciiTheme="majorHAnsi" w:hAnsiTheme="majorHAnsi"/>
                      <w:color w:val="4F6228" w:themeColor="accent3" w:themeShade="80"/>
                      <w:sz w:val="24"/>
                    </w:rPr>
                    <w:t xml:space="preserve"> spectrum </w:t>
                  </w:r>
                  <w:r w:rsidRPr="003471ED">
                    <w:rPr>
                      <w:rFonts w:asciiTheme="majorHAnsi" w:hAnsiTheme="majorHAnsi"/>
                      <w:color w:val="4F6228" w:themeColor="accent3" w:themeShade="80"/>
                      <w:sz w:val="24"/>
                    </w:rPr>
                    <w:t>, commensurate with their respective risk profile.</w:t>
                  </w:r>
                </w:p>
                <w:p w:rsidR="00020AF2" w:rsidRPr="00733E81" w:rsidRDefault="00020AF2" w:rsidP="008F1557">
                  <w:pPr>
                    <w:spacing w:after="0" w:line="360" w:lineRule="auto"/>
                    <w:jc w:val="both"/>
                    <w:rPr>
                      <w:rFonts w:asciiTheme="majorHAnsi" w:hAnsiTheme="majorHAnsi"/>
                      <w:color w:val="4F6228" w:themeColor="accent3" w:themeShade="80"/>
                      <w:sz w:val="24"/>
                    </w:rPr>
                  </w:pPr>
                </w:p>
                <w:p w:rsidR="00020AF2" w:rsidRDefault="00020AF2" w:rsidP="008F1557">
                  <w:pPr>
                    <w:spacing w:after="0"/>
                    <w:rPr>
                      <w:rFonts w:asciiTheme="majorHAnsi" w:hAnsiTheme="majorHAnsi"/>
                      <w:color w:val="4F6228" w:themeColor="accent3" w:themeShade="80"/>
                      <w:sz w:val="24"/>
                    </w:rPr>
                  </w:pPr>
                </w:p>
                <w:p w:rsidR="00020AF2" w:rsidRPr="0041490A" w:rsidRDefault="00020AF2" w:rsidP="008F1557">
                  <w:pPr>
                    <w:spacing w:after="0"/>
                  </w:pPr>
                </w:p>
              </w:txbxContent>
            </v:textbox>
          </v:shape>
        </w:pict>
      </w:r>
    </w:p>
    <w:p w:rsidR="000A5DE2" w:rsidRDefault="000A5DE2" w:rsidP="00A21D10">
      <w:pPr>
        <w:pStyle w:val="H2bold"/>
        <w:rPr>
          <w:rFonts w:asciiTheme="majorHAnsi" w:hAnsiTheme="majorHAnsi"/>
          <w:color w:val="4F6228" w:themeColor="accent3" w:themeShade="80"/>
          <w:sz w:val="28"/>
          <w:szCs w:val="28"/>
        </w:rPr>
      </w:pPr>
    </w:p>
    <w:p w:rsidR="003471ED" w:rsidRDefault="003471ED" w:rsidP="00A21D10">
      <w:pPr>
        <w:pStyle w:val="H2bold"/>
        <w:rPr>
          <w:rFonts w:asciiTheme="majorHAnsi" w:hAnsiTheme="majorHAnsi"/>
          <w:color w:val="4F6228" w:themeColor="accent3" w:themeShade="80"/>
          <w:sz w:val="28"/>
          <w:szCs w:val="28"/>
        </w:rPr>
      </w:pPr>
    </w:p>
    <w:p w:rsidR="003471ED" w:rsidRDefault="003471ED" w:rsidP="00A21D10">
      <w:pPr>
        <w:pStyle w:val="H2bold"/>
        <w:rPr>
          <w:rFonts w:asciiTheme="majorHAnsi" w:hAnsiTheme="majorHAnsi"/>
          <w:color w:val="4F6228" w:themeColor="accent3" w:themeShade="80"/>
          <w:sz w:val="28"/>
          <w:szCs w:val="28"/>
        </w:rPr>
      </w:pPr>
    </w:p>
    <w:p w:rsidR="003471ED" w:rsidRDefault="003471ED" w:rsidP="00A21D10">
      <w:pPr>
        <w:pStyle w:val="H2bold"/>
        <w:rPr>
          <w:rFonts w:asciiTheme="majorHAnsi" w:hAnsiTheme="majorHAnsi"/>
          <w:color w:val="4F6228" w:themeColor="accent3" w:themeShade="80"/>
          <w:sz w:val="28"/>
          <w:szCs w:val="28"/>
        </w:rPr>
      </w:pPr>
    </w:p>
    <w:p w:rsidR="003471ED" w:rsidRDefault="003471ED" w:rsidP="00A21D10">
      <w:pPr>
        <w:pStyle w:val="H2bold"/>
        <w:rPr>
          <w:rFonts w:asciiTheme="majorHAnsi" w:hAnsiTheme="majorHAnsi"/>
          <w:color w:val="4F6228" w:themeColor="accent3" w:themeShade="80"/>
          <w:sz w:val="28"/>
          <w:szCs w:val="28"/>
        </w:rPr>
      </w:pPr>
    </w:p>
    <w:p w:rsidR="003471ED" w:rsidRDefault="003471ED" w:rsidP="00A21D10">
      <w:pPr>
        <w:pStyle w:val="H2bold"/>
        <w:rPr>
          <w:rFonts w:asciiTheme="majorHAnsi" w:hAnsiTheme="majorHAnsi"/>
          <w:color w:val="4F6228" w:themeColor="accent3" w:themeShade="80"/>
          <w:sz w:val="28"/>
          <w:szCs w:val="28"/>
        </w:rPr>
      </w:pPr>
    </w:p>
    <w:p w:rsidR="003471ED" w:rsidRDefault="003471ED" w:rsidP="00A21D10">
      <w:pPr>
        <w:pStyle w:val="H2bold"/>
        <w:rPr>
          <w:rFonts w:asciiTheme="majorHAnsi" w:hAnsiTheme="majorHAnsi"/>
          <w:color w:val="4F6228" w:themeColor="accent3" w:themeShade="80"/>
          <w:sz w:val="28"/>
          <w:szCs w:val="28"/>
        </w:rPr>
      </w:pPr>
    </w:p>
    <w:p w:rsidR="00851862" w:rsidRDefault="00851862" w:rsidP="00A21D10">
      <w:pPr>
        <w:pStyle w:val="H2bold"/>
        <w:rPr>
          <w:rFonts w:asciiTheme="majorHAnsi" w:hAnsiTheme="majorHAnsi"/>
          <w:color w:val="4F6228" w:themeColor="accent3" w:themeShade="80"/>
          <w:sz w:val="28"/>
          <w:szCs w:val="28"/>
        </w:rPr>
      </w:pPr>
    </w:p>
    <w:p w:rsidR="00462D92" w:rsidRDefault="00462D92" w:rsidP="00A21D10">
      <w:pPr>
        <w:pStyle w:val="H2bold"/>
        <w:rPr>
          <w:rFonts w:asciiTheme="majorHAnsi" w:hAnsiTheme="majorHAnsi"/>
          <w:color w:val="4F6228" w:themeColor="accent3" w:themeShade="80"/>
          <w:sz w:val="28"/>
          <w:szCs w:val="28"/>
        </w:rPr>
      </w:pPr>
    </w:p>
    <w:p w:rsidR="00462D92" w:rsidRDefault="00462D92" w:rsidP="00A21D10">
      <w:pPr>
        <w:pStyle w:val="H2bold"/>
        <w:rPr>
          <w:rFonts w:asciiTheme="majorHAnsi" w:hAnsiTheme="majorHAnsi"/>
          <w:color w:val="4F6228" w:themeColor="accent3" w:themeShade="80"/>
          <w:sz w:val="28"/>
          <w:szCs w:val="28"/>
        </w:rPr>
      </w:pPr>
    </w:p>
    <w:p w:rsidR="00462D92" w:rsidRDefault="00462D92" w:rsidP="00A21D10">
      <w:pPr>
        <w:pStyle w:val="H2bold"/>
        <w:rPr>
          <w:rFonts w:asciiTheme="majorHAnsi" w:hAnsiTheme="majorHAnsi"/>
          <w:color w:val="4F6228" w:themeColor="accent3" w:themeShade="80"/>
          <w:sz w:val="28"/>
          <w:szCs w:val="28"/>
        </w:rPr>
      </w:pPr>
    </w:p>
    <w:p w:rsidR="00462D92" w:rsidRDefault="00462D92" w:rsidP="00A21D10">
      <w:pPr>
        <w:pStyle w:val="H2bold"/>
        <w:rPr>
          <w:rFonts w:asciiTheme="majorHAnsi" w:hAnsiTheme="majorHAnsi"/>
          <w:color w:val="4F6228" w:themeColor="accent3" w:themeShade="80"/>
          <w:sz w:val="28"/>
          <w:szCs w:val="28"/>
        </w:rPr>
      </w:pPr>
    </w:p>
    <w:p w:rsidR="00462D92" w:rsidRDefault="00462D92" w:rsidP="00A21D10">
      <w:pPr>
        <w:pStyle w:val="H2bold"/>
        <w:rPr>
          <w:rFonts w:asciiTheme="majorHAnsi" w:hAnsiTheme="majorHAnsi"/>
          <w:color w:val="4F6228" w:themeColor="accent3" w:themeShade="80"/>
          <w:sz w:val="28"/>
          <w:szCs w:val="28"/>
        </w:rPr>
      </w:pPr>
    </w:p>
    <w:p w:rsidR="00A21D10" w:rsidRDefault="003471ED" w:rsidP="00A21D10">
      <w:pPr>
        <w:pStyle w:val="H2bold"/>
        <w:rPr>
          <w:rFonts w:asciiTheme="majorHAnsi" w:hAnsiTheme="majorHAnsi"/>
          <w:color w:val="4F6228" w:themeColor="accent3" w:themeShade="80"/>
          <w:sz w:val="28"/>
          <w:szCs w:val="28"/>
        </w:rPr>
      </w:pPr>
      <w:r>
        <w:rPr>
          <w:rFonts w:asciiTheme="majorHAnsi" w:hAnsiTheme="majorHAnsi"/>
          <w:color w:val="4F6228" w:themeColor="accent3" w:themeShade="80"/>
          <w:sz w:val="28"/>
          <w:szCs w:val="28"/>
        </w:rPr>
        <w:t>4</w:t>
      </w:r>
      <w:r w:rsidR="00A21D10" w:rsidRPr="00A21D10">
        <w:rPr>
          <w:rFonts w:asciiTheme="majorHAnsi" w:hAnsiTheme="majorHAnsi"/>
          <w:color w:val="4F6228" w:themeColor="accent3" w:themeShade="80"/>
          <w:sz w:val="28"/>
          <w:szCs w:val="28"/>
        </w:rPr>
        <w:t>.2 Local arrangements</w:t>
      </w:r>
    </w:p>
    <w:p w:rsidR="003471ED" w:rsidRDefault="003471ED" w:rsidP="00057294">
      <w:pPr>
        <w:spacing w:after="0" w:line="360" w:lineRule="auto"/>
        <w:jc w:val="both"/>
        <w:rPr>
          <w:rFonts w:asciiTheme="majorHAnsi" w:hAnsiTheme="majorHAnsi"/>
          <w:sz w:val="24"/>
        </w:rPr>
      </w:pPr>
    </w:p>
    <w:p w:rsidR="00057294" w:rsidRDefault="00057294" w:rsidP="00057294">
      <w:pPr>
        <w:spacing w:after="0" w:line="360" w:lineRule="auto"/>
        <w:jc w:val="both"/>
        <w:rPr>
          <w:rFonts w:asciiTheme="majorHAnsi" w:hAnsiTheme="majorHAnsi"/>
          <w:sz w:val="24"/>
        </w:rPr>
      </w:pPr>
      <w:r w:rsidRPr="00F93124">
        <w:rPr>
          <w:rFonts w:asciiTheme="majorHAnsi" w:hAnsiTheme="majorHAnsi"/>
          <w:sz w:val="24"/>
        </w:rPr>
        <w:t xml:space="preserve">The ACT Government </w:t>
      </w:r>
      <w:r w:rsidR="002326E3">
        <w:rPr>
          <w:rFonts w:asciiTheme="majorHAnsi" w:hAnsiTheme="majorHAnsi"/>
          <w:sz w:val="24"/>
        </w:rPr>
        <w:t>empowers its various directorates to coordinate whole of government mitigation and resilience programs for natural disasters.</w:t>
      </w:r>
      <w:r w:rsidRPr="00F93124">
        <w:rPr>
          <w:rFonts w:asciiTheme="majorHAnsi" w:hAnsiTheme="majorHAnsi"/>
          <w:sz w:val="24"/>
        </w:rPr>
        <w:t xml:space="preserve"> </w:t>
      </w:r>
      <w:r>
        <w:rPr>
          <w:rFonts w:asciiTheme="majorHAnsi" w:hAnsiTheme="majorHAnsi"/>
          <w:sz w:val="24"/>
        </w:rPr>
        <w:t xml:space="preserve"> </w:t>
      </w:r>
      <w:r w:rsidRPr="00F93124">
        <w:rPr>
          <w:rFonts w:asciiTheme="majorHAnsi" w:hAnsiTheme="majorHAnsi"/>
          <w:sz w:val="24"/>
        </w:rPr>
        <w:t xml:space="preserve">These </w:t>
      </w:r>
      <w:r w:rsidR="005D44CA">
        <w:rPr>
          <w:rFonts w:asciiTheme="majorHAnsi" w:hAnsiTheme="majorHAnsi"/>
          <w:sz w:val="24"/>
        </w:rPr>
        <w:t xml:space="preserve">governance </w:t>
      </w:r>
      <w:r w:rsidR="002326E3">
        <w:rPr>
          <w:rFonts w:asciiTheme="majorHAnsi" w:hAnsiTheme="majorHAnsi"/>
          <w:sz w:val="24"/>
        </w:rPr>
        <w:t>arrangements are embodied in</w:t>
      </w:r>
      <w:r w:rsidRPr="00F93124">
        <w:rPr>
          <w:rFonts w:asciiTheme="majorHAnsi" w:hAnsiTheme="majorHAnsi"/>
          <w:sz w:val="24"/>
        </w:rPr>
        <w:t xml:space="preserve"> the </w:t>
      </w:r>
      <w:r w:rsidRPr="00F93124">
        <w:rPr>
          <w:rFonts w:asciiTheme="majorHAnsi" w:hAnsiTheme="majorHAnsi"/>
          <w:i/>
          <w:sz w:val="24"/>
        </w:rPr>
        <w:t>Emergencies Act 2004</w:t>
      </w:r>
      <w:r w:rsidR="002326E3">
        <w:rPr>
          <w:rFonts w:asciiTheme="majorHAnsi" w:hAnsiTheme="majorHAnsi"/>
          <w:sz w:val="24"/>
        </w:rPr>
        <w:t xml:space="preserve"> and the Emergency Plan 2012 and </w:t>
      </w:r>
      <w:r w:rsidRPr="00F93124">
        <w:rPr>
          <w:rFonts w:asciiTheme="majorHAnsi" w:hAnsiTheme="majorHAnsi"/>
          <w:sz w:val="24"/>
        </w:rPr>
        <w:t>address the risk profile</w:t>
      </w:r>
      <w:r w:rsidR="002326E3">
        <w:rPr>
          <w:rFonts w:asciiTheme="majorHAnsi" w:hAnsiTheme="majorHAnsi"/>
          <w:sz w:val="24"/>
        </w:rPr>
        <w:t xml:space="preserve">s as identified in the </w:t>
      </w:r>
      <w:r w:rsidRPr="00F93124">
        <w:rPr>
          <w:rFonts w:asciiTheme="majorHAnsi" w:hAnsiTheme="majorHAnsi"/>
          <w:sz w:val="24"/>
        </w:rPr>
        <w:t>Territory Wide Risk Assessment</w:t>
      </w:r>
      <w:r w:rsidR="006541C4">
        <w:rPr>
          <w:rFonts w:asciiTheme="majorHAnsi" w:hAnsiTheme="majorHAnsi"/>
          <w:sz w:val="24"/>
        </w:rPr>
        <w:t xml:space="preserve"> (</w:t>
      </w:r>
      <w:r w:rsidR="006541C4" w:rsidRPr="006541C4">
        <w:rPr>
          <w:rFonts w:asciiTheme="majorHAnsi" w:hAnsiTheme="majorHAnsi"/>
          <w:b/>
          <w:sz w:val="24"/>
        </w:rPr>
        <w:t xml:space="preserve">Attachment </w:t>
      </w:r>
      <w:r w:rsidR="006541C4">
        <w:rPr>
          <w:rFonts w:asciiTheme="majorHAnsi" w:hAnsiTheme="majorHAnsi"/>
          <w:b/>
          <w:sz w:val="24"/>
        </w:rPr>
        <w:t>B</w:t>
      </w:r>
      <w:r w:rsidR="006541C4">
        <w:rPr>
          <w:rFonts w:asciiTheme="majorHAnsi" w:hAnsiTheme="majorHAnsi"/>
          <w:sz w:val="24"/>
        </w:rPr>
        <w:t>)</w:t>
      </w:r>
      <w:r w:rsidR="005D44CA">
        <w:rPr>
          <w:rFonts w:asciiTheme="majorHAnsi" w:hAnsiTheme="majorHAnsi"/>
          <w:sz w:val="24"/>
        </w:rPr>
        <w:t>. The Emergency Plan continues to evolve to encompass whole of government resources and the increased focus on the delivery of timely information to the community prior to, during</w:t>
      </w:r>
      <w:r w:rsidR="00A26B4D">
        <w:rPr>
          <w:rFonts w:asciiTheme="majorHAnsi" w:hAnsiTheme="majorHAnsi"/>
          <w:sz w:val="24"/>
        </w:rPr>
        <w:t>,</w:t>
      </w:r>
      <w:r w:rsidR="005D44CA">
        <w:rPr>
          <w:rFonts w:asciiTheme="majorHAnsi" w:hAnsiTheme="majorHAnsi"/>
          <w:sz w:val="24"/>
        </w:rPr>
        <w:t xml:space="preserve"> and after emergencies.</w:t>
      </w:r>
    </w:p>
    <w:p w:rsidR="006541C4" w:rsidRDefault="005D44CA" w:rsidP="00057294">
      <w:pPr>
        <w:spacing w:after="0" w:line="360" w:lineRule="auto"/>
        <w:jc w:val="both"/>
        <w:rPr>
          <w:rFonts w:asciiTheme="majorHAnsi" w:hAnsiTheme="majorHAnsi"/>
          <w:sz w:val="24"/>
        </w:rPr>
      </w:pPr>
      <w:r>
        <w:rPr>
          <w:rFonts w:asciiTheme="majorHAnsi" w:hAnsiTheme="majorHAnsi"/>
          <w:sz w:val="24"/>
        </w:rPr>
        <w:t>The Strategic Bushfire Management Plan v2 2009 (</w:t>
      </w:r>
      <w:r w:rsidRPr="006541C4">
        <w:rPr>
          <w:rFonts w:asciiTheme="majorHAnsi" w:hAnsiTheme="majorHAnsi"/>
          <w:b/>
          <w:sz w:val="24"/>
        </w:rPr>
        <w:t>Attachment C</w:t>
      </w:r>
      <w:r>
        <w:rPr>
          <w:rFonts w:asciiTheme="majorHAnsi" w:hAnsiTheme="majorHAnsi"/>
          <w:sz w:val="24"/>
        </w:rPr>
        <w:t>) is the mechanism to combine the elements needed to ensure balanced, effective and efficient fire management in the ACT.</w:t>
      </w:r>
    </w:p>
    <w:p w:rsidR="00114863" w:rsidRPr="00BB43EF" w:rsidRDefault="00F96387" w:rsidP="00F96387">
      <w:pPr>
        <w:spacing w:after="0" w:line="360" w:lineRule="auto"/>
        <w:rPr>
          <w:rFonts w:asciiTheme="majorHAnsi" w:hAnsiTheme="majorHAnsi"/>
          <w:sz w:val="24"/>
        </w:rPr>
      </w:pPr>
      <w:r>
        <w:rPr>
          <w:rFonts w:asciiTheme="majorHAnsi" w:hAnsiTheme="majorHAnsi"/>
          <w:sz w:val="24"/>
        </w:rPr>
        <w:t xml:space="preserve">A </w:t>
      </w:r>
      <w:r w:rsidRPr="00851862">
        <w:rPr>
          <w:rFonts w:asciiTheme="majorHAnsi" w:hAnsiTheme="majorHAnsi"/>
          <w:b/>
          <w:sz w:val="24"/>
        </w:rPr>
        <w:t>c</w:t>
      </w:r>
      <w:r w:rsidR="00114863" w:rsidRPr="00851862">
        <w:rPr>
          <w:rFonts w:asciiTheme="majorHAnsi" w:hAnsiTheme="majorHAnsi"/>
          <w:b/>
          <w:sz w:val="24"/>
        </w:rPr>
        <w:t xml:space="preserve">ase </w:t>
      </w:r>
      <w:r w:rsidRPr="00851862">
        <w:rPr>
          <w:rFonts w:asciiTheme="majorHAnsi" w:hAnsiTheme="majorHAnsi"/>
          <w:b/>
          <w:sz w:val="24"/>
        </w:rPr>
        <w:t>s</w:t>
      </w:r>
      <w:r w:rsidR="00114863" w:rsidRPr="00851862">
        <w:rPr>
          <w:rFonts w:asciiTheme="majorHAnsi" w:hAnsiTheme="majorHAnsi"/>
          <w:b/>
          <w:sz w:val="24"/>
        </w:rPr>
        <w:t>tudy</w:t>
      </w:r>
      <w:r>
        <w:rPr>
          <w:rFonts w:asciiTheme="majorHAnsi" w:hAnsiTheme="majorHAnsi"/>
          <w:sz w:val="24"/>
        </w:rPr>
        <w:t xml:space="preserve"> (on page 1</w:t>
      </w:r>
      <w:r w:rsidR="00851862">
        <w:rPr>
          <w:rFonts w:asciiTheme="majorHAnsi" w:hAnsiTheme="majorHAnsi"/>
          <w:sz w:val="24"/>
        </w:rPr>
        <w:t>1</w:t>
      </w:r>
      <w:r>
        <w:rPr>
          <w:rFonts w:asciiTheme="majorHAnsi" w:hAnsiTheme="majorHAnsi"/>
          <w:sz w:val="24"/>
        </w:rPr>
        <w:t>)</w:t>
      </w:r>
      <w:r w:rsidR="00114863" w:rsidRPr="00F96387">
        <w:rPr>
          <w:rFonts w:asciiTheme="majorHAnsi" w:hAnsiTheme="majorHAnsi"/>
          <w:sz w:val="24"/>
        </w:rPr>
        <w:t xml:space="preserve"> </w:t>
      </w:r>
      <w:r w:rsidRPr="00F96387">
        <w:rPr>
          <w:rFonts w:asciiTheme="majorHAnsi" w:hAnsiTheme="majorHAnsi"/>
          <w:sz w:val="24"/>
        </w:rPr>
        <w:t>has been included to provide an example of how an ACT NDRP project has contributed to building</w:t>
      </w:r>
      <w:r w:rsidR="00114863" w:rsidRPr="00F96387">
        <w:rPr>
          <w:rFonts w:asciiTheme="majorHAnsi" w:hAnsiTheme="majorHAnsi"/>
          <w:sz w:val="24"/>
        </w:rPr>
        <w:t xml:space="preserve"> community resilience project – </w:t>
      </w:r>
      <w:r w:rsidR="00114863" w:rsidRPr="00F96387">
        <w:rPr>
          <w:rFonts w:asciiTheme="majorHAnsi" w:hAnsiTheme="majorHAnsi"/>
          <w:i/>
          <w:sz w:val="24"/>
        </w:rPr>
        <w:t>Think Ahead, Be Ready, Stay Safe Emergency Preparedness Guide and Grab and Go Kit</w:t>
      </w:r>
      <w:r w:rsidR="00BB43EF">
        <w:rPr>
          <w:rFonts w:asciiTheme="majorHAnsi" w:hAnsiTheme="majorHAnsi"/>
          <w:sz w:val="24"/>
        </w:rPr>
        <w:t>.</w:t>
      </w:r>
    </w:p>
    <w:p w:rsidR="00114863" w:rsidRDefault="00114863">
      <w:pPr>
        <w:tabs>
          <w:tab w:val="clear" w:pos="9072"/>
        </w:tabs>
        <w:spacing w:before="0" w:after="0"/>
        <w:rPr>
          <w:rFonts w:asciiTheme="majorHAnsi" w:hAnsiTheme="majorHAnsi"/>
          <w:sz w:val="24"/>
        </w:rPr>
      </w:pPr>
      <w:r>
        <w:rPr>
          <w:rFonts w:asciiTheme="majorHAnsi" w:hAnsiTheme="majorHAnsi"/>
          <w:sz w:val="24"/>
        </w:rPr>
        <w:br w:type="page"/>
      </w:r>
    </w:p>
    <w:p w:rsidR="00114863" w:rsidRDefault="00FC67BA">
      <w:pPr>
        <w:tabs>
          <w:tab w:val="clear" w:pos="9072"/>
        </w:tabs>
        <w:spacing w:before="0" w:after="0"/>
        <w:rPr>
          <w:rFonts w:asciiTheme="majorHAnsi" w:hAnsiTheme="majorHAnsi"/>
          <w:sz w:val="24"/>
        </w:rPr>
      </w:pPr>
      <w:r>
        <w:rPr>
          <w:rFonts w:asciiTheme="majorHAnsi" w:hAnsiTheme="majorHAnsi"/>
          <w:b/>
          <w:noProof/>
          <w:sz w:val="24"/>
          <w:lang w:eastAsia="en-AU"/>
        </w:rPr>
        <w:lastRenderedPageBreak/>
        <w:pict>
          <v:shape id="Text Box 4" o:spid="_x0000_s1026" type="#_x0000_t202" style="position:absolute;margin-left:-20.3pt;margin-top:5.4pt;width:502.95pt;height:637.75pt;z-index:251662336;visibility:visible;mso-wrap-distance-left:9pt;mso-wrap-distance-top:0;mso-wrap-distance-right:9pt;mso-wrap-distance-bottom:0;mso-position-horizontal-relative:text;mso-position-vertical-relative:text;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">
            <v:textbox style="mso-next-textbox:#Text Box 4">
              <w:txbxContent>
                <w:p w:rsidR="00020AF2" w:rsidRDefault="00020AF2" w:rsidP="0082205D">
                  <w:pPr>
                    <w:spacing w:after="0" w:line="360" w:lineRule="auto"/>
                    <w:rPr>
                      <w:rFonts w:asciiTheme="majorHAnsi" w:hAnsiTheme="majorHAnsi"/>
                      <w:b/>
                      <w:sz w:val="24"/>
                      <w:lang w:val="en-US"/>
                    </w:rPr>
                  </w:pPr>
                  <w:r w:rsidRPr="0082205D">
                    <w:rPr>
                      <w:rFonts w:asciiTheme="majorHAnsi" w:hAnsiTheme="majorHAnsi"/>
                      <w:b/>
                      <w:sz w:val="24"/>
                      <w:lang w:val="en-US"/>
                    </w:rPr>
                    <w:t xml:space="preserve">Case Study 1 - NDRP community resilience project – </w:t>
                  </w:r>
                  <w:r w:rsidRPr="0082205D">
                    <w:rPr>
                      <w:rFonts w:asciiTheme="majorHAnsi" w:hAnsiTheme="majorHAnsi"/>
                      <w:b/>
                      <w:i/>
                      <w:sz w:val="24"/>
                      <w:lang w:val="en-US"/>
                    </w:rPr>
                    <w:t xml:space="preserve">Think Ahead, Be Ready, Stay Safe </w:t>
                  </w:r>
                  <w:r w:rsidRPr="0082205D">
                    <w:rPr>
                      <w:rFonts w:asciiTheme="majorHAnsi" w:hAnsiTheme="majorHAnsi"/>
                      <w:b/>
                      <w:sz w:val="24"/>
                      <w:lang w:val="en-US"/>
                    </w:rPr>
                    <w:t>Emergency Preparedness Guide and Grab and Go Kit</w:t>
                  </w:r>
                </w:p>
                <w:p w:rsidR="00020AF2" w:rsidRPr="0082205D" w:rsidRDefault="00020AF2" w:rsidP="0082205D">
                  <w:pPr>
                    <w:spacing w:after="0"/>
                    <w:jc w:val="both"/>
                    <w:rPr>
                      <w:rFonts w:asciiTheme="majorHAnsi" w:hAnsiTheme="majorHAnsi"/>
                      <w:sz w:val="24"/>
                      <w:lang w:val="en-US"/>
                    </w:rPr>
                  </w:pPr>
                  <w:r w:rsidRPr="0082205D">
                    <w:rPr>
                      <w:rFonts w:asciiTheme="majorHAnsi" w:hAnsiTheme="majorHAnsi"/>
                      <w:sz w:val="24"/>
                      <w:lang w:val="en-US"/>
                    </w:rPr>
                    <w:t xml:space="preserve">An example of the resilience building approach taken with NDRP funding (2009/12) is the development (multi-agency), dissemination and marketing of the </w:t>
                  </w:r>
                  <w:r w:rsidRPr="0082205D">
                    <w:rPr>
                      <w:rFonts w:asciiTheme="majorHAnsi" w:hAnsiTheme="majorHAnsi"/>
                      <w:b/>
                      <w:i/>
                      <w:sz w:val="24"/>
                      <w:lang w:val="en-US"/>
                    </w:rPr>
                    <w:t xml:space="preserve">Think Ahead, Be Ready, Stay Safe </w:t>
                  </w:r>
                  <w:r w:rsidRPr="0082205D">
                    <w:rPr>
                      <w:rFonts w:asciiTheme="majorHAnsi" w:hAnsiTheme="majorHAnsi"/>
                      <w:sz w:val="24"/>
                      <w:lang w:val="en-US"/>
                    </w:rPr>
                    <w:t>Emergency Preparedness Guide and Grab and Go Kit, (the Guide - copy attached).</w:t>
                  </w:r>
                </w:p>
                <w:p w:rsidR="00020AF2" w:rsidRDefault="00020AF2" w:rsidP="0082205D">
                  <w:pPr>
                    <w:spacing w:after="0"/>
                    <w:jc w:val="both"/>
                    <w:rPr>
                      <w:rFonts w:asciiTheme="majorHAnsi" w:hAnsiTheme="majorHAnsi"/>
                      <w:sz w:val="24"/>
                      <w:lang w:val="en-US"/>
                    </w:rPr>
                  </w:pPr>
                </w:p>
                <w:p w:rsidR="00020AF2" w:rsidRPr="0082205D" w:rsidRDefault="00020AF2" w:rsidP="0082205D">
                  <w:pPr>
                    <w:spacing w:after="0"/>
                    <w:jc w:val="both"/>
                    <w:rPr>
                      <w:rFonts w:asciiTheme="majorHAnsi" w:hAnsiTheme="majorHAnsi"/>
                      <w:sz w:val="24"/>
                      <w:lang w:val="en-US"/>
                    </w:rPr>
                  </w:pPr>
                  <w:r w:rsidRPr="0082205D">
                    <w:rPr>
                      <w:rFonts w:asciiTheme="majorHAnsi" w:hAnsiTheme="majorHAnsi"/>
                      <w:sz w:val="24"/>
                      <w:lang w:val="en-US"/>
                    </w:rPr>
                    <w:t>The Guide incorporates a number of features as follows:</w:t>
                  </w:r>
                </w:p>
                <w:p w:rsidR="00020AF2" w:rsidRPr="0082205D" w:rsidRDefault="00020AF2" w:rsidP="0082205D">
                  <w:pPr>
                    <w:numPr>
                      <w:ilvl w:val="0"/>
                      <w:numId w:val="35"/>
                    </w:numPr>
                    <w:tabs>
                      <w:tab w:val="clear" w:pos="9072"/>
                    </w:tabs>
                    <w:spacing w:before="0" w:after="0"/>
                    <w:jc w:val="both"/>
                    <w:rPr>
                      <w:rFonts w:asciiTheme="majorHAnsi" w:hAnsiTheme="majorHAnsi"/>
                      <w:sz w:val="24"/>
                      <w:lang w:val="en-US"/>
                    </w:rPr>
                  </w:pPr>
                  <w:r w:rsidRPr="0082205D">
                    <w:rPr>
                      <w:rFonts w:asciiTheme="majorHAnsi" w:hAnsiTheme="majorHAnsi"/>
                      <w:sz w:val="24"/>
                      <w:lang w:val="en-US"/>
                    </w:rPr>
                    <w:t>An Emergency Preparedness Guide consolidating key emergency and preparedness information about a range of natural hazards;</w:t>
                  </w:r>
                </w:p>
                <w:p w:rsidR="00020AF2" w:rsidRPr="0082205D" w:rsidRDefault="00020AF2" w:rsidP="0082205D">
                  <w:pPr>
                    <w:numPr>
                      <w:ilvl w:val="0"/>
                      <w:numId w:val="35"/>
                    </w:numPr>
                    <w:tabs>
                      <w:tab w:val="clear" w:pos="9072"/>
                    </w:tabs>
                    <w:spacing w:before="0" w:after="0"/>
                    <w:jc w:val="both"/>
                    <w:rPr>
                      <w:rFonts w:asciiTheme="majorHAnsi" w:hAnsiTheme="majorHAnsi"/>
                      <w:sz w:val="24"/>
                      <w:lang w:val="en-US"/>
                    </w:rPr>
                  </w:pPr>
                  <w:r w:rsidRPr="0082205D">
                    <w:rPr>
                      <w:rFonts w:asciiTheme="majorHAnsi" w:hAnsiTheme="majorHAnsi"/>
                      <w:sz w:val="24"/>
                      <w:lang w:val="en-US"/>
                    </w:rPr>
                    <w:t>A “</w:t>
                  </w:r>
                  <w:r w:rsidRPr="0082205D">
                    <w:rPr>
                      <w:rFonts w:asciiTheme="majorHAnsi" w:hAnsiTheme="majorHAnsi"/>
                      <w:i/>
                      <w:sz w:val="24"/>
                      <w:lang w:val="en-US"/>
                    </w:rPr>
                    <w:t>Grab and Go</w:t>
                  </w:r>
                  <w:r w:rsidRPr="0082205D">
                    <w:rPr>
                      <w:rFonts w:asciiTheme="majorHAnsi" w:hAnsiTheme="majorHAnsi"/>
                      <w:sz w:val="24"/>
                      <w:lang w:val="en-US"/>
                    </w:rPr>
                    <w:t>” Booklet that incorporates emergency contact numbers, medical information and emergency evacuation and emergency kit information; and</w:t>
                  </w:r>
                </w:p>
                <w:p w:rsidR="00020AF2" w:rsidRPr="0082205D" w:rsidRDefault="00020AF2" w:rsidP="0082205D">
                  <w:pPr>
                    <w:numPr>
                      <w:ilvl w:val="0"/>
                      <w:numId w:val="35"/>
                    </w:numPr>
                    <w:tabs>
                      <w:tab w:val="clear" w:pos="9072"/>
                    </w:tabs>
                    <w:spacing w:before="0" w:after="0"/>
                    <w:jc w:val="both"/>
                    <w:rPr>
                      <w:rFonts w:asciiTheme="majorHAnsi" w:hAnsiTheme="majorHAnsi"/>
                      <w:sz w:val="24"/>
                      <w:lang w:val="en-US"/>
                    </w:rPr>
                  </w:pPr>
                  <w:r w:rsidRPr="0082205D">
                    <w:rPr>
                      <w:rFonts w:asciiTheme="majorHAnsi" w:hAnsiTheme="majorHAnsi"/>
                      <w:sz w:val="24"/>
                      <w:lang w:val="en-US"/>
                    </w:rPr>
                    <w:t>A “Neighbor Card” to exchange emergency contact information with trusted neighbors, and encouraging people to work with their vulnerable neighbors on emergency preparedness</w:t>
                  </w:r>
                  <w:r>
                    <w:rPr>
                      <w:rFonts w:asciiTheme="majorHAnsi" w:hAnsiTheme="majorHAnsi"/>
                      <w:sz w:val="24"/>
                      <w:lang w:val="en-US"/>
                    </w:rPr>
                    <w:t>.</w:t>
                  </w:r>
                </w:p>
                <w:p w:rsidR="00020AF2" w:rsidRDefault="00020AF2" w:rsidP="0082205D">
                  <w:pPr>
                    <w:spacing w:after="0"/>
                    <w:jc w:val="both"/>
                    <w:rPr>
                      <w:rFonts w:asciiTheme="majorHAnsi" w:hAnsiTheme="majorHAnsi"/>
                      <w:sz w:val="24"/>
                      <w:lang w:val="en-US"/>
                    </w:rPr>
                  </w:pPr>
                </w:p>
                <w:p w:rsidR="00020AF2" w:rsidRPr="0082205D" w:rsidRDefault="00020AF2" w:rsidP="0082205D">
                  <w:pPr>
                    <w:spacing w:after="0"/>
                    <w:jc w:val="both"/>
                    <w:rPr>
                      <w:rFonts w:asciiTheme="majorHAnsi" w:hAnsiTheme="majorHAnsi"/>
                      <w:sz w:val="24"/>
                      <w:lang w:val="en-US"/>
                    </w:rPr>
                  </w:pPr>
                  <w:r w:rsidRPr="0082205D">
                    <w:rPr>
                      <w:rFonts w:asciiTheme="majorHAnsi" w:hAnsiTheme="majorHAnsi"/>
                      <w:sz w:val="24"/>
                      <w:lang w:val="en-US"/>
                    </w:rPr>
                    <w:t xml:space="preserve">Distribution was through government and community based organisations with a focus on identifying and working with vulnerable members of the community to ensure they understood the Guide; encouraged to develop an emergency plan; encouraged to connect with neighbors; and complete the </w:t>
                  </w:r>
                  <w:r w:rsidRPr="0082205D">
                    <w:rPr>
                      <w:rFonts w:asciiTheme="majorHAnsi" w:hAnsiTheme="majorHAnsi"/>
                      <w:i/>
                      <w:sz w:val="24"/>
                      <w:lang w:val="en-US"/>
                    </w:rPr>
                    <w:t>Grab and Go</w:t>
                  </w:r>
                  <w:r w:rsidRPr="0082205D">
                    <w:rPr>
                      <w:rFonts w:asciiTheme="majorHAnsi" w:hAnsiTheme="majorHAnsi"/>
                      <w:sz w:val="24"/>
                      <w:lang w:val="en-US"/>
                    </w:rPr>
                    <w:t xml:space="preserve"> booklet with their personal information.</w:t>
                  </w:r>
                </w:p>
                <w:p w:rsidR="00020AF2" w:rsidRDefault="00020AF2" w:rsidP="0082205D">
                  <w:pPr>
                    <w:spacing w:after="0"/>
                    <w:jc w:val="both"/>
                    <w:rPr>
                      <w:rFonts w:asciiTheme="majorHAnsi" w:hAnsiTheme="majorHAnsi"/>
                      <w:sz w:val="24"/>
                      <w:lang w:val="en-US"/>
                    </w:rPr>
                  </w:pPr>
                </w:p>
                <w:p w:rsidR="00020AF2" w:rsidRPr="0082205D" w:rsidRDefault="00020AF2" w:rsidP="0082205D">
                  <w:pPr>
                    <w:spacing w:after="0"/>
                    <w:jc w:val="both"/>
                    <w:rPr>
                      <w:rFonts w:asciiTheme="majorHAnsi" w:hAnsiTheme="majorHAnsi"/>
                      <w:sz w:val="24"/>
                      <w:lang w:val="en-US"/>
                    </w:rPr>
                  </w:pPr>
                  <w:r w:rsidRPr="0082205D">
                    <w:rPr>
                      <w:rFonts w:asciiTheme="majorHAnsi" w:hAnsiTheme="majorHAnsi"/>
                      <w:sz w:val="24"/>
                      <w:lang w:val="en-US"/>
                    </w:rPr>
                    <w:t xml:space="preserve">A particular feature of the program was the engagement of the Red Cross to develop and conduct a series of workshops with a wide range of government, and non-government agencies supporting vulnerable clients.  These identified strategies and methods of engaging with clients; enshrining vulnerability discussions into agency culture; and developing a comprehensive list of emergency kit inclusions for a cross section of vulnerabilities.  </w:t>
                  </w:r>
                </w:p>
                <w:p w:rsidR="00020AF2" w:rsidRDefault="00020AF2" w:rsidP="0082205D">
                  <w:pPr>
                    <w:spacing w:after="0"/>
                    <w:jc w:val="both"/>
                    <w:rPr>
                      <w:rFonts w:asciiTheme="majorHAnsi" w:hAnsiTheme="majorHAnsi"/>
                      <w:sz w:val="24"/>
                      <w:lang w:val="en-US"/>
                    </w:rPr>
                  </w:pPr>
                </w:p>
                <w:p w:rsidR="00020AF2" w:rsidRPr="0082205D" w:rsidRDefault="00020AF2" w:rsidP="0082205D">
                  <w:pPr>
                    <w:spacing w:after="0"/>
                    <w:jc w:val="both"/>
                    <w:rPr>
                      <w:rFonts w:asciiTheme="majorHAnsi" w:hAnsiTheme="majorHAnsi"/>
                      <w:sz w:val="24"/>
                      <w:lang w:val="en-US"/>
                    </w:rPr>
                  </w:pPr>
                  <w:r w:rsidRPr="0082205D">
                    <w:rPr>
                      <w:rFonts w:asciiTheme="majorHAnsi" w:hAnsiTheme="majorHAnsi"/>
                      <w:sz w:val="24"/>
                      <w:lang w:val="en-US"/>
                    </w:rPr>
                    <w:t>This project was linked to other ACT initiatives including:</w:t>
                  </w:r>
                </w:p>
                <w:p w:rsidR="00020AF2" w:rsidRPr="0082205D" w:rsidRDefault="00020AF2" w:rsidP="000565AB">
                  <w:pPr>
                    <w:numPr>
                      <w:ilvl w:val="0"/>
                      <w:numId w:val="36"/>
                    </w:numPr>
                    <w:tabs>
                      <w:tab w:val="clear" w:pos="9072"/>
                    </w:tabs>
                    <w:spacing w:before="0" w:after="0"/>
                    <w:jc w:val="both"/>
                    <w:rPr>
                      <w:rFonts w:asciiTheme="majorHAnsi" w:hAnsiTheme="majorHAnsi"/>
                      <w:sz w:val="24"/>
                      <w:lang w:val="en-US"/>
                    </w:rPr>
                  </w:pPr>
                  <w:r w:rsidRPr="0082205D">
                    <w:rPr>
                      <w:rFonts w:asciiTheme="majorHAnsi" w:hAnsiTheme="majorHAnsi"/>
                      <w:sz w:val="24"/>
                      <w:lang w:val="en-US"/>
                    </w:rPr>
                    <w:t>2013 Centenary of Canberra Celebrations – developing and widely distributing co-badged Neighbor Day brochures, encouraging neighbors to research their street, and suburb history.  Emergency Preparedness Guide was included.</w:t>
                  </w:r>
                </w:p>
                <w:p w:rsidR="00020AF2" w:rsidRPr="0082205D" w:rsidRDefault="00020AF2" w:rsidP="000565AB">
                  <w:pPr>
                    <w:numPr>
                      <w:ilvl w:val="0"/>
                      <w:numId w:val="36"/>
                    </w:numPr>
                    <w:tabs>
                      <w:tab w:val="clear" w:pos="9072"/>
                    </w:tabs>
                    <w:spacing w:before="0" w:after="0"/>
                    <w:jc w:val="both"/>
                    <w:rPr>
                      <w:rFonts w:asciiTheme="majorHAnsi" w:hAnsiTheme="majorHAnsi"/>
                      <w:sz w:val="24"/>
                      <w:lang w:val="en-US"/>
                    </w:rPr>
                  </w:pPr>
                  <w:r w:rsidRPr="0082205D">
                    <w:rPr>
                      <w:rFonts w:asciiTheme="majorHAnsi" w:hAnsiTheme="majorHAnsi"/>
                      <w:sz w:val="24"/>
                      <w:lang w:val="en-US"/>
                    </w:rPr>
                    <w:t xml:space="preserve">2013 </w:t>
                  </w:r>
                  <w:r w:rsidRPr="0082205D">
                    <w:rPr>
                      <w:rFonts w:asciiTheme="majorHAnsi" w:hAnsiTheme="majorHAnsi"/>
                      <w:i/>
                      <w:sz w:val="24"/>
                      <w:lang w:val="en-US"/>
                    </w:rPr>
                    <w:t>Parties in the Park</w:t>
                  </w:r>
                  <w:r w:rsidRPr="0082205D">
                    <w:rPr>
                      <w:rFonts w:asciiTheme="majorHAnsi" w:hAnsiTheme="majorHAnsi"/>
                      <w:sz w:val="24"/>
                      <w:lang w:val="en-US"/>
                    </w:rPr>
                    <w:t xml:space="preserve"> - the abovementioned material was distributed to 40 individual themed parties that took place in the weeks either side of the Canberra Day long weekend.</w:t>
                  </w:r>
                </w:p>
                <w:p w:rsidR="00020AF2" w:rsidRPr="0082205D" w:rsidRDefault="00020AF2" w:rsidP="000565AB">
                  <w:pPr>
                    <w:numPr>
                      <w:ilvl w:val="0"/>
                      <w:numId w:val="36"/>
                    </w:numPr>
                    <w:tabs>
                      <w:tab w:val="clear" w:pos="9072"/>
                    </w:tabs>
                    <w:spacing w:before="0" w:after="0"/>
                    <w:jc w:val="both"/>
                    <w:rPr>
                      <w:rFonts w:asciiTheme="majorHAnsi" w:hAnsiTheme="majorHAnsi"/>
                      <w:sz w:val="24"/>
                      <w:lang w:val="en-US"/>
                    </w:rPr>
                  </w:pPr>
                  <w:r w:rsidRPr="0082205D">
                    <w:rPr>
                      <w:rFonts w:asciiTheme="majorHAnsi" w:hAnsiTheme="majorHAnsi"/>
                      <w:sz w:val="24"/>
                      <w:lang w:val="en-US"/>
                    </w:rPr>
                    <w:t>Specific agency activities targeting their respective vulnerable clients e.g.: Communities @ Work hosted a number of activities via a "street party" at the Gungahlin Town Centre.</w:t>
                  </w:r>
                </w:p>
                <w:p w:rsidR="00020AF2" w:rsidRPr="0082205D" w:rsidRDefault="00020AF2" w:rsidP="000565AB">
                  <w:pPr>
                    <w:numPr>
                      <w:ilvl w:val="0"/>
                      <w:numId w:val="36"/>
                    </w:numPr>
                    <w:tabs>
                      <w:tab w:val="clear" w:pos="9072"/>
                    </w:tabs>
                    <w:spacing w:before="0" w:after="0"/>
                    <w:jc w:val="both"/>
                    <w:rPr>
                      <w:rFonts w:asciiTheme="majorHAnsi" w:hAnsiTheme="majorHAnsi"/>
                      <w:sz w:val="24"/>
                      <w:lang w:val="en-US"/>
                    </w:rPr>
                  </w:pPr>
                  <w:r w:rsidRPr="0082205D">
                    <w:rPr>
                      <w:rFonts w:asciiTheme="majorHAnsi" w:hAnsiTheme="majorHAnsi"/>
                      <w:sz w:val="24"/>
                      <w:lang w:val="en-US"/>
                    </w:rPr>
                    <w:t>Emergency Services Agency community education officers and the Community Fire Units initiative.</w:t>
                  </w:r>
                </w:p>
                <w:p w:rsidR="00020AF2" w:rsidRDefault="00020AF2" w:rsidP="0082205D">
                  <w:pPr>
                    <w:spacing w:after="0"/>
                    <w:jc w:val="both"/>
                    <w:rPr>
                      <w:rFonts w:asciiTheme="majorHAnsi" w:hAnsiTheme="majorHAnsi"/>
                      <w:sz w:val="24"/>
                      <w:lang w:val="en-US"/>
                    </w:rPr>
                  </w:pPr>
                </w:p>
                <w:p w:rsidR="00020AF2" w:rsidRPr="0082205D" w:rsidRDefault="00020AF2" w:rsidP="0082205D">
                  <w:pPr>
                    <w:spacing w:after="0"/>
                    <w:jc w:val="both"/>
                    <w:rPr>
                      <w:rFonts w:asciiTheme="majorHAnsi" w:hAnsiTheme="majorHAnsi"/>
                      <w:sz w:val="24"/>
                      <w:lang w:val="en-US"/>
                    </w:rPr>
                  </w:pPr>
                  <w:r w:rsidRPr="0082205D">
                    <w:rPr>
                      <w:rFonts w:asciiTheme="majorHAnsi" w:hAnsiTheme="majorHAnsi"/>
                      <w:sz w:val="24"/>
                      <w:lang w:val="en-US"/>
                    </w:rPr>
                    <w:t>Feedback from agencies, community groups and the community generally was particularly positive about the emergency preparedness tool. The Guide was also recognized at a national level by receipt of a Highly Commended award at the 2011 Resilient Australia Awards.</w:t>
                  </w:r>
                </w:p>
              </w:txbxContent>
            </v:textbox>
          </v:shape>
        </w:pict>
      </w:r>
      <w:r w:rsidR="00114863">
        <w:rPr>
          <w:rFonts w:asciiTheme="majorHAnsi" w:hAnsiTheme="majorHAnsi"/>
          <w:sz w:val="24"/>
        </w:rPr>
        <w:br w:type="page"/>
      </w:r>
    </w:p>
    <w:p w:rsidR="00114863" w:rsidRPr="00F93124" w:rsidRDefault="00114863" w:rsidP="00057294">
      <w:pPr>
        <w:spacing w:after="0" w:line="360" w:lineRule="auto"/>
        <w:jc w:val="both"/>
        <w:rPr>
          <w:rFonts w:asciiTheme="majorHAnsi" w:hAnsiTheme="majorHAnsi"/>
          <w:sz w:val="24"/>
        </w:rPr>
      </w:pPr>
    </w:p>
    <w:p w:rsidR="00106FB6" w:rsidRPr="00F93124" w:rsidRDefault="003471ED" w:rsidP="00F93124">
      <w:pPr>
        <w:pStyle w:val="H1"/>
        <w:spacing w:line="360" w:lineRule="auto"/>
        <w:ind w:right="532"/>
        <w:rPr>
          <w:rFonts w:asciiTheme="majorHAnsi" w:hAnsiTheme="majorHAnsi"/>
          <w:b/>
          <w:color w:val="4F6228" w:themeColor="accent3" w:themeShade="80"/>
        </w:rPr>
      </w:pPr>
      <w:r>
        <w:rPr>
          <w:rFonts w:asciiTheme="majorHAnsi" w:hAnsiTheme="majorHAnsi"/>
          <w:b/>
          <w:color w:val="4F6228" w:themeColor="accent3" w:themeShade="80"/>
        </w:rPr>
        <w:t>5</w:t>
      </w:r>
      <w:r w:rsidR="00A50CF3">
        <w:rPr>
          <w:rFonts w:asciiTheme="majorHAnsi" w:hAnsiTheme="majorHAnsi"/>
          <w:b/>
          <w:color w:val="4F6228" w:themeColor="accent3" w:themeShade="80"/>
        </w:rPr>
        <w:t xml:space="preserve">. </w:t>
      </w:r>
      <w:r w:rsidR="00106FB6" w:rsidRPr="00AB112D">
        <w:rPr>
          <w:rFonts w:asciiTheme="majorHAnsi" w:hAnsiTheme="majorHAnsi"/>
          <w:b/>
          <w:color w:val="4F6228" w:themeColor="accent3" w:themeShade="80"/>
        </w:rPr>
        <w:t>Legislation</w:t>
      </w:r>
      <w:bookmarkEnd w:id="1"/>
      <w:r w:rsidR="00F258FE">
        <w:rPr>
          <w:rFonts w:asciiTheme="majorHAnsi" w:hAnsiTheme="majorHAnsi"/>
          <w:b/>
          <w:color w:val="4F6228" w:themeColor="accent3" w:themeShade="80"/>
        </w:rPr>
        <w:t xml:space="preserve"> AND PLANNING SYSTEM</w:t>
      </w:r>
      <w:r w:rsidR="00106FB6" w:rsidRPr="00F93124">
        <w:rPr>
          <w:rFonts w:asciiTheme="majorHAnsi" w:hAnsiTheme="majorHAnsi"/>
          <w:b/>
          <w:color w:val="4F6228" w:themeColor="accent3" w:themeShade="80"/>
        </w:rPr>
        <w:t xml:space="preserve"> </w:t>
      </w:r>
    </w:p>
    <w:p w:rsidR="00AB112D" w:rsidRPr="00F93124" w:rsidRDefault="00AB112D" w:rsidP="00AB112D">
      <w:pPr>
        <w:spacing w:line="360" w:lineRule="auto"/>
        <w:jc w:val="both"/>
        <w:rPr>
          <w:rFonts w:asciiTheme="majorHAnsi" w:hAnsiTheme="majorHAnsi"/>
          <w:sz w:val="24"/>
        </w:rPr>
      </w:pPr>
      <w:r>
        <w:rPr>
          <w:rFonts w:asciiTheme="majorHAnsi" w:hAnsiTheme="majorHAnsi"/>
          <w:sz w:val="24"/>
        </w:rPr>
        <w:t>The ACT Government has provided c</w:t>
      </w:r>
      <w:r w:rsidRPr="00F93124">
        <w:rPr>
          <w:rFonts w:asciiTheme="majorHAnsi" w:hAnsiTheme="majorHAnsi"/>
          <w:sz w:val="24"/>
        </w:rPr>
        <w:t xml:space="preserve">onsiderations </w:t>
      </w:r>
      <w:r>
        <w:rPr>
          <w:rFonts w:asciiTheme="majorHAnsi" w:hAnsiTheme="majorHAnsi"/>
          <w:sz w:val="24"/>
        </w:rPr>
        <w:t xml:space="preserve">for </w:t>
      </w:r>
      <w:r w:rsidRPr="00F93124">
        <w:rPr>
          <w:rFonts w:asciiTheme="majorHAnsi" w:hAnsiTheme="majorHAnsi"/>
          <w:sz w:val="24"/>
        </w:rPr>
        <w:t xml:space="preserve">urban planning, land use policy and infrastructure investment that support </w:t>
      </w:r>
      <w:r>
        <w:rPr>
          <w:rFonts w:asciiTheme="majorHAnsi" w:hAnsiTheme="majorHAnsi"/>
          <w:sz w:val="24"/>
        </w:rPr>
        <w:t>cost</w:t>
      </w:r>
      <w:r>
        <w:rPr>
          <w:rFonts w:asciiTheme="majorHAnsi" w:hAnsiTheme="majorHAnsi"/>
          <w:sz w:val="24"/>
        </w:rPr>
        <w:noBreakHyphen/>
        <w:t xml:space="preserve">effective risk management through legislation and the planning system and leasehold tenure system. This is essential for </w:t>
      </w:r>
      <w:r w:rsidRPr="00F93124">
        <w:rPr>
          <w:rFonts w:asciiTheme="majorHAnsi" w:hAnsiTheme="majorHAnsi"/>
          <w:sz w:val="24"/>
        </w:rPr>
        <w:t>natural disaster mitigation, r</w:t>
      </w:r>
      <w:r>
        <w:rPr>
          <w:rFonts w:asciiTheme="majorHAnsi" w:hAnsiTheme="majorHAnsi"/>
          <w:sz w:val="24"/>
        </w:rPr>
        <w:t>esilience and recovery for the t</w:t>
      </w:r>
      <w:r w:rsidRPr="00F93124">
        <w:rPr>
          <w:rFonts w:asciiTheme="majorHAnsi" w:hAnsiTheme="majorHAnsi"/>
          <w:sz w:val="24"/>
        </w:rPr>
        <w:t>erritory.</w:t>
      </w:r>
      <w:r>
        <w:rPr>
          <w:rFonts w:asciiTheme="majorHAnsi" w:hAnsiTheme="majorHAnsi"/>
          <w:sz w:val="24"/>
        </w:rPr>
        <w:t xml:space="preserve">  This also ensures that a growing community can also be safely accommodated. </w:t>
      </w:r>
    </w:p>
    <w:p w:rsidR="00892E1A" w:rsidRPr="00F93124" w:rsidRDefault="006541C4" w:rsidP="00F93124">
      <w:pPr>
        <w:spacing w:line="360" w:lineRule="auto"/>
        <w:jc w:val="both"/>
        <w:rPr>
          <w:rFonts w:asciiTheme="majorHAnsi" w:hAnsiTheme="majorHAnsi"/>
          <w:sz w:val="24"/>
        </w:rPr>
      </w:pPr>
      <w:r>
        <w:rPr>
          <w:rFonts w:asciiTheme="majorHAnsi" w:hAnsiTheme="majorHAnsi"/>
          <w:sz w:val="24"/>
        </w:rPr>
        <w:t>Examples of some of the ACT Government legislation that supports this</w:t>
      </w:r>
      <w:r w:rsidR="00892E1A" w:rsidRPr="00F93124">
        <w:rPr>
          <w:rFonts w:asciiTheme="majorHAnsi" w:hAnsiTheme="majorHAnsi"/>
          <w:sz w:val="24"/>
        </w:rPr>
        <w:t xml:space="preserve"> realistic, risk compliant building and land use planning principles</w:t>
      </w:r>
      <w:r>
        <w:rPr>
          <w:rFonts w:asciiTheme="majorHAnsi" w:hAnsiTheme="majorHAnsi"/>
          <w:sz w:val="24"/>
        </w:rPr>
        <w:t xml:space="preserve"> are: </w:t>
      </w:r>
    </w:p>
    <w:p w:rsidR="00892E1A" w:rsidRPr="00F93124" w:rsidRDefault="00892E1A" w:rsidP="00F93124">
      <w:pPr>
        <w:pStyle w:val="ListParagraph"/>
        <w:numPr>
          <w:ilvl w:val="0"/>
          <w:numId w:val="32"/>
        </w:numPr>
        <w:tabs>
          <w:tab w:val="clear" w:pos="4536"/>
        </w:tabs>
        <w:spacing w:after="200" w:line="360" w:lineRule="auto"/>
        <w:jc w:val="both"/>
        <w:rPr>
          <w:rFonts w:asciiTheme="majorHAnsi" w:hAnsiTheme="majorHAnsi"/>
          <w:sz w:val="24"/>
          <w:szCs w:val="24"/>
        </w:rPr>
      </w:pPr>
      <w:r w:rsidRPr="00F93124">
        <w:rPr>
          <w:rFonts w:asciiTheme="majorHAnsi" w:hAnsiTheme="majorHAnsi"/>
          <w:i/>
          <w:sz w:val="24"/>
          <w:szCs w:val="24"/>
        </w:rPr>
        <w:t>Building (General) Regulation 2008</w:t>
      </w:r>
      <w:r w:rsidRPr="00F93124">
        <w:rPr>
          <w:rFonts w:asciiTheme="majorHAnsi" w:hAnsiTheme="majorHAnsi"/>
          <w:sz w:val="24"/>
          <w:szCs w:val="24"/>
        </w:rPr>
        <w:t>;</w:t>
      </w:r>
    </w:p>
    <w:p w:rsidR="00892E1A" w:rsidRPr="00F93124" w:rsidRDefault="00892E1A" w:rsidP="00F93124">
      <w:pPr>
        <w:pStyle w:val="ListParagraph"/>
        <w:numPr>
          <w:ilvl w:val="0"/>
          <w:numId w:val="32"/>
        </w:numPr>
        <w:tabs>
          <w:tab w:val="clear" w:pos="4536"/>
        </w:tabs>
        <w:spacing w:after="200" w:line="360" w:lineRule="auto"/>
        <w:jc w:val="both"/>
        <w:rPr>
          <w:rFonts w:asciiTheme="majorHAnsi" w:hAnsiTheme="majorHAnsi"/>
          <w:sz w:val="24"/>
          <w:szCs w:val="24"/>
        </w:rPr>
      </w:pPr>
      <w:r w:rsidRPr="00F93124">
        <w:rPr>
          <w:rFonts w:asciiTheme="majorHAnsi" w:hAnsiTheme="majorHAnsi"/>
          <w:i/>
          <w:sz w:val="24"/>
          <w:szCs w:val="24"/>
        </w:rPr>
        <w:t>Building Act 2004</w:t>
      </w:r>
      <w:r w:rsidRPr="00F93124">
        <w:rPr>
          <w:rFonts w:asciiTheme="majorHAnsi" w:hAnsiTheme="majorHAnsi"/>
          <w:sz w:val="24"/>
          <w:szCs w:val="24"/>
        </w:rPr>
        <w:t>;</w:t>
      </w:r>
    </w:p>
    <w:p w:rsidR="00892E1A" w:rsidRPr="00F93124" w:rsidRDefault="00892E1A" w:rsidP="00F93124">
      <w:pPr>
        <w:pStyle w:val="ListParagraph"/>
        <w:numPr>
          <w:ilvl w:val="0"/>
          <w:numId w:val="32"/>
        </w:numPr>
        <w:tabs>
          <w:tab w:val="clear" w:pos="4536"/>
        </w:tabs>
        <w:spacing w:after="200" w:line="360" w:lineRule="auto"/>
        <w:jc w:val="both"/>
        <w:rPr>
          <w:rFonts w:asciiTheme="majorHAnsi" w:hAnsiTheme="majorHAnsi"/>
          <w:sz w:val="24"/>
          <w:szCs w:val="24"/>
        </w:rPr>
      </w:pPr>
      <w:r w:rsidRPr="00F93124">
        <w:rPr>
          <w:rFonts w:asciiTheme="majorHAnsi" w:hAnsiTheme="majorHAnsi"/>
          <w:i/>
          <w:sz w:val="24"/>
          <w:szCs w:val="24"/>
        </w:rPr>
        <w:t>Planning and Development Act 2007</w:t>
      </w:r>
      <w:r w:rsidRPr="00F93124">
        <w:rPr>
          <w:rFonts w:asciiTheme="majorHAnsi" w:hAnsiTheme="majorHAnsi"/>
          <w:sz w:val="24"/>
          <w:szCs w:val="24"/>
        </w:rPr>
        <w:t xml:space="preserve"> - main object of the planning strategy is to promote the orderly and sustainable development of the ACT, consistent with the social, environmental and economic aspirations of the people of the ACT in accordance with sound financial principles;</w:t>
      </w:r>
    </w:p>
    <w:p w:rsidR="00892E1A" w:rsidRPr="00F93124" w:rsidRDefault="00892E1A" w:rsidP="00F93124">
      <w:pPr>
        <w:pStyle w:val="ListParagraph"/>
        <w:numPr>
          <w:ilvl w:val="0"/>
          <w:numId w:val="32"/>
        </w:numPr>
        <w:tabs>
          <w:tab w:val="clear" w:pos="4536"/>
        </w:tabs>
        <w:spacing w:after="200" w:line="360" w:lineRule="auto"/>
        <w:jc w:val="both"/>
        <w:rPr>
          <w:rFonts w:asciiTheme="majorHAnsi" w:hAnsiTheme="majorHAnsi"/>
          <w:sz w:val="24"/>
          <w:szCs w:val="24"/>
        </w:rPr>
      </w:pPr>
      <w:r w:rsidRPr="00F93124">
        <w:rPr>
          <w:rFonts w:asciiTheme="majorHAnsi" w:hAnsiTheme="majorHAnsi"/>
          <w:i/>
          <w:sz w:val="24"/>
          <w:szCs w:val="24"/>
        </w:rPr>
        <w:t>Planning and Building Amendment Act 2011</w:t>
      </w:r>
      <w:r w:rsidRPr="00F93124">
        <w:rPr>
          <w:rFonts w:asciiTheme="majorHAnsi" w:hAnsiTheme="majorHAnsi"/>
          <w:sz w:val="24"/>
          <w:szCs w:val="24"/>
        </w:rPr>
        <w:t>;</w:t>
      </w:r>
      <w:r w:rsidR="006541C4">
        <w:rPr>
          <w:rFonts w:asciiTheme="majorHAnsi" w:hAnsiTheme="majorHAnsi"/>
          <w:sz w:val="24"/>
          <w:szCs w:val="24"/>
        </w:rPr>
        <w:t xml:space="preserve"> and</w:t>
      </w:r>
    </w:p>
    <w:p w:rsidR="00FA2853" w:rsidRPr="00AB112D" w:rsidRDefault="00892E1A" w:rsidP="00FA2853">
      <w:pPr>
        <w:pStyle w:val="ListParagraph"/>
        <w:numPr>
          <w:ilvl w:val="0"/>
          <w:numId w:val="32"/>
        </w:numPr>
        <w:tabs>
          <w:tab w:val="clear" w:pos="4536"/>
        </w:tabs>
        <w:spacing w:after="200" w:line="360" w:lineRule="auto"/>
        <w:jc w:val="both"/>
        <w:rPr>
          <w:rFonts w:asciiTheme="majorHAnsi" w:hAnsiTheme="majorHAnsi"/>
        </w:rPr>
      </w:pPr>
      <w:r w:rsidRPr="006541C4">
        <w:rPr>
          <w:rFonts w:asciiTheme="majorHAnsi" w:hAnsiTheme="majorHAnsi"/>
          <w:i/>
          <w:sz w:val="24"/>
          <w:szCs w:val="24"/>
        </w:rPr>
        <w:t>Planning, Building, Environment Legislation Amendment Act 2012</w:t>
      </w:r>
      <w:r w:rsidR="006541C4">
        <w:rPr>
          <w:rFonts w:asciiTheme="majorHAnsi" w:hAnsiTheme="majorHAnsi"/>
          <w:i/>
          <w:sz w:val="24"/>
          <w:szCs w:val="24"/>
        </w:rPr>
        <w:t>.</w:t>
      </w:r>
    </w:p>
    <w:p w:rsidR="00AB112D" w:rsidRPr="00F77812" w:rsidRDefault="0062742A" w:rsidP="00AB112D">
      <w:pPr>
        <w:spacing w:after="200" w:line="360" w:lineRule="auto"/>
        <w:jc w:val="both"/>
        <w:rPr>
          <w:rFonts w:asciiTheme="majorHAnsi" w:hAnsiTheme="majorHAnsi"/>
          <w:sz w:val="24"/>
        </w:rPr>
      </w:pPr>
      <w:r w:rsidRPr="0062742A">
        <w:rPr>
          <w:rFonts w:asciiTheme="majorHAnsi" w:hAnsiTheme="majorHAnsi"/>
          <w:sz w:val="24"/>
        </w:rPr>
        <w:t xml:space="preserve">In addition to legislative requirements, the ACT also employs a range of bushfire mitigation measures including the Bushfire Abatement Zone, asset protection zones and bushfire prone areas.  It is also important to note that the ACT, as a single jurisdiction, is under a leasehold system and as such the ACT Government strategically identifies areas on the urban edge (i.e. greenfields areas) for future development.  The </w:t>
      </w:r>
      <w:r w:rsidRPr="0062742A">
        <w:rPr>
          <w:rFonts w:asciiTheme="majorHAnsi" w:hAnsiTheme="majorHAnsi"/>
          <w:i/>
          <w:sz w:val="24"/>
        </w:rPr>
        <w:t>Emergencies Act 2004</w:t>
      </w:r>
      <w:r w:rsidRPr="0062742A">
        <w:rPr>
          <w:rFonts w:asciiTheme="majorHAnsi" w:hAnsiTheme="majorHAnsi"/>
          <w:sz w:val="24"/>
        </w:rPr>
        <w:t xml:space="preserve"> also provides for the provision of Bushfire Operational Plans to address risk across public and private land to effectively mitigate the hazards in a sustainable manner. (Source: ACT Bushfire Council)</w:t>
      </w:r>
    </w:p>
    <w:p w:rsidR="00462D92" w:rsidRDefault="00462D92">
      <w:pPr>
        <w:tabs>
          <w:tab w:val="clear" w:pos="9072"/>
        </w:tabs>
        <w:spacing w:before="0" w:after="0"/>
        <w:rPr>
          <w:rFonts w:asciiTheme="majorHAnsi" w:hAnsiTheme="majorHAnsi"/>
          <w:sz w:val="24"/>
        </w:rPr>
      </w:pPr>
      <w:r>
        <w:rPr>
          <w:rFonts w:asciiTheme="majorHAnsi" w:hAnsiTheme="majorHAnsi"/>
          <w:sz w:val="24"/>
        </w:rPr>
        <w:br w:type="page"/>
      </w:r>
    </w:p>
    <w:p w:rsidR="00462D92" w:rsidRDefault="00462D92" w:rsidP="00AB112D">
      <w:pPr>
        <w:spacing w:after="200" w:line="360" w:lineRule="auto"/>
        <w:jc w:val="both"/>
        <w:rPr>
          <w:rFonts w:asciiTheme="majorHAnsi" w:hAnsiTheme="majorHAnsi"/>
          <w:sz w:val="24"/>
        </w:rPr>
      </w:pPr>
    </w:p>
    <w:p w:rsidR="00AB112D" w:rsidRPr="00F77812" w:rsidRDefault="0062742A" w:rsidP="00AB112D">
      <w:pPr>
        <w:spacing w:after="200" w:line="360" w:lineRule="auto"/>
        <w:jc w:val="both"/>
        <w:rPr>
          <w:rFonts w:asciiTheme="majorHAnsi" w:hAnsiTheme="majorHAnsi"/>
          <w:sz w:val="24"/>
        </w:rPr>
      </w:pPr>
      <w:r w:rsidRPr="0062742A">
        <w:rPr>
          <w:rFonts w:asciiTheme="majorHAnsi" w:hAnsiTheme="majorHAnsi"/>
          <w:sz w:val="24"/>
        </w:rPr>
        <w:t xml:space="preserve">There are also well-established and formalised strategic planning and development application processes to ensure that where a bushfire risk assessment is undertaken, it is appropriately reviewed by the Emergency Services Agency and the Fire Services to ensure that the required mitigation measure has been incorporated into the planning.   </w:t>
      </w:r>
    </w:p>
    <w:p w:rsidR="00AB112D" w:rsidRPr="00AB112D" w:rsidRDefault="00AB112D" w:rsidP="00AB112D">
      <w:pPr>
        <w:spacing w:after="200" w:line="360" w:lineRule="auto"/>
        <w:jc w:val="both"/>
        <w:rPr>
          <w:rFonts w:asciiTheme="majorHAnsi" w:hAnsiTheme="majorHAnsi"/>
        </w:rPr>
      </w:pPr>
    </w:p>
    <w:p w:rsidR="00892E1A" w:rsidRPr="007917F8" w:rsidRDefault="00114863" w:rsidP="007917F8">
      <w:pPr>
        <w:pStyle w:val="H1"/>
        <w:rPr>
          <w:rFonts w:asciiTheme="majorHAnsi" w:hAnsiTheme="majorHAnsi"/>
          <w:b/>
          <w:color w:val="4F6228" w:themeColor="accent3" w:themeShade="80"/>
        </w:rPr>
      </w:pPr>
      <w:r>
        <w:rPr>
          <w:rFonts w:asciiTheme="majorHAnsi" w:hAnsiTheme="majorHAnsi"/>
          <w:b/>
          <w:color w:val="4F6228" w:themeColor="accent3" w:themeShade="80"/>
        </w:rPr>
        <w:t>6</w:t>
      </w:r>
      <w:r w:rsidR="00892E1A" w:rsidRPr="007917F8">
        <w:rPr>
          <w:rFonts w:asciiTheme="majorHAnsi" w:hAnsiTheme="majorHAnsi"/>
          <w:b/>
          <w:color w:val="4F6228" w:themeColor="accent3" w:themeShade="80"/>
        </w:rPr>
        <w:t>. Insurance for residual risk</w:t>
      </w:r>
    </w:p>
    <w:p w:rsidR="00F77812" w:rsidRDefault="0062742A" w:rsidP="00F93124">
      <w:pPr>
        <w:spacing w:line="360" w:lineRule="auto"/>
        <w:rPr>
          <w:rFonts w:asciiTheme="majorHAnsi" w:hAnsiTheme="majorHAnsi"/>
          <w:sz w:val="24"/>
        </w:rPr>
      </w:pPr>
      <w:r w:rsidRPr="0062742A">
        <w:rPr>
          <w:rFonts w:asciiTheme="majorHAnsi" w:hAnsiTheme="majorHAnsi"/>
          <w:sz w:val="24"/>
        </w:rPr>
        <w:t xml:space="preserve">Operational assets  of ACT </w:t>
      </w:r>
      <w:r w:rsidR="00F77812">
        <w:rPr>
          <w:rFonts w:asciiTheme="majorHAnsi" w:hAnsiTheme="majorHAnsi"/>
          <w:sz w:val="24"/>
        </w:rPr>
        <w:t>Government agencies are insured with the ACT Insurance Authority (ACTIA) – a statutory authority responsible to the ACT Treasurer.</w:t>
      </w:r>
    </w:p>
    <w:p w:rsidR="00F77812" w:rsidRDefault="00F77812" w:rsidP="00F93124">
      <w:pPr>
        <w:spacing w:line="360" w:lineRule="auto"/>
        <w:rPr>
          <w:rFonts w:asciiTheme="majorHAnsi" w:hAnsiTheme="majorHAnsi"/>
          <w:sz w:val="24"/>
        </w:rPr>
      </w:pPr>
      <w:r>
        <w:rPr>
          <w:rFonts w:asciiTheme="majorHAnsi" w:hAnsiTheme="majorHAnsi"/>
          <w:sz w:val="24"/>
        </w:rPr>
        <w:t>ACTIA undertakes to insure the ACT Government agencies, and then to arrange reinsurance which limits its exposure to large individual losses and/or catastrophic events that may impact on multiple ACT Government assets.</w:t>
      </w:r>
    </w:p>
    <w:p w:rsidR="00F77812" w:rsidRDefault="00F77812" w:rsidP="00F93124">
      <w:pPr>
        <w:spacing w:line="360" w:lineRule="auto"/>
        <w:rPr>
          <w:rFonts w:asciiTheme="majorHAnsi" w:hAnsiTheme="majorHAnsi"/>
          <w:sz w:val="24"/>
        </w:rPr>
      </w:pPr>
      <w:r>
        <w:rPr>
          <w:rFonts w:asciiTheme="majorHAnsi" w:hAnsiTheme="majorHAnsi"/>
          <w:sz w:val="24"/>
        </w:rPr>
        <w:t>There are no Territory assets that are uninsured.  However, insurance for assets which are under construction is arranged directly with insurers outside of this program.</w:t>
      </w:r>
    </w:p>
    <w:p w:rsidR="00F77812" w:rsidRDefault="00F77812" w:rsidP="00F93124">
      <w:pPr>
        <w:spacing w:line="360" w:lineRule="auto"/>
        <w:rPr>
          <w:rFonts w:asciiTheme="majorHAnsi" w:hAnsiTheme="majorHAnsi"/>
          <w:sz w:val="24"/>
        </w:rPr>
      </w:pPr>
      <w:r>
        <w:rPr>
          <w:rFonts w:asciiTheme="majorHAnsi" w:hAnsiTheme="majorHAnsi"/>
          <w:sz w:val="24"/>
        </w:rPr>
        <w:t>Under the Indemnity Agreement between ACTIA and ACT Government agencies, all assets including essential public assets and roads are covered under the terms of the Insurance Indemnity and the Industrial Special Risk (ISR) Indemnity for fortuitous loss, damage or destruction of property and consequential loss.</w:t>
      </w:r>
    </w:p>
    <w:p w:rsidR="00F77812" w:rsidRDefault="00F77812" w:rsidP="00F93124">
      <w:pPr>
        <w:spacing w:line="360" w:lineRule="auto"/>
        <w:rPr>
          <w:rFonts w:asciiTheme="majorHAnsi" w:hAnsiTheme="majorHAnsi"/>
          <w:sz w:val="24"/>
        </w:rPr>
      </w:pPr>
      <w:r>
        <w:rPr>
          <w:rFonts w:asciiTheme="majorHAnsi" w:hAnsiTheme="majorHAnsi"/>
          <w:sz w:val="24"/>
        </w:rPr>
        <w:t>Individual agencies accept specific levels of self insurance in the form of ex</w:t>
      </w:r>
      <w:r w:rsidR="000776CC">
        <w:rPr>
          <w:rFonts w:asciiTheme="majorHAnsi" w:hAnsiTheme="majorHAnsi"/>
          <w:sz w:val="24"/>
        </w:rPr>
        <w:t>cesses which ACTIA deducts from any claims payments.</w:t>
      </w:r>
    </w:p>
    <w:p w:rsidR="000776CC" w:rsidRPr="00F77812" w:rsidRDefault="000776CC" w:rsidP="00F93124">
      <w:pPr>
        <w:spacing w:line="360" w:lineRule="auto"/>
        <w:rPr>
          <w:rFonts w:asciiTheme="majorHAnsi" w:hAnsiTheme="majorHAnsi"/>
          <w:sz w:val="24"/>
        </w:rPr>
      </w:pPr>
      <w:r>
        <w:rPr>
          <w:rFonts w:asciiTheme="majorHAnsi" w:hAnsiTheme="majorHAnsi"/>
          <w:sz w:val="24"/>
        </w:rPr>
        <w:t>More details are provided</w:t>
      </w:r>
      <w:r w:rsidR="00BB43EF">
        <w:rPr>
          <w:rFonts w:asciiTheme="majorHAnsi" w:hAnsiTheme="majorHAnsi"/>
          <w:sz w:val="24"/>
        </w:rPr>
        <w:t xml:space="preserve"> at </w:t>
      </w:r>
      <w:r>
        <w:rPr>
          <w:rFonts w:asciiTheme="majorHAnsi" w:hAnsiTheme="majorHAnsi"/>
          <w:sz w:val="24"/>
        </w:rPr>
        <w:t xml:space="preserve"> </w:t>
      </w:r>
      <w:r w:rsidR="0062742A" w:rsidRPr="0062742A">
        <w:rPr>
          <w:rFonts w:asciiTheme="majorHAnsi" w:hAnsiTheme="majorHAnsi"/>
          <w:b/>
          <w:sz w:val="24"/>
          <w:u w:val="single"/>
        </w:rPr>
        <w:t>Attachment F</w:t>
      </w:r>
      <w:r>
        <w:rPr>
          <w:rFonts w:asciiTheme="majorHAnsi" w:hAnsiTheme="majorHAnsi"/>
          <w:sz w:val="24"/>
        </w:rPr>
        <w:t>.</w:t>
      </w:r>
    </w:p>
    <w:p w:rsidR="00462D92" w:rsidRDefault="00462D92">
      <w:pPr>
        <w:tabs>
          <w:tab w:val="clear" w:pos="9072"/>
        </w:tabs>
        <w:spacing w:before="0" w:after="0"/>
        <w:rPr>
          <w:rFonts w:asciiTheme="majorHAnsi" w:hAnsiTheme="majorHAnsi"/>
          <w:caps/>
          <w:color w:val="808080" w:themeColor="background1" w:themeShade="80"/>
          <w:spacing w:val="28"/>
          <w:sz w:val="24"/>
          <w:szCs w:val="32"/>
          <w:highlight w:val="yellow"/>
        </w:rPr>
      </w:pPr>
      <w:r>
        <w:rPr>
          <w:rFonts w:asciiTheme="majorHAnsi" w:hAnsiTheme="majorHAnsi"/>
          <w:sz w:val="24"/>
          <w:highlight w:val="yellow"/>
        </w:rPr>
        <w:br w:type="page"/>
      </w:r>
    </w:p>
    <w:p w:rsidR="00733E81" w:rsidRDefault="00114863" w:rsidP="00733E81">
      <w:pPr>
        <w:pStyle w:val="H1"/>
        <w:rPr>
          <w:rFonts w:asciiTheme="majorHAnsi" w:hAnsiTheme="majorHAnsi"/>
          <w:b/>
          <w:color w:val="4F6228" w:themeColor="accent3" w:themeShade="80"/>
        </w:rPr>
      </w:pPr>
      <w:bookmarkStart w:id="2" w:name="_Toc372629939"/>
      <w:r>
        <w:rPr>
          <w:rFonts w:asciiTheme="majorHAnsi" w:hAnsiTheme="majorHAnsi"/>
          <w:b/>
          <w:color w:val="4F6228" w:themeColor="accent3" w:themeShade="80"/>
        </w:rPr>
        <w:lastRenderedPageBreak/>
        <w:t>7</w:t>
      </w:r>
      <w:r w:rsidR="00733E81" w:rsidRPr="00733E81">
        <w:rPr>
          <w:rFonts w:asciiTheme="majorHAnsi" w:hAnsiTheme="majorHAnsi"/>
          <w:b/>
          <w:color w:val="4F6228" w:themeColor="accent3" w:themeShade="80"/>
        </w:rPr>
        <w:t>. Summary</w:t>
      </w:r>
    </w:p>
    <w:p w:rsidR="00733E81" w:rsidRDefault="00733E81" w:rsidP="00733E81">
      <w:pPr>
        <w:spacing w:line="360" w:lineRule="auto"/>
      </w:pPr>
      <w:r w:rsidRPr="00114863">
        <w:rPr>
          <w:rFonts w:asciiTheme="majorHAnsi" w:hAnsiTheme="majorHAnsi"/>
          <w:sz w:val="24"/>
        </w:rPr>
        <w:t xml:space="preserve">The ACT Government recommends the following in response to the </w:t>
      </w:r>
      <w:r w:rsidR="009C7281" w:rsidRPr="00114863">
        <w:rPr>
          <w:rFonts w:asciiTheme="majorHAnsi" w:hAnsiTheme="majorHAnsi"/>
          <w:sz w:val="24"/>
        </w:rPr>
        <w:t>Australian Government</w:t>
      </w:r>
      <w:r w:rsidRPr="00114863">
        <w:rPr>
          <w:rFonts w:asciiTheme="majorHAnsi" w:hAnsiTheme="majorHAnsi"/>
          <w:sz w:val="24"/>
        </w:rPr>
        <w:t xml:space="preserve"> Productivity </w:t>
      </w:r>
      <w:r w:rsidR="00114863">
        <w:rPr>
          <w:rFonts w:asciiTheme="majorHAnsi" w:hAnsiTheme="majorHAnsi"/>
          <w:sz w:val="24"/>
        </w:rPr>
        <w:t xml:space="preserve">Commission Issues Paper – </w:t>
      </w:r>
      <w:r w:rsidR="00114863" w:rsidRPr="00114863">
        <w:rPr>
          <w:rFonts w:asciiTheme="majorHAnsi" w:hAnsiTheme="majorHAnsi"/>
          <w:i/>
          <w:sz w:val="24"/>
        </w:rPr>
        <w:t>Natural Disaster Funding Arrangements</w:t>
      </w:r>
      <w:r w:rsidR="00114863">
        <w:rPr>
          <w:rFonts w:asciiTheme="majorHAnsi" w:hAnsiTheme="majorHAnsi"/>
          <w:sz w:val="24"/>
        </w:rPr>
        <w:t>.</w:t>
      </w:r>
    </w:p>
    <w:p w:rsidR="00114863" w:rsidRDefault="00114863" w:rsidP="00851862">
      <w:pPr>
        <w:spacing w:after="0"/>
        <w:rPr>
          <w:rFonts w:asciiTheme="majorHAnsi" w:hAnsiTheme="majorHAnsi"/>
          <w:color w:val="4F6228" w:themeColor="accent3" w:themeShade="80"/>
          <w:sz w:val="24"/>
        </w:rPr>
      </w:pPr>
      <w:r w:rsidRPr="00851862">
        <w:rPr>
          <w:rFonts w:asciiTheme="majorHAnsi" w:hAnsiTheme="majorHAnsi"/>
          <w:b/>
          <w:color w:val="4F6228" w:themeColor="accent3" w:themeShade="80"/>
          <w:sz w:val="28"/>
          <w:szCs w:val="28"/>
          <w:u w:val="single"/>
        </w:rPr>
        <w:t>Recommendation 1</w:t>
      </w:r>
      <w:r w:rsidRPr="00851862">
        <w:rPr>
          <w:rFonts w:asciiTheme="majorHAnsi" w:hAnsiTheme="majorHAnsi"/>
          <w:color w:val="4F6228" w:themeColor="accent3" w:themeShade="80"/>
          <w:sz w:val="28"/>
          <w:szCs w:val="28"/>
        </w:rPr>
        <w:t>:</w:t>
      </w:r>
      <w:r w:rsidRPr="00314755">
        <w:rPr>
          <w:rFonts w:asciiTheme="majorHAnsi" w:hAnsiTheme="majorHAnsi"/>
          <w:color w:val="4F6228" w:themeColor="accent3" w:themeShade="80"/>
          <w:sz w:val="24"/>
        </w:rPr>
        <w:t xml:space="preserve"> </w:t>
      </w:r>
      <w:r w:rsidR="00851862">
        <w:rPr>
          <w:rFonts w:asciiTheme="majorHAnsi" w:hAnsiTheme="majorHAnsi"/>
          <w:color w:val="4F6228" w:themeColor="accent3" w:themeShade="80"/>
          <w:sz w:val="24"/>
        </w:rPr>
        <w:t xml:space="preserve"> </w:t>
      </w:r>
      <w:r w:rsidRPr="00851862">
        <w:rPr>
          <w:rFonts w:asciiTheme="majorHAnsi" w:hAnsiTheme="majorHAnsi"/>
          <w:color w:val="4F6228" w:themeColor="accent3" w:themeShade="80"/>
          <w:sz w:val="28"/>
          <w:szCs w:val="28"/>
        </w:rPr>
        <w:t>The ACT Government supports the examination of NDRAA as part of the Productivity Commission’s focus noting the costs of the arrangements in Australia are at historically high and unsustainable levels.</w:t>
      </w:r>
    </w:p>
    <w:p w:rsidR="00851862" w:rsidRPr="00733E81" w:rsidRDefault="00851862" w:rsidP="00851862">
      <w:pPr>
        <w:spacing w:after="0"/>
        <w:rPr>
          <w:rFonts w:asciiTheme="majorHAnsi" w:hAnsiTheme="majorHAnsi"/>
          <w:color w:val="4F6228" w:themeColor="accent3" w:themeShade="80"/>
          <w:sz w:val="24"/>
        </w:rPr>
      </w:pPr>
    </w:p>
    <w:p w:rsidR="00114863" w:rsidRPr="00851862" w:rsidRDefault="00114863" w:rsidP="00851862">
      <w:pPr>
        <w:spacing w:after="0"/>
        <w:rPr>
          <w:rFonts w:asciiTheme="majorHAnsi" w:hAnsiTheme="majorHAnsi"/>
          <w:color w:val="4F6228" w:themeColor="accent3" w:themeShade="80"/>
          <w:sz w:val="28"/>
          <w:szCs w:val="28"/>
        </w:rPr>
      </w:pPr>
      <w:r w:rsidRPr="00851862">
        <w:rPr>
          <w:rFonts w:asciiTheme="majorHAnsi" w:hAnsiTheme="majorHAnsi"/>
          <w:b/>
          <w:color w:val="4F6228" w:themeColor="accent3" w:themeShade="80"/>
          <w:sz w:val="28"/>
          <w:szCs w:val="28"/>
          <w:u w:val="single"/>
        </w:rPr>
        <w:t>Recommendation 2</w:t>
      </w:r>
      <w:r w:rsidRPr="00851862">
        <w:rPr>
          <w:rFonts w:asciiTheme="majorHAnsi" w:hAnsiTheme="majorHAnsi"/>
          <w:color w:val="4F6228" w:themeColor="accent3" w:themeShade="80"/>
          <w:sz w:val="28"/>
          <w:szCs w:val="28"/>
        </w:rPr>
        <w:t>:</w:t>
      </w:r>
      <w:r w:rsidRPr="00314755">
        <w:rPr>
          <w:rFonts w:asciiTheme="majorHAnsi" w:hAnsiTheme="majorHAnsi"/>
          <w:color w:val="4F6228" w:themeColor="accent3" w:themeShade="80"/>
          <w:sz w:val="24"/>
        </w:rPr>
        <w:t xml:space="preserve"> </w:t>
      </w:r>
      <w:r w:rsidRPr="00851862">
        <w:rPr>
          <w:rFonts w:asciiTheme="majorHAnsi" w:hAnsiTheme="majorHAnsi"/>
          <w:color w:val="4F6228" w:themeColor="accent3" w:themeShade="80"/>
          <w:sz w:val="28"/>
          <w:szCs w:val="28"/>
        </w:rPr>
        <w:t xml:space="preserve">The ACT Government </w:t>
      </w:r>
      <w:r w:rsidR="00FC2C4D">
        <w:rPr>
          <w:rFonts w:asciiTheme="majorHAnsi" w:hAnsiTheme="majorHAnsi"/>
          <w:color w:val="4F6228" w:themeColor="accent3" w:themeShade="80"/>
          <w:sz w:val="28"/>
          <w:szCs w:val="28"/>
        </w:rPr>
        <w:t xml:space="preserve">strongly </w:t>
      </w:r>
      <w:r w:rsidRPr="00851862">
        <w:rPr>
          <w:rFonts w:asciiTheme="majorHAnsi" w:hAnsiTheme="majorHAnsi"/>
          <w:color w:val="4F6228" w:themeColor="accent3" w:themeShade="80"/>
          <w:sz w:val="28"/>
          <w:szCs w:val="28"/>
        </w:rPr>
        <w:t xml:space="preserve">recommends the continuation of the National Partnership Agreement on Natural Disaster Resilience (NPANDR) funding. However, the NPANDR should be refined and identify the specific requirements of states and territories. This would reflect jurisdictional priorities, current investment initiatives and </w:t>
      </w:r>
      <w:r w:rsidR="001A222E">
        <w:rPr>
          <w:rFonts w:asciiTheme="majorHAnsi" w:hAnsiTheme="majorHAnsi"/>
          <w:color w:val="4F6228" w:themeColor="accent3" w:themeShade="80"/>
          <w:sz w:val="28"/>
          <w:szCs w:val="28"/>
        </w:rPr>
        <w:t xml:space="preserve">our comprehensive </w:t>
      </w:r>
      <w:r w:rsidRPr="00851862">
        <w:rPr>
          <w:rFonts w:asciiTheme="majorHAnsi" w:hAnsiTheme="majorHAnsi"/>
          <w:color w:val="4F6228" w:themeColor="accent3" w:themeShade="80"/>
          <w:sz w:val="28"/>
          <w:szCs w:val="28"/>
        </w:rPr>
        <w:t>self-insurance measures.</w:t>
      </w:r>
    </w:p>
    <w:p w:rsidR="00851862" w:rsidRDefault="00851862" w:rsidP="00851862">
      <w:pPr>
        <w:spacing w:after="0"/>
        <w:rPr>
          <w:rFonts w:asciiTheme="majorHAnsi" w:hAnsiTheme="majorHAnsi"/>
          <w:color w:val="4F6228" w:themeColor="accent3" w:themeShade="80"/>
          <w:sz w:val="24"/>
        </w:rPr>
      </w:pPr>
    </w:p>
    <w:p w:rsidR="00114863" w:rsidRDefault="00114863" w:rsidP="00851862">
      <w:pPr>
        <w:spacing w:after="0"/>
        <w:rPr>
          <w:rFonts w:asciiTheme="majorHAnsi" w:hAnsiTheme="majorHAnsi"/>
          <w:color w:val="4F6228" w:themeColor="accent3" w:themeShade="80"/>
          <w:sz w:val="24"/>
        </w:rPr>
      </w:pPr>
      <w:r w:rsidRPr="00851862">
        <w:rPr>
          <w:rFonts w:asciiTheme="majorHAnsi" w:hAnsiTheme="majorHAnsi"/>
          <w:b/>
          <w:color w:val="4F6228" w:themeColor="accent3" w:themeShade="80"/>
          <w:sz w:val="28"/>
          <w:szCs w:val="28"/>
          <w:u w:val="single"/>
        </w:rPr>
        <w:t>Recommendation 3:</w:t>
      </w:r>
      <w:r w:rsidR="00851862">
        <w:rPr>
          <w:rFonts w:asciiTheme="majorHAnsi" w:hAnsiTheme="majorHAnsi"/>
          <w:b/>
          <w:color w:val="4F6228" w:themeColor="accent3" w:themeShade="80"/>
          <w:sz w:val="24"/>
          <w:u w:val="single"/>
        </w:rPr>
        <w:t xml:space="preserve"> </w:t>
      </w:r>
      <w:r w:rsidRPr="00851862">
        <w:rPr>
          <w:rFonts w:asciiTheme="majorHAnsi" w:hAnsiTheme="majorHAnsi"/>
          <w:color w:val="4F6228" w:themeColor="accent3" w:themeShade="80"/>
          <w:sz w:val="28"/>
          <w:szCs w:val="28"/>
        </w:rPr>
        <w:t xml:space="preserve">The ACT Government recommends </w:t>
      </w:r>
      <w:r w:rsidR="000776CC">
        <w:rPr>
          <w:rFonts w:asciiTheme="majorHAnsi" w:hAnsiTheme="majorHAnsi"/>
          <w:color w:val="4F6228" w:themeColor="accent3" w:themeShade="80"/>
          <w:sz w:val="28"/>
          <w:szCs w:val="28"/>
        </w:rPr>
        <w:t xml:space="preserve">that </w:t>
      </w:r>
      <w:r w:rsidRPr="00851862">
        <w:rPr>
          <w:rFonts w:asciiTheme="majorHAnsi" w:hAnsiTheme="majorHAnsi"/>
          <w:color w:val="4F6228" w:themeColor="accent3" w:themeShade="80"/>
          <w:sz w:val="28"/>
          <w:szCs w:val="28"/>
        </w:rPr>
        <w:t xml:space="preserve">the </w:t>
      </w:r>
      <w:r w:rsidR="000776CC">
        <w:rPr>
          <w:rFonts w:asciiTheme="majorHAnsi" w:hAnsiTheme="majorHAnsi"/>
          <w:color w:val="4F6228" w:themeColor="accent3" w:themeShade="80"/>
          <w:sz w:val="28"/>
          <w:szCs w:val="28"/>
        </w:rPr>
        <w:t>fund</w:t>
      </w:r>
      <w:r w:rsidR="00AF5CE2">
        <w:rPr>
          <w:rFonts w:asciiTheme="majorHAnsi" w:hAnsiTheme="majorHAnsi"/>
          <w:color w:val="4F6228" w:themeColor="accent3" w:themeShade="80"/>
          <w:sz w:val="28"/>
          <w:szCs w:val="28"/>
        </w:rPr>
        <w:t xml:space="preserve"> match</w:t>
      </w:r>
      <w:r w:rsidR="000776CC">
        <w:rPr>
          <w:rFonts w:asciiTheme="majorHAnsi" w:hAnsiTheme="majorHAnsi"/>
          <w:color w:val="4F6228" w:themeColor="accent3" w:themeShade="80"/>
          <w:sz w:val="28"/>
          <w:szCs w:val="28"/>
        </w:rPr>
        <w:t xml:space="preserve">ing </w:t>
      </w:r>
      <w:r w:rsidRPr="00851862">
        <w:rPr>
          <w:rFonts w:asciiTheme="majorHAnsi" w:hAnsiTheme="majorHAnsi"/>
          <w:color w:val="4F6228" w:themeColor="accent3" w:themeShade="80"/>
          <w:sz w:val="28"/>
          <w:szCs w:val="28"/>
        </w:rPr>
        <w:t xml:space="preserve"> </w:t>
      </w:r>
      <w:r w:rsidR="00AF5CE2">
        <w:rPr>
          <w:rFonts w:asciiTheme="majorHAnsi" w:hAnsiTheme="majorHAnsi"/>
          <w:color w:val="4F6228" w:themeColor="accent3" w:themeShade="80"/>
          <w:sz w:val="28"/>
          <w:szCs w:val="28"/>
        </w:rPr>
        <w:t xml:space="preserve">limit </w:t>
      </w:r>
      <w:r w:rsidRPr="00851862">
        <w:rPr>
          <w:rFonts w:asciiTheme="majorHAnsi" w:hAnsiTheme="majorHAnsi"/>
          <w:color w:val="4F6228" w:themeColor="accent3" w:themeShade="80"/>
          <w:sz w:val="28"/>
          <w:szCs w:val="28"/>
        </w:rPr>
        <w:t>be lowered to 25 - 33</w:t>
      </w:r>
      <w:r w:rsidR="00AF5CE2">
        <w:rPr>
          <w:rFonts w:asciiTheme="majorHAnsi" w:hAnsiTheme="majorHAnsi"/>
          <w:color w:val="4F6228" w:themeColor="accent3" w:themeShade="80"/>
          <w:sz w:val="28"/>
          <w:szCs w:val="28"/>
        </w:rPr>
        <w:t xml:space="preserve"> per cent</w:t>
      </w:r>
      <w:r w:rsidR="00AF5CE2" w:rsidRPr="00851862">
        <w:rPr>
          <w:rFonts w:asciiTheme="majorHAnsi" w:hAnsiTheme="majorHAnsi"/>
          <w:color w:val="4F6228" w:themeColor="accent3" w:themeShade="80"/>
          <w:sz w:val="28"/>
          <w:szCs w:val="28"/>
        </w:rPr>
        <w:t xml:space="preserve">, </w:t>
      </w:r>
      <w:r w:rsidR="00AF5CE2">
        <w:rPr>
          <w:rFonts w:asciiTheme="majorHAnsi" w:hAnsiTheme="majorHAnsi"/>
          <w:color w:val="4F6228" w:themeColor="accent3" w:themeShade="80"/>
          <w:sz w:val="28"/>
          <w:szCs w:val="28"/>
        </w:rPr>
        <w:t>as suggested in</w:t>
      </w:r>
      <w:r w:rsidRPr="00851862">
        <w:rPr>
          <w:rFonts w:asciiTheme="majorHAnsi" w:hAnsiTheme="majorHAnsi"/>
          <w:color w:val="4F6228" w:themeColor="accent3" w:themeShade="80"/>
          <w:sz w:val="28"/>
          <w:szCs w:val="28"/>
        </w:rPr>
        <w:t xml:space="preserve"> Option 1 of the Commission</w:t>
      </w:r>
      <w:r w:rsidR="00AF5CE2">
        <w:rPr>
          <w:rFonts w:asciiTheme="majorHAnsi" w:hAnsiTheme="majorHAnsi"/>
          <w:color w:val="4F6228" w:themeColor="accent3" w:themeShade="80"/>
          <w:sz w:val="28"/>
          <w:szCs w:val="28"/>
        </w:rPr>
        <w:t>’</w:t>
      </w:r>
      <w:r w:rsidRPr="00851862">
        <w:rPr>
          <w:rFonts w:asciiTheme="majorHAnsi" w:hAnsiTheme="majorHAnsi"/>
          <w:color w:val="4F6228" w:themeColor="accent3" w:themeShade="80"/>
          <w:sz w:val="28"/>
          <w:szCs w:val="28"/>
        </w:rPr>
        <w:t>s paper.</w:t>
      </w:r>
      <w:r w:rsidRPr="000A5DE2">
        <w:rPr>
          <w:rFonts w:asciiTheme="majorHAnsi" w:hAnsiTheme="majorHAnsi"/>
          <w:color w:val="4F6228" w:themeColor="accent3" w:themeShade="80"/>
          <w:sz w:val="24"/>
        </w:rPr>
        <w:t xml:space="preserve">  </w:t>
      </w:r>
    </w:p>
    <w:p w:rsidR="00851862" w:rsidRPr="000A5DE2" w:rsidRDefault="00851862" w:rsidP="00851862">
      <w:pPr>
        <w:spacing w:after="0"/>
        <w:rPr>
          <w:rFonts w:asciiTheme="majorHAnsi" w:hAnsiTheme="majorHAnsi"/>
          <w:color w:val="4F6228" w:themeColor="accent3" w:themeShade="80"/>
          <w:sz w:val="24"/>
        </w:rPr>
      </w:pPr>
    </w:p>
    <w:p w:rsidR="00114863" w:rsidRDefault="00114863" w:rsidP="00851862">
      <w:pPr>
        <w:spacing w:after="0"/>
        <w:rPr>
          <w:rFonts w:asciiTheme="majorHAnsi" w:hAnsiTheme="majorHAnsi"/>
          <w:color w:val="4F6228" w:themeColor="accent3" w:themeShade="80"/>
          <w:sz w:val="24"/>
        </w:rPr>
      </w:pPr>
      <w:r w:rsidRPr="00851862">
        <w:rPr>
          <w:rFonts w:asciiTheme="majorHAnsi" w:hAnsiTheme="majorHAnsi"/>
          <w:b/>
          <w:color w:val="4F6228" w:themeColor="accent3" w:themeShade="80"/>
          <w:sz w:val="28"/>
          <w:szCs w:val="28"/>
          <w:u w:val="single"/>
        </w:rPr>
        <w:t>Recommendation 4</w:t>
      </w:r>
      <w:r w:rsidRPr="00851862">
        <w:rPr>
          <w:rFonts w:asciiTheme="majorHAnsi" w:hAnsiTheme="majorHAnsi"/>
          <w:color w:val="4F6228" w:themeColor="accent3" w:themeShade="80"/>
          <w:sz w:val="28"/>
          <w:szCs w:val="28"/>
        </w:rPr>
        <w:t>:</w:t>
      </w:r>
      <w:r w:rsidRPr="00314755">
        <w:rPr>
          <w:rFonts w:asciiTheme="majorHAnsi" w:hAnsiTheme="majorHAnsi"/>
          <w:color w:val="4F6228" w:themeColor="accent3" w:themeShade="80"/>
          <w:sz w:val="24"/>
        </w:rPr>
        <w:t xml:space="preserve"> </w:t>
      </w:r>
      <w:r w:rsidRPr="00851862">
        <w:rPr>
          <w:rFonts w:asciiTheme="majorHAnsi" w:hAnsiTheme="majorHAnsi"/>
          <w:color w:val="4F6228" w:themeColor="accent3" w:themeShade="80"/>
          <w:sz w:val="28"/>
          <w:szCs w:val="28"/>
        </w:rPr>
        <w:t>The ACT Government supports the examination of AGDRP as part of the Productivity Commission’s focus noting the costs of the arrangements in Australia are at historically high and unsustainable levels.</w:t>
      </w:r>
    </w:p>
    <w:p w:rsidR="00851862" w:rsidRPr="00733E81" w:rsidRDefault="00851862" w:rsidP="00851862">
      <w:pPr>
        <w:spacing w:after="0"/>
        <w:rPr>
          <w:rFonts w:asciiTheme="majorHAnsi" w:hAnsiTheme="majorHAnsi"/>
          <w:color w:val="4F6228" w:themeColor="accent3" w:themeShade="80"/>
          <w:sz w:val="24"/>
        </w:rPr>
      </w:pPr>
    </w:p>
    <w:p w:rsidR="00114863" w:rsidRPr="00851862" w:rsidRDefault="00114863" w:rsidP="00851862">
      <w:pPr>
        <w:spacing w:after="0"/>
        <w:jc w:val="both"/>
        <w:rPr>
          <w:rFonts w:asciiTheme="majorHAnsi" w:hAnsiTheme="majorHAnsi"/>
          <w:color w:val="4F6228" w:themeColor="accent3" w:themeShade="80"/>
          <w:sz w:val="28"/>
          <w:szCs w:val="28"/>
        </w:rPr>
      </w:pPr>
      <w:r w:rsidRPr="00851862">
        <w:rPr>
          <w:rFonts w:asciiTheme="majorHAnsi" w:hAnsiTheme="majorHAnsi"/>
          <w:b/>
          <w:color w:val="4F6228" w:themeColor="accent3" w:themeShade="80"/>
          <w:sz w:val="28"/>
          <w:szCs w:val="28"/>
          <w:u w:val="single"/>
        </w:rPr>
        <w:t>Recommendation 5</w:t>
      </w:r>
      <w:r w:rsidRPr="00851862">
        <w:rPr>
          <w:rFonts w:asciiTheme="majorHAnsi" w:hAnsiTheme="majorHAnsi"/>
          <w:color w:val="4F6228" w:themeColor="accent3" w:themeShade="80"/>
          <w:sz w:val="28"/>
          <w:szCs w:val="28"/>
        </w:rPr>
        <w:t>: The ACT Government recognises no state or territory can fully prepare to manage and recover from large disasters alone. Continued Australian Government assistance in the following areas would assist:</w:t>
      </w:r>
    </w:p>
    <w:p w:rsidR="00114863" w:rsidRPr="00851862" w:rsidRDefault="00114863" w:rsidP="00851862">
      <w:pPr>
        <w:pStyle w:val="ListParagraph"/>
        <w:numPr>
          <w:ilvl w:val="0"/>
          <w:numId w:val="40"/>
        </w:numPr>
        <w:spacing w:afterAutospacing="1"/>
        <w:jc w:val="both"/>
        <w:rPr>
          <w:rFonts w:asciiTheme="majorHAnsi" w:eastAsiaTheme="minorEastAsia" w:hAnsiTheme="majorHAnsi" w:cstheme="minorBidi"/>
          <w:color w:val="4F6228" w:themeColor="accent3" w:themeShade="80"/>
          <w:sz w:val="28"/>
          <w:szCs w:val="28"/>
        </w:rPr>
      </w:pPr>
      <w:r w:rsidRPr="00851862">
        <w:rPr>
          <w:rFonts w:asciiTheme="majorHAnsi" w:eastAsiaTheme="minorEastAsia" w:hAnsiTheme="majorHAnsi" w:cstheme="minorBidi"/>
          <w:color w:val="4F6228" w:themeColor="accent3" w:themeShade="80"/>
          <w:sz w:val="28"/>
          <w:szCs w:val="28"/>
        </w:rPr>
        <w:t xml:space="preserve">the identification of the key disaster prone areas/infrastructure regularly impacted by disasters; </w:t>
      </w:r>
    </w:p>
    <w:p w:rsidR="00114863" w:rsidRPr="00851862" w:rsidRDefault="00114863" w:rsidP="00851862">
      <w:pPr>
        <w:pStyle w:val="ListParagraph"/>
        <w:numPr>
          <w:ilvl w:val="0"/>
          <w:numId w:val="40"/>
        </w:numPr>
        <w:spacing w:afterAutospacing="1"/>
        <w:jc w:val="both"/>
        <w:rPr>
          <w:rFonts w:asciiTheme="majorHAnsi" w:eastAsiaTheme="minorEastAsia" w:hAnsiTheme="majorHAnsi" w:cstheme="minorBidi"/>
          <w:color w:val="4F6228" w:themeColor="accent3" w:themeShade="80"/>
          <w:sz w:val="28"/>
          <w:szCs w:val="28"/>
        </w:rPr>
      </w:pPr>
      <w:r w:rsidRPr="00851862">
        <w:rPr>
          <w:rFonts w:asciiTheme="majorHAnsi" w:eastAsiaTheme="minorEastAsia" w:hAnsiTheme="majorHAnsi" w:cstheme="minorBidi"/>
          <w:color w:val="4F6228" w:themeColor="accent3" w:themeShade="80"/>
          <w:sz w:val="28"/>
          <w:szCs w:val="28"/>
        </w:rPr>
        <w:t xml:space="preserve">continue with national interoperability, regulation and provision of disaster assistance, including Defence;  </w:t>
      </w:r>
    </w:p>
    <w:p w:rsidR="00114863" w:rsidRPr="00851862" w:rsidRDefault="00114863" w:rsidP="00851862">
      <w:pPr>
        <w:pStyle w:val="ListParagraph"/>
        <w:numPr>
          <w:ilvl w:val="0"/>
          <w:numId w:val="40"/>
        </w:numPr>
        <w:spacing w:afterAutospacing="1"/>
        <w:jc w:val="both"/>
        <w:rPr>
          <w:rFonts w:asciiTheme="majorHAnsi" w:eastAsiaTheme="minorEastAsia" w:hAnsiTheme="majorHAnsi" w:cstheme="minorBidi"/>
          <w:color w:val="4F6228" w:themeColor="accent3" w:themeShade="80"/>
          <w:sz w:val="28"/>
          <w:szCs w:val="28"/>
        </w:rPr>
      </w:pPr>
      <w:r w:rsidRPr="00851862">
        <w:rPr>
          <w:rFonts w:asciiTheme="majorHAnsi" w:eastAsiaTheme="minorEastAsia" w:hAnsiTheme="majorHAnsi" w:cstheme="minorBidi"/>
          <w:color w:val="4F6228" w:themeColor="accent3" w:themeShade="80"/>
          <w:sz w:val="28"/>
          <w:szCs w:val="28"/>
        </w:rPr>
        <w:t>continue with national capability tools such as Emergency Alert; and</w:t>
      </w:r>
    </w:p>
    <w:p w:rsidR="00114863" w:rsidRPr="00851862" w:rsidRDefault="00114863" w:rsidP="00851862">
      <w:pPr>
        <w:pStyle w:val="ListParagraph"/>
        <w:numPr>
          <w:ilvl w:val="0"/>
          <w:numId w:val="40"/>
        </w:numPr>
        <w:spacing w:after="0"/>
        <w:jc w:val="both"/>
        <w:rPr>
          <w:rFonts w:asciiTheme="majorHAnsi" w:eastAsiaTheme="minorEastAsia" w:hAnsiTheme="majorHAnsi" w:cstheme="minorBidi"/>
          <w:color w:val="4F6228" w:themeColor="accent3" w:themeShade="80"/>
          <w:sz w:val="28"/>
          <w:szCs w:val="28"/>
        </w:rPr>
      </w:pPr>
      <w:r w:rsidRPr="00851862">
        <w:rPr>
          <w:rFonts w:asciiTheme="majorHAnsi" w:eastAsiaTheme="minorEastAsia" w:hAnsiTheme="majorHAnsi" w:cstheme="minorBidi"/>
          <w:color w:val="4F6228" w:themeColor="accent3" w:themeShade="80"/>
          <w:sz w:val="28"/>
          <w:szCs w:val="28"/>
        </w:rPr>
        <w:t>to support the states and territories to promote community preparedness and emergency management capability across the Research, Prevention, Preparedness, Response and Recovery spectrum , commensurate with their respective risk profile.</w:t>
      </w:r>
    </w:p>
    <w:p w:rsidR="00733E81" w:rsidRDefault="00733E81" w:rsidP="00733E81">
      <w:pPr>
        <w:spacing w:line="360" w:lineRule="auto"/>
      </w:pPr>
    </w:p>
    <w:p w:rsidR="00114863" w:rsidRDefault="00114863" w:rsidP="00733E81">
      <w:pPr>
        <w:spacing w:line="360" w:lineRule="auto"/>
      </w:pPr>
    </w:p>
    <w:p w:rsidR="00851862" w:rsidRDefault="00851862" w:rsidP="00114863">
      <w:pPr>
        <w:pStyle w:val="H1"/>
        <w:rPr>
          <w:rFonts w:asciiTheme="majorHAnsi" w:hAnsiTheme="majorHAnsi"/>
          <w:b/>
          <w:color w:val="4F6228" w:themeColor="accent3" w:themeShade="80"/>
        </w:rPr>
      </w:pPr>
    </w:p>
    <w:p w:rsidR="00114863" w:rsidRPr="00F93124" w:rsidRDefault="00114863" w:rsidP="00114863">
      <w:pPr>
        <w:pStyle w:val="H1"/>
        <w:rPr>
          <w:rFonts w:asciiTheme="majorHAnsi" w:hAnsiTheme="majorHAnsi"/>
          <w:b/>
          <w:color w:val="4F6228" w:themeColor="accent3" w:themeShade="80"/>
        </w:rPr>
      </w:pPr>
      <w:r w:rsidRPr="00F93124">
        <w:rPr>
          <w:rFonts w:asciiTheme="majorHAnsi" w:hAnsiTheme="majorHAnsi"/>
          <w:b/>
          <w:color w:val="4F6228" w:themeColor="accent3" w:themeShade="80"/>
        </w:rPr>
        <w:t xml:space="preserve">Attachments </w:t>
      </w:r>
    </w:p>
    <w:p w:rsidR="00114863" w:rsidRPr="00A21D10" w:rsidRDefault="00F96387" w:rsidP="00114863">
      <w:pPr>
        <w:pStyle w:val="ListParagraph"/>
        <w:numPr>
          <w:ilvl w:val="0"/>
          <w:numId w:val="30"/>
        </w:numPr>
        <w:spacing w:after="200" w:line="360" w:lineRule="auto"/>
        <w:jc w:val="both"/>
        <w:rPr>
          <w:rFonts w:asciiTheme="majorHAnsi" w:hAnsiTheme="majorHAnsi"/>
          <w:sz w:val="24"/>
        </w:rPr>
      </w:pPr>
      <w:r>
        <w:rPr>
          <w:rFonts w:asciiTheme="majorHAnsi" w:hAnsiTheme="majorHAnsi"/>
          <w:sz w:val="24"/>
        </w:rPr>
        <w:t xml:space="preserve">UNISDR </w:t>
      </w:r>
      <w:r w:rsidR="00114863" w:rsidRPr="00A21D10">
        <w:rPr>
          <w:rFonts w:asciiTheme="majorHAnsi" w:hAnsiTheme="majorHAnsi"/>
          <w:sz w:val="24"/>
        </w:rPr>
        <w:t>Nomination for Canberra (Australia) to be recognised as a Role Model City</w:t>
      </w:r>
    </w:p>
    <w:p w:rsidR="00114863" w:rsidRPr="00F93124" w:rsidRDefault="00114863" w:rsidP="00114863">
      <w:pPr>
        <w:pStyle w:val="ListParagraph"/>
        <w:numPr>
          <w:ilvl w:val="0"/>
          <w:numId w:val="30"/>
        </w:numPr>
        <w:tabs>
          <w:tab w:val="clear" w:pos="4536"/>
        </w:tabs>
        <w:spacing w:after="200" w:line="360" w:lineRule="auto"/>
        <w:jc w:val="both"/>
        <w:rPr>
          <w:rFonts w:asciiTheme="majorHAnsi" w:hAnsiTheme="majorHAnsi"/>
          <w:sz w:val="24"/>
          <w:szCs w:val="24"/>
        </w:rPr>
      </w:pPr>
      <w:r w:rsidRPr="00F93124">
        <w:rPr>
          <w:rFonts w:asciiTheme="majorHAnsi" w:hAnsiTheme="majorHAnsi"/>
          <w:sz w:val="24"/>
          <w:szCs w:val="24"/>
        </w:rPr>
        <w:t>Territory Wide Risk Assessment 2012</w:t>
      </w:r>
    </w:p>
    <w:p w:rsidR="00114863" w:rsidRPr="00F93124" w:rsidRDefault="00114863" w:rsidP="00114863">
      <w:pPr>
        <w:pStyle w:val="ListParagraph"/>
        <w:numPr>
          <w:ilvl w:val="0"/>
          <w:numId w:val="30"/>
        </w:numPr>
        <w:tabs>
          <w:tab w:val="clear" w:pos="4536"/>
        </w:tabs>
        <w:spacing w:after="200" w:line="360" w:lineRule="auto"/>
        <w:jc w:val="both"/>
        <w:rPr>
          <w:rFonts w:asciiTheme="majorHAnsi" w:hAnsiTheme="majorHAnsi"/>
          <w:sz w:val="24"/>
          <w:szCs w:val="24"/>
        </w:rPr>
      </w:pPr>
      <w:r w:rsidRPr="00F93124">
        <w:rPr>
          <w:rFonts w:asciiTheme="majorHAnsi" w:hAnsiTheme="majorHAnsi"/>
          <w:sz w:val="24"/>
          <w:szCs w:val="24"/>
        </w:rPr>
        <w:t xml:space="preserve">Strategic Bushfire Management Plan v2 2009  </w:t>
      </w:r>
    </w:p>
    <w:p w:rsidR="00114863" w:rsidRPr="00041C5E" w:rsidRDefault="00114863" w:rsidP="00114863">
      <w:pPr>
        <w:pStyle w:val="ListParagraph"/>
        <w:numPr>
          <w:ilvl w:val="0"/>
          <w:numId w:val="30"/>
        </w:numPr>
        <w:tabs>
          <w:tab w:val="clear" w:pos="4536"/>
        </w:tabs>
        <w:spacing w:after="200" w:line="360" w:lineRule="auto"/>
        <w:jc w:val="both"/>
        <w:rPr>
          <w:rFonts w:asciiTheme="majorHAnsi" w:hAnsiTheme="majorHAnsi"/>
        </w:rPr>
      </w:pPr>
      <w:r w:rsidRPr="00F93124">
        <w:rPr>
          <w:rFonts w:asciiTheme="majorHAnsi" w:hAnsiTheme="majorHAnsi"/>
          <w:sz w:val="24"/>
          <w:szCs w:val="24"/>
        </w:rPr>
        <w:t xml:space="preserve">The </w:t>
      </w:r>
      <w:r>
        <w:rPr>
          <w:rFonts w:asciiTheme="majorHAnsi" w:hAnsiTheme="majorHAnsi"/>
          <w:sz w:val="24"/>
          <w:szCs w:val="24"/>
        </w:rPr>
        <w:t>R</w:t>
      </w:r>
      <w:r w:rsidRPr="00F93124">
        <w:rPr>
          <w:rFonts w:asciiTheme="majorHAnsi" w:hAnsiTheme="majorHAnsi"/>
          <w:sz w:val="24"/>
          <w:szCs w:val="24"/>
        </w:rPr>
        <w:t xml:space="preserve">eport of the Bushfire </w:t>
      </w:r>
      <w:r>
        <w:rPr>
          <w:rFonts w:asciiTheme="majorHAnsi" w:hAnsiTheme="majorHAnsi"/>
          <w:sz w:val="24"/>
          <w:szCs w:val="24"/>
        </w:rPr>
        <w:t>R</w:t>
      </w:r>
      <w:r w:rsidRPr="00F93124">
        <w:rPr>
          <w:rFonts w:asciiTheme="majorHAnsi" w:hAnsiTheme="majorHAnsi"/>
          <w:sz w:val="24"/>
          <w:szCs w:val="24"/>
        </w:rPr>
        <w:t xml:space="preserve">ecovery </w:t>
      </w:r>
      <w:r>
        <w:rPr>
          <w:rFonts w:asciiTheme="majorHAnsi" w:hAnsiTheme="majorHAnsi"/>
          <w:sz w:val="24"/>
          <w:szCs w:val="24"/>
        </w:rPr>
        <w:t>T</w:t>
      </w:r>
      <w:r w:rsidRPr="00F93124">
        <w:rPr>
          <w:rFonts w:asciiTheme="majorHAnsi" w:hAnsiTheme="majorHAnsi"/>
          <w:sz w:val="24"/>
          <w:szCs w:val="24"/>
        </w:rPr>
        <w:t>askforce – ACT October 2003 (hard copy</w:t>
      </w:r>
      <w:r w:rsidR="00041C5E">
        <w:rPr>
          <w:rFonts w:asciiTheme="majorHAnsi" w:hAnsiTheme="majorHAnsi"/>
          <w:sz w:val="24"/>
          <w:szCs w:val="24"/>
        </w:rPr>
        <w:t xml:space="preserve"> to be sent separately</w:t>
      </w:r>
      <w:r w:rsidRPr="00F93124">
        <w:rPr>
          <w:rFonts w:asciiTheme="majorHAnsi" w:hAnsiTheme="majorHAnsi"/>
          <w:sz w:val="24"/>
          <w:szCs w:val="24"/>
        </w:rPr>
        <w:t>)</w:t>
      </w:r>
    </w:p>
    <w:p w:rsidR="00041C5E" w:rsidRDefault="00041C5E" w:rsidP="00114863">
      <w:pPr>
        <w:pStyle w:val="ListParagraph"/>
        <w:numPr>
          <w:ilvl w:val="0"/>
          <w:numId w:val="30"/>
        </w:numPr>
        <w:tabs>
          <w:tab w:val="clear" w:pos="4536"/>
        </w:tabs>
        <w:spacing w:after="200" w:line="360" w:lineRule="auto"/>
        <w:jc w:val="both"/>
        <w:rPr>
          <w:rFonts w:asciiTheme="majorHAnsi" w:hAnsiTheme="majorHAnsi"/>
        </w:rPr>
      </w:pPr>
      <w:r>
        <w:rPr>
          <w:rFonts w:asciiTheme="majorHAnsi" w:hAnsiTheme="majorHAnsi"/>
        </w:rPr>
        <w:t>ACT NDRP Projects 2009-13</w:t>
      </w:r>
    </w:p>
    <w:p w:rsidR="00420DF4" w:rsidRPr="00F93124" w:rsidRDefault="007C4969" w:rsidP="00114863">
      <w:pPr>
        <w:pStyle w:val="ListParagraph"/>
        <w:numPr>
          <w:ilvl w:val="0"/>
          <w:numId w:val="30"/>
        </w:numPr>
        <w:tabs>
          <w:tab w:val="clear" w:pos="4536"/>
        </w:tabs>
        <w:spacing w:after="200" w:line="360" w:lineRule="auto"/>
        <w:jc w:val="both"/>
        <w:rPr>
          <w:rFonts w:asciiTheme="majorHAnsi" w:hAnsiTheme="majorHAnsi"/>
        </w:rPr>
      </w:pPr>
      <w:r>
        <w:rPr>
          <w:rFonts w:asciiTheme="majorHAnsi" w:hAnsiTheme="majorHAnsi"/>
        </w:rPr>
        <w:t>Details of ACT Government insured assets, premiums and claims paid.</w:t>
      </w:r>
    </w:p>
    <w:p w:rsidR="00114863" w:rsidRDefault="00114863" w:rsidP="00733E81">
      <w:pPr>
        <w:spacing w:line="360" w:lineRule="auto"/>
      </w:pPr>
    </w:p>
    <w:bookmarkEnd w:id="2"/>
    <w:p w:rsidR="00906010" w:rsidRPr="0082205D" w:rsidRDefault="00906010" w:rsidP="00F96387">
      <w:pPr>
        <w:pStyle w:val="ListParagraph"/>
        <w:numPr>
          <w:ilvl w:val="0"/>
          <w:numId w:val="0"/>
        </w:numPr>
        <w:tabs>
          <w:tab w:val="clear" w:pos="4536"/>
        </w:tabs>
        <w:spacing w:after="200" w:line="360" w:lineRule="auto"/>
        <w:ind w:left="720"/>
        <w:jc w:val="right"/>
        <w:rPr>
          <w:rFonts w:asciiTheme="majorHAnsi" w:hAnsiTheme="majorHAnsi"/>
          <w:b/>
          <w:sz w:val="24"/>
          <w:szCs w:val="24"/>
        </w:rPr>
      </w:pPr>
    </w:p>
    <w:sectPr w:rsidR="00906010" w:rsidRPr="0082205D" w:rsidSect="007917F8">
      <w:pgSz w:w="11901" w:h="16817"/>
      <w:pgMar w:top="1440" w:right="1077" w:bottom="1135" w:left="1077" w:header="567" w:footer="567" w:gutter="17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626" w:rsidRDefault="00734626" w:rsidP="00AE08D9">
      <w:r>
        <w:separator/>
      </w:r>
    </w:p>
  </w:endnote>
  <w:endnote w:type="continuationSeparator" w:id="0">
    <w:p w:rsidR="00734626" w:rsidRDefault="00734626" w:rsidP="00AE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heSansLight-Plai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AF2" w:rsidRPr="00020AF2" w:rsidRDefault="009E2A52" w:rsidP="007327A9">
    <w:pPr>
      <w:pStyle w:val="Footer"/>
      <w:framePr w:wrap="around" w:vAnchor="text" w:hAnchor="margin" w:xAlign="right" w:y="1"/>
      <w:jc w:val="center"/>
      <w:rPr>
        <w:rStyle w:val="PageNumber"/>
        <w:rFonts w:ascii="Calibri" w:hAnsi="Calibri"/>
        <w:b/>
        <w:color w:val="F00000"/>
        <w:sz w:val="24"/>
      </w:rPr>
    </w:pPr>
    <w:r>
      <w:rPr>
        <w:rStyle w:val="PageNumber"/>
      </w:rPr>
      <w:fldChar w:fldCharType="begin"/>
    </w:r>
    <w:r w:rsidR="00020AF2">
      <w:rPr>
        <w:rStyle w:val="PageNumber"/>
      </w:rPr>
      <w:instrText xml:space="preserve"> DOCPROPERTY bjFooterEvenPageDocProperty \* MERGEFORMAT </w:instrText>
    </w:r>
    <w:r>
      <w:rPr>
        <w:rStyle w:val="PageNumber"/>
      </w:rPr>
      <w:fldChar w:fldCharType="separate"/>
    </w:r>
  </w:p>
  <w:p w:rsidR="00020AF2" w:rsidRDefault="0062742A" w:rsidP="007327A9">
    <w:pPr>
      <w:pStyle w:val="Footer"/>
      <w:framePr w:wrap="around" w:vAnchor="text" w:hAnchor="margin" w:xAlign="right" w:y="1"/>
      <w:jc w:val="center"/>
      <w:rPr>
        <w:rStyle w:val="PageNumber"/>
      </w:rPr>
    </w:pPr>
    <w:r w:rsidRPr="0062742A">
      <w:rPr>
        <w:rStyle w:val="PageNumber"/>
        <w:rFonts w:ascii="Calibri" w:hAnsi="Calibri"/>
        <w:b/>
        <w:color w:val="F00000"/>
        <w:sz w:val="24"/>
      </w:rPr>
      <w:t>UNCLASSIFIED</w:t>
    </w:r>
    <w:r w:rsidR="00020AF2">
      <w:rPr>
        <w:rStyle w:val="PageNumber"/>
      </w:rPr>
      <w:t xml:space="preserve"> </w:t>
    </w:r>
    <w:r w:rsidR="009E2A52">
      <w:rPr>
        <w:rStyle w:val="PageNumber"/>
      </w:rPr>
      <w:fldChar w:fldCharType="end"/>
    </w:r>
    <w:r w:rsidR="009E2A52">
      <w:rPr>
        <w:rStyle w:val="PageNumber"/>
      </w:rPr>
      <w:fldChar w:fldCharType="begin"/>
    </w:r>
    <w:r w:rsidR="00020AF2">
      <w:rPr>
        <w:rStyle w:val="PageNumber"/>
      </w:rPr>
      <w:instrText xml:space="preserve">PAGE  </w:instrText>
    </w:r>
    <w:r w:rsidR="009E2A52">
      <w:rPr>
        <w:rStyle w:val="PageNumber"/>
      </w:rPr>
      <w:fldChar w:fldCharType="end"/>
    </w:r>
  </w:p>
  <w:p w:rsidR="00020AF2" w:rsidRDefault="00020AF2" w:rsidP="007327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AF2" w:rsidRPr="00020AF2" w:rsidRDefault="009E2A52" w:rsidP="007327A9">
    <w:pPr>
      <w:pStyle w:val="Footer"/>
      <w:pBdr>
        <w:top w:val="single" w:sz="4" w:space="1" w:color="D9D9D9" w:themeColor="background1" w:themeShade="D9"/>
      </w:pBdr>
      <w:jc w:val="center"/>
      <w:rPr>
        <w:rFonts w:ascii="Calibri" w:hAnsi="Calibri"/>
        <w:b/>
        <w:color w:val="F00000"/>
        <w:sz w:val="24"/>
      </w:rPr>
    </w:pPr>
    <w:r>
      <w:fldChar w:fldCharType="begin"/>
    </w:r>
    <w:r w:rsidR="00020AF2">
      <w:instrText xml:space="preserve"> DOCPROPERTY bjFooterBothDocProperty \* MERGEFORMAT </w:instrText>
    </w:r>
    <w:r>
      <w:fldChar w:fldCharType="separate"/>
    </w:r>
  </w:p>
  <w:p w:rsidR="00020AF2" w:rsidRDefault="0062742A" w:rsidP="007327A9">
    <w:pPr>
      <w:pStyle w:val="Footer"/>
      <w:pBdr>
        <w:top w:val="single" w:sz="4" w:space="1" w:color="D9D9D9" w:themeColor="background1" w:themeShade="D9"/>
      </w:pBdr>
      <w:jc w:val="center"/>
    </w:pPr>
    <w:r w:rsidRPr="0062742A">
      <w:rPr>
        <w:rFonts w:ascii="Calibri" w:hAnsi="Calibri"/>
        <w:b/>
        <w:color w:val="F00000"/>
        <w:sz w:val="24"/>
      </w:rPr>
      <w:t>UNCLASSIFIED</w:t>
    </w:r>
    <w:r w:rsidR="00020AF2">
      <w:t xml:space="preserve"> </w:t>
    </w:r>
    <w:r w:rsidR="009E2A52">
      <w:fldChar w:fldCharType="end"/>
    </w:r>
  </w:p>
  <w:sdt>
    <w:sdtPr>
      <w:id w:val="51974621"/>
      <w:docPartObj>
        <w:docPartGallery w:val="Page Numbers (Bottom of Page)"/>
        <w:docPartUnique/>
      </w:docPartObj>
    </w:sdtPr>
    <w:sdtEndPr>
      <w:rPr>
        <w:color w:val="7F7F7F" w:themeColor="background1" w:themeShade="7F"/>
        <w:spacing w:val="60"/>
      </w:rPr>
    </w:sdtEndPr>
    <w:sdtContent>
      <w:p w:rsidR="00020AF2" w:rsidRDefault="00FC67BA">
        <w:pPr>
          <w:pStyle w:val="Footer"/>
          <w:pBdr>
            <w:top w:val="single" w:sz="4" w:space="1" w:color="D9D9D9" w:themeColor="background1" w:themeShade="D9"/>
          </w:pBdr>
          <w:rPr>
            <w:b/>
          </w:rPr>
        </w:pPr>
        <w:r>
          <w:fldChar w:fldCharType="begin"/>
        </w:r>
        <w:r>
          <w:instrText xml:space="preserve"> PAGE   \* MERGEFORMAT </w:instrText>
        </w:r>
        <w:r>
          <w:fldChar w:fldCharType="separate"/>
        </w:r>
        <w:r w:rsidRPr="00FC67BA">
          <w:rPr>
            <w:b/>
            <w:noProof/>
          </w:rPr>
          <w:t>15</w:t>
        </w:r>
        <w:r>
          <w:rPr>
            <w:b/>
            <w:noProof/>
          </w:rPr>
          <w:fldChar w:fldCharType="end"/>
        </w:r>
        <w:r w:rsidR="00020AF2">
          <w:rPr>
            <w:b/>
          </w:rPr>
          <w:t xml:space="preserve"> | </w:t>
        </w:r>
        <w:r w:rsidR="00020AF2">
          <w:rPr>
            <w:color w:val="7F7F7F" w:themeColor="background1" w:themeShade="7F"/>
            <w:spacing w:val="60"/>
          </w:rPr>
          <w:t>Page</w:t>
        </w:r>
        <w:r w:rsidR="00020AF2">
          <w:rPr>
            <w:color w:val="7F7F7F" w:themeColor="background1" w:themeShade="7F"/>
            <w:spacing w:val="60"/>
          </w:rPr>
          <w:tab/>
        </w:r>
        <w:r w:rsidR="00020AF2">
          <w:rPr>
            <w:color w:val="7F7F7F" w:themeColor="background1" w:themeShade="7F"/>
            <w:spacing w:val="60"/>
          </w:rPr>
          <w:tab/>
        </w:r>
        <w:r w:rsidR="00020AF2" w:rsidRPr="00412FC0">
          <w:rPr>
            <w:color w:val="7F7F7F" w:themeColor="background1" w:themeShade="7F"/>
            <w:spacing w:val="60"/>
            <w:sz w:val="18"/>
            <w:szCs w:val="18"/>
          </w:rPr>
          <w:t>June 2014</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AF2" w:rsidRPr="00020AF2" w:rsidRDefault="009E2A52" w:rsidP="007327A9">
    <w:pPr>
      <w:pStyle w:val="Footer"/>
      <w:jc w:val="center"/>
      <w:rPr>
        <w:rFonts w:ascii="Calibri" w:hAnsi="Calibri"/>
        <w:b/>
        <w:color w:val="F00000"/>
        <w:sz w:val="24"/>
      </w:rPr>
    </w:pPr>
    <w:r>
      <w:fldChar w:fldCharType="begin"/>
    </w:r>
    <w:r w:rsidR="00020AF2">
      <w:instrText xml:space="preserve"> DOCPROPERTY bjFooterFirstPageDocProperty \* MERGEFORMAT </w:instrText>
    </w:r>
    <w:r>
      <w:fldChar w:fldCharType="separate"/>
    </w:r>
  </w:p>
  <w:p w:rsidR="00020AF2" w:rsidRPr="007327A9" w:rsidRDefault="0062742A" w:rsidP="007327A9">
    <w:pPr>
      <w:pStyle w:val="Footer"/>
      <w:jc w:val="center"/>
    </w:pPr>
    <w:r w:rsidRPr="0062742A">
      <w:rPr>
        <w:rFonts w:ascii="Calibri" w:hAnsi="Calibri"/>
        <w:b/>
        <w:color w:val="F00000"/>
        <w:sz w:val="24"/>
      </w:rPr>
      <w:t>UNCLASSIFIED</w:t>
    </w:r>
    <w:r w:rsidR="00020AF2">
      <w:t xml:space="preserve"> </w:t>
    </w:r>
    <w:r w:rsidR="009E2A5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626" w:rsidRDefault="00734626" w:rsidP="00AE08D9">
      <w:r>
        <w:separator/>
      </w:r>
    </w:p>
  </w:footnote>
  <w:footnote w:type="continuationSeparator" w:id="0">
    <w:p w:rsidR="00734626" w:rsidRDefault="00734626" w:rsidP="00AE0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AF2" w:rsidRPr="00020AF2" w:rsidRDefault="009E2A52" w:rsidP="007327A9">
    <w:pPr>
      <w:pStyle w:val="Header"/>
      <w:jc w:val="center"/>
      <w:rPr>
        <w:rFonts w:ascii="Calibri" w:hAnsi="Calibri"/>
        <w:color w:val="000000"/>
      </w:rPr>
    </w:pPr>
    <w:r>
      <w:fldChar w:fldCharType="begin"/>
    </w:r>
    <w:r w:rsidR="00020AF2">
      <w:instrText xml:space="preserve"> DOCPROPERTY bjHeaderEvenPageDocProperty \* MERGEFORMAT </w:instrText>
    </w:r>
    <w:r>
      <w:fldChar w:fldCharType="separate"/>
    </w:r>
    <w:r w:rsidR="0062742A" w:rsidRPr="0062742A">
      <w:rPr>
        <w:rFonts w:ascii="Calibri" w:hAnsi="Calibri"/>
        <w:b/>
        <w:color w:val="F00000"/>
        <w:sz w:val="24"/>
      </w:rPr>
      <w:t>UNCLASSIFIED</w:t>
    </w:r>
  </w:p>
  <w:p w:rsidR="00020AF2" w:rsidRPr="007327A9" w:rsidRDefault="0062742A" w:rsidP="007327A9">
    <w:pPr>
      <w:pStyle w:val="Header"/>
      <w:jc w:val="center"/>
    </w:pPr>
    <w:r w:rsidRPr="0062742A">
      <w:rPr>
        <w:rFonts w:ascii="Calibri" w:hAnsi="Calibri"/>
        <w:b/>
        <w:color w:val="F00000"/>
        <w:sz w:val="24"/>
      </w:rPr>
      <w:t xml:space="preserve"> </w:t>
    </w:r>
    <w:r w:rsidR="009E2A52">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AF2" w:rsidRPr="00020AF2" w:rsidRDefault="009E2A52" w:rsidP="007327A9">
    <w:pPr>
      <w:pStyle w:val="Header"/>
      <w:pBdr>
        <w:bottom w:val="single" w:sz="4" w:space="1" w:color="auto"/>
      </w:pBdr>
      <w:ind w:right="652"/>
      <w:jc w:val="center"/>
      <w:rPr>
        <w:rFonts w:ascii="Calibri" w:hAnsi="Calibri"/>
        <w:color w:val="000000"/>
        <w:szCs w:val="19"/>
      </w:rPr>
    </w:pPr>
    <w:r>
      <w:rPr>
        <w:color w:val="7F7F7F" w:themeColor="text1" w:themeTint="80"/>
        <w:sz w:val="19"/>
        <w:szCs w:val="19"/>
      </w:rPr>
      <w:fldChar w:fldCharType="begin"/>
    </w:r>
    <w:r w:rsidR="00020AF2">
      <w:rPr>
        <w:color w:val="7F7F7F" w:themeColor="text1" w:themeTint="80"/>
        <w:sz w:val="19"/>
        <w:szCs w:val="19"/>
      </w:rPr>
      <w:instrText xml:space="preserve"> DOCPROPERTY bjHeaderBothDocProperty \* MERGEFORMAT </w:instrText>
    </w:r>
    <w:r>
      <w:rPr>
        <w:color w:val="7F7F7F" w:themeColor="text1" w:themeTint="80"/>
        <w:sz w:val="19"/>
        <w:szCs w:val="19"/>
      </w:rPr>
      <w:fldChar w:fldCharType="separate"/>
    </w:r>
    <w:r w:rsidR="0062742A" w:rsidRPr="0062742A">
      <w:rPr>
        <w:rFonts w:ascii="Calibri" w:hAnsi="Calibri"/>
        <w:b/>
        <w:color w:val="F00000"/>
        <w:sz w:val="24"/>
        <w:szCs w:val="19"/>
      </w:rPr>
      <w:t>UNCLASSIFIED</w:t>
    </w:r>
  </w:p>
  <w:p w:rsidR="00020AF2" w:rsidRDefault="0062742A" w:rsidP="007327A9">
    <w:pPr>
      <w:pStyle w:val="Header"/>
      <w:pBdr>
        <w:bottom w:val="single" w:sz="4" w:space="1" w:color="auto"/>
      </w:pBdr>
      <w:ind w:right="652"/>
      <w:jc w:val="center"/>
      <w:rPr>
        <w:color w:val="7F7F7F" w:themeColor="text1" w:themeTint="80"/>
        <w:sz w:val="19"/>
        <w:szCs w:val="19"/>
      </w:rPr>
    </w:pPr>
    <w:r w:rsidRPr="0062742A">
      <w:rPr>
        <w:rFonts w:ascii="Calibri" w:hAnsi="Calibri"/>
        <w:b/>
        <w:color w:val="F00000"/>
        <w:sz w:val="24"/>
        <w:szCs w:val="19"/>
      </w:rPr>
      <w:t xml:space="preserve"> </w:t>
    </w:r>
    <w:r w:rsidR="009E2A52">
      <w:rPr>
        <w:color w:val="7F7F7F" w:themeColor="text1" w:themeTint="80"/>
        <w:sz w:val="19"/>
        <w:szCs w:val="19"/>
      </w:rPr>
      <w:fldChar w:fldCharType="end"/>
    </w:r>
  </w:p>
  <w:p w:rsidR="00020AF2" w:rsidRPr="008A14D1" w:rsidRDefault="00020AF2" w:rsidP="00D70F75">
    <w:pPr>
      <w:pStyle w:val="Header"/>
      <w:pBdr>
        <w:bottom w:val="single" w:sz="4" w:space="1" w:color="auto"/>
      </w:pBdr>
      <w:ind w:right="652"/>
      <w:jc w:val="right"/>
      <w:rPr>
        <w:color w:val="7F7F7F" w:themeColor="text1" w:themeTint="80"/>
        <w:sz w:val="19"/>
        <w:szCs w:val="19"/>
      </w:rPr>
    </w:pPr>
    <w:r w:rsidRPr="008A14D1">
      <w:rPr>
        <w:color w:val="7F7F7F" w:themeColor="text1" w:themeTint="80"/>
        <w:sz w:val="19"/>
        <w:szCs w:val="19"/>
      </w:rPr>
      <w:t xml:space="preserve">ACT Government </w:t>
    </w:r>
    <w:r>
      <w:rPr>
        <w:b/>
        <w:color w:val="7F7F7F" w:themeColor="text1" w:themeTint="80"/>
        <w:sz w:val="19"/>
        <w:szCs w:val="19"/>
      </w:rPr>
      <w:t>Productivity Commission Submission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AF2" w:rsidRPr="00020AF2" w:rsidRDefault="009E2A52" w:rsidP="007327A9">
    <w:pPr>
      <w:pStyle w:val="Header"/>
      <w:jc w:val="center"/>
      <w:rPr>
        <w:rFonts w:ascii="Calibri" w:hAnsi="Calibri"/>
        <w:color w:val="000000"/>
      </w:rPr>
    </w:pPr>
    <w:r>
      <w:fldChar w:fldCharType="begin"/>
    </w:r>
    <w:r w:rsidR="00020AF2">
      <w:instrText xml:space="preserve"> DOCPROPERTY bjHeaderFirstPageDocProperty \* MERGEFORMAT </w:instrText>
    </w:r>
    <w:r>
      <w:fldChar w:fldCharType="separate"/>
    </w:r>
    <w:r w:rsidR="0062742A" w:rsidRPr="0062742A">
      <w:rPr>
        <w:rFonts w:ascii="Calibri" w:hAnsi="Calibri"/>
        <w:b/>
        <w:color w:val="F00000"/>
        <w:sz w:val="24"/>
      </w:rPr>
      <w:t>UNCLASSIFIED</w:t>
    </w:r>
  </w:p>
  <w:p w:rsidR="00020AF2" w:rsidRPr="007327A9" w:rsidRDefault="0062742A" w:rsidP="007327A9">
    <w:pPr>
      <w:pStyle w:val="Header"/>
      <w:jc w:val="center"/>
    </w:pPr>
    <w:r w:rsidRPr="0062742A">
      <w:rPr>
        <w:rFonts w:ascii="Calibri" w:hAnsi="Calibri"/>
        <w:b/>
        <w:color w:val="F00000"/>
        <w:sz w:val="24"/>
      </w:rPr>
      <w:t xml:space="preserve"> </w:t>
    </w:r>
    <w:r w:rsidR="009E2A52">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111E"/>
    <w:multiLevelType w:val="hybridMultilevel"/>
    <w:tmpl w:val="D1E851AE"/>
    <w:lvl w:ilvl="0" w:tplc="5BB248D2">
      <w:start w:val="1"/>
      <w:numFmt w:val="bullet"/>
      <w:pStyle w:val="Tablebullet2"/>
      <w:lvlText w:val="—"/>
      <w:lvlJc w:val="left"/>
      <w:pPr>
        <w:ind w:left="1004" w:hanging="360"/>
      </w:pPr>
      <w:rPr>
        <w:rFonts w:ascii="Cambria Math" w:hAnsi="Cambria Math"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nsid w:val="00A0210C"/>
    <w:multiLevelType w:val="hybridMultilevel"/>
    <w:tmpl w:val="E9CE1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CA7E9F"/>
    <w:multiLevelType w:val="hybridMultilevel"/>
    <w:tmpl w:val="D850EEC0"/>
    <w:lvl w:ilvl="0" w:tplc="824E85E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5681D72"/>
    <w:multiLevelType w:val="hybridMultilevel"/>
    <w:tmpl w:val="A566D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F3657C"/>
    <w:multiLevelType w:val="hybridMultilevel"/>
    <w:tmpl w:val="F2868E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A58757C"/>
    <w:multiLevelType w:val="hybridMultilevel"/>
    <w:tmpl w:val="B5BEC68A"/>
    <w:lvl w:ilvl="0" w:tplc="0C09000F">
      <w:start w:val="1"/>
      <w:numFmt w:val="decimal"/>
      <w:lvlText w:val="%1."/>
      <w:lvlJc w:val="left"/>
      <w:pPr>
        <w:ind w:left="1377" w:hanging="360"/>
      </w:pPr>
    </w:lvl>
    <w:lvl w:ilvl="1" w:tplc="0C090019" w:tentative="1">
      <w:start w:val="1"/>
      <w:numFmt w:val="lowerLetter"/>
      <w:lvlText w:val="%2."/>
      <w:lvlJc w:val="left"/>
      <w:pPr>
        <w:ind w:left="2097" w:hanging="360"/>
      </w:pPr>
    </w:lvl>
    <w:lvl w:ilvl="2" w:tplc="0C09001B" w:tentative="1">
      <w:start w:val="1"/>
      <w:numFmt w:val="lowerRoman"/>
      <w:lvlText w:val="%3."/>
      <w:lvlJc w:val="right"/>
      <w:pPr>
        <w:ind w:left="2817" w:hanging="180"/>
      </w:pPr>
    </w:lvl>
    <w:lvl w:ilvl="3" w:tplc="0C09000F" w:tentative="1">
      <w:start w:val="1"/>
      <w:numFmt w:val="decimal"/>
      <w:lvlText w:val="%4."/>
      <w:lvlJc w:val="left"/>
      <w:pPr>
        <w:ind w:left="3537" w:hanging="360"/>
      </w:pPr>
    </w:lvl>
    <w:lvl w:ilvl="4" w:tplc="0C090019" w:tentative="1">
      <w:start w:val="1"/>
      <w:numFmt w:val="lowerLetter"/>
      <w:lvlText w:val="%5."/>
      <w:lvlJc w:val="left"/>
      <w:pPr>
        <w:ind w:left="4257" w:hanging="360"/>
      </w:pPr>
    </w:lvl>
    <w:lvl w:ilvl="5" w:tplc="0C09001B" w:tentative="1">
      <w:start w:val="1"/>
      <w:numFmt w:val="lowerRoman"/>
      <w:lvlText w:val="%6."/>
      <w:lvlJc w:val="right"/>
      <w:pPr>
        <w:ind w:left="4977" w:hanging="180"/>
      </w:pPr>
    </w:lvl>
    <w:lvl w:ilvl="6" w:tplc="0C09000F" w:tentative="1">
      <w:start w:val="1"/>
      <w:numFmt w:val="decimal"/>
      <w:lvlText w:val="%7."/>
      <w:lvlJc w:val="left"/>
      <w:pPr>
        <w:ind w:left="5697" w:hanging="360"/>
      </w:pPr>
    </w:lvl>
    <w:lvl w:ilvl="7" w:tplc="0C090019" w:tentative="1">
      <w:start w:val="1"/>
      <w:numFmt w:val="lowerLetter"/>
      <w:lvlText w:val="%8."/>
      <w:lvlJc w:val="left"/>
      <w:pPr>
        <w:ind w:left="6417" w:hanging="360"/>
      </w:pPr>
    </w:lvl>
    <w:lvl w:ilvl="8" w:tplc="0C09001B" w:tentative="1">
      <w:start w:val="1"/>
      <w:numFmt w:val="lowerRoman"/>
      <w:lvlText w:val="%9."/>
      <w:lvlJc w:val="right"/>
      <w:pPr>
        <w:ind w:left="7137" w:hanging="180"/>
      </w:pPr>
    </w:lvl>
  </w:abstractNum>
  <w:abstractNum w:abstractNumId="6">
    <w:nsid w:val="0AF91434"/>
    <w:multiLevelType w:val="hybridMultilevel"/>
    <w:tmpl w:val="6EFEA78A"/>
    <w:lvl w:ilvl="0" w:tplc="0C090005">
      <w:start w:val="1"/>
      <w:numFmt w:val="bullet"/>
      <w:pStyle w:val="Tabledot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0734114"/>
    <w:multiLevelType w:val="hybridMultilevel"/>
    <w:tmpl w:val="B748C172"/>
    <w:lvl w:ilvl="0" w:tplc="0C090019">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12C1301D"/>
    <w:multiLevelType w:val="multilevel"/>
    <w:tmpl w:val="0409001D"/>
    <w:styleLink w:val="Bullet1"/>
    <w:lvl w:ilvl="0">
      <w:start w:val="1"/>
      <w:numFmt w:val="bullet"/>
      <w:lvlText w:null="1"/>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500625A"/>
    <w:multiLevelType w:val="hybridMultilevel"/>
    <w:tmpl w:val="D7186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232117"/>
    <w:multiLevelType w:val="hybridMultilevel"/>
    <w:tmpl w:val="5F42054C"/>
    <w:lvl w:ilvl="0" w:tplc="0C09000F">
      <w:start w:val="1"/>
      <w:numFmt w:val="decimal"/>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1B7B6C93"/>
    <w:multiLevelType w:val="hybridMultilevel"/>
    <w:tmpl w:val="247C0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67248A"/>
    <w:multiLevelType w:val="hybridMultilevel"/>
    <w:tmpl w:val="0D46837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nsid w:val="2F517239"/>
    <w:multiLevelType w:val="hybridMultilevel"/>
    <w:tmpl w:val="CDB093A0"/>
    <w:lvl w:ilvl="0" w:tplc="F0AA5B52">
      <w:start w:val="1"/>
      <w:numFmt w:val="upperLetter"/>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FA86A97"/>
    <w:multiLevelType w:val="hybridMultilevel"/>
    <w:tmpl w:val="01705E20"/>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w:hAnsi="Courier"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w:hAnsi="Courier"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w:hAnsi="Courier" w:hint="default"/>
      </w:rPr>
    </w:lvl>
    <w:lvl w:ilvl="8" w:tplc="04090005" w:tentative="1">
      <w:start w:val="1"/>
      <w:numFmt w:val="bullet"/>
      <w:lvlText w:val=""/>
      <w:lvlJc w:val="left"/>
      <w:pPr>
        <w:ind w:left="6650" w:hanging="360"/>
      </w:pPr>
      <w:rPr>
        <w:rFonts w:ascii="Wingdings" w:hAnsi="Wingdings" w:hint="default"/>
      </w:rPr>
    </w:lvl>
  </w:abstractNum>
  <w:abstractNum w:abstractNumId="15">
    <w:nsid w:val="33AB6CEC"/>
    <w:multiLevelType w:val="hybridMultilevel"/>
    <w:tmpl w:val="F0A6B24C"/>
    <w:lvl w:ilvl="0" w:tplc="0C090005">
      <w:start w:val="1"/>
      <w:numFmt w:val="bullet"/>
      <w:pStyle w:val="41outlinenumbered"/>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3ED4DB4"/>
    <w:multiLevelType w:val="hybridMultilevel"/>
    <w:tmpl w:val="7AA8E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8B3664B"/>
    <w:multiLevelType w:val="hybridMultilevel"/>
    <w:tmpl w:val="C1FC7C02"/>
    <w:lvl w:ilvl="0" w:tplc="0C090001">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39D737F4"/>
    <w:multiLevelType w:val="hybridMultilevel"/>
    <w:tmpl w:val="A61E733C"/>
    <w:lvl w:ilvl="0" w:tplc="0C09000F">
      <w:start w:val="1"/>
      <w:numFmt w:val="decimal"/>
      <w:lvlText w:val="%1."/>
      <w:lvlJc w:val="left"/>
      <w:pPr>
        <w:ind w:left="720" w:hanging="360"/>
      </w:pPr>
      <w:rPr>
        <w:rFont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nsid w:val="3E7313D6"/>
    <w:multiLevelType w:val="hybridMultilevel"/>
    <w:tmpl w:val="CC6E1F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FA73872"/>
    <w:multiLevelType w:val="hybridMultilevel"/>
    <w:tmpl w:val="617AD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DB2C04"/>
    <w:multiLevelType w:val="hybridMultilevel"/>
    <w:tmpl w:val="A74825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421B38F2"/>
    <w:multiLevelType w:val="hybridMultilevel"/>
    <w:tmpl w:val="B73869FC"/>
    <w:lvl w:ilvl="0" w:tplc="0409000F">
      <w:start w:val="1"/>
      <w:numFmt w:val="decimal"/>
      <w:lvlText w:val="%1."/>
      <w:lvlJc w:val="left"/>
      <w:pPr>
        <w:ind w:left="1377" w:hanging="360"/>
      </w:p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23">
    <w:nsid w:val="4B786E2D"/>
    <w:multiLevelType w:val="hybridMultilevel"/>
    <w:tmpl w:val="B5BEC68A"/>
    <w:lvl w:ilvl="0" w:tplc="0C09000F">
      <w:start w:val="1"/>
      <w:numFmt w:val="decimal"/>
      <w:lvlText w:val="%1."/>
      <w:lvlJc w:val="left"/>
      <w:pPr>
        <w:ind w:left="1377" w:hanging="360"/>
      </w:pPr>
    </w:lvl>
    <w:lvl w:ilvl="1" w:tplc="0C090019" w:tentative="1">
      <w:start w:val="1"/>
      <w:numFmt w:val="lowerLetter"/>
      <w:lvlText w:val="%2."/>
      <w:lvlJc w:val="left"/>
      <w:pPr>
        <w:ind w:left="2097" w:hanging="360"/>
      </w:pPr>
    </w:lvl>
    <w:lvl w:ilvl="2" w:tplc="0C09001B" w:tentative="1">
      <w:start w:val="1"/>
      <w:numFmt w:val="lowerRoman"/>
      <w:lvlText w:val="%3."/>
      <w:lvlJc w:val="right"/>
      <w:pPr>
        <w:ind w:left="2817" w:hanging="180"/>
      </w:pPr>
    </w:lvl>
    <w:lvl w:ilvl="3" w:tplc="0C09000F" w:tentative="1">
      <w:start w:val="1"/>
      <w:numFmt w:val="decimal"/>
      <w:lvlText w:val="%4."/>
      <w:lvlJc w:val="left"/>
      <w:pPr>
        <w:ind w:left="3537" w:hanging="360"/>
      </w:pPr>
    </w:lvl>
    <w:lvl w:ilvl="4" w:tplc="0C090019" w:tentative="1">
      <w:start w:val="1"/>
      <w:numFmt w:val="lowerLetter"/>
      <w:lvlText w:val="%5."/>
      <w:lvlJc w:val="left"/>
      <w:pPr>
        <w:ind w:left="4257" w:hanging="360"/>
      </w:pPr>
    </w:lvl>
    <w:lvl w:ilvl="5" w:tplc="0C09001B" w:tentative="1">
      <w:start w:val="1"/>
      <w:numFmt w:val="lowerRoman"/>
      <w:lvlText w:val="%6."/>
      <w:lvlJc w:val="right"/>
      <w:pPr>
        <w:ind w:left="4977" w:hanging="180"/>
      </w:pPr>
    </w:lvl>
    <w:lvl w:ilvl="6" w:tplc="0C09000F" w:tentative="1">
      <w:start w:val="1"/>
      <w:numFmt w:val="decimal"/>
      <w:lvlText w:val="%7."/>
      <w:lvlJc w:val="left"/>
      <w:pPr>
        <w:ind w:left="5697" w:hanging="360"/>
      </w:pPr>
    </w:lvl>
    <w:lvl w:ilvl="7" w:tplc="0C090019" w:tentative="1">
      <w:start w:val="1"/>
      <w:numFmt w:val="lowerLetter"/>
      <w:lvlText w:val="%8."/>
      <w:lvlJc w:val="left"/>
      <w:pPr>
        <w:ind w:left="6417" w:hanging="360"/>
      </w:pPr>
    </w:lvl>
    <w:lvl w:ilvl="8" w:tplc="0C09001B" w:tentative="1">
      <w:start w:val="1"/>
      <w:numFmt w:val="lowerRoman"/>
      <w:lvlText w:val="%9."/>
      <w:lvlJc w:val="right"/>
      <w:pPr>
        <w:ind w:left="7137" w:hanging="180"/>
      </w:pPr>
    </w:lvl>
  </w:abstractNum>
  <w:abstractNum w:abstractNumId="24">
    <w:nsid w:val="4E4F6008"/>
    <w:multiLevelType w:val="hybridMultilevel"/>
    <w:tmpl w:val="BB368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B375FB"/>
    <w:multiLevelType w:val="hybridMultilevel"/>
    <w:tmpl w:val="C2002E3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w:hAnsi="Courier"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w:hAnsi="Courier"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w:hAnsi="Courier" w:hint="default"/>
      </w:rPr>
    </w:lvl>
    <w:lvl w:ilvl="8" w:tplc="04090005" w:tentative="1">
      <w:start w:val="1"/>
      <w:numFmt w:val="bullet"/>
      <w:lvlText w:val=""/>
      <w:lvlJc w:val="left"/>
      <w:pPr>
        <w:ind w:left="6650" w:hanging="360"/>
      </w:pPr>
      <w:rPr>
        <w:rFonts w:ascii="Wingdings" w:hAnsi="Wingdings" w:hint="default"/>
      </w:rPr>
    </w:lvl>
  </w:abstractNum>
  <w:abstractNum w:abstractNumId="26">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7">
    <w:nsid w:val="5C5C122D"/>
    <w:multiLevelType w:val="hybridMultilevel"/>
    <w:tmpl w:val="F7FC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34540C"/>
    <w:multiLevelType w:val="hybridMultilevel"/>
    <w:tmpl w:val="1500F2AE"/>
    <w:lvl w:ilvl="0" w:tplc="0464B8C4">
      <w:start w:val="1"/>
      <w:numFmt w:val="bullet"/>
      <w:pStyle w:val="BulletPSPF"/>
      <w:lvlText w:val=""/>
      <w:lvlJc w:val="left"/>
      <w:pPr>
        <w:tabs>
          <w:tab w:val="num" w:pos="397"/>
        </w:tabs>
        <w:ind w:left="397" w:hanging="227"/>
      </w:pPr>
      <w:rPr>
        <w:rFonts w:ascii="Wingdings" w:hAnsi="Wingdings"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C00F4F"/>
    <w:multiLevelType w:val="hybridMultilevel"/>
    <w:tmpl w:val="F288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993889"/>
    <w:multiLevelType w:val="hybridMultilevel"/>
    <w:tmpl w:val="41024ACE"/>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w:hAnsi="Courier"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w:hAnsi="Courier"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w:hAnsi="Courier" w:hint="default"/>
      </w:rPr>
    </w:lvl>
    <w:lvl w:ilvl="8" w:tplc="04090005" w:tentative="1">
      <w:start w:val="1"/>
      <w:numFmt w:val="bullet"/>
      <w:lvlText w:val=""/>
      <w:lvlJc w:val="left"/>
      <w:pPr>
        <w:ind w:left="6650" w:hanging="360"/>
      </w:pPr>
      <w:rPr>
        <w:rFonts w:ascii="Wingdings" w:hAnsi="Wingdings" w:hint="default"/>
      </w:rPr>
    </w:lvl>
  </w:abstractNum>
  <w:abstractNum w:abstractNumId="31">
    <w:nsid w:val="66E36D37"/>
    <w:multiLevelType w:val="hybridMultilevel"/>
    <w:tmpl w:val="A88A486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C885E85"/>
    <w:multiLevelType w:val="hybridMultilevel"/>
    <w:tmpl w:val="A650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3E2DEC"/>
    <w:multiLevelType w:val="hybridMultilevel"/>
    <w:tmpl w:val="1276ACD6"/>
    <w:lvl w:ilvl="0" w:tplc="0C090001">
      <w:start w:val="1"/>
      <w:numFmt w:val="bullet"/>
      <w:lvlText w:val=""/>
      <w:lvlJc w:val="left"/>
      <w:pPr>
        <w:ind w:left="360" w:hanging="360"/>
      </w:pPr>
      <w:rPr>
        <w:rFonts w:ascii="Symbol" w:hAnsi="Symbol" w:hint="default"/>
        <w:sz w:val="16"/>
      </w:rPr>
    </w:lvl>
    <w:lvl w:ilvl="1" w:tplc="AFBEB500">
      <w:start w:val="1"/>
      <w:numFmt w:val="bullet"/>
      <w:lvlText w:val=""/>
      <w:lvlJc w:val="left"/>
      <w:pPr>
        <w:ind w:left="1080" w:hanging="360"/>
      </w:pPr>
      <w:rPr>
        <w:rFonts w:ascii="Symbol" w:hAnsi="Symbol" w:hint="default"/>
        <w:color w:val="auto"/>
        <w:sz w:val="24"/>
        <w:szCs w:val="24"/>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6DC873F7"/>
    <w:multiLevelType w:val="hybridMultilevel"/>
    <w:tmpl w:val="F2868E8C"/>
    <w:lvl w:ilvl="0" w:tplc="0C090001">
      <w:start w:val="1"/>
      <w:numFmt w:val="decimal"/>
      <w:lvlText w:val="%1."/>
      <w:lvlJc w:val="left"/>
      <w:pPr>
        <w:ind w:left="72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5">
    <w:nsid w:val="72E17C19"/>
    <w:multiLevelType w:val="hybridMultilevel"/>
    <w:tmpl w:val="3852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FC56BF"/>
    <w:multiLevelType w:val="hybridMultilevel"/>
    <w:tmpl w:val="715C330C"/>
    <w:lvl w:ilvl="0" w:tplc="D95C426C">
      <w:start w:val="1"/>
      <w:numFmt w:val="upperLetter"/>
      <w:lvlText w:val="%1."/>
      <w:lvlJc w:val="left"/>
      <w:pPr>
        <w:ind w:left="720" w:hanging="360"/>
      </w:pPr>
      <w:rPr>
        <w:rFonts w:asciiTheme="majorHAnsi" w:eastAsiaTheme="minorEastAsia" w:hAnsiTheme="maj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6091270"/>
    <w:multiLevelType w:val="hybridMultilevel"/>
    <w:tmpl w:val="029097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nsid w:val="78854AAC"/>
    <w:multiLevelType w:val="hybridMultilevel"/>
    <w:tmpl w:val="E57A3AC0"/>
    <w:lvl w:ilvl="0" w:tplc="357C4186">
      <w:start w:val="1"/>
      <w:numFmt w:val="decimal"/>
      <w:pStyle w:val="Normalnumbered"/>
      <w:lvlText w:val="%1."/>
      <w:lvlJc w:val="left"/>
      <w:pPr>
        <w:tabs>
          <w:tab w:val="num" w:pos="567"/>
        </w:tabs>
        <w:ind w:left="567" w:hanging="567"/>
      </w:pPr>
      <w:rPr>
        <w:rFonts w:cs="Times New Roman" w:hint="default"/>
        <w:color w:val="auto"/>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39">
    <w:nsid w:val="7BCD3A07"/>
    <w:multiLevelType w:val="hybridMultilevel"/>
    <w:tmpl w:val="D5C0B1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28"/>
  </w:num>
  <w:num w:numId="3">
    <w:abstractNumId w:val="4"/>
  </w:num>
  <w:num w:numId="4">
    <w:abstractNumId w:val="34"/>
  </w:num>
  <w:num w:numId="5">
    <w:abstractNumId w:val="15"/>
  </w:num>
  <w:num w:numId="6">
    <w:abstractNumId w:val="6"/>
  </w:num>
  <w:num w:numId="7">
    <w:abstractNumId w:val="17"/>
  </w:num>
  <w:num w:numId="8">
    <w:abstractNumId w:val="0"/>
  </w:num>
  <w:num w:numId="9">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32"/>
  </w:num>
  <w:num w:numId="12">
    <w:abstractNumId w:val="35"/>
  </w:num>
  <w:num w:numId="13">
    <w:abstractNumId w:val="30"/>
  </w:num>
  <w:num w:numId="14">
    <w:abstractNumId w:val="20"/>
  </w:num>
  <w:num w:numId="15">
    <w:abstractNumId w:val="25"/>
  </w:num>
  <w:num w:numId="16">
    <w:abstractNumId w:val="29"/>
  </w:num>
  <w:num w:numId="17">
    <w:abstractNumId w:val="3"/>
  </w:num>
  <w:num w:numId="18">
    <w:abstractNumId w:val="14"/>
  </w:num>
  <w:num w:numId="19">
    <w:abstractNumId w:val="1"/>
  </w:num>
  <w:num w:numId="20">
    <w:abstractNumId w:val="9"/>
  </w:num>
  <w:num w:numId="21">
    <w:abstractNumId w:val="24"/>
  </w:num>
  <w:num w:numId="22">
    <w:abstractNumId w:val="37"/>
  </w:num>
  <w:num w:numId="23">
    <w:abstractNumId w:val="2"/>
  </w:num>
  <w:num w:numId="24">
    <w:abstractNumId w:val="11"/>
  </w:num>
  <w:num w:numId="25">
    <w:abstractNumId w:val="21"/>
  </w:num>
  <w:num w:numId="26">
    <w:abstractNumId w:val="5"/>
  </w:num>
  <w:num w:numId="27">
    <w:abstractNumId w:val="26"/>
  </w:num>
  <w:num w:numId="28">
    <w:abstractNumId w:val="22"/>
  </w:num>
  <w:num w:numId="29">
    <w:abstractNumId w:val="13"/>
  </w:num>
  <w:num w:numId="30">
    <w:abstractNumId w:val="36"/>
  </w:num>
  <w:num w:numId="31">
    <w:abstractNumId w:val="7"/>
  </w:num>
  <w:num w:numId="32">
    <w:abstractNumId w:val="10"/>
  </w:num>
  <w:num w:numId="33">
    <w:abstractNumId w:val="23"/>
  </w:num>
  <w:num w:numId="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8"/>
  </w:num>
  <w:num w:numId="37">
    <w:abstractNumId w:val="39"/>
  </w:num>
  <w:num w:numId="38">
    <w:abstractNumId w:val="31"/>
  </w:num>
  <w:num w:numId="39">
    <w:abstractNumId w:val="38"/>
  </w:num>
  <w:num w:numId="4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11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BC7B49"/>
    <w:rsid w:val="00002D01"/>
    <w:rsid w:val="00006D06"/>
    <w:rsid w:val="00010997"/>
    <w:rsid w:val="00020AF2"/>
    <w:rsid w:val="0002119C"/>
    <w:rsid w:val="00041C5E"/>
    <w:rsid w:val="000565AB"/>
    <w:rsid w:val="00057294"/>
    <w:rsid w:val="00067657"/>
    <w:rsid w:val="00067CE4"/>
    <w:rsid w:val="000776CC"/>
    <w:rsid w:val="00085019"/>
    <w:rsid w:val="00085E8B"/>
    <w:rsid w:val="00097B46"/>
    <w:rsid w:val="000A5DE2"/>
    <w:rsid w:val="000B549C"/>
    <w:rsid w:val="000B6765"/>
    <w:rsid w:val="000C5D22"/>
    <w:rsid w:val="000D54DD"/>
    <w:rsid w:val="000D74CB"/>
    <w:rsid w:val="000E1321"/>
    <w:rsid w:val="000F29EA"/>
    <w:rsid w:val="000F631C"/>
    <w:rsid w:val="000F7E71"/>
    <w:rsid w:val="000F7F39"/>
    <w:rsid w:val="00104A9D"/>
    <w:rsid w:val="00106FB6"/>
    <w:rsid w:val="0011023B"/>
    <w:rsid w:val="00114863"/>
    <w:rsid w:val="0012080C"/>
    <w:rsid w:val="00125649"/>
    <w:rsid w:val="001351D9"/>
    <w:rsid w:val="001524AE"/>
    <w:rsid w:val="0015352F"/>
    <w:rsid w:val="0015792E"/>
    <w:rsid w:val="00163186"/>
    <w:rsid w:val="00172126"/>
    <w:rsid w:val="001726B2"/>
    <w:rsid w:val="00172FEB"/>
    <w:rsid w:val="00190E97"/>
    <w:rsid w:val="001A1A4D"/>
    <w:rsid w:val="001A222E"/>
    <w:rsid w:val="001D0380"/>
    <w:rsid w:val="001D24EB"/>
    <w:rsid w:val="001F1C1A"/>
    <w:rsid w:val="001F7B3D"/>
    <w:rsid w:val="001F7C7D"/>
    <w:rsid w:val="002326E3"/>
    <w:rsid w:val="00236EA2"/>
    <w:rsid w:val="002407E4"/>
    <w:rsid w:val="00246B61"/>
    <w:rsid w:val="0024780C"/>
    <w:rsid w:val="00264BEA"/>
    <w:rsid w:val="0027315D"/>
    <w:rsid w:val="0028218F"/>
    <w:rsid w:val="002B09A8"/>
    <w:rsid w:val="002B3714"/>
    <w:rsid w:val="002D66B1"/>
    <w:rsid w:val="002E0DB0"/>
    <w:rsid w:val="002E3CCF"/>
    <w:rsid w:val="002F3FEA"/>
    <w:rsid w:val="0030290D"/>
    <w:rsid w:val="00314755"/>
    <w:rsid w:val="003375E1"/>
    <w:rsid w:val="003459EB"/>
    <w:rsid w:val="003471ED"/>
    <w:rsid w:val="003610D1"/>
    <w:rsid w:val="00375A16"/>
    <w:rsid w:val="00391299"/>
    <w:rsid w:val="0039399D"/>
    <w:rsid w:val="00394FAD"/>
    <w:rsid w:val="003A29CD"/>
    <w:rsid w:val="003A4B4F"/>
    <w:rsid w:val="003D2322"/>
    <w:rsid w:val="003F6082"/>
    <w:rsid w:val="003F7384"/>
    <w:rsid w:val="004002FE"/>
    <w:rsid w:val="00401BBB"/>
    <w:rsid w:val="004039FF"/>
    <w:rsid w:val="00410233"/>
    <w:rsid w:val="00410763"/>
    <w:rsid w:val="00411DBB"/>
    <w:rsid w:val="00412FC0"/>
    <w:rsid w:val="00420DF4"/>
    <w:rsid w:val="00440767"/>
    <w:rsid w:val="00452362"/>
    <w:rsid w:val="00462D92"/>
    <w:rsid w:val="00490E60"/>
    <w:rsid w:val="004A329A"/>
    <w:rsid w:val="004A6417"/>
    <w:rsid w:val="004A6491"/>
    <w:rsid w:val="004B536E"/>
    <w:rsid w:val="004B6E6B"/>
    <w:rsid w:val="004C2AFC"/>
    <w:rsid w:val="004D08DA"/>
    <w:rsid w:val="004D10FD"/>
    <w:rsid w:val="004E1CC8"/>
    <w:rsid w:val="004E3517"/>
    <w:rsid w:val="004E617F"/>
    <w:rsid w:val="00517545"/>
    <w:rsid w:val="005176FC"/>
    <w:rsid w:val="005200D0"/>
    <w:rsid w:val="005238B9"/>
    <w:rsid w:val="00526BF5"/>
    <w:rsid w:val="00531ACA"/>
    <w:rsid w:val="00540A35"/>
    <w:rsid w:val="00543713"/>
    <w:rsid w:val="005624D4"/>
    <w:rsid w:val="0057768C"/>
    <w:rsid w:val="00577E5F"/>
    <w:rsid w:val="00596F21"/>
    <w:rsid w:val="005A060B"/>
    <w:rsid w:val="005A4564"/>
    <w:rsid w:val="005A6B80"/>
    <w:rsid w:val="005B5765"/>
    <w:rsid w:val="005D44CA"/>
    <w:rsid w:val="005E3932"/>
    <w:rsid w:val="005F0FDB"/>
    <w:rsid w:val="005F5BCB"/>
    <w:rsid w:val="00611958"/>
    <w:rsid w:val="006238F5"/>
    <w:rsid w:val="0062742A"/>
    <w:rsid w:val="0063097F"/>
    <w:rsid w:val="00631133"/>
    <w:rsid w:val="00642787"/>
    <w:rsid w:val="00642F82"/>
    <w:rsid w:val="00650518"/>
    <w:rsid w:val="00650B11"/>
    <w:rsid w:val="006535CC"/>
    <w:rsid w:val="006541C4"/>
    <w:rsid w:val="00656D22"/>
    <w:rsid w:val="00662A71"/>
    <w:rsid w:val="0066663D"/>
    <w:rsid w:val="00672545"/>
    <w:rsid w:val="006A5BF7"/>
    <w:rsid w:val="006B47A7"/>
    <w:rsid w:val="006B5CCF"/>
    <w:rsid w:val="006B61AE"/>
    <w:rsid w:val="006D1A14"/>
    <w:rsid w:val="006D6D52"/>
    <w:rsid w:val="007108AC"/>
    <w:rsid w:val="007327A9"/>
    <w:rsid w:val="00733E81"/>
    <w:rsid w:val="00734626"/>
    <w:rsid w:val="00737AB0"/>
    <w:rsid w:val="00745275"/>
    <w:rsid w:val="007465EB"/>
    <w:rsid w:val="00747FD9"/>
    <w:rsid w:val="007564F6"/>
    <w:rsid w:val="0078227C"/>
    <w:rsid w:val="00783DC8"/>
    <w:rsid w:val="007854E4"/>
    <w:rsid w:val="007917F8"/>
    <w:rsid w:val="00794736"/>
    <w:rsid w:val="0079657A"/>
    <w:rsid w:val="007A6F64"/>
    <w:rsid w:val="007B0E97"/>
    <w:rsid w:val="007B4217"/>
    <w:rsid w:val="007B48C6"/>
    <w:rsid w:val="007B726E"/>
    <w:rsid w:val="007C16B3"/>
    <w:rsid w:val="007C4969"/>
    <w:rsid w:val="007C5066"/>
    <w:rsid w:val="007D29D4"/>
    <w:rsid w:val="007D50A0"/>
    <w:rsid w:val="007D6F94"/>
    <w:rsid w:val="007E3570"/>
    <w:rsid w:val="007E54EB"/>
    <w:rsid w:val="007F1EA5"/>
    <w:rsid w:val="008120B2"/>
    <w:rsid w:val="0082205D"/>
    <w:rsid w:val="00822E42"/>
    <w:rsid w:val="00825C45"/>
    <w:rsid w:val="008355FE"/>
    <w:rsid w:val="00844975"/>
    <w:rsid w:val="0084545D"/>
    <w:rsid w:val="00851862"/>
    <w:rsid w:val="00875473"/>
    <w:rsid w:val="0088757C"/>
    <w:rsid w:val="00887A1F"/>
    <w:rsid w:val="00892E1A"/>
    <w:rsid w:val="008A14D1"/>
    <w:rsid w:val="008B5A2D"/>
    <w:rsid w:val="008D2F8F"/>
    <w:rsid w:val="008D7B68"/>
    <w:rsid w:val="008E57F3"/>
    <w:rsid w:val="008E68B7"/>
    <w:rsid w:val="008F1557"/>
    <w:rsid w:val="00906010"/>
    <w:rsid w:val="00915206"/>
    <w:rsid w:val="00923FA6"/>
    <w:rsid w:val="009447C9"/>
    <w:rsid w:val="00994019"/>
    <w:rsid w:val="009A291C"/>
    <w:rsid w:val="009A3D19"/>
    <w:rsid w:val="009A51F9"/>
    <w:rsid w:val="009B1CB5"/>
    <w:rsid w:val="009B7278"/>
    <w:rsid w:val="009C30C3"/>
    <w:rsid w:val="009C7281"/>
    <w:rsid w:val="009C7C38"/>
    <w:rsid w:val="009D1BC9"/>
    <w:rsid w:val="009E2A52"/>
    <w:rsid w:val="009F4FB5"/>
    <w:rsid w:val="00A00066"/>
    <w:rsid w:val="00A004DB"/>
    <w:rsid w:val="00A006D2"/>
    <w:rsid w:val="00A10950"/>
    <w:rsid w:val="00A21D10"/>
    <w:rsid w:val="00A26B4D"/>
    <w:rsid w:val="00A307ED"/>
    <w:rsid w:val="00A334D9"/>
    <w:rsid w:val="00A417B2"/>
    <w:rsid w:val="00A453E9"/>
    <w:rsid w:val="00A50CF3"/>
    <w:rsid w:val="00A56ADF"/>
    <w:rsid w:val="00A72DA4"/>
    <w:rsid w:val="00A90C02"/>
    <w:rsid w:val="00A972E8"/>
    <w:rsid w:val="00AA4E3D"/>
    <w:rsid w:val="00AB112D"/>
    <w:rsid w:val="00AB190E"/>
    <w:rsid w:val="00AB530B"/>
    <w:rsid w:val="00AE08D9"/>
    <w:rsid w:val="00AE79A9"/>
    <w:rsid w:val="00AF3329"/>
    <w:rsid w:val="00AF5CE2"/>
    <w:rsid w:val="00B04395"/>
    <w:rsid w:val="00B06CB9"/>
    <w:rsid w:val="00B17102"/>
    <w:rsid w:val="00B171E7"/>
    <w:rsid w:val="00B20DB2"/>
    <w:rsid w:val="00B315B6"/>
    <w:rsid w:val="00B35B07"/>
    <w:rsid w:val="00B50F2B"/>
    <w:rsid w:val="00B5405E"/>
    <w:rsid w:val="00B70E77"/>
    <w:rsid w:val="00B855AD"/>
    <w:rsid w:val="00B85E46"/>
    <w:rsid w:val="00B870E2"/>
    <w:rsid w:val="00B97111"/>
    <w:rsid w:val="00BA2282"/>
    <w:rsid w:val="00BB08F3"/>
    <w:rsid w:val="00BB43EF"/>
    <w:rsid w:val="00BC2241"/>
    <w:rsid w:val="00BC33D7"/>
    <w:rsid w:val="00BC3DD6"/>
    <w:rsid w:val="00BC5CE2"/>
    <w:rsid w:val="00BC7B49"/>
    <w:rsid w:val="00BD5BEF"/>
    <w:rsid w:val="00BD62D3"/>
    <w:rsid w:val="00BD7E7E"/>
    <w:rsid w:val="00BE4FDB"/>
    <w:rsid w:val="00C01A9D"/>
    <w:rsid w:val="00C049DA"/>
    <w:rsid w:val="00C14ACD"/>
    <w:rsid w:val="00C215B3"/>
    <w:rsid w:val="00C2515E"/>
    <w:rsid w:val="00C35C64"/>
    <w:rsid w:val="00C44E5E"/>
    <w:rsid w:val="00C51DBD"/>
    <w:rsid w:val="00C74B1D"/>
    <w:rsid w:val="00C8039A"/>
    <w:rsid w:val="00C83AA2"/>
    <w:rsid w:val="00C84CF0"/>
    <w:rsid w:val="00C91917"/>
    <w:rsid w:val="00C930BC"/>
    <w:rsid w:val="00CB4FC3"/>
    <w:rsid w:val="00CC7061"/>
    <w:rsid w:val="00CD4E20"/>
    <w:rsid w:val="00CE1B5A"/>
    <w:rsid w:val="00CF3F53"/>
    <w:rsid w:val="00CF580F"/>
    <w:rsid w:val="00CF741A"/>
    <w:rsid w:val="00D00F7C"/>
    <w:rsid w:val="00D1621B"/>
    <w:rsid w:val="00D22B5B"/>
    <w:rsid w:val="00D32208"/>
    <w:rsid w:val="00D34CD1"/>
    <w:rsid w:val="00D4169C"/>
    <w:rsid w:val="00D44F03"/>
    <w:rsid w:val="00D70F75"/>
    <w:rsid w:val="00D73F9B"/>
    <w:rsid w:val="00D96BAB"/>
    <w:rsid w:val="00DA6787"/>
    <w:rsid w:val="00DB0880"/>
    <w:rsid w:val="00DC0AC9"/>
    <w:rsid w:val="00DC4374"/>
    <w:rsid w:val="00DE122D"/>
    <w:rsid w:val="00DE6F6E"/>
    <w:rsid w:val="00DE6F8A"/>
    <w:rsid w:val="00E02657"/>
    <w:rsid w:val="00E05F85"/>
    <w:rsid w:val="00E116D8"/>
    <w:rsid w:val="00E27CCD"/>
    <w:rsid w:val="00E27FF1"/>
    <w:rsid w:val="00E4136E"/>
    <w:rsid w:val="00E50A12"/>
    <w:rsid w:val="00E54841"/>
    <w:rsid w:val="00E610E4"/>
    <w:rsid w:val="00E763EF"/>
    <w:rsid w:val="00E80D03"/>
    <w:rsid w:val="00EC3B8B"/>
    <w:rsid w:val="00EC7257"/>
    <w:rsid w:val="00ED53B8"/>
    <w:rsid w:val="00EE513A"/>
    <w:rsid w:val="00EE6D40"/>
    <w:rsid w:val="00EF7299"/>
    <w:rsid w:val="00F013B0"/>
    <w:rsid w:val="00F1376B"/>
    <w:rsid w:val="00F23A0B"/>
    <w:rsid w:val="00F258FE"/>
    <w:rsid w:val="00F64335"/>
    <w:rsid w:val="00F73EA6"/>
    <w:rsid w:val="00F77812"/>
    <w:rsid w:val="00F802EC"/>
    <w:rsid w:val="00F93124"/>
    <w:rsid w:val="00F96387"/>
    <w:rsid w:val="00F97921"/>
    <w:rsid w:val="00FA2853"/>
    <w:rsid w:val="00FA5FF8"/>
    <w:rsid w:val="00FB7073"/>
    <w:rsid w:val="00FC2C4D"/>
    <w:rsid w:val="00FC67BA"/>
    <w:rsid w:val="00FC7827"/>
    <w:rsid w:val="00FD728C"/>
    <w:rsid w:val="00FE128D"/>
    <w:rsid w:val="00FE19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AA2"/>
    <w:pPr>
      <w:tabs>
        <w:tab w:val="right" w:leader="dot" w:pos="9072"/>
      </w:tabs>
      <w:spacing w:before="60" w:after="160"/>
    </w:pPr>
    <w:rPr>
      <w:rFonts w:ascii="Helvetica" w:hAnsi="Helvetica"/>
      <w:sz w:val="22"/>
    </w:rPr>
  </w:style>
  <w:style w:type="paragraph" w:styleId="Heading1">
    <w:name w:val="heading 1"/>
    <w:basedOn w:val="Normal"/>
    <w:next w:val="Normal"/>
    <w:link w:val="Heading1Char"/>
    <w:uiPriority w:val="9"/>
    <w:qFormat/>
    <w:rsid w:val="00C91917"/>
    <w:pPr>
      <w:keepNext/>
      <w:pageBreakBefore/>
      <w:spacing w:before="0" w:after="240"/>
      <w:outlineLvl w:val="0"/>
    </w:pPr>
    <w:rPr>
      <w:rFonts w:ascii="Calibri" w:eastAsia="Times New Roman" w:hAnsi="Calibri" w:cs="Times New Roman"/>
      <w:b/>
      <w:kern w:val="32"/>
      <w:sz w:val="32"/>
      <w:szCs w:val="32"/>
    </w:rPr>
  </w:style>
  <w:style w:type="paragraph" w:styleId="Heading2">
    <w:name w:val="heading 2"/>
    <w:basedOn w:val="Normal"/>
    <w:next w:val="Normal"/>
    <w:link w:val="Heading2Char"/>
    <w:uiPriority w:val="9"/>
    <w:unhideWhenUsed/>
    <w:qFormat/>
    <w:rsid w:val="00A00066"/>
    <w:pPr>
      <w:keepNext/>
      <w:tabs>
        <w:tab w:val="clear" w:pos="9072"/>
      </w:tabs>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892E1A"/>
    <w:pPr>
      <w:keepNext/>
      <w:keepLines/>
      <w:tabs>
        <w:tab w:val="clear" w:pos="9072"/>
      </w:tabs>
      <w:spacing w:before="200" w:after="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unhideWhenUsed/>
    <w:qFormat/>
    <w:rsid w:val="00783DC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2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E08D9"/>
    <w:pPr>
      <w:tabs>
        <w:tab w:val="center" w:pos="4320"/>
        <w:tab w:val="right" w:pos="8640"/>
      </w:tabs>
    </w:pPr>
  </w:style>
  <w:style w:type="character" w:customStyle="1" w:styleId="HeaderChar">
    <w:name w:val="Header Char"/>
    <w:basedOn w:val="DefaultParagraphFont"/>
    <w:link w:val="Header"/>
    <w:rsid w:val="00AE08D9"/>
  </w:style>
  <w:style w:type="paragraph" w:styleId="Footer">
    <w:name w:val="footer"/>
    <w:basedOn w:val="Normal"/>
    <w:link w:val="FooterChar"/>
    <w:uiPriority w:val="99"/>
    <w:unhideWhenUsed/>
    <w:rsid w:val="00AE08D9"/>
    <w:pPr>
      <w:tabs>
        <w:tab w:val="center" w:pos="4320"/>
        <w:tab w:val="right" w:pos="8640"/>
      </w:tabs>
    </w:pPr>
  </w:style>
  <w:style w:type="character" w:customStyle="1" w:styleId="FooterChar">
    <w:name w:val="Footer Char"/>
    <w:basedOn w:val="DefaultParagraphFont"/>
    <w:link w:val="Footer"/>
    <w:uiPriority w:val="99"/>
    <w:rsid w:val="00AE08D9"/>
  </w:style>
  <w:style w:type="character" w:styleId="PageNumber">
    <w:name w:val="page number"/>
    <w:basedOn w:val="DefaultParagraphFont"/>
    <w:uiPriority w:val="99"/>
    <w:semiHidden/>
    <w:unhideWhenUsed/>
    <w:rsid w:val="00AE08D9"/>
  </w:style>
  <w:style w:type="paragraph" w:customStyle="1" w:styleId="TOCAnnexure">
    <w:name w:val="TOC Annexure"/>
    <w:basedOn w:val="TOCbold"/>
    <w:qFormat/>
    <w:rsid w:val="006D6D52"/>
    <w:rPr>
      <w:b w:val="0"/>
      <w:i/>
    </w:rPr>
  </w:style>
  <w:style w:type="paragraph" w:customStyle="1" w:styleId="TOCnormal">
    <w:name w:val="TOC normal"/>
    <w:basedOn w:val="Normal"/>
    <w:qFormat/>
    <w:rsid w:val="00410763"/>
    <w:pPr>
      <w:tabs>
        <w:tab w:val="right" w:leader="dot" w:pos="6691"/>
      </w:tabs>
      <w:suppressAutoHyphens/>
      <w:spacing w:after="0"/>
    </w:pPr>
    <w:rPr>
      <w:spacing w:val="-10"/>
      <w:szCs w:val="22"/>
    </w:rPr>
  </w:style>
  <w:style w:type="paragraph" w:customStyle="1" w:styleId="H1">
    <w:name w:val="H1"/>
    <w:basedOn w:val="Normal"/>
    <w:qFormat/>
    <w:rsid w:val="00C83AA2"/>
    <w:pPr>
      <w:spacing w:before="100" w:after="140"/>
    </w:pPr>
    <w:rPr>
      <w:caps/>
      <w:color w:val="808080" w:themeColor="background1" w:themeShade="80"/>
      <w:spacing w:val="28"/>
      <w:sz w:val="32"/>
      <w:szCs w:val="32"/>
    </w:rPr>
  </w:style>
  <w:style w:type="paragraph" w:customStyle="1" w:styleId="H2bold">
    <w:name w:val="H2bold"/>
    <w:basedOn w:val="H1"/>
    <w:qFormat/>
    <w:rsid w:val="003F7384"/>
    <w:pPr>
      <w:tabs>
        <w:tab w:val="clear" w:pos="9072"/>
      </w:tabs>
      <w:spacing w:after="60"/>
    </w:pPr>
    <w:rPr>
      <w:b/>
      <w:bCs/>
      <w:caps w:val="0"/>
      <w:color w:val="000000" w:themeColor="text1" w:themeShade="A6"/>
      <w:spacing w:val="0"/>
      <w:sz w:val="26"/>
      <w:szCs w:val="26"/>
    </w:rPr>
  </w:style>
  <w:style w:type="paragraph" w:customStyle="1" w:styleId="TOCbold">
    <w:name w:val="TOC bold"/>
    <w:basedOn w:val="TOCnormal"/>
    <w:qFormat/>
    <w:rsid w:val="007C16B3"/>
    <w:pPr>
      <w:spacing w:before="200" w:after="120"/>
    </w:pPr>
    <w:rPr>
      <w:b/>
      <w:color w:val="000000" w:themeColor="text1"/>
    </w:rPr>
  </w:style>
  <w:style w:type="paragraph" w:customStyle="1" w:styleId="TOClist">
    <w:name w:val="TOC list"/>
    <w:basedOn w:val="TOCnormal"/>
    <w:qFormat/>
    <w:rsid w:val="00B35B07"/>
    <w:pPr>
      <w:spacing w:after="20" w:line="360" w:lineRule="auto"/>
    </w:pPr>
  </w:style>
  <w:style w:type="numbering" w:customStyle="1" w:styleId="Bullet1">
    <w:name w:val="Bullet1"/>
    <w:basedOn w:val="NoList"/>
    <w:uiPriority w:val="99"/>
    <w:rsid w:val="004D08DA"/>
    <w:pPr>
      <w:numPr>
        <w:numId w:val="1"/>
      </w:numPr>
    </w:pPr>
  </w:style>
  <w:style w:type="character" w:styleId="Hyperlink">
    <w:name w:val="Hyperlink"/>
    <w:basedOn w:val="DefaultParagraphFont"/>
    <w:uiPriority w:val="99"/>
    <w:unhideWhenUsed/>
    <w:rsid w:val="000C5D22"/>
    <w:rPr>
      <w:color w:val="0000FF" w:themeColor="hyperlink"/>
      <w:u w:val="single"/>
    </w:rPr>
  </w:style>
  <w:style w:type="paragraph" w:customStyle="1" w:styleId="BulletPSPF">
    <w:name w:val="BulletPSPF"/>
    <w:basedOn w:val="Normal"/>
    <w:qFormat/>
    <w:rsid w:val="002E3CCF"/>
    <w:pPr>
      <w:numPr>
        <w:numId w:val="2"/>
      </w:numPr>
      <w:spacing w:before="40" w:after="60"/>
    </w:pPr>
    <w:rPr>
      <w:rFonts w:cs="Times New Roman"/>
    </w:rPr>
  </w:style>
  <w:style w:type="paragraph" w:customStyle="1" w:styleId="NormalIt">
    <w:name w:val="Normal It"/>
    <w:basedOn w:val="Normal"/>
    <w:qFormat/>
    <w:rsid w:val="00A307ED"/>
    <w:rPr>
      <w:i/>
    </w:rPr>
  </w:style>
  <w:style w:type="paragraph" w:customStyle="1" w:styleId="H3">
    <w:name w:val="H3"/>
    <w:basedOn w:val="Normal"/>
    <w:qFormat/>
    <w:rsid w:val="00C83AA2"/>
    <w:pPr>
      <w:spacing w:before="40"/>
    </w:pPr>
    <w:rPr>
      <w:b/>
      <w:color w:val="4F6228" w:themeColor="accent3" w:themeShade="80"/>
      <w:sz w:val="26"/>
    </w:rPr>
  </w:style>
  <w:style w:type="paragraph" w:styleId="BalloonText">
    <w:name w:val="Balloon Text"/>
    <w:basedOn w:val="Normal"/>
    <w:link w:val="BalloonTextChar"/>
    <w:uiPriority w:val="99"/>
    <w:semiHidden/>
    <w:unhideWhenUsed/>
    <w:rsid w:val="00CE1B5A"/>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1B5A"/>
    <w:rPr>
      <w:rFonts w:ascii="Lucida Grande" w:hAnsi="Lucida Grande" w:cs="Lucida Grande"/>
      <w:sz w:val="18"/>
      <w:szCs w:val="18"/>
    </w:rPr>
  </w:style>
  <w:style w:type="character" w:styleId="CommentReference">
    <w:name w:val="annotation reference"/>
    <w:basedOn w:val="DefaultParagraphFont"/>
    <w:uiPriority w:val="99"/>
    <w:semiHidden/>
    <w:rsid w:val="00DE122D"/>
    <w:rPr>
      <w:sz w:val="18"/>
    </w:rPr>
  </w:style>
  <w:style w:type="paragraph" w:styleId="CommentText">
    <w:name w:val="annotation text"/>
    <w:basedOn w:val="Normal"/>
    <w:link w:val="CommentTextChar"/>
    <w:uiPriority w:val="99"/>
    <w:semiHidden/>
    <w:rsid w:val="00DE122D"/>
    <w:pPr>
      <w:spacing w:before="0" w:after="0"/>
    </w:pPr>
    <w:rPr>
      <w:rFonts w:ascii="Times New Roman" w:eastAsia="Times New Roman" w:hAnsi="Times New Roman" w:cs="Times New Roman"/>
      <w:sz w:val="24"/>
    </w:rPr>
  </w:style>
  <w:style w:type="character" w:customStyle="1" w:styleId="CommentTextChar">
    <w:name w:val="Comment Text Char"/>
    <w:basedOn w:val="DefaultParagraphFont"/>
    <w:link w:val="CommentText"/>
    <w:uiPriority w:val="99"/>
    <w:semiHidden/>
    <w:rsid w:val="00DE122D"/>
    <w:rPr>
      <w:rFonts w:ascii="Times New Roman" w:eastAsia="Times New Roman" w:hAnsi="Times New Roman" w:cs="Times New Roman"/>
    </w:rPr>
  </w:style>
  <w:style w:type="paragraph" w:styleId="ListParagraph">
    <w:name w:val="List Paragraph"/>
    <w:basedOn w:val="Normal"/>
    <w:link w:val="ListParagraphChar"/>
    <w:uiPriority w:val="34"/>
    <w:qFormat/>
    <w:rsid w:val="00C83AA2"/>
    <w:pPr>
      <w:numPr>
        <w:numId w:val="23"/>
      </w:numPr>
      <w:tabs>
        <w:tab w:val="clear" w:pos="9072"/>
        <w:tab w:val="right" w:pos="4536"/>
      </w:tabs>
      <w:spacing w:before="0" w:after="100"/>
      <w:ind w:left="1434" w:hanging="357"/>
      <w:contextualSpacing/>
    </w:pPr>
    <w:rPr>
      <w:rFonts w:eastAsia="Calibri" w:cs="Times New Roman"/>
      <w:szCs w:val="22"/>
    </w:rPr>
  </w:style>
  <w:style w:type="character" w:customStyle="1" w:styleId="ListParagraphChar">
    <w:name w:val="List Paragraph Char"/>
    <w:basedOn w:val="DefaultParagraphFont"/>
    <w:link w:val="ListParagraph"/>
    <w:uiPriority w:val="34"/>
    <w:rsid w:val="00C83AA2"/>
    <w:rPr>
      <w:rFonts w:ascii="Helvetica" w:eastAsia="Calibri" w:hAnsi="Helvetica" w:cs="Times New Roman"/>
      <w:sz w:val="22"/>
      <w:szCs w:val="22"/>
    </w:rPr>
  </w:style>
  <w:style w:type="character" w:customStyle="1" w:styleId="Heading1Char">
    <w:name w:val="Heading 1 Char"/>
    <w:basedOn w:val="DefaultParagraphFont"/>
    <w:link w:val="Heading1"/>
    <w:uiPriority w:val="9"/>
    <w:rsid w:val="00C91917"/>
    <w:rPr>
      <w:rFonts w:ascii="Calibri" w:eastAsia="Times New Roman" w:hAnsi="Calibri" w:cs="Times New Roman"/>
      <w:b/>
      <w:kern w:val="32"/>
      <w:sz w:val="32"/>
      <w:szCs w:val="32"/>
    </w:rPr>
  </w:style>
  <w:style w:type="character" w:customStyle="1" w:styleId="Bulletpoint2Char">
    <w:name w:val="Bullet point 2 Char"/>
    <w:basedOn w:val="DefaultParagraphFont"/>
    <w:rsid w:val="00C91917"/>
    <w:rPr>
      <w:sz w:val="22"/>
      <w:szCs w:val="22"/>
      <w:lang w:eastAsia="en-US"/>
    </w:rPr>
  </w:style>
  <w:style w:type="paragraph" w:customStyle="1" w:styleId="41outlinenumbered">
    <w:name w:val="4.1 outline numbered"/>
    <w:basedOn w:val="Normal"/>
    <w:rsid w:val="00C91917"/>
    <w:pPr>
      <w:numPr>
        <w:numId w:val="5"/>
      </w:numPr>
      <w:spacing w:before="120" w:after="120" w:line="288" w:lineRule="auto"/>
      <w:jc w:val="both"/>
    </w:pPr>
    <w:rPr>
      <w:rFonts w:eastAsia="Times" w:cs="Times New Roman"/>
      <w:szCs w:val="20"/>
      <w:lang w:eastAsia="en-AU"/>
    </w:rPr>
  </w:style>
  <w:style w:type="paragraph" w:customStyle="1" w:styleId="TableText">
    <w:name w:val="Table Text"/>
    <w:basedOn w:val="Normal"/>
    <w:link w:val="TableTextChar"/>
    <w:qFormat/>
    <w:rsid w:val="00C91917"/>
    <w:pPr>
      <w:numPr>
        <w:ilvl w:val="2"/>
      </w:numPr>
      <w:autoSpaceDE w:val="0"/>
      <w:autoSpaceDN w:val="0"/>
      <w:adjustRightInd w:val="0"/>
      <w:spacing w:after="60"/>
      <w:outlineLvl w:val="0"/>
    </w:pPr>
    <w:rPr>
      <w:rFonts w:ascii="Calibri" w:eastAsia="Times New Roman" w:hAnsi="Calibri" w:cs="Times New Roman"/>
      <w:szCs w:val="22"/>
      <w:lang w:eastAsia="en-AU" w:bidi="en-US"/>
    </w:rPr>
  </w:style>
  <w:style w:type="character" w:customStyle="1" w:styleId="TableTextChar">
    <w:name w:val="Table Text Char"/>
    <w:basedOn w:val="DefaultParagraphFont"/>
    <w:link w:val="TableText"/>
    <w:rsid w:val="00C91917"/>
    <w:rPr>
      <w:rFonts w:ascii="Calibri" w:eastAsia="Times New Roman" w:hAnsi="Calibri" w:cs="Times New Roman"/>
      <w:sz w:val="22"/>
      <w:szCs w:val="22"/>
      <w:lang w:eastAsia="en-AU" w:bidi="en-US"/>
    </w:rPr>
  </w:style>
  <w:style w:type="paragraph" w:customStyle="1" w:styleId="Table1">
    <w:name w:val="Table 1"/>
    <w:basedOn w:val="TableText"/>
    <w:link w:val="Table1Char"/>
    <w:qFormat/>
    <w:rsid w:val="00C91917"/>
    <w:pPr>
      <w:keepNext/>
      <w:framePr w:hSpace="180" w:wrap="around" w:vAnchor="page" w:hAnchor="margin" w:y="9613"/>
    </w:pPr>
    <w:rPr>
      <w:bCs/>
      <w:kern w:val="32"/>
    </w:rPr>
  </w:style>
  <w:style w:type="character" w:customStyle="1" w:styleId="Table1Char">
    <w:name w:val="Table 1 Char"/>
    <w:basedOn w:val="TableTextChar"/>
    <w:link w:val="Table1"/>
    <w:rsid w:val="00C91917"/>
    <w:rPr>
      <w:rFonts w:ascii="Calibri" w:eastAsia="Times New Roman" w:hAnsi="Calibri" w:cs="Times New Roman"/>
      <w:bCs/>
      <w:kern w:val="32"/>
      <w:sz w:val="22"/>
      <w:szCs w:val="22"/>
      <w:lang w:eastAsia="en-AU" w:bidi="en-US"/>
    </w:rPr>
  </w:style>
  <w:style w:type="paragraph" w:customStyle="1" w:styleId="Tabledot1">
    <w:name w:val="Table dot 1"/>
    <w:basedOn w:val="TableText"/>
    <w:link w:val="Tabledot1Char"/>
    <w:qFormat/>
    <w:rsid w:val="00C91917"/>
    <w:pPr>
      <w:numPr>
        <w:ilvl w:val="0"/>
        <w:numId w:val="6"/>
      </w:numPr>
    </w:pPr>
    <w:rPr>
      <w:bCs/>
      <w:kern w:val="32"/>
    </w:rPr>
  </w:style>
  <w:style w:type="character" w:customStyle="1" w:styleId="Tabledot1Char">
    <w:name w:val="Table dot 1 Char"/>
    <w:basedOn w:val="TableTextChar"/>
    <w:link w:val="Tabledot1"/>
    <w:rsid w:val="00C91917"/>
    <w:rPr>
      <w:rFonts w:ascii="Calibri" w:eastAsia="Times New Roman" w:hAnsi="Calibri" w:cs="Times New Roman"/>
      <w:bCs/>
      <w:kern w:val="32"/>
      <w:sz w:val="22"/>
      <w:szCs w:val="22"/>
      <w:lang w:eastAsia="en-AU" w:bidi="en-US"/>
    </w:rPr>
  </w:style>
  <w:style w:type="paragraph" w:customStyle="1" w:styleId="Default">
    <w:name w:val="Default"/>
    <w:rsid w:val="001351D9"/>
    <w:pPr>
      <w:autoSpaceDE w:val="0"/>
      <w:autoSpaceDN w:val="0"/>
      <w:adjustRightInd w:val="0"/>
    </w:pPr>
    <w:rPr>
      <w:rFonts w:ascii="Calibri" w:eastAsia="Times New Roman" w:hAnsi="Calibri" w:cs="Calibri"/>
      <w:color w:val="000000"/>
      <w:lang w:eastAsia="en-AU"/>
    </w:rPr>
  </w:style>
  <w:style w:type="paragraph" w:customStyle="1" w:styleId="Tablebullet">
    <w:name w:val="Table bullet"/>
    <w:basedOn w:val="ListParagraph"/>
    <w:link w:val="TablebulletChar"/>
    <w:qFormat/>
    <w:rsid w:val="00783DC8"/>
    <w:pPr>
      <w:numPr>
        <w:numId w:val="7"/>
      </w:numPr>
      <w:tabs>
        <w:tab w:val="left" w:pos="284"/>
      </w:tabs>
      <w:autoSpaceDE w:val="0"/>
      <w:autoSpaceDN w:val="0"/>
      <w:adjustRightInd w:val="0"/>
      <w:spacing w:before="60" w:after="60"/>
      <w:ind w:left="284" w:hanging="284"/>
      <w:contextualSpacing w:val="0"/>
    </w:pPr>
    <w:rPr>
      <w:rFonts w:eastAsia="Times New Roman" w:cs="TheSansLight-Plain"/>
      <w:bCs/>
      <w:sz w:val="20"/>
      <w:szCs w:val="20"/>
      <w:lang w:bidi="en-US"/>
    </w:rPr>
  </w:style>
  <w:style w:type="paragraph" w:customStyle="1" w:styleId="Tablebullet2">
    <w:name w:val="Table bullet 2"/>
    <w:basedOn w:val="ListParagraph"/>
    <w:link w:val="Tablebullet2Char"/>
    <w:qFormat/>
    <w:rsid w:val="00783DC8"/>
    <w:pPr>
      <w:numPr>
        <w:numId w:val="8"/>
      </w:numPr>
      <w:autoSpaceDE w:val="0"/>
      <w:autoSpaceDN w:val="0"/>
      <w:adjustRightInd w:val="0"/>
      <w:spacing w:before="60" w:after="60"/>
      <w:ind w:left="568" w:hanging="284"/>
      <w:contextualSpacing w:val="0"/>
    </w:pPr>
    <w:rPr>
      <w:rFonts w:eastAsia="Times New Roman" w:cs="TheSansLight-Plain"/>
      <w:bCs/>
      <w:sz w:val="20"/>
      <w:szCs w:val="20"/>
      <w:lang w:bidi="en-US"/>
    </w:rPr>
  </w:style>
  <w:style w:type="character" w:customStyle="1" w:styleId="TablebulletChar">
    <w:name w:val="Table bullet Char"/>
    <w:basedOn w:val="ListParagraphChar"/>
    <w:link w:val="Tablebullet"/>
    <w:rsid w:val="00783DC8"/>
    <w:rPr>
      <w:rFonts w:ascii="Calibri" w:eastAsia="Times New Roman" w:hAnsi="Calibri" w:cs="TheSansLight-Plain"/>
      <w:bCs/>
      <w:sz w:val="20"/>
      <w:szCs w:val="20"/>
      <w:lang w:bidi="en-US"/>
    </w:rPr>
  </w:style>
  <w:style w:type="character" w:customStyle="1" w:styleId="Tablebullet2Char">
    <w:name w:val="Table bullet 2 Char"/>
    <w:basedOn w:val="ListParagraphChar"/>
    <w:link w:val="Tablebullet2"/>
    <w:rsid w:val="00783DC8"/>
    <w:rPr>
      <w:rFonts w:ascii="Calibri" w:eastAsia="Times New Roman" w:hAnsi="Calibri" w:cs="TheSansLight-Plain"/>
      <w:bCs/>
      <w:sz w:val="20"/>
      <w:szCs w:val="20"/>
      <w:lang w:bidi="en-US"/>
    </w:rPr>
  </w:style>
  <w:style w:type="character" w:customStyle="1" w:styleId="Heading4Char">
    <w:name w:val="Heading 4 Char"/>
    <w:basedOn w:val="DefaultParagraphFont"/>
    <w:link w:val="Heading4"/>
    <w:uiPriority w:val="9"/>
    <w:rsid w:val="00783DC8"/>
    <w:rPr>
      <w:rFonts w:asciiTheme="majorHAnsi" w:eastAsiaTheme="majorEastAsia" w:hAnsiTheme="majorHAnsi" w:cstheme="majorBidi"/>
      <w:b/>
      <w:bCs/>
      <w:i/>
      <w:iCs/>
      <w:color w:val="4F81BD" w:themeColor="accent1"/>
      <w:sz w:val="22"/>
    </w:rPr>
  </w:style>
  <w:style w:type="paragraph" w:styleId="Revision">
    <w:name w:val="Revision"/>
    <w:hidden/>
    <w:uiPriority w:val="99"/>
    <w:semiHidden/>
    <w:rsid w:val="008B5A2D"/>
    <w:rPr>
      <w:rFonts w:ascii="Arial" w:hAnsi="Arial"/>
      <w:sz w:val="22"/>
    </w:rPr>
  </w:style>
  <w:style w:type="paragraph" w:styleId="CommentSubject">
    <w:name w:val="annotation subject"/>
    <w:basedOn w:val="CommentText"/>
    <w:next w:val="CommentText"/>
    <w:link w:val="CommentSubjectChar"/>
    <w:uiPriority w:val="99"/>
    <w:semiHidden/>
    <w:unhideWhenUsed/>
    <w:rsid w:val="0039399D"/>
    <w:pPr>
      <w:spacing w:before="60" w:after="100"/>
    </w:pPr>
    <w:rPr>
      <w:rFonts w:ascii="Arial" w:eastAsiaTheme="minorEastAsia" w:hAnsi="Arial" w:cstheme="minorBidi"/>
      <w:b/>
      <w:bCs/>
      <w:sz w:val="20"/>
      <w:szCs w:val="20"/>
    </w:rPr>
  </w:style>
  <w:style w:type="character" w:customStyle="1" w:styleId="CommentSubjectChar">
    <w:name w:val="Comment Subject Char"/>
    <w:basedOn w:val="CommentTextChar"/>
    <w:link w:val="CommentSubject"/>
    <w:uiPriority w:val="99"/>
    <w:semiHidden/>
    <w:rsid w:val="0039399D"/>
    <w:rPr>
      <w:rFonts w:ascii="Arial" w:eastAsia="Times New Roman" w:hAnsi="Arial" w:cs="Times New Roman"/>
      <w:b/>
      <w:bCs/>
      <w:sz w:val="20"/>
      <w:szCs w:val="20"/>
    </w:rPr>
  </w:style>
  <w:style w:type="paragraph" w:styleId="TOCHeading">
    <w:name w:val="TOC Heading"/>
    <w:basedOn w:val="Heading1"/>
    <w:next w:val="Normal"/>
    <w:uiPriority w:val="39"/>
    <w:unhideWhenUsed/>
    <w:qFormat/>
    <w:rsid w:val="006B5CCF"/>
    <w:pPr>
      <w:keepLines/>
      <w:pageBreakBefore w:val="0"/>
      <w:tabs>
        <w:tab w:val="clear" w:pos="9072"/>
      </w:tabs>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rPr>
  </w:style>
  <w:style w:type="paragraph" w:styleId="TOC1">
    <w:name w:val="toc 1"/>
    <w:basedOn w:val="Normal"/>
    <w:next w:val="Normal"/>
    <w:autoRedefine/>
    <w:uiPriority w:val="39"/>
    <w:unhideWhenUsed/>
    <w:rsid w:val="006B5CCF"/>
    <w:pPr>
      <w:tabs>
        <w:tab w:val="clear" w:pos="9072"/>
      </w:tabs>
      <w:spacing w:before="120" w:after="0"/>
    </w:pPr>
    <w:rPr>
      <w:rFonts w:asciiTheme="majorHAnsi" w:hAnsiTheme="majorHAnsi"/>
      <w:b/>
      <w:color w:val="548DD4"/>
      <w:sz w:val="24"/>
    </w:rPr>
  </w:style>
  <w:style w:type="paragraph" w:styleId="TOC2">
    <w:name w:val="toc 2"/>
    <w:basedOn w:val="Normal"/>
    <w:next w:val="Normal"/>
    <w:autoRedefine/>
    <w:uiPriority w:val="39"/>
    <w:semiHidden/>
    <w:unhideWhenUsed/>
    <w:rsid w:val="006B5CCF"/>
    <w:pPr>
      <w:tabs>
        <w:tab w:val="clear" w:pos="9072"/>
      </w:tabs>
      <w:spacing w:before="0" w:after="0"/>
    </w:pPr>
    <w:rPr>
      <w:rFonts w:asciiTheme="minorHAnsi" w:hAnsiTheme="minorHAnsi"/>
      <w:szCs w:val="22"/>
    </w:rPr>
  </w:style>
  <w:style w:type="paragraph" w:styleId="TOC3">
    <w:name w:val="toc 3"/>
    <w:basedOn w:val="Normal"/>
    <w:next w:val="Normal"/>
    <w:autoRedefine/>
    <w:uiPriority w:val="39"/>
    <w:semiHidden/>
    <w:unhideWhenUsed/>
    <w:rsid w:val="006B5CCF"/>
    <w:pPr>
      <w:tabs>
        <w:tab w:val="clear" w:pos="9072"/>
      </w:tabs>
      <w:spacing w:before="0" w:after="0"/>
      <w:ind w:left="220"/>
    </w:pPr>
    <w:rPr>
      <w:rFonts w:asciiTheme="minorHAnsi" w:hAnsiTheme="minorHAnsi"/>
      <w:i/>
      <w:szCs w:val="22"/>
    </w:rPr>
  </w:style>
  <w:style w:type="paragraph" w:styleId="TOC4">
    <w:name w:val="toc 4"/>
    <w:basedOn w:val="Normal"/>
    <w:next w:val="Normal"/>
    <w:autoRedefine/>
    <w:uiPriority w:val="39"/>
    <w:semiHidden/>
    <w:unhideWhenUsed/>
    <w:rsid w:val="006B5CCF"/>
    <w:pPr>
      <w:pBdr>
        <w:between w:val="double" w:sz="6" w:space="0" w:color="auto"/>
      </w:pBdr>
      <w:tabs>
        <w:tab w:val="clear" w:pos="9072"/>
      </w:tabs>
      <w:spacing w:before="0" w:after="0"/>
      <w:ind w:left="440"/>
    </w:pPr>
    <w:rPr>
      <w:rFonts w:asciiTheme="minorHAnsi" w:hAnsiTheme="minorHAnsi"/>
      <w:sz w:val="20"/>
      <w:szCs w:val="20"/>
    </w:rPr>
  </w:style>
  <w:style w:type="paragraph" w:styleId="TOC5">
    <w:name w:val="toc 5"/>
    <w:basedOn w:val="Normal"/>
    <w:next w:val="Normal"/>
    <w:autoRedefine/>
    <w:uiPriority w:val="39"/>
    <w:semiHidden/>
    <w:unhideWhenUsed/>
    <w:rsid w:val="006B5CCF"/>
    <w:pPr>
      <w:pBdr>
        <w:between w:val="double" w:sz="6" w:space="0" w:color="auto"/>
      </w:pBdr>
      <w:tabs>
        <w:tab w:val="clear" w:pos="9072"/>
      </w:tabs>
      <w:spacing w:before="0" w:after="0"/>
      <w:ind w:left="660"/>
    </w:pPr>
    <w:rPr>
      <w:rFonts w:asciiTheme="minorHAnsi" w:hAnsiTheme="minorHAnsi"/>
      <w:sz w:val="20"/>
      <w:szCs w:val="20"/>
    </w:rPr>
  </w:style>
  <w:style w:type="paragraph" w:styleId="TOC6">
    <w:name w:val="toc 6"/>
    <w:basedOn w:val="Normal"/>
    <w:next w:val="Normal"/>
    <w:autoRedefine/>
    <w:uiPriority w:val="39"/>
    <w:semiHidden/>
    <w:unhideWhenUsed/>
    <w:rsid w:val="006B5CCF"/>
    <w:pPr>
      <w:pBdr>
        <w:between w:val="double" w:sz="6" w:space="0" w:color="auto"/>
      </w:pBdr>
      <w:tabs>
        <w:tab w:val="clear" w:pos="9072"/>
      </w:tabs>
      <w:spacing w:before="0" w:after="0"/>
      <w:ind w:left="880"/>
    </w:pPr>
    <w:rPr>
      <w:rFonts w:asciiTheme="minorHAnsi" w:hAnsiTheme="minorHAnsi"/>
      <w:sz w:val="20"/>
      <w:szCs w:val="20"/>
    </w:rPr>
  </w:style>
  <w:style w:type="paragraph" w:styleId="TOC7">
    <w:name w:val="toc 7"/>
    <w:basedOn w:val="Normal"/>
    <w:next w:val="Normal"/>
    <w:autoRedefine/>
    <w:uiPriority w:val="39"/>
    <w:semiHidden/>
    <w:unhideWhenUsed/>
    <w:rsid w:val="006B5CCF"/>
    <w:pPr>
      <w:pBdr>
        <w:between w:val="double" w:sz="6" w:space="0" w:color="auto"/>
      </w:pBdr>
      <w:tabs>
        <w:tab w:val="clear" w:pos="9072"/>
      </w:tabs>
      <w:spacing w:before="0" w:after="0"/>
      <w:ind w:left="1100"/>
    </w:pPr>
    <w:rPr>
      <w:rFonts w:asciiTheme="minorHAnsi" w:hAnsiTheme="minorHAnsi"/>
      <w:sz w:val="20"/>
      <w:szCs w:val="20"/>
    </w:rPr>
  </w:style>
  <w:style w:type="paragraph" w:styleId="TOC8">
    <w:name w:val="toc 8"/>
    <w:basedOn w:val="Normal"/>
    <w:next w:val="Normal"/>
    <w:autoRedefine/>
    <w:uiPriority w:val="39"/>
    <w:semiHidden/>
    <w:unhideWhenUsed/>
    <w:rsid w:val="006B5CCF"/>
    <w:pPr>
      <w:pBdr>
        <w:between w:val="double" w:sz="6" w:space="0" w:color="auto"/>
      </w:pBdr>
      <w:tabs>
        <w:tab w:val="clear" w:pos="9072"/>
      </w:tabs>
      <w:spacing w:before="0" w:after="0"/>
      <w:ind w:left="1320"/>
    </w:pPr>
    <w:rPr>
      <w:rFonts w:asciiTheme="minorHAnsi" w:hAnsiTheme="minorHAnsi"/>
      <w:sz w:val="20"/>
      <w:szCs w:val="20"/>
    </w:rPr>
  </w:style>
  <w:style w:type="paragraph" w:styleId="TOC9">
    <w:name w:val="toc 9"/>
    <w:basedOn w:val="Normal"/>
    <w:next w:val="Normal"/>
    <w:autoRedefine/>
    <w:uiPriority w:val="39"/>
    <w:semiHidden/>
    <w:unhideWhenUsed/>
    <w:rsid w:val="006B5CCF"/>
    <w:pPr>
      <w:pBdr>
        <w:between w:val="double" w:sz="6" w:space="0" w:color="auto"/>
      </w:pBdr>
      <w:tabs>
        <w:tab w:val="clear" w:pos="9072"/>
      </w:tabs>
      <w:spacing w:before="0" w:after="0"/>
      <w:ind w:left="1540"/>
    </w:pPr>
    <w:rPr>
      <w:rFonts w:asciiTheme="minorHAnsi" w:hAnsiTheme="minorHAnsi"/>
      <w:sz w:val="20"/>
      <w:szCs w:val="20"/>
    </w:rPr>
  </w:style>
  <w:style w:type="character" w:styleId="FollowedHyperlink">
    <w:name w:val="FollowedHyperlink"/>
    <w:basedOn w:val="DefaultParagraphFont"/>
    <w:uiPriority w:val="99"/>
    <w:semiHidden/>
    <w:unhideWhenUsed/>
    <w:rsid w:val="006238F5"/>
    <w:rPr>
      <w:color w:val="800080" w:themeColor="followedHyperlink"/>
      <w:u w:val="single"/>
    </w:rPr>
  </w:style>
  <w:style w:type="paragraph" w:styleId="FootnoteText">
    <w:name w:val="footnote text"/>
    <w:basedOn w:val="Normal"/>
    <w:link w:val="FootnoteTextChar"/>
    <w:uiPriority w:val="99"/>
    <w:semiHidden/>
    <w:unhideWhenUsed/>
    <w:rsid w:val="00A00066"/>
    <w:pPr>
      <w:tabs>
        <w:tab w:val="clear" w:pos="9072"/>
      </w:tabs>
      <w:spacing w:before="0"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A00066"/>
    <w:rPr>
      <w:rFonts w:ascii="Calibri" w:eastAsia="Calibri" w:hAnsi="Calibri" w:cs="Times New Roman"/>
      <w:sz w:val="20"/>
      <w:szCs w:val="20"/>
    </w:rPr>
  </w:style>
  <w:style w:type="character" w:styleId="FootnoteReference">
    <w:name w:val="footnote reference"/>
    <w:semiHidden/>
    <w:rsid w:val="00A00066"/>
    <w:rPr>
      <w:vertAlign w:val="superscript"/>
    </w:rPr>
  </w:style>
  <w:style w:type="character" w:customStyle="1" w:styleId="Heading2Char">
    <w:name w:val="Heading 2 Char"/>
    <w:basedOn w:val="DefaultParagraphFont"/>
    <w:link w:val="Heading2"/>
    <w:uiPriority w:val="9"/>
    <w:rsid w:val="00A00066"/>
    <w:rPr>
      <w:rFonts w:ascii="Cambria" w:eastAsia="Times New Roman" w:hAnsi="Cambria" w:cs="Times New Roman"/>
      <w:b/>
      <w:bCs/>
      <w:i/>
      <w:iCs/>
      <w:sz w:val="28"/>
      <w:szCs w:val="28"/>
    </w:rPr>
  </w:style>
  <w:style w:type="paragraph" w:customStyle="1" w:styleId="Paragraph">
    <w:name w:val="Paragraph"/>
    <w:basedOn w:val="Normal"/>
    <w:link w:val="ParagraphChar"/>
    <w:uiPriority w:val="99"/>
    <w:rsid w:val="00A00066"/>
    <w:pPr>
      <w:numPr>
        <w:ilvl w:val="12"/>
      </w:numPr>
      <w:tabs>
        <w:tab w:val="clear" w:pos="9072"/>
      </w:tabs>
      <w:spacing w:before="240" w:after="0"/>
    </w:pPr>
    <w:rPr>
      <w:rFonts w:ascii="Times New Roman" w:eastAsia="Times New Roman" w:hAnsi="Times New Roman" w:cs="Times New Roman"/>
      <w:sz w:val="24"/>
      <w:szCs w:val="20"/>
    </w:rPr>
  </w:style>
  <w:style w:type="character" w:customStyle="1" w:styleId="ParagraphChar">
    <w:name w:val="Paragraph Char"/>
    <w:link w:val="Paragraph"/>
    <w:uiPriority w:val="99"/>
    <w:rsid w:val="00A00066"/>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rsid w:val="00892E1A"/>
    <w:rPr>
      <w:rFonts w:asciiTheme="majorHAnsi" w:eastAsiaTheme="majorEastAsia" w:hAnsiTheme="majorHAnsi" w:cstheme="majorBidi"/>
      <w:b/>
      <w:bCs/>
      <w:color w:val="4F81BD" w:themeColor="accent1"/>
      <w:sz w:val="22"/>
      <w:szCs w:val="22"/>
    </w:rPr>
  </w:style>
  <w:style w:type="paragraph" w:styleId="BodyText">
    <w:name w:val="Body Text"/>
    <w:link w:val="BodyTextChar"/>
    <w:qFormat/>
    <w:rsid w:val="00892E1A"/>
    <w:pPr>
      <w:spacing w:before="240" w:line="320" w:lineRule="atLeast"/>
      <w:jc w:val="both"/>
    </w:pPr>
    <w:rPr>
      <w:rFonts w:ascii="Times New Roman" w:eastAsia="Times New Roman" w:hAnsi="Times New Roman" w:cs="Times New Roman"/>
      <w:sz w:val="26"/>
      <w:szCs w:val="20"/>
      <w:lang w:eastAsia="en-AU"/>
    </w:rPr>
  </w:style>
  <w:style w:type="character" w:customStyle="1" w:styleId="BodyTextChar">
    <w:name w:val="Body Text Char"/>
    <w:basedOn w:val="DefaultParagraphFont"/>
    <w:link w:val="BodyText"/>
    <w:rsid w:val="00892E1A"/>
    <w:rPr>
      <w:rFonts w:ascii="Times New Roman" w:eastAsia="Times New Roman" w:hAnsi="Times New Roman" w:cs="Times New Roman"/>
      <w:sz w:val="26"/>
      <w:szCs w:val="20"/>
      <w:lang w:eastAsia="en-AU"/>
    </w:rPr>
  </w:style>
  <w:style w:type="paragraph" w:styleId="ListBullet">
    <w:name w:val="List Bullet"/>
    <w:basedOn w:val="BodyText"/>
    <w:rsid w:val="00892E1A"/>
    <w:pPr>
      <w:numPr>
        <w:numId w:val="27"/>
      </w:numPr>
      <w:spacing w:before="120"/>
    </w:pPr>
  </w:style>
  <w:style w:type="paragraph" w:customStyle="1" w:styleId="Normalnumbered">
    <w:name w:val="Normal numbered"/>
    <w:basedOn w:val="Normal"/>
    <w:link w:val="NormalnumberedChar"/>
    <w:rsid w:val="002F3FEA"/>
    <w:pPr>
      <w:numPr>
        <w:numId w:val="39"/>
      </w:numPr>
      <w:tabs>
        <w:tab w:val="clear" w:pos="9072"/>
      </w:tabs>
      <w:spacing w:before="0" w:after="0"/>
    </w:pPr>
    <w:rPr>
      <w:rFonts w:ascii="Corbel" w:eastAsia="Times New Roman" w:hAnsi="Corbel" w:cs="Times New Roman"/>
      <w:color w:val="000000" w:themeColor="text1"/>
      <w:sz w:val="23"/>
      <w:lang w:eastAsia="en-AU"/>
    </w:rPr>
  </w:style>
  <w:style w:type="character" w:customStyle="1" w:styleId="NormalnumberedChar">
    <w:name w:val="Normal numbered Char"/>
    <w:basedOn w:val="DefaultParagraphFont"/>
    <w:link w:val="Normalnumbered"/>
    <w:locked/>
    <w:rsid w:val="002F3FEA"/>
    <w:rPr>
      <w:rFonts w:ascii="Corbel" w:eastAsia="Times New Roman" w:hAnsi="Corbel" w:cs="Times New Roman"/>
      <w:color w:val="000000" w:themeColor="text1"/>
      <w:sz w:val="23"/>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FAD"/>
    <w:pPr>
      <w:tabs>
        <w:tab w:val="right" w:leader="dot" w:pos="9072"/>
      </w:tabs>
      <w:spacing w:before="60" w:after="100"/>
    </w:pPr>
    <w:rPr>
      <w:rFonts w:ascii="Arial" w:hAnsi="Arial"/>
      <w:sz w:val="22"/>
    </w:rPr>
  </w:style>
  <w:style w:type="paragraph" w:styleId="Heading1">
    <w:name w:val="heading 1"/>
    <w:basedOn w:val="Normal"/>
    <w:next w:val="Normal"/>
    <w:link w:val="Heading1Char"/>
    <w:uiPriority w:val="9"/>
    <w:qFormat/>
    <w:rsid w:val="00C91917"/>
    <w:pPr>
      <w:keepNext/>
      <w:pageBreakBefore/>
      <w:spacing w:before="0" w:after="240"/>
      <w:outlineLvl w:val="0"/>
    </w:pPr>
    <w:rPr>
      <w:rFonts w:ascii="Calibri" w:eastAsia="Times New Roman" w:hAnsi="Calibri" w:cs="Times New Roman"/>
      <w:b/>
      <w:kern w:val="32"/>
      <w:sz w:val="32"/>
      <w:szCs w:val="32"/>
    </w:rPr>
  </w:style>
  <w:style w:type="paragraph" w:styleId="Heading2">
    <w:name w:val="heading 2"/>
    <w:basedOn w:val="Normal"/>
    <w:next w:val="Normal"/>
    <w:link w:val="Heading2Char"/>
    <w:uiPriority w:val="9"/>
    <w:unhideWhenUsed/>
    <w:qFormat/>
    <w:rsid w:val="00A00066"/>
    <w:pPr>
      <w:keepNext/>
      <w:tabs>
        <w:tab w:val="clear" w:pos="9072"/>
      </w:tabs>
      <w:spacing w:before="240" w:after="60" w:line="276" w:lineRule="auto"/>
      <w:outlineLvl w:val="1"/>
    </w:pPr>
    <w:rPr>
      <w:rFonts w:ascii="Cambria" w:eastAsia="Times New Roman" w:hAnsi="Cambria" w:cs="Times New Roman"/>
      <w:b/>
      <w:bCs/>
      <w:i/>
      <w:iCs/>
      <w:sz w:val="28"/>
      <w:szCs w:val="28"/>
      <w:lang w:val="x-none"/>
    </w:rPr>
  </w:style>
  <w:style w:type="paragraph" w:styleId="Heading4">
    <w:name w:val="heading 4"/>
    <w:basedOn w:val="Normal"/>
    <w:next w:val="Normal"/>
    <w:link w:val="Heading4Char"/>
    <w:uiPriority w:val="9"/>
    <w:semiHidden/>
    <w:unhideWhenUsed/>
    <w:qFormat/>
    <w:rsid w:val="00783DC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2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08D9"/>
    <w:pPr>
      <w:tabs>
        <w:tab w:val="center" w:pos="4320"/>
        <w:tab w:val="right" w:pos="8640"/>
      </w:tabs>
    </w:pPr>
  </w:style>
  <w:style w:type="character" w:customStyle="1" w:styleId="HeaderChar">
    <w:name w:val="Header Char"/>
    <w:basedOn w:val="DefaultParagraphFont"/>
    <w:link w:val="Header"/>
    <w:uiPriority w:val="99"/>
    <w:rsid w:val="00AE08D9"/>
  </w:style>
  <w:style w:type="paragraph" w:styleId="Footer">
    <w:name w:val="footer"/>
    <w:basedOn w:val="Normal"/>
    <w:link w:val="FooterChar"/>
    <w:uiPriority w:val="99"/>
    <w:unhideWhenUsed/>
    <w:rsid w:val="00AE08D9"/>
    <w:pPr>
      <w:tabs>
        <w:tab w:val="center" w:pos="4320"/>
        <w:tab w:val="right" w:pos="8640"/>
      </w:tabs>
    </w:pPr>
  </w:style>
  <w:style w:type="character" w:customStyle="1" w:styleId="FooterChar">
    <w:name w:val="Footer Char"/>
    <w:basedOn w:val="DefaultParagraphFont"/>
    <w:link w:val="Footer"/>
    <w:uiPriority w:val="99"/>
    <w:rsid w:val="00AE08D9"/>
  </w:style>
  <w:style w:type="character" w:styleId="PageNumber">
    <w:name w:val="page number"/>
    <w:basedOn w:val="DefaultParagraphFont"/>
    <w:uiPriority w:val="99"/>
    <w:semiHidden/>
    <w:unhideWhenUsed/>
    <w:rsid w:val="00AE08D9"/>
  </w:style>
  <w:style w:type="paragraph" w:customStyle="1" w:styleId="TOCAnnexure">
    <w:name w:val="TOC Annexure"/>
    <w:basedOn w:val="TOCbold"/>
    <w:qFormat/>
    <w:rsid w:val="006D6D52"/>
    <w:rPr>
      <w:b w:val="0"/>
      <w:i/>
    </w:rPr>
  </w:style>
  <w:style w:type="paragraph" w:customStyle="1" w:styleId="TOCnormal">
    <w:name w:val="TOC normal"/>
    <w:basedOn w:val="Normal"/>
    <w:qFormat/>
    <w:rsid w:val="00410763"/>
    <w:pPr>
      <w:tabs>
        <w:tab w:val="right" w:leader="dot" w:pos="6691"/>
      </w:tabs>
      <w:suppressAutoHyphens/>
      <w:spacing w:after="0"/>
    </w:pPr>
    <w:rPr>
      <w:spacing w:val="-10"/>
      <w:szCs w:val="22"/>
    </w:rPr>
  </w:style>
  <w:style w:type="paragraph" w:customStyle="1" w:styleId="H1">
    <w:name w:val="H1"/>
    <w:basedOn w:val="Normal"/>
    <w:qFormat/>
    <w:rsid w:val="00A307ED"/>
    <w:pPr>
      <w:spacing w:before="100" w:after="140"/>
    </w:pPr>
    <w:rPr>
      <w:rFonts w:ascii="Helvetica" w:hAnsi="Helvetica"/>
      <w:caps/>
      <w:color w:val="A6A6A6" w:themeColor="background1" w:themeShade="A6"/>
      <w:spacing w:val="28"/>
      <w:sz w:val="32"/>
      <w:szCs w:val="32"/>
    </w:rPr>
  </w:style>
  <w:style w:type="paragraph" w:customStyle="1" w:styleId="H2bold">
    <w:name w:val="H2bold"/>
    <w:basedOn w:val="H1"/>
    <w:qFormat/>
    <w:rsid w:val="003F7384"/>
    <w:pPr>
      <w:tabs>
        <w:tab w:val="clear" w:pos="9072"/>
      </w:tabs>
      <w:spacing w:after="60"/>
    </w:pPr>
    <w:rPr>
      <w:b/>
      <w:bCs/>
      <w:caps w:val="0"/>
      <w:color w:val="000000" w:themeColor="text1" w:themeShade="A6"/>
      <w:spacing w:val="0"/>
      <w:sz w:val="26"/>
      <w:szCs w:val="26"/>
    </w:rPr>
  </w:style>
  <w:style w:type="paragraph" w:customStyle="1" w:styleId="TOCbold">
    <w:name w:val="TOC bold"/>
    <w:basedOn w:val="TOCnormal"/>
    <w:qFormat/>
    <w:rsid w:val="007C16B3"/>
    <w:pPr>
      <w:spacing w:before="200" w:after="120"/>
    </w:pPr>
    <w:rPr>
      <w:rFonts w:ascii="Helvetica" w:hAnsi="Helvetica"/>
      <w:b/>
      <w:color w:val="000000" w:themeColor="text1"/>
    </w:rPr>
  </w:style>
  <w:style w:type="paragraph" w:customStyle="1" w:styleId="TOClist">
    <w:name w:val="TOC list"/>
    <w:basedOn w:val="TOCnormal"/>
    <w:qFormat/>
    <w:rsid w:val="00B35B07"/>
    <w:pPr>
      <w:spacing w:after="20" w:line="360" w:lineRule="auto"/>
    </w:pPr>
  </w:style>
  <w:style w:type="numbering" w:customStyle="1" w:styleId="Bullet1">
    <w:name w:val="Bullet1"/>
    <w:basedOn w:val="NoList"/>
    <w:uiPriority w:val="99"/>
    <w:rsid w:val="004D08DA"/>
    <w:pPr>
      <w:numPr>
        <w:numId w:val="1"/>
      </w:numPr>
    </w:pPr>
  </w:style>
  <w:style w:type="character" w:styleId="Hyperlink">
    <w:name w:val="Hyperlink"/>
    <w:basedOn w:val="DefaultParagraphFont"/>
    <w:uiPriority w:val="99"/>
    <w:unhideWhenUsed/>
    <w:rsid w:val="000C5D22"/>
    <w:rPr>
      <w:color w:val="0000FF" w:themeColor="hyperlink"/>
      <w:u w:val="single"/>
    </w:rPr>
  </w:style>
  <w:style w:type="paragraph" w:customStyle="1" w:styleId="BulletPSPF">
    <w:name w:val="BulletPSPF"/>
    <w:basedOn w:val="Normal"/>
    <w:qFormat/>
    <w:rsid w:val="004B6E6B"/>
    <w:pPr>
      <w:numPr>
        <w:numId w:val="2"/>
      </w:numPr>
      <w:spacing w:before="40" w:after="60"/>
    </w:pPr>
    <w:rPr>
      <w:rFonts w:cs="Times New Roman"/>
    </w:rPr>
  </w:style>
  <w:style w:type="paragraph" w:customStyle="1" w:styleId="NormalIt">
    <w:name w:val="Normal It"/>
    <w:basedOn w:val="Normal"/>
    <w:qFormat/>
    <w:rsid w:val="00A307ED"/>
    <w:rPr>
      <w:i/>
    </w:rPr>
  </w:style>
  <w:style w:type="paragraph" w:customStyle="1" w:styleId="H3">
    <w:name w:val="H3"/>
    <w:basedOn w:val="Normal"/>
    <w:qFormat/>
    <w:rsid w:val="00F013B0"/>
    <w:pPr>
      <w:spacing w:before="40"/>
    </w:pPr>
    <w:rPr>
      <w:b/>
    </w:rPr>
  </w:style>
  <w:style w:type="paragraph" w:styleId="BalloonText">
    <w:name w:val="Balloon Text"/>
    <w:basedOn w:val="Normal"/>
    <w:link w:val="BalloonTextChar"/>
    <w:uiPriority w:val="99"/>
    <w:semiHidden/>
    <w:unhideWhenUsed/>
    <w:rsid w:val="00CE1B5A"/>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1B5A"/>
    <w:rPr>
      <w:rFonts w:ascii="Lucida Grande" w:hAnsi="Lucida Grande" w:cs="Lucida Grande"/>
      <w:sz w:val="18"/>
      <w:szCs w:val="18"/>
    </w:rPr>
  </w:style>
  <w:style w:type="character" w:styleId="CommentReference">
    <w:name w:val="annotation reference"/>
    <w:basedOn w:val="DefaultParagraphFont"/>
    <w:uiPriority w:val="99"/>
    <w:semiHidden/>
    <w:rsid w:val="00DE122D"/>
    <w:rPr>
      <w:sz w:val="18"/>
    </w:rPr>
  </w:style>
  <w:style w:type="paragraph" w:styleId="CommentText">
    <w:name w:val="annotation text"/>
    <w:basedOn w:val="Normal"/>
    <w:link w:val="CommentTextChar"/>
    <w:uiPriority w:val="99"/>
    <w:semiHidden/>
    <w:rsid w:val="00DE122D"/>
    <w:pPr>
      <w:spacing w:before="0" w:after="0"/>
    </w:pPr>
    <w:rPr>
      <w:rFonts w:ascii="Times New Roman" w:eastAsia="Times New Roman" w:hAnsi="Times New Roman" w:cs="Times New Roman"/>
      <w:sz w:val="24"/>
    </w:rPr>
  </w:style>
  <w:style w:type="character" w:customStyle="1" w:styleId="CommentTextChar">
    <w:name w:val="Comment Text Char"/>
    <w:basedOn w:val="DefaultParagraphFont"/>
    <w:link w:val="CommentText"/>
    <w:uiPriority w:val="99"/>
    <w:semiHidden/>
    <w:rsid w:val="00DE122D"/>
    <w:rPr>
      <w:rFonts w:ascii="Times New Roman" w:eastAsia="Times New Roman" w:hAnsi="Times New Roman" w:cs="Times New Roman"/>
    </w:rPr>
  </w:style>
  <w:style w:type="paragraph" w:styleId="ListParagraph">
    <w:name w:val="List Paragraph"/>
    <w:basedOn w:val="Normal"/>
    <w:link w:val="ListParagraphChar"/>
    <w:uiPriority w:val="34"/>
    <w:qFormat/>
    <w:rsid w:val="00DE122D"/>
    <w:pPr>
      <w:spacing w:before="0" w:after="200" w:line="276" w:lineRule="auto"/>
      <w:ind w:left="720"/>
      <w:contextualSpacing/>
    </w:pPr>
    <w:rPr>
      <w:rFonts w:ascii="Calibri" w:eastAsia="Calibri" w:hAnsi="Calibri" w:cs="Times New Roman"/>
      <w:szCs w:val="22"/>
    </w:rPr>
  </w:style>
  <w:style w:type="character" w:customStyle="1" w:styleId="ListParagraphChar">
    <w:name w:val="List Paragraph Char"/>
    <w:basedOn w:val="DefaultParagraphFont"/>
    <w:link w:val="ListParagraph"/>
    <w:uiPriority w:val="34"/>
    <w:rsid w:val="00DE122D"/>
    <w:rPr>
      <w:rFonts w:ascii="Calibri" w:eastAsia="Calibri" w:hAnsi="Calibri" w:cs="Times New Roman"/>
      <w:sz w:val="22"/>
      <w:szCs w:val="22"/>
    </w:rPr>
  </w:style>
  <w:style w:type="character" w:customStyle="1" w:styleId="Heading1Char">
    <w:name w:val="Heading 1 Char"/>
    <w:basedOn w:val="DefaultParagraphFont"/>
    <w:link w:val="Heading1"/>
    <w:uiPriority w:val="9"/>
    <w:rsid w:val="00C91917"/>
    <w:rPr>
      <w:rFonts w:ascii="Calibri" w:eastAsia="Times New Roman" w:hAnsi="Calibri" w:cs="Times New Roman"/>
      <w:b/>
      <w:kern w:val="32"/>
      <w:sz w:val="32"/>
      <w:szCs w:val="32"/>
    </w:rPr>
  </w:style>
  <w:style w:type="character" w:customStyle="1" w:styleId="Bulletpoint2Char">
    <w:name w:val="Bullet point 2 Char"/>
    <w:basedOn w:val="DefaultParagraphFont"/>
    <w:rsid w:val="00C91917"/>
    <w:rPr>
      <w:sz w:val="22"/>
      <w:szCs w:val="22"/>
      <w:lang w:val="x-none" w:eastAsia="en-US"/>
    </w:rPr>
  </w:style>
  <w:style w:type="paragraph" w:customStyle="1" w:styleId="41outlinenumbered">
    <w:name w:val="4.1 outline numbered"/>
    <w:basedOn w:val="Normal"/>
    <w:rsid w:val="00C91917"/>
    <w:pPr>
      <w:numPr>
        <w:numId w:val="5"/>
      </w:numPr>
      <w:spacing w:before="120" w:after="120" w:line="288" w:lineRule="auto"/>
      <w:jc w:val="both"/>
    </w:pPr>
    <w:rPr>
      <w:rFonts w:eastAsia="Times" w:cs="Times New Roman"/>
      <w:szCs w:val="20"/>
      <w:lang w:eastAsia="en-AU"/>
    </w:rPr>
  </w:style>
  <w:style w:type="paragraph" w:customStyle="1" w:styleId="TableText">
    <w:name w:val="Table Text"/>
    <w:basedOn w:val="Normal"/>
    <w:link w:val="TableTextChar"/>
    <w:qFormat/>
    <w:rsid w:val="00C91917"/>
    <w:pPr>
      <w:numPr>
        <w:ilvl w:val="2"/>
      </w:numPr>
      <w:autoSpaceDE w:val="0"/>
      <w:autoSpaceDN w:val="0"/>
      <w:adjustRightInd w:val="0"/>
      <w:spacing w:after="60"/>
      <w:outlineLvl w:val="0"/>
    </w:pPr>
    <w:rPr>
      <w:rFonts w:ascii="Calibri" w:eastAsia="Times New Roman" w:hAnsi="Calibri" w:cs="Times New Roman"/>
      <w:szCs w:val="22"/>
      <w:lang w:eastAsia="en-AU" w:bidi="en-US"/>
    </w:rPr>
  </w:style>
  <w:style w:type="character" w:customStyle="1" w:styleId="TableTextChar">
    <w:name w:val="Table Text Char"/>
    <w:basedOn w:val="DefaultParagraphFont"/>
    <w:link w:val="TableText"/>
    <w:rsid w:val="00C91917"/>
    <w:rPr>
      <w:rFonts w:ascii="Calibri" w:eastAsia="Times New Roman" w:hAnsi="Calibri" w:cs="Times New Roman"/>
      <w:sz w:val="22"/>
      <w:szCs w:val="22"/>
      <w:lang w:eastAsia="en-AU" w:bidi="en-US"/>
    </w:rPr>
  </w:style>
  <w:style w:type="paragraph" w:customStyle="1" w:styleId="Table1">
    <w:name w:val="Table 1"/>
    <w:basedOn w:val="TableText"/>
    <w:link w:val="Table1Char"/>
    <w:qFormat/>
    <w:rsid w:val="00C91917"/>
    <w:pPr>
      <w:keepNext/>
      <w:framePr w:hSpace="180" w:wrap="around" w:vAnchor="page" w:hAnchor="margin" w:y="9613"/>
    </w:pPr>
    <w:rPr>
      <w:bCs/>
      <w:kern w:val="32"/>
      <w:lang w:val="en"/>
    </w:rPr>
  </w:style>
  <w:style w:type="character" w:customStyle="1" w:styleId="Table1Char">
    <w:name w:val="Table 1 Char"/>
    <w:basedOn w:val="TableTextChar"/>
    <w:link w:val="Table1"/>
    <w:rsid w:val="00C91917"/>
    <w:rPr>
      <w:rFonts w:ascii="Calibri" w:eastAsia="Times New Roman" w:hAnsi="Calibri" w:cs="Times New Roman"/>
      <w:bCs/>
      <w:kern w:val="32"/>
      <w:sz w:val="22"/>
      <w:szCs w:val="22"/>
      <w:lang w:val="en" w:eastAsia="en-AU" w:bidi="en-US"/>
    </w:rPr>
  </w:style>
  <w:style w:type="paragraph" w:customStyle="1" w:styleId="Tabledot1">
    <w:name w:val="Table dot 1"/>
    <w:basedOn w:val="TableText"/>
    <w:link w:val="Tabledot1Char"/>
    <w:qFormat/>
    <w:rsid w:val="00C91917"/>
    <w:pPr>
      <w:numPr>
        <w:ilvl w:val="0"/>
        <w:numId w:val="6"/>
      </w:numPr>
    </w:pPr>
    <w:rPr>
      <w:bCs/>
      <w:kern w:val="32"/>
      <w:lang w:val="en"/>
    </w:rPr>
  </w:style>
  <w:style w:type="character" w:customStyle="1" w:styleId="Tabledot1Char">
    <w:name w:val="Table dot 1 Char"/>
    <w:basedOn w:val="TableTextChar"/>
    <w:link w:val="Tabledot1"/>
    <w:rsid w:val="00C91917"/>
    <w:rPr>
      <w:rFonts w:ascii="Calibri" w:eastAsia="Times New Roman" w:hAnsi="Calibri" w:cs="Times New Roman"/>
      <w:bCs/>
      <w:kern w:val="32"/>
      <w:sz w:val="22"/>
      <w:szCs w:val="22"/>
      <w:lang w:val="en" w:eastAsia="en-AU" w:bidi="en-US"/>
    </w:rPr>
  </w:style>
  <w:style w:type="paragraph" w:customStyle="1" w:styleId="Default">
    <w:name w:val="Default"/>
    <w:rsid w:val="001351D9"/>
    <w:pPr>
      <w:autoSpaceDE w:val="0"/>
      <w:autoSpaceDN w:val="0"/>
      <w:adjustRightInd w:val="0"/>
    </w:pPr>
    <w:rPr>
      <w:rFonts w:ascii="Calibri" w:eastAsia="Times New Roman" w:hAnsi="Calibri" w:cs="Calibri"/>
      <w:color w:val="000000"/>
      <w:lang w:eastAsia="en-AU"/>
    </w:rPr>
  </w:style>
  <w:style w:type="paragraph" w:customStyle="1" w:styleId="Tablebullet">
    <w:name w:val="Table bullet"/>
    <w:basedOn w:val="ListParagraph"/>
    <w:link w:val="TablebulletChar"/>
    <w:qFormat/>
    <w:rsid w:val="00783DC8"/>
    <w:pPr>
      <w:numPr>
        <w:numId w:val="7"/>
      </w:numPr>
      <w:tabs>
        <w:tab w:val="left" w:pos="284"/>
      </w:tabs>
      <w:autoSpaceDE w:val="0"/>
      <w:autoSpaceDN w:val="0"/>
      <w:adjustRightInd w:val="0"/>
      <w:spacing w:before="60" w:after="60" w:line="240" w:lineRule="auto"/>
      <w:ind w:left="284" w:hanging="284"/>
      <w:contextualSpacing w:val="0"/>
    </w:pPr>
    <w:rPr>
      <w:rFonts w:eastAsia="Times New Roman" w:cs="TheSansLight-Plain"/>
      <w:bCs/>
      <w:sz w:val="20"/>
      <w:szCs w:val="20"/>
      <w:lang w:bidi="en-US"/>
    </w:rPr>
  </w:style>
  <w:style w:type="paragraph" w:customStyle="1" w:styleId="Tablebullet2">
    <w:name w:val="Table bullet 2"/>
    <w:basedOn w:val="ListParagraph"/>
    <w:link w:val="Tablebullet2Char"/>
    <w:qFormat/>
    <w:rsid w:val="00783DC8"/>
    <w:pPr>
      <w:numPr>
        <w:numId w:val="8"/>
      </w:numPr>
      <w:autoSpaceDE w:val="0"/>
      <w:autoSpaceDN w:val="0"/>
      <w:adjustRightInd w:val="0"/>
      <w:spacing w:before="60" w:after="60" w:line="240" w:lineRule="auto"/>
      <w:ind w:left="568" w:hanging="284"/>
      <w:contextualSpacing w:val="0"/>
    </w:pPr>
    <w:rPr>
      <w:rFonts w:eastAsia="Times New Roman" w:cs="TheSansLight-Plain"/>
      <w:bCs/>
      <w:sz w:val="20"/>
      <w:szCs w:val="20"/>
      <w:lang w:bidi="en-US"/>
    </w:rPr>
  </w:style>
  <w:style w:type="character" w:customStyle="1" w:styleId="TablebulletChar">
    <w:name w:val="Table bullet Char"/>
    <w:basedOn w:val="ListParagraphChar"/>
    <w:link w:val="Tablebullet"/>
    <w:rsid w:val="00783DC8"/>
    <w:rPr>
      <w:rFonts w:ascii="Calibri" w:eastAsia="Times New Roman" w:hAnsi="Calibri" w:cs="TheSansLight-Plain"/>
      <w:bCs/>
      <w:sz w:val="20"/>
      <w:szCs w:val="20"/>
      <w:lang w:bidi="en-US"/>
    </w:rPr>
  </w:style>
  <w:style w:type="character" w:customStyle="1" w:styleId="Tablebullet2Char">
    <w:name w:val="Table bullet 2 Char"/>
    <w:basedOn w:val="ListParagraphChar"/>
    <w:link w:val="Tablebullet2"/>
    <w:rsid w:val="00783DC8"/>
    <w:rPr>
      <w:rFonts w:ascii="Calibri" w:eastAsia="Times New Roman" w:hAnsi="Calibri" w:cs="TheSansLight-Plain"/>
      <w:bCs/>
      <w:sz w:val="20"/>
      <w:szCs w:val="20"/>
      <w:lang w:bidi="en-US"/>
    </w:rPr>
  </w:style>
  <w:style w:type="character" w:customStyle="1" w:styleId="Heading4Char">
    <w:name w:val="Heading 4 Char"/>
    <w:basedOn w:val="DefaultParagraphFont"/>
    <w:link w:val="Heading4"/>
    <w:uiPriority w:val="9"/>
    <w:semiHidden/>
    <w:rsid w:val="00783DC8"/>
    <w:rPr>
      <w:rFonts w:asciiTheme="majorHAnsi" w:eastAsiaTheme="majorEastAsia" w:hAnsiTheme="majorHAnsi" w:cstheme="majorBidi"/>
      <w:b/>
      <w:bCs/>
      <w:i/>
      <w:iCs/>
      <w:color w:val="4F81BD" w:themeColor="accent1"/>
      <w:sz w:val="22"/>
    </w:rPr>
  </w:style>
  <w:style w:type="paragraph" w:styleId="Revision">
    <w:name w:val="Revision"/>
    <w:hidden/>
    <w:uiPriority w:val="99"/>
    <w:semiHidden/>
    <w:rsid w:val="008B5A2D"/>
    <w:rPr>
      <w:rFonts w:ascii="Arial" w:hAnsi="Arial"/>
      <w:sz w:val="22"/>
    </w:rPr>
  </w:style>
  <w:style w:type="paragraph" w:styleId="CommentSubject">
    <w:name w:val="annotation subject"/>
    <w:basedOn w:val="CommentText"/>
    <w:next w:val="CommentText"/>
    <w:link w:val="CommentSubjectChar"/>
    <w:uiPriority w:val="99"/>
    <w:semiHidden/>
    <w:unhideWhenUsed/>
    <w:rsid w:val="0039399D"/>
    <w:pPr>
      <w:spacing w:before="60" w:after="100"/>
    </w:pPr>
    <w:rPr>
      <w:rFonts w:ascii="Arial" w:eastAsiaTheme="minorEastAsia" w:hAnsi="Arial" w:cstheme="minorBidi"/>
      <w:b/>
      <w:bCs/>
      <w:sz w:val="20"/>
      <w:szCs w:val="20"/>
    </w:rPr>
  </w:style>
  <w:style w:type="character" w:customStyle="1" w:styleId="CommentSubjectChar">
    <w:name w:val="Comment Subject Char"/>
    <w:basedOn w:val="CommentTextChar"/>
    <w:link w:val="CommentSubject"/>
    <w:uiPriority w:val="99"/>
    <w:semiHidden/>
    <w:rsid w:val="0039399D"/>
    <w:rPr>
      <w:rFonts w:ascii="Arial" w:eastAsia="Times New Roman" w:hAnsi="Arial" w:cs="Times New Roman"/>
      <w:b/>
      <w:bCs/>
      <w:sz w:val="20"/>
      <w:szCs w:val="20"/>
    </w:rPr>
  </w:style>
  <w:style w:type="paragraph" w:styleId="TOCHeading">
    <w:name w:val="TOC Heading"/>
    <w:basedOn w:val="Heading1"/>
    <w:next w:val="Normal"/>
    <w:uiPriority w:val="39"/>
    <w:unhideWhenUsed/>
    <w:qFormat/>
    <w:rsid w:val="006B5CCF"/>
    <w:pPr>
      <w:keepLines/>
      <w:pageBreakBefore w:val="0"/>
      <w:tabs>
        <w:tab w:val="clear" w:pos="9072"/>
      </w:tabs>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rPr>
  </w:style>
  <w:style w:type="paragraph" w:styleId="TOC1">
    <w:name w:val="toc 1"/>
    <w:basedOn w:val="Normal"/>
    <w:next w:val="Normal"/>
    <w:autoRedefine/>
    <w:uiPriority w:val="39"/>
    <w:unhideWhenUsed/>
    <w:rsid w:val="006B5CCF"/>
    <w:pPr>
      <w:tabs>
        <w:tab w:val="clear" w:pos="9072"/>
      </w:tabs>
      <w:spacing w:before="120" w:after="0"/>
    </w:pPr>
    <w:rPr>
      <w:rFonts w:asciiTheme="majorHAnsi" w:hAnsiTheme="majorHAnsi"/>
      <w:b/>
      <w:color w:val="548DD4"/>
      <w:sz w:val="24"/>
    </w:rPr>
  </w:style>
  <w:style w:type="paragraph" w:styleId="TOC2">
    <w:name w:val="toc 2"/>
    <w:basedOn w:val="Normal"/>
    <w:next w:val="Normal"/>
    <w:autoRedefine/>
    <w:uiPriority w:val="39"/>
    <w:semiHidden/>
    <w:unhideWhenUsed/>
    <w:rsid w:val="006B5CCF"/>
    <w:pPr>
      <w:tabs>
        <w:tab w:val="clear" w:pos="9072"/>
      </w:tabs>
      <w:spacing w:before="0" w:after="0"/>
    </w:pPr>
    <w:rPr>
      <w:rFonts w:asciiTheme="minorHAnsi" w:hAnsiTheme="minorHAnsi"/>
      <w:szCs w:val="22"/>
    </w:rPr>
  </w:style>
  <w:style w:type="paragraph" w:styleId="TOC3">
    <w:name w:val="toc 3"/>
    <w:basedOn w:val="Normal"/>
    <w:next w:val="Normal"/>
    <w:autoRedefine/>
    <w:uiPriority w:val="39"/>
    <w:semiHidden/>
    <w:unhideWhenUsed/>
    <w:rsid w:val="006B5CCF"/>
    <w:pPr>
      <w:tabs>
        <w:tab w:val="clear" w:pos="9072"/>
      </w:tabs>
      <w:spacing w:before="0" w:after="0"/>
      <w:ind w:left="220"/>
    </w:pPr>
    <w:rPr>
      <w:rFonts w:asciiTheme="minorHAnsi" w:hAnsiTheme="minorHAnsi"/>
      <w:i/>
      <w:szCs w:val="22"/>
    </w:rPr>
  </w:style>
  <w:style w:type="paragraph" w:styleId="TOC4">
    <w:name w:val="toc 4"/>
    <w:basedOn w:val="Normal"/>
    <w:next w:val="Normal"/>
    <w:autoRedefine/>
    <w:uiPriority w:val="39"/>
    <w:semiHidden/>
    <w:unhideWhenUsed/>
    <w:rsid w:val="006B5CCF"/>
    <w:pPr>
      <w:pBdr>
        <w:between w:val="double" w:sz="6" w:space="0" w:color="auto"/>
      </w:pBdr>
      <w:tabs>
        <w:tab w:val="clear" w:pos="9072"/>
      </w:tabs>
      <w:spacing w:before="0" w:after="0"/>
      <w:ind w:left="440"/>
    </w:pPr>
    <w:rPr>
      <w:rFonts w:asciiTheme="minorHAnsi" w:hAnsiTheme="minorHAnsi"/>
      <w:sz w:val="20"/>
      <w:szCs w:val="20"/>
    </w:rPr>
  </w:style>
  <w:style w:type="paragraph" w:styleId="TOC5">
    <w:name w:val="toc 5"/>
    <w:basedOn w:val="Normal"/>
    <w:next w:val="Normal"/>
    <w:autoRedefine/>
    <w:uiPriority w:val="39"/>
    <w:semiHidden/>
    <w:unhideWhenUsed/>
    <w:rsid w:val="006B5CCF"/>
    <w:pPr>
      <w:pBdr>
        <w:between w:val="double" w:sz="6" w:space="0" w:color="auto"/>
      </w:pBdr>
      <w:tabs>
        <w:tab w:val="clear" w:pos="9072"/>
      </w:tabs>
      <w:spacing w:before="0" w:after="0"/>
      <w:ind w:left="660"/>
    </w:pPr>
    <w:rPr>
      <w:rFonts w:asciiTheme="minorHAnsi" w:hAnsiTheme="minorHAnsi"/>
      <w:sz w:val="20"/>
      <w:szCs w:val="20"/>
    </w:rPr>
  </w:style>
  <w:style w:type="paragraph" w:styleId="TOC6">
    <w:name w:val="toc 6"/>
    <w:basedOn w:val="Normal"/>
    <w:next w:val="Normal"/>
    <w:autoRedefine/>
    <w:uiPriority w:val="39"/>
    <w:semiHidden/>
    <w:unhideWhenUsed/>
    <w:rsid w:val="006B5CCF"/>
    <w:pPr>
      <w:pBdr>
        <w:between w:val="double" w:sz="6" w:space="0" w:color="auto"/>
      </w:pBdr>
      <w:tabs>
        <w:tab w:val="clear" w:pos="9072"/>
      </w:tabs>
      <w:spacing w:before="0" w:after="0"/>
      <w:ind w:left="880"/>
    </w:pPr>
    <w:rPr>
      <w:rFonts w:asciiTheme="minorHAnsi" w:hAnsiTheme="minorHAnsi"/>
      <w:sz w:val="20"/>
      <w:szCs w:val="20"/>
    </w:rPr>
  </w:style>
  <w:style w:type="paragraph" w:styleId="TOC7">
    <w:name w:val="toc 7"/>
    <w:basedOn w:val="Normal"/>
    <w:next w:val="Normal"/>
    <w:autoRedefine/>
    <w:uiPriority w:val="39"/>
    <w:semiHidden/>
    <w:unhideWhenUsed/>
    <w:rsid w:val="006B5CCF"/>
    <w:pPr>
      <w:pBdr>
        <w:between w:val="double" w:sz="6" w:space="0" w:color="auto"/>
      </w:pBdr>
      <w:tabs>
        <w:tab w:val="clear" w:pos="9072"/>
      </w:tabs>
      <w:spacing w:before="0" w:after="0"/>
      <w:ind w:left="1100"/>
    </w:pPr>
    <w:rPr>
      <w:rFonts w:asciiTheme="minorHAnsi" w:hAnsiTheme="minorHAnsi"/>
      <w:sz w:val="20"/>
      <w:szCs w:val="20"/>
    </w:rPr>
  </w:style>
  <w:style w:type="paragraph" w:styleId="TOC8">
    <w:name w:val="toc 8"/>
    <w:basedOn w:val="Normal"/>
    <w:next w:val="Normal"/>
    <w:autoRedefine/>
    <w:uiPriority w:val="39"/>
    <w:semiHidden/>
    <w:unhideWhenUsed/>
    <w:rsid w:val="006B5CCF"/>
    <w:pPr>
      <w:pBdr>
        <w:between w:val="double" w:sz="6" w:space="0" w:color="auto"/>
      </w:pBdr>
      <w:tabs>
        <w:tab w:val="clear" w:pos="9072"/>
      </w:tabs>
      <w:spacing w:before="0" w:after="0"/>
      <w:ind w:left="1320"/>
    </w:pPr>
    <w:rPr>
      <w:rFonts w:asciiTheme="minorHAnsi" w:hAnsiTheme="minorHAnsi"/>
      <w:sz w:val="20"/>
      <w:szCs w:val="20"/>
    </w:rPr>
  </w:style>
  <w:style w:type="paragraph" w:styleId="TOC9">
    <w:name w:val="toc 9"/>
    <w:basedOn w:val="Normal"/>
    <w:next w:val="Normal"/>
    <w:autoRedefine/>
    <w:uiPriority w:val="39"/>
    <w:semiHidden/>
    <w:unhideWhenUsed/>
    <w:rsid w:val="006B5CCF"/>
    <w:pPr>
      <w:pBdr>
        <w:between w:val="double" w:sz="6" w:space="0" w:color="auto"/>
      </w:pBdr>
      <w:tabs>
        <w:tab w:val="clear" w:pos="9072"/>
      </w:tabs>
      <w:spacing w:before="0" w:after="0"/>
      <w:ind w:left="1540"/>
    </w:pPr>
    <w:rPr>
      <w:rFonts w:asciiTheme="minorHAnsi" w:hAnsiTheme="minorHAnsi"/>
      <w:sz w:val="20"/>
      <w:szCs w:val="20"/>
    </w:rPr>
  </w:style>
  <w:style w:type="character" w:styleId="FollowedHyperlink">
    <w:name w:val="FollowedHyperlink"/>
    <w:basedOn w:val="DefaultParagraphFont"/>
    <w:uiPriority w:val="99"/>
    <w:semiHidden/>
    <w:unhideWhenUsed/>
    <w:rsid w:val="006238F5"/>
    <w:rPr>
      <w:color w:val="800080" w:themeColor="followedHyperlink"/>
      <w:u w:val="single"/>
    </w:rPr>
  </w:style>
  <w:style w:type="paragraph" w:styleId="FootnoteText">
    <w:name w:val="footnote text"/>
    <w:basedOn w:val="Normal"/>
    <w:link w:val="FootnoteTextChar"/>
    <w:uiPriority w:val="99"/>
    <w:semiHidden/>
    <w:unhideWhenUsed/>
    <w:rsid w:val="00A00066"/>
    <w:pPr>
      <w:tabs>
        <w:tab w:val="clear" w:pos="9072"/>
      </w:tabs>
      <w:spacing w:before="0" w:after="200" w:line="276"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A00066"/>
    <w:rPr>
      <w:rFonts w:ascii="Calibri" w:eastAsia="Calibri" w:hAnsi="Calibri" w:cs="Times New Roman"/>
      <w:sz w:val="20"/>
      <w:szCs w:val="20"/>
      <w:lang w:val="x-none" w:eastAsia="x-none"/>
    </w:rPr>
  </w:style>
  <w:style w:type="character" w:styleId="FootnoteReference">
    <w:name w:val="footnote reference"/>
    <w:semiHidden/>
    <w:rsid w:val="00A00066"/>
    <w:rPr>
      <w:vertAlign w:val="superscript"/>
    </w:rPr>
  </w:style>
  <w:style w:type="character" w:customStyle="1" w:styleId="Heading2Char">
    <w:name w:val="Heading 2 Char"/>
    <w:basedOn w:val="DefaultParagraphFont"/>
    <w:link w:val="Heading2"/>
    <w:uiPriority w:val="9"/>
    <w:rsid w:val="00A00066"/>
    <w:rPr>
      <w:rFonts w:ascii="Cambria" w:eastAsia="Times New Roman" w:hAnsi="Cambria" w:cs="Times New Roman"/>
      <w:b/>
      <w:bCs/>
      <w:i/>
      <w:iCs/>
      <w:sz w:val="28"/>
      <w:szCs w:val="28"/>
      <w:lang w:val="x-none"/>
    </w:rPr>
  </w:style>
  <w:style w:type="paragraph" w:customStyle="1" w:styleId="Paragraph">
    <w:name w:val="Paragraph"/>
    <w:basedOn w:val="Normal"/>
    <w:link w:val="ParagraphChar"/>
    <w:uiPriority w:val="99"/>
    <w:rsid w:val="00A00066"/>
    <w:pPr>
      <w:numPr>
        <w:ilvl w:val="12"/>
      </w:numPr>
      <w:tabs>
        <w:tab w:val="clear" w:pos="9072"/>
      </w:tabs>
      <w:spacing w:before="240" w:after="0"/>
    </w:pPr>
    <w:rPr>
      <w:rFonts w:ascii="Times New Roman" w:eastAsia="Times New Roman" w:hAnsi="Times New Roman" w:cs="Times New Roman"/>
      <w:sz w:val="24"/>
      <w:szCs w:val="20"/>
      <w:lang w:val="x-none" w:eastAsia="x-none"/>
    </w:rPr>
  </w:style>
  <w:style w:type="character" w:customStyle="1" w:styleId="ParagraphChar">
    <w:name w:val="Paragraph Char"/>
    <w:link w:val="Paragraph"/>
    <w:uiPriority w:val="99"/>
    <w:rsid w:val="00A00066"/>
    <w:rPr>
      <w:rFonts w:ascii="Times New Roman" w:eastAsia="Times New Roman" w:hAnsi="Times New Roman"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5411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yperlink" Target="http://esa.act.gov.au/actfr/community-fire-units/" TargetMode="External"/><Relationship Id="rId3" Type="http://schemas.openxmlformats.org/officeDocument/2006/relationships/customXml" Target="../customXml/item3.xml"/><Relationship Id="rId21" Type="http://schemas.openxmlformats.org/officeDocument/2006/relationships/hyperlink" Target="http://esa.act.gov.au/community-information/livingontheedge/"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esa.act.gov.au/community-information/bushfires/"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esa.act.gov.au/community-information/storms-and-floods/"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esa.act.gov.au/" TargetMode="External"/><Relationship Id="rId28"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esa.act.gov.au/community-information/livingontheedge/" TargetMode="External"/><Relationship Id="rId27" Type="http://schemas.openxmlformats.org/officeDocument/2006/relationships/hyperlink" Target="http://www.communityservices.act.gov.au/wac/community_reco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2.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6" ma:contentTypeDescription="" ma:contentTypeScope="" ma:versionID="62ccce76cdb607479054b4b9d5eb4125">
  <xsd:schema xmlns:xsd="http://www.w3.org/2001/XMLSchema" xmlns:xs="http://www.w3.org/2001/XMLSchema" xmlns:p="http://schemas.microsoft.com/office/2006/metadata/properties" xmlns:ns2="http://schemas.microsoft.com/sharepoint/v4" targetNamespace="http://schemas.microsoft.com/office/2006/metadata/properties" ma:root="true" ma:fieldsID="65ebb6cd10f8a82259486540d0a3c719"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7AB33-8BCF-4D66-ABEF-4B5FCE0F026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3FAEB85-1B8D-4B24-A901-6B8DF878D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F426C3-D08B-4444-9A98-0DA43B4AE420}">
  <ds:schemaRefs>
    <ds:schemaRef ds:uri="http://schemas.microsoft.com/sharepoint/events"/>
  </ds:schemaRefs>
</ds:datastoreItem>
</file>

<file path=customXml/itemProps4.xml><?xml version="1.0" encoding="utf-8"?>
<ds:datastoreItem xmlns:ds="http://schemas.openxmlformats.org/officeDocument/2006/customXml" ds:itemID="{9AB2C347-FB41-414D-B44B-7FB30EA157D6}">
  <ds:schemaRefs>
    <ds:schemaRef ds:uri="http://schemas.microsoft.com/office/2006/metadata/customXsn"/>
  </ds:schemaRefs>
</ds:datastoreItem>
</file>

<file path=customXml/itemProps5.xml><?xml version="1.0" encoding="utf-8"?>
<ds:datastoreItem xmlns:ds="http://schemas.openxmlformats.org/officeDocument/2006/customXml" ds:itemID="{EE199803-976B-498D-AB78-7EEC85A1E77B}">
  <ds:schemaRefs>
    <ds:schemaRef ds:uri="http://schemas.microsoft.com/sharepoint/v3/contenttype/forms"/>
  </ds:schemaRefs>
</ds:datastoreItem>
</file>

<file path=customXml/itemProps6.xml><?xml version="1.0" encoding="utf-8"?>
<ds:datastoreItem xmlns:ds="http://schemas.openxmlformats.org/officeDocument/2006/customXml" ds:itemID="{2DA8555F-CB97-44DE-862B-116274C678FD}">
  <ds:schemaRefs>
    <ds:schemaRef ds:uri="http://schemas.openxmlformats.org/package/2006/metadata/core-properties"/>
    <ds:schemaRef ds:uri="http://purl.org/dc/terms/"/>
    <ds:schemaRef ds:uri="http://schemas.microsoft.com/sharepoint/v4"/>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s>
</ds:datastoreItem>
</file>

<file path=customXml/itemProps7.xml><?xml version="1.0" encoding="utf-8"?>
<ds:datastoreItem xmlns:ds="http://schemas.openxmlformats.org/officeDocument/2006/customXml" ds:itemID="{C545D655-7FED-42C0-AC0D-86D8EAD06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2984</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Submission 94 - ACT Government - Natural Disaster Funding - Public inquiry</vt:lpstr>
    </vt:vector>
  </TitlesOfParts>
  <Company>ACT Government</Company>
  <LinksUpToDate>false</LinksUpToDate>
  <CharactersWithSpaces>19960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94 - ACT Government - Natural Disaster Funding - Public inquiry</dc:title>
  <dc:creator>ACT Government</dc:creator>
  <cp:lastModifiedBy>Productivity Commission</cp:lastModifiedBy>
  <cp:revision>5</cp:revision>
  <cp:lastPrinted>2014-06-11T06:56:00Z</cp:lastPrinted>
  <dcterms:created xsi:type="dcterms:W3CDTF">2014-06-13T00:59:00Z</dcterms:created>
  <dcterms:modified xsi:type="dcterms:W3CDTF">2014-06-20T04:12:00Z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f9731ceb-b0a7-46fe-a064-65a6d28de90a</vt:lpwstr>
  </property>
  <property fmtid="{D5CDD505-2E9C-101B-9397-08002B2CF9AE}" pid="3" name="bjSaver">
    <vt:lpwstr>4lqDO8oRjLEBoXwCBLnkugEXCjYUjlyf</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uid="7c13fe2d-c7c1-4f6c-bb3a-8f72249e7201" value="" /&gt;&lt;/sisl&gt;</vt:lpwstr>
  </property>
  <property fmtid="{D5CDD505-2E9C-101B-9397-08002B2CF9AE}" pid="6" name="bjDocumentSecurityLabel">
    <vt:lpwstr>UNCLASSIFIED</vt:lpwstr>
  </property>
  <property fmtid="{D5CDD505-2E9C-101B-9397-08002B2CF9AE}" pid="7" name="bjFooterBothDocProperty">
    <vt:lpwstr>_x000d_
UNCLASSIFIED </vt:lpwstr>
  </property>
  <property fmtid="{D5CDD505-2E9C-101B-9397-08002B2CF9AE}" pid="8" name="bjFooterFirstPageDocProperty">
    <vt:lpwstr>_x000d_
UNCLASSIFIED </vt:lpwstr>
  </property>
  <property fmtid="{D5CDD505-2E9C-101B-9397-08002B2CF9AE}" pid="9" name="bjFooterEvenPageDocProperty">
    <vt:lpwstr>_x000d_
UNCLASSIFIED </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ContentTypeId">
    <vt:lpwstr>0x01010066EDC8E18BFE9C418F00295EA55D44EA0015EE9FD84A134F42A8E78176E2093D4400FA055CF3113ACE489CC83C69505D2DFE</vt:lpwstr>
  </property>
  <property fmtid="{D5CDD505-2E9C-101B-9397-08002B2CF9AE}" pid="14" name="Order">
    <vt:r8>16100</vt:r8>
  </property>
  <property fmtid="{D5CDD505-2E9C-101B-9397-08002B2CF9AE}" pid="15" name="RecordPoint_SubmissionDate">
    <vt:lpwstr/>
  </property>
  <property fmtid="{D5CDD505-2E9C-101B-9397-08002B2CF9AE}" pid="16" name="RecordPoint_RecordNumberSubmitted">
    <vt:lpwstr/>
  </property>
  <property fmtid="{D5CDD505-2E9C-101B-9397-08002B2CF9AE}" pid="17" name="RecordPoint_ActiveItemMoved">
    <vt:lpwstr/>
  </property>
  <property fmtid="{D5CDD505-2E9C-101B-9397-08002B2CF9AE}" pid="18" name="RecordPoint_RecordFormat">
    <vt:lpwstr/>
  </property>
  <property fmtid="{D5CDD505-2E9C-101B-9397-08002B2CF9AE}" pid="19" name="RecordPoint_SubmissionCompleted">
    <vt:lpwstr>2014-06-19T13:50:08.7890684+10:00</vt:lpwstr>
  </property>
  <property fmtid="{D5CDD505-2E9C-101B-9397-08002B2CF9AE}" pid="20" name="RecordPoint_ActiveItemUniqueId">
    <vt:lpwstr>{8e121aa2-2d17-4825-80fb-3f4cf21a5d67}</vt:lpwstr>
  </property>
  <property fmtid="{D5CDD505-2E9C-101B-9397-08002B2CF9AE}" pid="21" name="RecordPoint_ActiveItemWebId">
    <vt:lpwstr>{2159b2f9-a7b8-4f1e-afd4-3e549d486baf}</vt:lpwstr>
  </property>
  <property fmtid="{D5CDD505-2E9C-101B-9397-08002B2CF9AE}" pid="22" name="RecordPoint_WorkflowType">
    <vt:lpwstr>ActiveSubmitStub</vt:lpwstr>
  </property>
  <property fmtid="{D5CDD505-2E9C-101B-9397-08002B2CF9AE}" pid="23" name="RecordPoint_ActiveItemSiteId">
    <vt:lpwstr>{5750d626-0aa0-474c-a55f-8063909d4906}</vt:lpwstr>
  </property>
  <property fmtid="{D5CDD505-2E9C-101B-9397-08002B2CF9AE}" pid="24" name="RecordPoint_ActiveItemListId">
    <vt:lpwstr>{5ddcf88e-8444-4ec5-9e6b-ef3ebb4e4a49}</vt:lpwstr>
  </property>
</Properties>
</file>