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EBE2BCD" w14:textId="77777777" w:rsidR="00C42B52" w:rsidRDefault="00C42B52" w:rsidP="00C42B52">
      <w:pPr>
        <w:jc w:val="center"/>
      </w:pPr>
      <w:r>
        <w:rPr>
          <w:noProof/>
        </w:rPr>
        <w:drawing>
          <wp:inline distT="0" distB="0" distL="0" distR="0" wp14:anchorId="3C849FE7" wp14:editId="46F7343D">
            <wp:extent cx="3485515" cy="678815"/>
            <wp:effectExtent l="0" t="0" r="0" b="6985"/>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485515" cy="678815"/>
                    </a:xfrm>
                    <a:prstGeom prst="rect">
                      <a:avLst/>
                    </a:prstGeom>
                    <a:noFill/>
                    <a:ln>
                      <a:noFill/>
                    </a:ln>
                  </pic:spPr>
                </pic:pic>
              </a:graphicData>
            </a:graphic>
          </wp:inline>
        </w:drawing>
      </w:r>
    </w:p>
    <w:p w14:paraId="40A3307D" w14:textId="77777777" w:rsidR="00C42B52" w:rsidRPr="001537C6" w:rsidRDefault="00C42B52" w:rsidP="00C42B52">
      <w:pPr>
        <w:pStyle w:val="NoSpacing"/>
        <w:jc w:val="center"/>
        <w:rPr>
          <w:sz w:val="20"/>
          <w:szCs w:val="20"/>
        </w:rPr>
      </w:pPr>
      <w:r w:rsidRPr="001537C6">
        <w:rPr>
          <w:sz w:val="20"/>
          <w:szCs w:val="20"/>
        </w:rPr>
        <w:t>PO Box 332, Neutral Bay, NSW 2089</w:t>
      </w:r>
    </w:p>
    <w:p w14:paraId="4F87FD28" w14:textId="77777777" w:rsidR="00C42B52" w:rsidRPr="001537C6" w:rsidRDefault="00C42B52" w:rsidP="00C42B52">
      <w:pPr>
        <w:pStyle w:val="NoSpacing"/>
        <w:jc w:val="center"/>
        <w:rPr>
          <w:sz w:val="20"/>
          <w:szCs w:val="20"/>
        </w:rPr>
      </w:pPr>
      <w:r w:rsidRPr="001537C6">
        <w:rPr>
          <w:sz w:val="20"/>
          <w:szCs w:val="20"/>
        </w:rPr>
        <w:t>TEL 02 9904 0311    FAX 02 9908 2803</w:t>
      </w:r>
    </w:p>
    <w:p w14:paraId="2F07C7E4" w14:textId="77777777" w:rsidR="00C42B52" w:rsidRPr="001537C6" w:rsidRDefault="00C42B52" w:rsidP="00C42B52">
      <w:pPr>
        <w:pStyle w:val="NoSpacing"/>
        <w:jc w:val="center"/>
        <w:rPr>
          <w:sz w:val="20"/>
          <w:szCs w:val="20"/>
        </w:rPr>
      </w:pPr>
      <w:r w:rsidRPr="001537C6">
        <w:rPr>
          <w:sz w:val="20"/>
          <w:szCs w:val="20"/>
        </w:rPr>
        <w:t>EMAIL info@seachangetaskforce.org.au</w:t>
      </w:r>
    </w:p>
    <w:p w14:paraId="588C3FEE" w14:textId="77777777" w:rsidR="00C42B52" w:rsidRPr="001537C6" w:rsidRDefault="00C42B52" w:rsidP="00C42B52">
      <w:pPr>
        <w:pStyle w:val="NoSpacing"/>
        <w:jc w:val="center"/>
        <w:rPr>
          <w:spacing w:val="30"/>
          <w:sz w:val="18"/>
          <w:szCs w:val="18"/>
        </w:rPr>
      </w:pPr>
      <w:r w:rsidRPr="001537C6">
        <w:rPr>
          <w:spacing w:val="30"/>
          <w:sz w:val="18"/>
          <w:szCs w:val="18"/>
        </w:rPr>
        <w:t>ABN 75 137 814 307</w:t>
      </w:r>
    </w:p>
    <w:p w14:paraId="177D7FF4" w14:textId="77777777" w:rsidR="00C42B52" w:rsidRPr="00C37C39" w:rsidRDefault="00C42B52" w:rsidP="00C42B52">
      <w:pPr>
        <w:pStyle w:val="NoSpacing"/>
        <w:jc w:val="right"/>
      </w:pPr>
      <w:r>
        <w:t>14 October 2014</w:t>
      </w:r>
    </w:p>
    <w:p w14:paraId="44A27C19" w14:textId="77777777" w:rsidR="00C42B52" w:rsidRPr="00745553" w:rsidRDefault="00C42B52" w:rsidP="00C42B52">
      <w:pPr>
        <w:pStyle w:val="NoSpacing"/>
      </w:pPr>
      <w:r>
        <w:t xml:space="preserve">Natural Disaster Funding </w:t>
      </w:r>
      <w:r w:rsidRPr="00745553">
        <w:t>Inquiry</w:t>
      </w:r>
    </w:p>
    <w:p w14:paraId="287F975C" w14:textId="77777777" w:rsidR="00C42B52" w:rsidRPr="00C37C39" w:rsidRDefault="00C42B52" w:rsidP="00C42B52">
      <w:pPr>
        <w:pStyle w:val="NoSpacing"/>
      </w:pPr>
      <w:r w:rsidRPr="00C37C39">
        <w:t>Productivity Commission</w:t>
      </w:r>
    </w:p>
    <w:p w14:paraId="41DE7AD0" w14:textId="77777777" w:rsidR="00C42B52" w:rsidRDefault="00C42B52" w:rsidP="00C42B52">
      <w:pPr>
        <w:pStyle w:val="NoSpacing"/>
        <w:rPr>
          <w:lang w:val="en"/>
        </w:rPr>
      </w:pPr>
      <w:r w:rsidRPr="00C37C39">
        <w:rPr>
          <w:lang w:val="en"/>
        </w:rPr>
        <w:t xml:space="preserve">Locked Bag 2 </w:t>
      </w:r>
    </w:p>
    <w:p w14:paraId="0F1A67F7" w14:textId="77777777" w:rsidR="00C42B52" w:rsidRPr="00C37C39" w:rsidRDefault="00C42B52" w:rsidP="00C42B52">
      <w:pPr>
        <w:pStyle w:val="NoSpacing"/>
        <w:rPr>
          <w:lang w:val="en"/>
        </w:rPr>
      </w:pPr>
      <w:r w:rsidRPr="00C37C39">
        <w:rPr>
          <w:lang w:val="en"/>
        </w:rPr>
        <w:t>Collins St East</w:t>
      </w:r>
      <w:r w:rsidRPr="00C37C39">
        <w:rPr>
          <w:lang w:val="en"/>
        </w:rPr>
        <w:br/>
        <w:t>Melbourne VIC 8003</w:t>
      </w:r>
    </w:p>
    <w:p w14:paraId="03131F83" w14:textId="77777777" w:rsidR="00C42B52" w:rsidRDefault="00C42B52" w:rsidP="00C42B52"/>
    <w:p w14:paraId="0FACA196" w14:textId="77777777" w:rsidR="00C42B52" w:rsidRPr="001537C6" w:rsidRDefault="00C42B52" w:rsidP="00C42B52">
      <w:pPr>
        <w:rPr>
          <w:rFonts w:ascii="Calibri" w:hAnsi="Calibri"/>
        </w:rPr>
      </w:pPr>
      <w:r w:rsidRPr="001537C6">
        <w:rPr>
          <w:rFonts w:ascii="Calibri" w:hAnsi="Calibri"/>
        </w:rPr>
        <w:t>Dear Commissioners,</w:t>
      </w:r>
    </w:p>
    <w:p w14:paraId="6CBFA56C" w14:textId="77777777" w:rsidR="00C42B52" w:rsidRPr="00AE5137" w:rsidRDefault="00C42B52" w:rsidP="00C42B52">
      <w:pPr>
        <w:rPr>
          <w:rFonts w:ascii="Calibri" w:hAnsi="Calibri"/>
          <w:b/>
        </w:rPr>
      </w:pPr>
      <w:r w:rsidRPr="00AE5137">
        <w:rPr>
          <w:rFonts w:ascii="Calibri" w:hAnsi="Calibri"/>
          <w:b/>
        </w:rPr>
        <w:t>Re:  Draft report of Productivity Commission inquiry in Natural Disaster Funding</w:t>
      </w:r>
    </w:p>
    <w:p w14:paraId="0F3A1E58" w14:textId="77777777" w:rsidR="00C42B52" w:rsidRDefault="00C42B52" w:rsidP="00C42B52">
      <w:pPr>
        <w:pStyle w:val="NoSpacing"/>
      </w:pPr>
      <w:r w:rsidRPr="00C542B0">
        <w:t xml:space="preserve">This </w:t>
      </w:r>
      <w:r>
        <w:t xml:space="preserve">supplementary </w:t>
      </w:r>
      <w:r w:rsidRPr="00C542B0">
        <w:t>submission to the</w:t>
      </w:r>
      <w:r>
        <w:t xml:space="preserve"> Productivity Commission</w:t>
      </w:r>
      <w:r w:rsidRPr="00C542B0">
        <w:t xml:space="preserve"> inquiry into </w:t>
      </w:r>
      <w:r>
        <w:rPr>
          <w:i/>
        </w:rPr>
        <w:t xml:space="preserve">Natural Disaster Funding </w:t>
      </w:r>
      <w:r>
        <w:t xml:space="preserve">has been prepared </w:t>
      </w:r>
      <w:r w:rsidRPr="00C542B0">
        <w:t>by the National Sea Change Taskforce</w:t>
      </w:r>
      <w:r>
        <w:t xml:space="preserve"> Inc. (the Taskforce). </w:t>
      </w:r>
      <w:r w:rsidRPr="00C542B0">
        <w:t xml:space="preserve">The Taskforce </w:t>
      </w:r>
      <w:r>
        <w:t>welcomes the draft report of the Productivity Commission inquiry and welcomes the opportunity to provide this supplementary submission in relation to the draft.</w:t>
      </w:r>
    </w:p>
    <w:p w14:paraId="43AABE0E" w14:textId="77777777" w:rsidR="00C42B52" w:rsidRDefault="00C42B52" w:rsidP="00C42B52">
      <w:pPr>
        <w:pStyle w:val="NoSpacing"/>
      </w:pPr>
    </w:p>
    <w:p w14:paraId="0849FFBF" w14:textId="77777777" w:rsidR="00C42B52" w:rsidRDefault="00C42B52" w:rsidP="00C42B52">
      <w:pPr>
        <w:pStyle w:val="NoSpacing"/>
        <w:rPr>
          <w:b/>
        </w:rPr>
      </w:pPr>
      <w:r>
        <w:rPr>
          <w:b/>
        </w:rPr>
        <w:t>Institutional and governance arrangements</w:t>
      </w:r>
    </w:p>
    <w:p w14:paraId="19E50201" w14:textId="77777777" w:rsidR="00C42B52" w:rsidRPr="00AE5137" w:rsidRDefault="00C42B52" w:rsidP="00C42B52">
      <w:pPr>
        <w:pStyle w:val="NoSpacing"/>
      </w:pPr>
      <w:r>
        <w:t xml:space="preserve">The draft report recommends that </w:t>
      </w:r>
      <w:r>
        <w:rPr>
          <w:i/>
        </w:rPr>
        <w:t>‘increased mitigation</w:t>
      </w:r>
      <w:r w:rsidRPr="00705C0F">
        <w:rPr>
          <w:i/>
        </w:rPr>
        <w:t xml:space="preserve"> funding should be conditional on matched funding contributions from the states and territories and best-practice institutional and governance arrangements for identifying and selecting mitigation projects</w:t>
      </w:r>
      <w:r>
        <w:rPr>
          <w:i/>
        </w:rPr>
        <w:t>’.</w:t>
      </w:r>
      <w:r>
        <w:t xml:space="preserve"> The Taskforce contends that an essential element of such best-practice institutional and governance arrangements would be a more clearly defined decision-making framework which enables local government authorities to participate effectively in the process of identifying mitigation priorities.</w:t>
      </w:r>
    </w:p>
    <w:p w14:paraId="018A9C03" w14:textId="77777777" w:rsidR="00C42B52" w:rsidRDefault="00C42B52" w:rsidP="00C42B52">
      <w:pPr>
        <w:pStyle w:val="NoSpacing"/>
      </w:pPr>
    </w:p>
    <w:p w14:paraId="3D8FC2AE" w14:textId="77777777" w:rsidR="00C42B52" w:rsidRDefault="00C42B52" w:rsidP="00C42B52">
      <w:pPr>
        <w:pStyle w:val="NoSpacing"/>
      </w:pPr>
      <w:r>
        <w:t xml:space="preserve">As the draft report observes, there is a lack of consistency between the various jurisdictions in relation to mitigation and that </w:t>
      </w:r>
      <w:r w:rsidRPr="002C6AF8">
        <w:rPr>
          <w:i/>
        </w:rPr>
        <w:t>‘responsibility for mitigation often falls across multiple agencies and different levels of government’</w:t>
      </w:r>
      <w:r>
        <w:t xml:space="preserve"> (p.349) and further that </w:t>
      </w:r>
      <w:r w:rsidRPr="00294B7D">
        <w:rPr>
          <w:i/>
        </w:rPr>
        <w:t>‘these activities may not be identified explicitly as mitigation or funded through mitigation-specific funding programs.’</w:t>
      </w:r>
    </w:p>
    <w:p w14:paraId="4F2C71C4" w14:textId="77777777" w:rsidR="00C42B52" w:rsidRDefault="00C42B52" w:rsidP="00C42B52">
      <w:pPr>
        <w:pStyle w:val="NoSpacing"/>
      </w:pPr>
    </w:p>
    <w:p w14:paraId="7715485D" w14:textId="77777777" w:rsidR="00C42B52" w:rsidRDefault="00C42B52" w:rsidP="00C42B52">
      <w:pPr>
        <w:pStyle w:val="NoSpacing"/>
      </w:pPr>
      <w:r>
        <w:t>It is the view of the Taskforce that this Productivity Commission inquiry is an opportunity to recommend institutional and governance arrangements that would address this lack of consistency, and that it would be appropriate for the inquiry to make such a recommendation.</w:t>
      </w:r>
    </w:p>
    <w:p w14:paraId="068601AA" w14:textId="77777777" w:rsidR="00C42B52" w:rsidRDefault="00C42B52" w:rsidP="00C42B52">
      <w:pPr>
        <w:pStyle w:val="NoSpacing"/>
      </w:pPr>
    </w:p>
    <w:p w14:paraId="5DFA7D32" w14:textId="77777777" w:rsidR="00C42B52" w:rsidRDefault="00C42B52" w:rsidP="00C42B52">
      <w:pPr>
        <w:pStyle w:val="NoSpacing"/>
      </w:pPr>
      <w:r>
        <w:t>Accordingly, the Taskforce proposes a recommendation that t</w:t>
      </w:r>
      <w:r w:rsidRPr="00EA1B64">
        <w:t xml:space="preserve">he </w:t>
      </w:r>
      <w:r>
        <w:t xml:space="preserve">Australian Government </w:t>
      </w:r>
      <w:r w:rsidRPr="00EA1B64">
        <w:t>play a</w:t>
      </w:r>
      <w:r>
        <w:t xml:space="preserve"> leadership role in developing a </w:t>
      </w:r>
      <w:r w:rsidRPr="00EA1B64">
        <w:t xml:space="preserve">coordinated national approach to </w:t>
      </w:r>
      <w:r>
        <w:t xml:space="preserve">natural disaster mitigation, resilience and recovery by adopting </w:t>
      </w:r>
      <w:r w:rsidRPr="00EA1B64">
        <w:t>the following policy ini</w:t>
      </w:r>
      <w:r>
        <w:t>tiatives</w:t>
      </w:r>
      <w:r w:rsidRPr="00EA1B64">
        <w:t>:</w:t>
      </w:r>
    </w:p>
    <w:p w14:paraId="6DA1C7F8" w14:textId="77777777" w:rsidR="00C42B52" w:rsidRPr="00EA1B64" w:rsidRDefault="00C42B52" w:rsidP="00C42B52">
      <w:pPr>
        <w:pStyle w:val="NoSpacing"/>
        <w:numPr>
          <w:ilvl w:val="0"/>
          <w:numId w:val="2"/>
        </w:numPr>
      </w:pPr>
      <w:r>
        <w:t xml:space="preserve">A collaborative national approach to natural disaster funding, involving all three tiers of government, </w:t>
      </w:r>
      <w:r w:rsidRPr="00EA1B64">
        <w:t xml:space="preserve">through the COAG </w:t>
      </w:r>
      <w:r w:rsidRPr="00EA1B64">
        <w:rPr>
          <w:rFonts w:cs="Verdana"/>
          <w:color w:val="151515"/>
          <w:lang w:val="en-US"/>
        </w:rPr>
        <w:t>Law, Crime and Community Safety Council</w:t>
      </w:r>
      <w:r>
        <w:rPr>
          <w:rFonts w:cs="Verdana"/>
          <w:color w:val="151515"/>
          <w:lang w:val="en-US"/>
        </w:rPr>
        <w:t xml:space="preserve"> or a relevant Ministerial council</w:t>
      </w:r>
      <w:r>
        <w:t>;</w:t>
      </w:r>
    </w:p>
    <w:p w14:paraId="72816901" w14:textId="77777777" w:rsidR="00C42B52" w:rsidRPr="00EA1B64" w:rsidRDefault="00C42B52" w:rsidP="00C42B52">
      <w:pPr>
        <w:pStyle w:val="NoSpacing"/>
        <w:numPr>
          <w:ilvl w:val="0"/>
          <w:numId w:val="2"/>
        </w:numPr>
      </w:pPr>
      <w:r w:rsidRPr="00EA1B64">
        <w:t>An intergovernmental agreement defining the roles and responsibilities of each tier of government in relation to</w:t>
      </w:r>
      <w:r>
        <w:t xml:space="preserve"> natural disaster planning and funding.</w:t>
      </w:r>
    </w:p>
    <w:p w14:paraId="69A64B90" w14:textId="77777777" w:rsidR="00C42B52" w:rsidRDefault="00C42B52" w:rsidP="00C42B52">
      <w:pPr>
        <w:pStyle w:val="NoSpacing"/>
      </w:pPr>
    </w:p>
    <w:p w14:paraId="2BADCB6D" w14:textId="77777777" w:rsidR="00C42B52" w:rsidRDefault="00C42B52" w:rsidP="00C42B52">
      <w:pPr>
        <w:pStyle w:val="NoSpacing"/>
      </w:pPr>
      <w:r>
        <w:t xml:space="preserve">Such a national decision-making framework would address a deficiency identified in the 2013 Productivity Commission inquiry into </w:t>
      </w:r>
      <w:r w:rsidRPr="00BD6DDE">
        <w:rPr>
          <w:i/>
        </w:rPr>
        <w:t>barriers to effective climate change adaptation</w:t>
      </w:r>
      <w:r>
        <w:t xml:space="preserve"> which </w:t>
      </w:r>
      <w:r>
        <w:rPr>
          <w:lang w:eastAsia="en-AU"/>
        </w:rPr>
        <w:t>stated</w:t>
      </w:r>
      <w:r w:rsidRPr="009C6AAC">
        <w:rPr>
          <w:lang w:eastAsia="en-AU"/>
        </w:rPr>
        <w:t xml:space="preserve">: </w:t>
      </w:r>
      <w:r w:rsidRPr="008D1E8E">
        <w:rPr>
          <w:i/>
          <w:lang w:eastAsia="en-AU"/>
        </w:rPr>
        <w:t>‘Recent reviews have found that inadequate definition of roles and responsibilities contributed to shortcomings in emergency management that affected the community’s response to natural disasters.’</w:t>
      </w:r>
    </w:p>
    <w:p w14:paraId="4561CE98" w14:textId="77777777" w:rsidR="00C42B52" w:rsidRDefault="00C42B52" w:rsidP="00C42B52">
      <w:pPr>
        <w:pStyle w:val="NoSpacing"/>
      </w:pPr>
      <w:r>
        <w:t xml:space="preserve"> </w:t>
      </w:r>
    </w:p>
    <w:p w14:paraId="543F6752" w14:textId="77777777" w:rsidR="00C42B52" w:rsidRDefault="00C42B52" w:rsidP="00C42B52">
      <w:pPr>
        <w:pStyle w:val="NoSpacing"/>
        <w:rPr>
          <w:b/>
        </w:rPr>
      </w:pPr>
      <w:r w:rsidRPr="00BD6DDE">
        <w:rPr>
          <w:b/>
        </w:rPr>
        <w:t>Increased focus on mitigation</w:t>
      </w:r>
    </w:p>
    <w:p w14:paraId="1F6BA748" w14:textId="77777777" w:rsidR="00C42B52" w:rsidRDefault="00C42B52" w:rsidP="00C42B52">
      <w:pPr>
        <w:pStyle w:val="NoSpacing"/>
      </w:pPr>
      <w:r>
        <w:t xml:space="preserve">The draft report observes that </w:t>
      </w:r>
      <w:r w:rsidRPr="00705C0F">
        <w:rPr>
          <w:i/>
        </w:rPr>
        <w:t>‘Governments generally overinvest in post-disaster reconstruction, and underinvest in mitigation that would limit the impact of natur</w:t>
      </w:r>
      <w:r>
        <w:rPr>
          <w:i/>
        </w:rPr>
        <w:t>al disasters in the first place</w:t>
      </w:r>
      <w:r w:rsidRPr="00705C0F">
        <w:rPr>
          <w:i/>
        </w:rPr>
        <w:t>.’</w:t>
      </w:r>
      <w:r>
        <w:t xml:space="preserve"> </w:t>
      </w:r>
    </w:p>
    <w:p w14:paraId="7FFD3D9C" w14:textId="77777777" w:rsidR="00C42B52" w:rsidRDefault="00C42B52" w:rsidP="00C42B52">
      <w:pPr>
        <w:pStyle w:val="NoSpacing"/>
      </w:pPr>
    </w:p>
    <w:p w14:paraId="31317C50" w14:textId="77777777" w:rsidR="00C42B52" w:rsidRPr="001537C6" w:rsidRDefault="00C42B52" w:rsidP="00C42B52">
      <w:pPr>
        <w:pStyle w:val="NoSpacing"/>
      </w:pPr>
      <w:r>
        <w:lastRenderedPageBreak/>
        <w:t xml:space="preserve">The report proceeds to recommend (3.1) that </w:t>
      </w:r>
      <w:r w:rsidRPr="00277107">
        <w:rPr>
          <w:i/>
        </w:rPr>
        <w:t>the Australian Government should reduce its marginal cost sharing contribution rate to disaster recovery outlays to 50% under the Natural Disaster Relief and Recovery Arrangements</w:t>
      </w:r>
      <w:r>
        <w:t>,’ and that it should ‘</w:t>
      </w:r>
      <w:r w:rsidRPr="00277107">
        <w:rPr>
          <w:i/>
        </w:rPr>
        <w:t>increase the triggers for Australian Government assistance (small disaster criterion and annual expenditure threshold).</w:t>
      </w:r>
      <w:r>
        <w:rPr>
          <w:i/>
        </w:rPr>
        <w:t>’</w:t>
      </w:r>
      <w:r>
        <w:t xml:space="preserve"> The draft report also recommends (3.2) that </w:t>
      </w:r>
      <w:r w:rsidRPr="0015600B">
        <w:rPr>
          <w:i/>
        </w:rPr>
        <w:t>‘If the Australian Government reduces the relief and recovery funding it provides to state and territory governments, it should increase annual mitigation expenditure gradually to $200 million, distributed to the states and territories on a per capita basis.’</w:t>
      </w:r>
    </w:p>
    <w:p w14:paraId="527ADF9B" w14:textId="77777777" w:rsidR="00C42B52" w:rsidRDefault="00C42B52" w:rsidP="00C42B52">
      <w:pPr>
        <w:pStyle w:val="NoSpacing"/>
      </w:pPr>
    </w:p>
    <w:p w14:paraId="4EE10F48" w14:textId="77777777" w:rsidR="00C42B52" w:rsidRDefault="00C42B52" w:rsidP="00C42B52">
      <w:pPr>
        <w:pStyle w:val="NoSpacing"/>
      </w:pPr>
      <w:r>
        <w:t>The Taskforce supports the recommendation that the annual mitigation expenditure be increased to $200 million, but proposes that the nexus between Recommendation 3.1 and Recommendation 3.2 be strengthened to make the adoption of Recommendation 3.1 conditional on the adoption of Recommendation 3.2. This would reduce the possibility that the reduction in Australian Government relief and recovery funding to the states and territories could be adopted in the absence of the proposed increase in annual mitigation expenditure.</w:t>
      </w:r>
    </w:p>
    <w:p w14:paraId="2B140C0F" w14:textId="77777777" w:rsidR="00C42B52" w:rsidRDefault="00C42B52" w:rsidP="00C42B52">
      <w:pPr>
        <w:pStyle w:val="NoSpacing"/>
      </w:pPr>
    </w:p>
    <w:p w14:paraId="3B1F5931" w14:textId="77777777" w:rsidR="00C42B52" w:rsidRPr="00470403" w:rsidRDefault="00C42B52" w:rsidP="00C42B52">
      <w:pPr>
        <w:pStyle w:val="NoSpacing"/>
        <w:rPr>
          <w:b/>
        </w:rPr>
      </w:pPr>
      <w:r w:rsidRPr="00470403">
        <w:rPr>
          <w:b/>
        </w:rPr>
        <w:t>Transitional arrangements</w:t>
      </w:r>
    </w:p>
    <w:p w14:paraId="3CAD7A0D" w14:textId="77777777" w:rsidR="00C42B52" w:rsidRPr="00043601" w:rsidRDefault="00C42B52" w:rsidP="00C42B52">
      <w:pPr>
        <w:pStyle w:val="Default"/>
        <w:rPr>
          <w:rFonts w:ascii="Calibri" w:hAnsi="Calibri"/>
          <w:sz w:val="22"/>
          <w:szCs w:val="22"/>
        </w:rPr>
      </w:pPr>
      <w:r w:rsidRPr="00043601">
        <w:rPr>
          <w:rFonts w:ascii="Calibri" w:hAnsi="Calibri"/>
          <w:sz w:val="22"/>
          <w:szCs w:val="22"/>
        </w:rPr>
        <w:t>The terms of reference</w:t>
      </w:r>
      <w:r>
        <w:rPr>
          <w:rFonts w:ascii="Calibri" w:hAnsi="Calibri"/>
          <w:sz w:val="22"/>
          <w:szCs w:val="22"/>
        </w:rPr>
        <w:t xml:space="preserve"> for the inquiry </w:t>
      </w:r>
      <w:r w:rsidRPr="00043601">
        <w:rPr>
          <w:rFonts w:ascii="Calibri" w:hAnsi="Calibri"/>
          <w:sz w:val="22"/>
          <w:szCs w:val="22"/>
        </w:rPr>
        <w:t xml:space="preserve">request the Commission to investigate the medium- and long-term impacts of reform options on the Australian economy and costs to governments, and to consider the transitional and implementation issues of proposed reforms. </w:t>
      </w:r>
    </w:p>
    <w:p w14:paraId="663028FA" w14:textId="77777777" w:rsidR="00C42B52" w:rsidRDefault="00C42B52" w:rsidP="00C42B52">
      <w:pPr>
        <w:pStyle w:val="NoSpacing"/>
      </w:pPr>
    </w:p>
    <w:p w14:paraId="60A0DA02" w14:textId="77777777" w:rsidR="00C42B52" w:rsidRPr="00BE0A37" w:rsidRDefault="00C42B52" w:rsidP="00C42B52">
      <w:pPr>
        <w:widowControl w:val="0"/>
        <w:autoSpaceDE w:val="0"/>
        <w:autoSpaceDN w:val="0"/>
        <w:adjustRightInd w:val="0"/>
        <w:rPr>
          <w:rFonts w:ascii="Calibri" w:eastAsiaTheme="minorEastAsia" w:hAnsi="Calibri"/>
          <w:i/>
          <w:color w:val="000000"/>
          <w:lang w:val="en-US"/>
        </w:rPr>
      </w:pPr>
      <w:r>
        <w:rPr>
          <w:rFonts w:ascii="Calibri" w:eastAsiaTheme="minorEastAsia" w:hAnsi="Calibri"/>
          <w:bCs/>
          <w:color w:val="000000"/>
          <w:lang w:val="en-US"/>
        </w:rPr>
        <w:t>T</w:t>
      </w:r>
      <w:r w:rsidRPr="00470403">
        <w:rPr>
          <w:rFonts w:ascii="Calibri" w:eastAsiaTheme="minorEastAsia" w:hAnsi="Calibri"/>
          <w:bCs/>
          <w:color w:val="000000"/>
          <w:lang w:val="en-US"/>
        </w:rPr>
        <w:t xml:space="preserve">he </w:t>
      </w:r>
      <w:r>
        <w:rPr>
          <w:rFonts w:ascii="Calibri" w:eastAsiaTheme="minorEastAsia" w:hAnsi="Calibri"/>
          <w:bCs/>
          <w:color w:val="000000"/>
          <w:lang w:val="en-US"/>
        </w:rPr>
        <w:t>draft report notes (</w:t>
      </w:r>
      <w:proofErr w:type="spellStart"/>
      <w:r>
        <w:rPr>
          <w:rFonts w:ascii="Calibri" w:eastAsiaTheme="minorEastAsia" w:hAnsi="Calibri"/>
          <w:bCs/>
          <w:color w:val="000000"/>
          <w:lang w:val="en-US"/>
        </w:rPr>
        <w:t>Vol</w:t>
      </w:r>
      <w:proofErr w:type="spellEnd"/>
      <w:r>
        <w:rPr>
          <w:rFonts w:ascii="Calibri" w:eastAsiaTheme="minorEastAsia" w:hAnsi="Calibri"/>
          <w:bCs/>
          <w:color w:val="000000"/>
          <w:lang w:val="en-US"/>
        </w:rPr>
        <w:t xml:space="preserve"> 1 </w:t>
      </w:r>
      <w:proofErr w:type="spellStart"/>
      <w:r>
        <w:rPr>
          <w:rFonts w:ascii="Calibri" w:eastAsiaTheme="minorEastAsia" w:hAnsi="Calibri"/>
          <w:bCs/>
          <w:color w:val="000000"/>
          <w:lang w:val="en-US"/>
        </w:rPr>
        <w:t>p.149</w:t>
      </w:r>
      <w:proofErr w:type="spellEnd"/>
      <w:r>
        <w:rPr>
          <w:rFonts w:ascii="Calibri" w:eastAsiaTheme="minorEastAsia" w:hAnsi="Calibri"/>
          <w:bCs/>
          <w:color w:val="000000"/>
          <w:lang w:val="en-US"/>
        </w:rPr>
        <w:t xml:space="preserve">) that </w:t>
      </w:r>
      <w:r w:rsidRPr="00470403">
        <w:rPr>
          <w:rFonts w:ascii="Calibri" w:eastAsiaTheme="minorEastAsia" w:hAnsi="Calibri"/>
          <w:bCs/>
          <w:i/>
          <w:color w:val="000000"/>
          <w:lang w:val="en-US"/>
        </w:rPr>
        <w:t>‘</w:t>
      </w:r>
      <w:r w:rsidRPr="00470403">
        <w:rPr>
          <w:rFonts w:ascii="Calibri" w:eastAsiaTheme="minorEastAsia" w:hAnsi="Calibri"/>
          <w:i/>
          <w:color w:val="000000"/>
          <w:lang w:val="en-US"/>
        </w:rPr>
        <w:t>the Commission’s preferred reform option (option 2) does not require large-scale change in governance and institutional frameworks.’</w:t>
      </w:r>
      <w:r w:rsidRPr="00470403">
        <w:rPr>
          <w:rFonts w:ascii="Calibri" w:eastAsiaTheme="minorEastAsia" w:hAnsi="Calibri"/>
          <w:color w:val="000000"/>
          <w:lang w:val="en-US"/>
        </w:rPr>
        <w:t xml:space="preserve"> </w:t>
      </w:r>
      <w:r>
        <w:rPr>
          <w:rFonts w:ascii="Calibri" w:eastAsiaTheme="minorEastAsia" w:hAnsi="Calibri"/>
          <w:color w:val="000000"/>
          <w:lang w:val="en-US"/>
        </w:rPr>
        <w:t>It goes on to state that ‘</w:t>
      </w:r>
      <w:r w:rsidRPr="00BE0A37">
        <w:rPr>
          <w:rFonts w:ascii="Calibri" w:eastAsiaTheme="minorEastAsia" w:hAnsi="Calibri"/>
          <w:i/>
          <w:color w:val="000000"/>
          <w:lang w:val="en-US"/>
        </w:rPr>
        <w:t>time and resources would be needed to establish the estimation methods for damage assessment and benchmark prices and to put in place the insurance arrangements.</w:t>
      </w:r>
      <w:r>
        <w:rPr>
          <w:rFonts w:ascii="Calibri" w:eastAsiaTheme="minorEastAsia" w:hAnsi="Calibri"/>
          <w:i/>
          <w:color w:val="000000"/>
          <w:lang w:val="en-US"/>
        </w:rPr>
        <w:t>’</w:t>
      </w:r>
      <w:r w:rsidRPr="00470403">
        <w:rPr>
          <w:rFonts w:ascii="Calibri" w:eastAsiaTheme="minorEastAsia" w:hAnsi="Calibri"/>
          <w:color w:val="000000"/>
          <w:lang w:val="en-US"/>
        </w:rPr>
        <w:t xml:space="preserve"> </w:t>
      </w:r>
      <w:r>
        <w:rPr>
          <w:rFonts w:ascii="Calibri" w:eastAsiaTheme="minorEastAsia" w:hAnsi="Calibri"/>
          <w:color w:val="000000"/>
          <w:lang w:val="en-US"/>
        </w:rPr>
        <w:t xml:space="preserve">The report further states that </w:t>
      </w:r>
      <w:r w:rsidRPr="00BE0A37">
        <w:rPr>
          <w:rFonts w:ascii="Calibri" w:eastAsiaTheme="minorEastAsia" w:hAnsi="Calibri"/>
          <w:i/>
          <w:color w:val="000000"/>
          <w:lang w:val="en-US"/>
        </w:rPr>
        <w:t>‘it is likely that further development and tailoring would be required. A range of government bodies across all three levels of government would need to be involved in the development of these methods.‘</w:t>
      </w:r>
    </w:p>
    <w:p w14:paraId="15D85ABE" w14:textId="77777777" w:rsidR="00C42B52" w:rsidRDefault="00C42B52" w:rsidP="00C42B52">
      <w:pPr>
        <w:widowControl w:val="0"/>
        <w:autoSpaceDE w:val="0"/>
        <w:autoSpaceDN w:val="0"/>
        <w:adjustRightInd w:val="0"/>
        <w:rPr>
          <w:rFonts w:ascii="Calibri" w:eastAsiaTheme="minorEastAsia" w:hAnsi="Calibri"/>
          <w:color w:val="000000"/>
          <w:lang w:val="en-US"/>
        </w:rPr>
      </w:pPr>
    </w:p>
    <w:p w14:paraId="281DE099" w14:textId="77777777" w:rsidR="00C42B52" w:rsidRDefault="00C42B52" w:rsidP="00C42B52">
      <w:pPr>
        <w:widowControl w:val="0"/>
        <w:autoSpaceDE w:val="0"/>
        <w:autoSpaceDN w:val="0"/>
        <w:adjustRightInd w:val="0"/>
        <w:rPr>
          <w:rFonts w:ascii="Calibri" w:hAnsi="Calibri" w:cs="Verdana"/>
          <w:color w:val="151515"/>
          <w:lang w:val="en-US"/>
        </w:rPr>
      </w:pPr>
      <w:r>
        <w:rPr>
          <w:rFonts w:ascii="Calibri" w:eastAsiaTheme="minorEastAsia" w:hAnsi="Calibri"/>
          <w:color w:val="000000"/>
          <w:lang w:val="en-US"/>
        </w:rPr>
        <w:t xml:space="preserve">The Taskforce supports the view that a national coordinated and collaborative approach, </w:t>
      </w:r>
      <w:r w:rsidRPr="003B1E0D">
        <w:rPr>
          <w:rFonts w:ascii="Calibri" w:eastAsiaTheme="minorEastAsia" w:hAnsi="Calibri"/>
          <w:color w:val="000000"/>
          <w:lang w:val="en-US"/>
        </w:rPr>
        <w:t xml:space="preserve">involving all three levels of government, is required to implement any proposed reforms to natural disaster </w:t>
      </w:r>
      <w:r w:rsidRPr="003B1E0D">
        <w:rPr>
          <w:rFonts w:ascii="Calibri" w:hAnsi="Calibri"/>
        </w:rPr>
        <w:t xml:space="preserve">mitigation, resilience and recovery arrangements. The Taskforce therefore proposes that this </w:t>
      </w:r>
      <w:r>
        <w:rPr>
          <w:rFonts w:ascii="Calibri" w:hAnsi="Calibri"/>
        </w:rPr>
        <w:t xml:space="preserve">task </w:t>
      </w:r>
      <w:r w:rsidRPr="003B1E0D">
        <w:rPr>
          <w:rFonts w:ascii="Calibri" w:hAnsi="Calibri"/>
        </w:rPr>
        <w:t xml:space="preserve">is undertaken by the COAG </w:t>
      </w:r>
      <w:r w:rsidRPr="003B1E0D">
        <w:rPr>
          <w:rFonts w:ascii="Calibri" w:hAnsi="Calibri" w:cs="Verdana"/>
          <w:color w:val="151515"/>
          <w:lang w:val="en-US"/>
        </w:rPr>
        <w:t>Law, Crime and Community Safety Council</w:t>
      </w:r>
      <w:r>
        <w:rPr>
          <w:rFonts w:ascii="Calibri" w:hAnsi="Calibri" w:cs="Verdana"/>
          <w:color w:val="151515"/>
          <w:lang w:val="en-US"/>
        </w:rPr>
        <w:t xml:space="preserve"> or</w:t>
      </w:r>
      <w:r w:rsidRPr="003B1E0D">
        <w:rPr>
          <w:rFonts w:ascii="Calibri" w:hAnsi="Calibri" w:cs="Verdana"/>
          <w:color w:val="151515"/>
          <w:lang w:val="en-US"/>
        </w:rPr>
        <w:t xml:space="preserve"> a relevant Ministerial council</w:t>
      </w:r>
      <w:r>
        <w:rPr>
          <w:rFonts w:ascii="Calibri" w:hAnsi="Calibri" w:cs="Verdana"/>
          <w:color w:val="151515"/>
          <w:lang w:val="en-US"/>
        </w:rPr>
        <w:t>, as proposed earlier, or by an intergovernmental transitional committee, with appropriate representatives of each jurisdiction and local government, established specifically for the purpose.</w:t>
      </w:r>
    </w:p>
    <w:p w14:paraId="1D3E228E" w14:textId="77777777" w:rsidR="00C42B52" w:rsidRDefault="00C42B52" w:rsidP="00C42B52">
      <w:pPr>
        <w:widowControl w:val="0"/>
        <w:autoSpaceDE w:val="0"/>
        <w:autoSpaceDN w:val="0"/>
        <w:adjustRightInd w:val="0"/>
        <w:rPr>
          <w:rFonts w:ascii="Calibri" w:hAnsi="Calibri" w:cs="Verdana"/>
          <w:color w:val="151515"/>
          <w:lang w:val="en-US"/>
        </w:rPr>
      </w:pPr>
    </w:p>
    <w:p w14:paraId="73C0544F" w14:textId="77777777" w:rsidR="00C42B52" w:rsidRDefault="00C42B52" w:rsidP="00C42B52">
      <w:pPr>
        <w:widowControl w:val="0"/>
        <w:autoSpaceDE w:val="0"/>
        <w:autoSpaceDN w:val="0"/>
        <w:adjustRightInd w:val="0"/>
        <w:rPr>
          <w:rFonts w:ascii="Calibri" w:hAnsi="Calibri" w:cs="Verdana"/>
          <w:color w:val="151515"/>
          <w:lang w:val="en-US"/>
        </w:rPr>
      </w:pPr>
      <w:r>
        <w:rPr>
          <w:rFonts w:ascii="Calibri" w:hAnsi="Calibri" w:cs="Verdana"/>
          <w:color w:val="151515"/>
          <w:lang w:val="en-US"/>
        </w:rPr>
        <w:t>The proposed governance model would be similar to the approach adopted by the Canadian Government in establishing the Canadian National Disaster Mitigation Strategy, which is aimed at addressing that nation’s previous piecemeal approach to mitigation ‘by concentrating informed decision-making in an effective framework.’</w:t>
      </w:r>
    </w:p>
    <w:p w14:paraId="346F59C7" w14:textId="77777777" w:rsidR="00C42B52" w:rsidRDefault="00C42B52" w:rsidP="00C42B52">
      <w:pPr>
        <w:widowControl w:val="0"/>
        <w:autoSpaceDE w:val="0"/>
        <w:autoSpaceDN w:val="0"/>
        <w:adjustRightInd w:val="0"/>
        <w:rPr>
          <w:rFonts w:ascii="Calibri" w:hAnsi="Calibri" w:cs="Verdana"/>
          <w:color w:val="151515"/>
          <w:lang w:val="en-US"/>
        </w:rPr>
      </w:pPr>
    </w:p>
    <w:p w14:paraId="2ED40388" w14:textId="77777777" w:rsidR="00C42B52" w:rsidRDefault="00C42B52" w:rsidP="00C42B52">
      <w:pPr>
        <w:widowControl w:val="0"/>
        <w:autoSpaceDE w:val="0"/>
        <w:autoSpaceDN w:val="0"/>
        <w:adjustRightInd w:val="0"/>
        <w:rPr>
          <w:rFonts w:ascii="Calibri" w:hAnsi="Calibri" w:cs="Verdana"/>
          <w:color w:val="151515"/>
          <w:lang w:val="en-US"/>
        </w:rPr>
      </w:pPr>
      <w:r>
        <w:rPr>
          <w:rFonts w:ascii="Calibri" w:hAnsi="Calibri" w:cs="Verdana"/>
          <w:color w:val="151515"/>
          <w:lang w:val="en-US"/>
        </w:rPr>
        <w:t>The Taskforce believes such an approach would be essential in order to effect a seamless transition from existing natural disaster relief and recovery arrangements to any new arrangements adopted by the Australian Government.</w:t>
      </w:r>
    </w:p>
    <w:p w14:paraId="169842E3" w14:textId="77777777" w:rsidR="00C42B52" w:rsidRPr="003B1E0D" w:rsidRDefault="00C42B52" w:rsidP="00C42B52">
      <w:pPr>
        <w:widowControl w:val="0"/>
        <w:autoSpaceDE w:val="0"/>
        <w:autoSpaceDN w:val="0"/>
        <w:adjustRightInd w:val="0"/>
        <w:rPr>
          <w:rFonts w:ascii="Calibri" w:hAnsi="Calibri"/>
        </w:rPr>
      </w:pPr>
    </w:p>
    <w:p w14:paraId="6A4AC711" w14:textId="77777777" w:rsidR="00C42B52" w:rsidRDefault="00C42B52" w:rsidP="00C42B52">
      <w:pPr>
        <w:widowControl w:val="0"/>
        <w:autoSpaceDE w:val="0"/>
        <w:autoSpaceDN w:val="0"/>
        <w:adjustRightInd w:val="0"/>
        <w:rPr>
          <w:rFonts w:ascii="Calibri" w:hAnsi="Calibri"/>
        </w:rPr>
      </w:pPr>
      <w:r>
        <w:rPr>
          <w:rFonts w:ascii="Calibri" w:hAnsi="Calibri"/>
        </w:rPr>
        <w:t>Yours sincerely,</w:t>
      </w:r>
    </w:p>
    <w:p w14:paraId="51C3D7C1" w14:textId="77777777" w:rsidR="00C42B52" w:rsidRDefault="00C42B52" w:rsidP="00C42B52">
      <w:pPr>
        <w:widowControl w:val="0"/>
        <w:autoSpaceDE w:val="0"/>
        <w:autoSpaceDN w:val="0"/>
        <w:adjustRightInd w:val="0"/>
        <w:rPr>
          <w:rFonts w:ascii="Calibri" w:hAnsi="Calibri"/>
        </w:rPr>
      </w:pPr>
    </w:p>
    <w:p w14:paraId="6138D543" w14:textId="78625B33" w:rsidR="00C42B52" w:rsidRDefault="00C42B52" w:rsidP="00C42B52">
      <w:pPr>
        <w:spacing w:line="200" w:lineRule="atLeast"/>
        <w:ind w:left="134"/>
        <w:rPr>
          <w:rFonts w:ascii="Constantia" w:eastAsia="Constantia" w:hAnsi="Constantia" w:cs="Constantia"/>
          <w:noProof/>
          <w:color w:val="000090"/>
        </w:rPr>
      </w:pPr>
    </w:p>
    <w:p w14:paraId="7051AFD5" w14:textId="77777777" w:rsidR="00EA5557" w:rsidRDefault="00EA5557" w:rsidP="00C42B52">
      <w:pPr>
        <w:spacing w:line="200" w:lineRule="atLeast"/>
        <w:ind w:left="134"/>
        <w:rPr>
          <w:rFonts w:ascii="Constantia" w:eastAsia="Constantia" w:hAnsi="Constantia" w:cs="Constantia"/>
          <w:noProof/>
          <w:color w:val="000090"/>
        </w:rPr>
      </w:pPr>
    </w:p>
    <w:p w14:paraId="08D36569" w14:textId="77777777" w:rsidR="00EA5557" w:rsidRPr="001A5216" w:rsidRDefault="00EA5557" w:rsidP="00C42B52">
      <w:pPr>
        <w:spacing w:line="200" w:lineRule="atLeast"/>
        <w:ind w:left="134"/>
        <w:rPr>
          <w:rFonts w:ascii="Constantia" w:eastAsia="Constantia" w:hAnsi="Constantia" w:cs="Constantia"/>
          <w:color w:val="000090"/>
        </w:rPr>
      </w:pPr>
      <w:bookmarkStart w:id="0" w:name="_GoBack"/>
      <w:bookmarkEnd w:id="0"/>
    </w:p>
    <w:p w14:paraId="5C5A567C" w14:textId="77777777" w:rsidR="00C42B52" w:rsidRDefault="00C42B52" w:rsidP="00C42B52">
      <w:pPr>
        <w:widowControl w:val="0"/>
        <w:autoSpaceDE w:val="0"/>
        <w:autoSpaceDN w:val="0"/>
        <w:adjustRightInd w:val="0"/>
        <w:rPr>
          <w:rFonts w:ascii="Calibri" w:hAnsi="Calibri"/>
        </w:rPr>
      </w:pPr>
    </w:p>
    <w:p w14:paraId="10B4C983" w14:textId="77777777" w:rsidR="00C42B52" w:rsidRDefault="00C42B52" w:rsidP="00C42B52">
      <w:pPr>
        <w:widowControl w:val="0"/>
        <w:autoSpaceDE w:val="0"/>
        <w:autoSpaceDN w:val="0"/>
        <w:adjustRightInd w:val="0"/>
        <w:rPr>
          <w:rFonts w:ascii="Calibri" w:hAnsi="Calibri"/>
        </w:rPr>
      </w:pPr>
      <w:r>
        <w:rPr>
          <w:rFonts w:ascii="Calibri" w:hAnsi="Calibri"/>
        </w:rPr>
        <w:t xml:space="preserve">Barry </w:t>
      </w:r>
      <w:proofErr w:type="spellStart"/>
      <w:r>
        <w:rPr>
          <w:rFonts w:ascii="Calibri" w:hAnsi="Calibri"/>
        </w:rPr>
        <w:t>Sammels</w:t>
      </w:r>
      <w:proofErr w:type="spellEnd"/>
    </w:p>
    <w:p w14:paraId="02A360BD" w14:textId="77777777" w:rsidR="00C42B52" w:rsidRPr="003B1E0D" w:rsidRDefault="00C42B52" w:rsidP="00C42B52">
      <w:pPr>
        <w:widowControl w:val="0"/>
        <w:autoSpaceDE w:val="0"/>
        <w:autoSpaceDN w:val="0"/>
        <w:adjustRightInd w:val="0"/>
        <w:rPr>
          <w:rFonts w:ascii="Calibri" w:hAnsi="Calibri"/>
        </w:rPr>
      </w:pPr>
      <w:r>
        <w:rPr>
          <w:rFonts w:ascii="Calibri" w:hAnsi="Calibri"/>
        </w:rPr>
        <w:t>Chair, National Sea Change Taskforce and Mayor, City of Rockingham</w:t>
      </w:r>
    </w:p>
    <w:p w14:paraId="50C2E456" w14:textId="77777777" w:rsidR="00C42B52" w:rsidRPr="003B1E0D" w:rsidRDefault="00C42B52" w:rsidP="00C42B52">
      <w:pPr>
        <w:widowControl w:val="0"/>
        <w:autoSpaceDE w:val="0"/>
        <w:autoSpaceDN w:val="0"/>
        <w:adjustRightInd w:val="0"/>
        <w:rPr>
          <w:rFonts w:ascii="Calibri" w:hAnsi="Calibri"/>
        </w:rPr>
      </w:pPr>
    </w:p>
    <w:p w14:paraId="5FBEA17E" w14:textId="77777777" w:rsidR="00C42B52" w:rsidRPr="003B1E0D" w:rsidRDefault="00C42B52" w:rsidP="00C42B52">
      <w:pPr>
        <w:widowControl w:val="0"/>
        <w:autoSpaceDE w:val="0"/>
        <w:autoSpaceDN w:val="0"/>
        <w:adjustRightInd w:val="0"/>
        <w:rPr>
          <w:rFonts w:ascii="Calibri" w:hAnsi="Calibri"/>
        </w:rPr>
      </w:pPr>
    </w:p>
    <w:p w14:paraId="2F463EFC" w14:textId="77777777" w:rsidR="00C42B52" w:rsidRDefault="00C42B52" w:rsidP="00C42B52"/>
    <w:p w14:paraId="34EB05B7" w14:textId="77777777" w:rsidR="00C42B52" w:rsidRPr="00B848C7" w:rsidRDefault="00C42B52" w:rsidP="00C42B52"/>
    <w:p w14:paraId="374711DA" w14:textId="77777777" w:rsidR="00AF78D3" w:rsidRDefault="00AF78D3"/>
    <w:sectPr w:rsidR="00AF78D3">
      <w:pgSz w:w="11907" w:h="16840" w:code="9"/>
      <w:pgMar w:top="1352" w:right="1021" w:bottom="426" w:left="1021" w:header="851" w:footer="720" w:gutter="0"/>
      <w:cols w:space="720"/>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GoudyOlSt BT">
    <w:altName w:val="Georgia"/>
    <w:charset w:val="00"/>
    <w:family w:val="roman"/>
    <w:pitch w:val="variable"/>
    <w:sig w:usb0="00000087" w:usb1="00000000" w:usb2="00000000" w:usb3="00000000" w:csb0="0000001B" w:csb1="00000000"/>
  </w:font>
  <w:font w:name="Lucida Grande">
    <w:charset w:val="00"/>
    <w:family w:val="auto"/>
    <w:pitch w:val="variable"/>
    <w:sig w:usb0="E1000AEF" w:usb1="5000A1FF" w:usb2="00000000" w:usb3="00000000" w:csb0="000001BF" w:csb1="00000000"/>
  </w:font>
  <w:font w:name="Verdana">
    <w:panose1 w:val="020B0604030504040204"/>
    <w:charset w:val="00"/>
    <w:family w:val="auto"/>
    <w:pitch w:val="variable"/>
    <w:sig w:usb0="A10006FF" w:usb1="4000205B" w:usb2="00000010" w:usb3="00000000" w:csb0="0000019F" w:csb1="00000000"/>
  </w:font>
  <w:font w:name="Constantia">
    <w:panose1 w:val="02030602050306030303"/>
    <w:charset w:val="00"/>
    <w:family w:val="roman"/>
    <w:pitch w:val="variable"/>
    <w:sig w:usb0="A00002EF" w:usb1="4000204B"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231A9A"/>
    <w:multiLevelType w:val="hybridMultilevel"/>
    <w:tmpl w:val="D63EA4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73FA190C"/>
    <w:multiLevelType w:val="hybridMultilevel"/>
    <w:tmpl w:val="F53A408E"/>
    <w:lvl w:ilvl="0" w:tplc="DB303ACC">
      <w:start w:val="1"/>
      <w:numFmt w:val="bullet"/>
      <w:pStyle w:val="Bulletform"/>
      <w:lvlText w:val=""/>
      <w:lvlJc w:val="left"/>
      <w:pPr>
        <w:tabs>
          <w:tab w:val="num" w:pos="720"/>
        </w:tabs>
        <w:ind w:left="720" w:hanging="360"/>
      </w:pPr>
      <w:rPr>
        <w:rFonts w:ascii="Wingdings" w:hAnsi="Wingdings"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42B52"/>
    <w:rsid w:val="00AF78D3"/>
    <w:rsid w:val="00B83492"/>
    <w:rsid w:val="00C42B52"/>
    <w:rsid w:val="00EA5557"/>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16623FB"/>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heme="minorEastAsia" w:hAnsi="Calibri" w:cstheme="minorBidi"/>
        <w:sz w:val="24"/>
        <w:szCs w:val="24"/>
        <w:lang w:val="en-A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2B52"/>
    <w:rPr>
      <w:rFonts w:ascii="Times New Roman" w:eastAsia="Times New Roman" w:hAnsi="Times New Roman" w:cs="Times New Roman"/>
      <w:sz w:val="20"/>
      <w:szCs w:val="20"/>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ulletform">
    <w:name w:val="Bullet form"/>
    <w:basedOn w:val="Normal"/>
    <w:rsid w:val="00C42B52"/>
    <w:pPr>
      <w:numPr>
        <w:numId w:val="1"/>
      </w:numPr>
      <w:spacing w:before="120"/>
      <w:ind w:left="714" w:hanging="357"/>
      <w:jc w:val="both"/>
    </w:pPr>
    <w:rPr>
      <w:rFonts w:ascii="GoudyOlSt BT" w:hAnsi="GoudyOlSt BT"/>
      <w:sz w:val="24"/>
    </w:rPr>
  </w:style>
  <w:style w:type="paragraph" w:styleId="BalloonText">
    <w:name w:val="Balloon Text"/>
    <w:basedOn w:val="Normal"/>
    <w:link w:val="BalloonTextChar"/>
    <w:uiPriority w:val="99"/>
    <w:semiHidden/>
    <w:unhideWhenUsed/>
    <w:rsid w:val="00C42B52"/>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C42B52"/>
    <w:rPr>
      <w:rFonts w:ascii="Lucida Grande" w:eastAsia="Times New Roman" w:hAnsi="Lucida Grande" w:cs="Lucida Grande"/>
      <w:sz w:val="18"/>
      <w:szCs w:val="18"/>
      <w:lang w:eastAsia="en-AU"/>
    </w:rPr>
  </w:style>
  <w:style w:type="character" w:styleId="Hyperlink">
    <w:name w:val="Hyperlink"/>
    <w:basedOn w:val="DefaultParagraphFont"/>
    <w:uiPriority w:val="99"/>
    <w:unhideWhenUsed/>
    <w:rsid w:val="00C42B52"/>
    <w:rPr>
      <w:color w:val="0000FF" w:themeColor="hyperlink"/>
      <w:u w:val="single"/>
    </w:rPr>
  </w:style>
  <w:style w:type="paragraph" w:styleId="NoSpacing">
    <w:name w:val="No Spacing"/>
    <w:link w:val="NoSpacingChar"/>
    <w:uiPriority w:val="1"/>
    <w:qFormat/>
    <w:rsid w:val="00C42B52"/>
    <w:rPr>
      <w:rFonts w:eastAsia="Times New Roman" w:cs="Calibri"/>
      <w:sz w:val="22"/>
      <w:szCs w:val="22"/>
    </w:rPr>
  </w:style>
  <w:style w:type="character" w:customStyle="1" w:styleId="NoSpacingChar">
    <w:name w:val="No Spacing Char"/>
    <w:link w:val="NoSpacing"/>
    <w:uiPriority w:val="1"/>
    <w:rsid w:val="00C42B52"/>
    <w:rPr>
      <w:rFonts w:eastAsia="Times New Roman" w:cs="Calibri"/>
      <w:sz w:val="22"/>
      <w:szCs w:val="22"/>
    </w:rPr>
  </w:style>
  <w:style w:type="paragraph" w:customStyle="1" w:styleId="Default">
    <w:name w:val="Default"/>
    <w:rsid w:val="00C42B52"/>
    <w:pPr>
      <w:widowControl w:val="0"/>
      <w:autoSpaceDE w:val="0"/>
      <w:autoSpaceDN w:val="0"/>
      <w:adjustRightInd w:val="0"/>
    </w:pPr>
    <w:rPr>
      <w:rFonts w:ascii="Times New Roman" w:hAnsi="Times New Roman" w:cs="Times New Roman"/>
      <w:color w:val="000000"/>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heme="minorEastAsia" w:hAnsi="Calibri" w:cstheme="minorBidi"/>
        <w:sz w:val="24"/>
        <w:szCs w:val="24"/>
        <w:lang w:val="en-A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2B52"/>
    <w:rPr>
      <w:rFonts w:ascii="Times New Roman" w:eastAsia="Times New Roman" w:hAnsi="Times New Roman" w:cs="Times New Roman"/>
      <w:sz w:val="20"/>
      <w:szCs w:val="20"/>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ulletform">
    <w:name w:val="Bullet form"/>
    <w:basedOn w:val="Normal"/>
    <w:rsid w:val="00C42B52"/>
    <w:pPr>
      <w:numPr>
        <w:numId w:val="1"/>
      </w:numPr>
      <w:spacing w:before="120"/>
      <w:ind w:left="714" w:hanging="357"/>
      <w:jc w:val="both"/>
    </w:pPr>
    <w:rPr>
      <w:rFonts w:ascii="GoudyOlSt BT" w:hAnsi="GoudyOlSt BT"/>
      <w:sz w:val="24"/>
    </w:rPr>
  </w:style>
  <w:style w:type="paragraph" w:styleId="BalloonText">
    <w:name w:val="Balloon Text"/>
    <w:basedOn w:val="Normal"/>
    <w:link w:val="BalloonTextChar"/>
    <w:uiPriority w:val="99"/>
    <w:semiHidden/>
    <w:unhideWhenUsed/>
    <w:rsid w:val="00C42B52"/>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C42B52"/>
    <w:rPr>
      <w:rFonts w:ascii="Lucida Grande" w:eastAsia="Times New Roman" w:hAnsi="Lucida Grande" w:cs="Lucida Grande"/>
      <w:sz w:val="18"/>
      <w:szCs w:val="18"/>
      <w:lang w:eastAsia="en-AU"/>
    </w:rPr>
  </w:style>
  <w:style w:type="character" w:styleId="Hyperlink">
    <w:name w:val="Hyperlink"/>
    <w:basedOn w:val="DefaultParagraphFont"/>
    <w:uiPriority w:val="99"/>
    <w:unhideWhenUsed/>
    <w:rsid w:val="00C42B52"/>
    <w:rPr>
      <w:color w:val="0000FF" w:themeColor="hyperlink"/>
      <w:u w:val="single"/>
    </w:rPr>
  </w:style>
  <w:style w:type="paragraph" w:styleId="NoSpacing">
    <w:name w:val="No Spacing"/>
    <w:link w:val="NoSpacingChar"/>
    <w:uiPriority w:val="1"/>
    <w:qFormat/>
    <w:rsid w:val="00C42B52"/>
    <w:rPr>
      <w:rFonts w:eastAsia="Times New Roman" w:cs="Calibri"/>
      <w:sz w:val="22"/>
      <w:szCs w:val="22"/>
    </w:rPr>
  </w:style>
  <w:style w:type="character" w:customStyle="1" w:styleId="NoSpacingChar">
    <w:name w:val="No Spacing Char"/>
    <w:link w:val="NoSpacing"/>
    <w:uiPriority w:val="1"/>
    <w:rsid w:val="00C42B52"/>
    <w:rPr>
      <w:rFonts w:eastAsia="Times New Roman" w:cs="Calibri"/>
      <w:sz w:val="22"/>
      <w:szCs w:val="22"/>
    </w:rPr>
  </w:style>
  <w:style w:type="paragraph" w:customStyle="1" w:styleId="Default">
    <w:name w:val="Default"/>
    <w:rsid w:val="00C42B52"/>
    <w:pPr>
      <w:widowControl w:val="0"/>
      <w:autoSpaceDE w:val="0"/>
      <w:autoSpaceDN w:val="0"/>
      <w:adjustRightInd w:val="0"/>
    </w:pPr>
    <w:rPr>
      <w:rFonts w:ascii="Times New Roman" w:hAnsi="Times New Roman" w:cs="Times New Roman"/>
      <w:color w:val="00000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image" Target="media/image1.png"/><Relationship Id="rId5" Type="http://schemas.openxmlformats.org/officeDocument/2006/relationships/customXml" Target="../customXml/item5.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customXsn xmlns="http://schemas.microsoft.com/office/2006/metadata/customXsn">
  <xsnLocation/>
  <cached>True</cached>
  <openByDefault>False</openByDefault>
  <xsnScope/>
</customXsn>
</file>

<file path=customXml/item2.xml><?xml version="1.0" encoding="utf-8"?>
<?mso-contentType ?>
<spe:Receivers xmlns:spe="http://schemas.microsoft.com/sharepoint/events">
  <Receiver>
    <Name/>
    <Synchronization>Asynchronous</Synchronization>
    <Type>10003</Type>
    <SequenceNumber>10000</SequenceNumber>
    <Url/>
    <Assembly>RecordPoint.Active.UI, Version=1.0.0.0, Culture=neutral, PublicKeyToken=d49476ae5b650bf3</Assembly>
    <Class>RecordPoint.Active.UI.Events.WorkflowItemEventReceiver</Class>
    <Data/>
    <Filter/>
  </Receiver>
  <Receiver>
    <Name/>
    <Synchronization>Synchronous</Synchronization>
    <Type>3</Type>
    <SequenceNumber>10000</SequenceNumber>
    <Url/>
    <Assembly>RecordPoint.Active.UI, Version=1.0.0.0, Culture=neutral, PublicKeyToken=d49476ae5b650bf3</Assembly>
    <Class>RecordPoint.Active.UI.Events.WorkflowItemEventReceiver</Class>
    <Data/>
    <Filter/>
  </Receiver>
  <Receiver>
    <Name/>
    <Synchronization>Asynchronous</Synchronization>
    <Type>10009</Type>
    <SequenceNumber>10000</SequenceNumber>
    <Url/>
    <Assembly>RecordPoint.Active.UI, Version=1.0.0.0, Culture=neutral, PublicKeyToken=d49476ae5b650bf3</Assembly>
    <Class>RecordPoint.Active.UI.Events.WorkflowItemEventReceiver</Class>
    <Data/>
    <Filter/>
  </Receiver>
  <Receiver>
    <Name/>
    <Synchronization>Synchronous</Synchronization>
    <Type>9</Type>
    <SequenceNumber>10000</SequenceNumber>
    <Url/>
    <Assembly>RecordPoint.Active.UI, Version=1.0.0.0, Culture=neutral, PublicKeyToken=d49476ae5b650bf3</Assembly>
    <Class>RecordPoint.Active.UI.Events.WorkflowItemEventReceiver</Class>
    <Data/>
    <Filter/>
  </Receiver>
  <Receiver>
    <Name/>
    <Synchronization>Asynchronous</Synchronization>
    <Type>10103</Type>
    <SequenceNumber>10000</SequenceNumber>
    <Url/>
    <Assembly>RecordPoint.Active.UI, Version=1.0.0.0, Culture=neutral, PublicKeyToken=d49476ae5b650bf3</Assembly>
    <Class>RecordPoint.Active.UI.Events.WorkflowListEventReceiver</Class>
    <Data/>
    <Filter/>
  </Receiver>
  <Receiver>
    <Name/>
    <Synchronization>Synchronous</Synchronization>
    <Type>102</Type>
    <SequenceNumber>10000</SequenceNumber>
    <Url/>
    <Assembly>RecordPoint.Active.UI, Version=1.0.0.0, Culture=neutral, PublicKeyToken=d49476ae5b650bf3</Assembly>
    <Class>RecordPoint.Active.UI.Events.WorkflowListEventReceiver</Class>
    <Data/>
    <Filter/>
  </Receiver>
  <Receiver>
    <Name/>
    <Synchronization>Asynchronous</Synchronization>
    <Type>10105</Type>
    <SequenceNumber>10000</SequenceNumber>
    <Url/>
    <Assembly>RecordPoint.Active.UI, Version=1.0.0.0, Culture=neutral, PublicKeyToken=d49476ae5b650bf3</Assembly>
    <Class>RecordPoint.Active.UI.Events.WorkflowListEventReceiver</Class>
    <Data/>
    <Filter/>
  </Receiver>
  <Receiver>
    <Name/>
    <Synchronization>Synchronous</Synchronization>
    <Type>105</Type>
    <SequenceNumber>10000</SequenceNumber>
    <Url/>
    <Assembly>RecordPoint.Active.UI, Version=1.0.0.0, Culture=neutral, PublicKeyToken=d49476ae5b650bf3</Assembly>
    <Class>RecordPoint.Active.UI.Events.WorkflowListEventReceiver</Class>
    <Data/>
    <Filter/>
  </Receiver>
  <Receiver>
    <Name/>
    <Synchronization>Asynchronous</Synchronization>
    <Type>10002</Type>
    <SequenceNumber>10000</SequenceNumber>
    <Url/>
    <Assembly>RecordPoint.Active.UI, Version=1.0.0.0, Culture=neutral, PublicKeyToken=d49476ae5b650bf3</Assembly>
    <Class>RecordPoint.Active.UI.Events.WorkflowItemEventReceiver</Class>
    <Data/>
    <Filter/>
  </Receiver>
  <Receiver>
    <Name/>
    <Synchronization>Synchronous</Synchronization>
    <Type>2</Type>
    <SequenceNumber>10000</SequenceNumber>
    <Url/>
    <Assembly>RecordPoint.Active.UI, Version=1.0.0.0, Culture=neutral, PublicKeyToken=d49476ae5b650bf3</Assembly>
    <Class>RecordPoint.Active.UI.Events.WorkflowItemEventReceiver</Class>
    <Data/>
    <Filter/>
  </Receiver>
</spe:Receivers>
</file>

<file path=customXml/item3.xml><?xml version="1.0" encoding="utf-8"?>
<ct:contentTypeSchema xmlns:ct="http://schemas.microsoft.com/office/2006/metadata/contentType" xmlns:ma="http://schemas.microsoft.com/office/2006/metadata/properties/metaAttributes" ct:_="" ma:_="" ma:contentTypeName="Submissions" ma:contentTypeID="0x01010066EDC8E18BFE9C418F00295EA55D44EA0015EE9FD84A134F42A8E78176E2093D4400FA055CF3113ACE489CC83C69505D2DFE" ma:contentTypeVersion="10" ma:contentTypeDescription="" ma:contentTypeScope="" ma:versionID="d089c9d5e52a23621f4460d79da6eba3">
  <xsd:schema xmlns:xsd="http://www.w3.org/2001/XMLSchema" xmlns:xs="http://www.w3.org/2001/XMLSchema" xmlns:p="http://schemas.microsoft.com/office/2006/metadata/properties" xmlns:ns2="http://schemas.microsoft.com/sharepoint/v4" targetNamespace="http://schemas.microsoft.com/office/2006/metadata/properties" ma:root="true" ma:fieldsID="56744cf7dae5f007ba57270149f9373e" ns2:_="">
    <xsd:import namespace="http://schemas.microsoft.com/sharepoint/v4"/>
    <xsd:element name="properties">
      <xsd:complexType>
        <xsd:sequence>
          <xsd:element name="documentManagement">
            <xsd:complexType>
              <xsd:all>
                <xsd:element ref="ns2: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8"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IconOverlay xmlns="http://schemas.microsoft.com/sharepoint/v4" xsi:nil="true"/>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5B26FAD-A99E-4EFA-8B9C-3309755AD74B}">
  <ds:schemaRefs>
    <ds:schemaRef ds:uri="http://schemas.microsoft.com/office/2006/metadata/customXsn"/>
  </ds:schemaRefs>
</ds:datastoreItem>
</file>

<file path=customXml/itemProps2.xml><?xml version="1.0" encoding="utf-8"?>
<ds:datastoreItem xmlns:ds="http://schemas.openxmlformats.org/officeDocument/2006/customXml" ds:itemID="{37B61CDD-371A-436F-92AF-BEAD79A0AB00}">
  <ds:schemaRefs>
    <ds:schemaRef ds:uri="http://schemas.microsoft.com/sharepoint/events"/>
  </ds:schemaRefs>
</ds:datastoreItem>
</file>

<file path=customXml/itemProps3.xml><?xml version="1.0" encoding="utf-8"?>
<ds:datastoreItem xmlns:ds="http://schemas.openxmlformats.org/officeDocument/2006/customXml" ds:itemID="{23423B4D-1042-4327-B91C-606C068969C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FE2CBFF-2FC1-419F-BDA8-634D09EAE2A1}">
  <ds:schemaRefs>
    <ds:schemaRef ds:uri="http://schemas.microsoft.com/sharepoint/v4"/>
    <ds:schemaRef ds:uri="http://purl.org/dc/terms/"/>
    <ds:schemaRef ds:uri="http://purl.org/dc/elements/1.1/"/>
    <ds:schemaRef ds:uri="http://schemas.microsoft.com/office/2006/metadata/properties"/>
    <ds:schemaRef ds:uri="http://purl.org/dc/dcmitype/"/>
    <ds:schemaRef ds:uri="http://schemas.microsoft.com/office/2006/documentManagement/types"/>
    <ds:schemaRef ds:uri="http://schemas.openxmlformats.org/package/2006/metadata/core-properties"/>
    <ds:schemaRef ds:uri="http://www.w3.org/XML/1998/namespace"/>
    <ds:schemaRef ds:uri="http://schemas.microsoft.com/office/infopath/2007/PartnerControls"/>
  </ds:schemaRefs>
</ds:datastoreItem>
</file>

<file path=customXml/itemProps5.xml><?xml version="1.0" encoding="utf-8"?>
<ds:datastoreItem xmlns:ds="http://schemas.openxmlformats.org/officeDocument/2006/customXml" ds:itemID="{5C6DA708-6D37-40DF-B07F-878F14D9CC2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908</Words>
  <Characters>5575</Characters>
  <Application>Microsoft Office Word</Application>
  <DocSecurity>0</DocSecurity>
  <Lines>105</Lines>
  <Paragraphs>33</Paragraphs>
  <ScaleCrop>false</ScaleCrop>
  <HeadingPairs>
    <vt:vector size="2" baseType="variant">
      <vt:variant>
        <vt:lpstr>Title</vt:lpstr>
      </vt:variant>
      <vt:variant>
        <vt:i4>1</vt:i4>
      </vt:variant>
    </vt:vector>
  </HeadingPairs>
  <TitlesOfParts>
    <vt:vector size="1" baseType="lpstr">
      <vt:lpstr>Submission DR124 - National Sea Change Taskforce - Natural Disaster Funding - Public inquiry</vt:lpstr>
    </vt:vector>
  </TitlesOfParts>
  <Company>National Sea Change Taskforce</Company>
  <LinksUpToDate>false</LinksUpToDate>
  <CharactersWithSpaces>6460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 DR124 - National Sea Change Taskforce - Natural Disaster Funding - Public inquiry</dc:title>
  <dc:creator>National Sea Change Taskforce</dc:creator>
  <cp:lastModifiedBy>Productivity Commission</cp:lastModifiedBy>
  <cp:revision>4</cp:revision>
  <cp:lastPrinted>2014-10-16T22:12:00Z</cp:lastPrinted>
  <dcterms:created xsi:type="dcterms:W3CDTF">2014-10-16T23:43:00Z</dcterms:created>
  <dcterms:modified xsi:type="dcterms:W3CDTF">2014-10-17T01:03:00Z</dcterms:modified>
</cp:coreProperties>
</file>