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55D" w:rsidRDefault="00FF555D" w:rsidP="00FF555D">
      <w:pPr>
        <w:pStyle w:val="Heading1"/>
      </w:pPr>
    </w:p>
    <w:p w:rsidR="00FF555D" w:rsidRDefault="00FF555D" w:rsidP="00FF555D">
      <w:pPr>
        <w:pStyle w:val="Heading1"/>
      </w:pPr>
    </w:p>
    <w:p w:rsidR="00FF555D" w:rsidRDefault="00FF555D" w:rsidP="00FF555D">
      <w:pPr>
        <w:pStyle w:val="Heading1"/>
      </w:pPr>
    </w:p>
    <w:p w:rsidR="00FF555D" w:rsidRPr="00404E23" w:rsidRDefault="00FF555D" w:rsidP="00FF555D">
      <w:pPr>
        <w:pStyle w:val="Heading1"/>
        <w:rPr>
          <w:color w:val="auto"/>
        </w:rPr>
      </w:pPr>
    </w:p>
    <w:p w:rsidR="00FF555D" w:rsidRPr="00211AB7" w:rsidRDefault="00004F86" w:rsidP="00FF555D">
      <w:pPr>
        <w:pStyle w:val="Heading1"/>
        <w:rPr>
          <w:color w:val="auto"/>
          <w:sz w:val="40"/>
          <w:szCs w:val="40"/>
        </w:rPr>
      </w:pPr>
      <w:r>
        <w:rPr>
          <w:color w:val="auto"/>
          <w:sz w:val="40"/>
          <w:szCs w:val="40"/>
        </w:rPr>
        <w:t xml:space="preserve">The Regional Australia Institute’s response to the Productivity Commission’s Draft Report on Natural Disaster Funding Arrangements </w:t>
      </w:r>
    </w:p>
    <w:p w:rsidR="00FF555D" w:rsidRPr="00404E23" w:rsidRDefault="00004F86" w:rsidP="00FF555D">
      <w:pPr>
        <w:pStyle w:val="Heading3"/>
        <w:rPr>
          <w:color w:val="auto"/>
        </w:rPr>
      </w:pPr>
      <w:r>
        <w:rPr>
          <w:color w:val="auto"/>
        </w:rPr>
        <w:t>October 2014</w:t>
      </w:r>
    </w:p>
    <w:p w:rsidR="00FF555D" w:rsidRPr="00404E23" w:rsidRDefault="00FF555D" w:rsidP="00FF555D">
      <w:pPr>
        <w:rPr>
          <w:color w:val="auto"/>
        </w:rPr>
      </w:pPr>
    </w:p>
    <w:p w:rsidR="007653EC" w:rsidRPr="007653EC" w:rsidRDefault="007653EC" w:rsidP="007653EC">
      <w:pPr>
        <w:rPr>
          <w:lang w:val="en-AU"/>
        </w:rPr>
      </w:pPr>
    </w:p>
    <w:p w:rsidR="007653EC" w:rsidRPr="007653EC" w:rsidRDefault="007653EC" w:rsidP="007653EC">
      <w:pPr>
        <w:rPr>
          <w:lang w:val="en-AU"/>
        </w:rPr>
      </w:pPr>
    </w:p>
    <w:p w:rsidR="00404E23" w:rsidRPr="007653EC" w:rsidRDefault="00404E23" w:rsidP="007653EC">
      <w:pPr>
        <w:tabs>
          <w:tab w:val="left" w:pos="6570"/>
        </w:tabs>
        <w:rPr>
          <w:lang w:val="en-AU"/>
        </w:rPr>
        <w:sectPr w:rsidR="00404E23" w:rsidRPr="007653EC" w:rsidSect="00E77296">
          <w:headerReference w:type="default" r:id="rId14"/>
          <w:footerReference w:type="default" r:id="rId15"/>
          <w:headerReference w:type="first" r:id="rId16"/>
          <w:footerReference w:type="first" r:id="rId17"/>
          <w:type w:val="continuous"/>
          <w:pgSz w:w="11900" w:h="16840"/>
          <w:pgMar w:top="1672" w:right="1021" w:bottom="1440" w:left="1021" w:header="709" w:footer="709" w:gutter="0"/>
          <w:cols w:space="708"/>
          <w:titlePg/>
        </w:sectPr>
      </w:pPr>
    </w:p>
    <w:p w:rsidR="007653EC" w:rsidRPr="0033077F" w:rsidRDefault="00004F86">
      <w:pPr>
        <w:spacing w:line="240" w:lineRule="auto"/>
        <w:rPr>
          <w:sz w:val="24"/>
          <w:lang w:val="en-AU"/>
        </w:rPr>
      </w:pPr>
      <w:r w:rsidRPr="0033077F">
        <w:rPr>
          <w:sz w:val="24"/>
          <w:lang w:val="en-AU"/>
        </w:rPr>
        <w:lastRenderedPageBreak/>
        <w:t xml:space="preserve">The Regional Australia Institute </w:t>
      </w:r>
      <w:r w:rsidR="00906BD5" w:rsidRPr="0033077F">
        <w:rPr>
          <w:sz w:val="24"/>
          <w:lang w:val="en-AU"/>
        </w:rPr>
        <w:t xml:space="preserve">(RAI) </w:t>
      </w:r>
      <w:r w:rsidRPr="0033077F">
        <w:rPr>
          <w:sz w:val="24"/>
          <w:lang w:val="en-AU"/>
        </w:rPr>
        <w:t xml:space="preserve">welcomes the opportunity to respond to the </w:t>
      </w:r>
      <w:r w:rsidR="00991A2A" w:rsidRPr="0033077F">
        <w:rPr>
          <w:sz w:val="24"/>
          <w:lang w:val="en-AU"/>
        </w:rPr>
        <w:t xml:space="preserve">Productivity Commission’s </w:t>
      </w:r>
      <w:r w:rsidRPr="0033077F">
        <w:rPr>
          <w:i/>
          <w:sz w:val="24"/>
          <w:lang w:val="en-AU"/>
        </w:rPr>
        <w:t>Natural Disaster Funding Arrangements</w:t>
      </w:r>
      <w:r w:rsidRPr="0033077F">
        <w:rPr>
          <w:sz w:val="24"/>
          <w:lang w:val="en-AU"/>
        </w:rPr>
        <w:t xml:space="preserve"> </w:t>
      </w:r>
      <w:r w:rsidR="00906BD5" w:rsidRPr="0033077F">
        <w:rPr>
          <w:sz w:val="24"/>
          <w:lang w:val="en-AU"/>
        </w:rPr>
        <w:t xml:space="preserve">(draft report) </w:t>
      </w:r>
      <w:r w:rsidRPr="0033077F">
        <w:rPr>
          <w:sz w:val="24"/>
          <w:lang w:val="en-AU"/>
        </w:rPr>
        <w:t xml:space="preserve">and its recommendations and findings. </w:t>
      </w:r>
    </w:p>
    <w:p w:rsidR="009D35FE" w:rsidRPr="0033077F" w:rsidRDefault="009D35FE" w:rsidP="007653EC">
      <w:pPr>
        <w:pStyle w:val="ListParagraph"/>
        <w:rPr>
          <w:sz w:val="24"/>
        </w:rPr>
      </w:pPr>
    </w:p>
    <w:p w:rsidR="009D35FE" w:rsidRPr="0033077F" w:rsidRDefault="00004F86" w:rsidP="009D35FE">
      <w:pPr>
        <w:rPr>
          <w:sz w:val="24"/>
        </w:rPr>
      </w:pPr>
      <w:r w:rsidRPr="0033077F">
        <w:rPr>
          <w:sz w:val="24"/>
        </w:rPr>
        <w:t xml:space="preserve">Overall the </w:t>
      </w:r>
      <w:r w:rsidR="00906BD5" w:rsidRPr="0033077F">
        <w:rPr>
          <w:sz w:val="24"/>
        </w:rPr>
        <w:t>RAI</w:t>
      </w:r>
      <w:r w:rsidRPr="0033077F">
        <w:rPr>
          <w:sz w:val="24"/>
        </w:rPr>
        <w:t xml:space="preserve"> </w:t>
      </w:r>
      <w:r w:rsidR="00A56D76" w:rsidRPr="0033077F">
        <w:rPr>
          <w:sz w:val="24"/>
        </w:rPr>
        <w:t>supports</w:t>
      </w:r>
      <w:r w:rsidRPr="0033077F">
        <w:rPr>
          <w:sz w:val="24"/>
        </w:rPr>
        <w:t xml:space="preserve"> the </w:t>
      </w:r>
      <w:r w:rsidR="00ED675E" w:rsidRPr="0033077F">
        <w:rPr>
          <w:sz w:val="24"/>
        </w:rPr>
        <w:t>reform proposals outlined in</w:t>
      </w:r>
      <w:r w:rsidRPr="0033077F">
        <w:rPr>
          <w:sz w:val="24"/>
        </w:rPr>
        <w:t xml:space="preserve"> the draft report. </w:t>
      </w:r>
      <w:r w:rsidR="00ED675E" w:rsidRPr="0033077F">
        <w:rPr>
          <w:sz w:val="24"/>
        </w:rPr>
        <w:t>T</w:t>
      </w:r>
      <w:r w:rsidRPr="0033077F">
        <w:rPr>
          <w:sz w:val="24"/>
        </w:rPr>
        <w:t xml:space="preserve">he </w:t>
      </w:r>
      <w:r w:rsidR="00964338" w:rsidRPr="0033077F">
        <w:rPr>
          <w:sz w:val="24"/>
        </w:rPr>
        <w:t>greater</w:t>
      </w:r>
      <w:r w:rsidRPr="0033077F">
        <w:rPr>
          <w:sz w:val="24"/>
        </w:rPr>
        <w:t xml:space="preserve"> </w:t>
      </w:r>
      <w:r w:rsidR="00964338" w:rsidRPr="0033077F">
        <w:rPr>
          <w:sz w:val="24"/>
        </w:rPr>
        <w:t xml:space="preserve">emphasis on </w:t>
      </w:r>
      <w:r w:rsidRPr="0033077F">
        <w:rPr>
          <w:sz w:val="24"/>
        </w:rPr>
        <w:t xml:space="preserve">mitigation, sharper incentives to promote preparedness and </w:t>
      </w:r>
      <w:r w:rsidR="004E3D74" w:rsidRPr="0033077F">
        <w:rPr>
          <w:sz w:val="24"/>
        </w:rPr>
        <w:t xml:space="preserve">increasing </w:t>
      </w:r>
      <w:r w:rsidRPr="0033077F">
        <w:rPr>
          <w:sz w:val="24"/>
        </w:rPr>
        <w:t xml:space="preserve">flexibility </w:t>
      </w:r>
      <w:r w:rsidR="00375603" w:rsidRPr="0033077F">
        <w:rPr>
          <w:sz w:val="24"/>
        </w:rPr>
        <w:t xml:space="preserve">for </w:t>
      </w:r>
      <w:r w:rsidR="0033077F">
        <w:rPr>
          <w:sz w:val="24"/>
        </w:rPr>
        <w:t>s</w:t>
      </w:r>
      <w:r w:rsidR="00375603" w:rsidRPr="0033077F">
        <w:rPr>
          <w:sz w:val="24"/>
        </w:rPr>
        <w:t>tate</w:t>
      </w:r>
      <w:r w:rsidR="00ED675E" w:rsidRPr="0033077F">
        <w:rPr>
          <w:sz w:val="24"/>
        </w:rPr>
        <w:t xml:space="preserve"> and local governments </w:t>
      </w:r>
      <w:r w:rsidR="004E3D74" w:rsidRPr="0033077F">
        <w:rPr>
          <w:sz w:val="24"/>
        </w:rPr>
        <w:t xml:space="preserve">in </w:t>
      </w:r>
      <w:r w:rsidR="00ED675E" w:rsidRPr="0033077F">
        <w:rPr>
          <w:sz w:val="24"/>
        </w:rPr>
        <w:t xml:space="preserve">navigating </w:t>
      </w:r>
      <w:r w:rsidR="004E3D74" w:rsidRPr="0033077F">
        <w:rPr>
          <w:sz w:val="24"/>
        </w:rPr>
        <w:t>the recovery</w:t>
      </w:r>
      <w:r w:rsidRPr="0033077F">
        <w:rPr>
          <w:sz w:val="24"/>
        </w:rPr>
        <w:t xml:space="preserve"> </w:t>
      </w:r>
      <w:r w:rsidR="004E3D74" w:rsidRPr="0033077F">
        <w:rPr>
          <w:sz w:val="24"/>
        </w:rPr>
        <w:t>process</w:t>
      </w:r>
      <w:r w:rsidR="00ED675E" w:rsidRPr="0033077F">
        <w:rPr>
          <w:sz w:val="24"/>
        </w:rPr>
        <w:t xml:space="preserve"> are</w:t>
      </w:r>
      <w:r w:rsidR="004E3D74" w:rsidRPr="0033077F">
        <w:rPr>
          <w:sz w:val="24"/>
        </w:rPr>
        <w:t xml:space="preserve"> </w:t>
      </w:r>
      <w:r w:rsidR="00FA6649" w:rsidRPr="0033077F">
        <w:rPr>
          <w:sz w:val="24"/>
        </w:rPr>
        <w:t>crucial</w:t>
      </w:r>
      <w:r w:rsidR="00375603" w:rsidRPr="0033077F">
        <w:rPr>
          <w:sz w:val="24"/>
        </w:rPr>
        <w:t>,</w:t>
      </w:r>
      <w:r w:rsidR="00ED675E" w:rsidRPr="0033077F">
        <w:rPr>
          <w:sz w:val="24"/>
        </w:rPr>
        <w:t xml:space="preserve"> creating a more effective national approach to disaster management</w:t>
      </w:r>
      <w:r w:rsidR="00964338" w:rsidRPr="0033077F">
        <w:rPr>
          <w:sz w:val="24"/>
        </w:rPr>
        <w:t xml:space="preserve">. </w:t>
      </w:r>
    </w:p>
    <w:p w:rsidR="00964338" w:rsidRDefault="00964338" w:rsidP="009D35FE">
      <w:pPr>
        <w:rPr>
          <w:szCs w:val="20"/>
        </w:rPr>
      </w:pPr>
    </w:p>
    <w:p w:rsidR="00ED675E" w:rsidRPr="00ED675E" w:rsidRDefault="00ED675E" w:rsidP="00ED675E">
      <w:pPr>
        <w:pStyle w:val="Heading3"/>
      </w:pPr>
      <w:r>
        <w:t xml:space="preserve">Mitigation </w:t>
      </w:r>
      <w:r w:rsidR="00FA6649">
        <w:t>Reform Proposals</w:t>
      </w:r>
    </w:p>
    <w:p w:rsidR="00906BD5" w:rsidRPr="0033077F" w:rsidRDefault="00964338" w:rsidP="009D35FE">
      <w:pPr>
        <w:rPr>
          <w:sz w:val="24"/>
        </w:rPr>
      </w:pPr>
      <w:r w:rsidRPr="0033077F">
        <w:rPr>
          <w:sz w:val="24"/>
        </w:rPr>
        <w:t xml:space="preserve">Natural disasters pose an ongoing and serious threat to Australia, particularly </w:t>
      </w:r>
      <w:r w:rsidR="00FA6649" w:rsidRPr="0033077F">
        <w:rPr>
          <w:sz w:val="24"/>
        </w:rPr>
        <w:t>to</w:t>
      </w:r>
      <w:r w:rsidRPr="0033077F">
        <w:rPr>
          <w:sz w:val="24"/>
        </w:rPr>
        <w:t xml:space="preserve"> highly exposed regional areas.</w:t>
      </w:r>
      <w:r w:rsidR="004E3D74" w:rsidRPr="0033077F">
        <w:rPr>
          <w:sz w:val="24"/>
        </w:rPr>
        <w:t xml:space="preserve"> While risk exposure </w:t>
      </w:r>
      <w:r w:rsidR="00ED675E" w:rsidRPr="0033077F">
        <w:rPr>
          <w:sz w:val="24"/>
        </w:rPr>
        <w:t>will</w:t>
      </w:r>
      <w:r w:rsidR="004E3D74" w:rsidRPr="0033077F">
        <w:rPr>
          <w:sz w:val="24"/>
        </w:rPr>
        <w:t xml:space="preserve"> never be eradicated, </w:t>
      </w:r>
      <w:proofErr w:type="spellStart"/>
      <w:r w:rsidR="004E3D74" w:rsidRPr="0033077F">
        <w:rPr>
          <w:sz w:val="24"/>
        </w:rPr>
        <w:t>utilising</w:t>
      </w:r>
      <w:proofErr w:type="spellEnd"/>
      <w:r w:rsidR="004E3D74" w:rsidRPr="0033077F">
        <w:rPr>
          <w:sz w:val="24"/>
        </w:rPr>
        <w:t xml:space="preserve"> mitigation to </w:t>
      </w:r>
      <w:r w:rsidR="00FA6649" w:rsidRPr="0033077F">
        <w:rPr>
          <w:sz w:val="24"/>
        </w:rPr>
        <w:t>respond to</w:t>
      </w:r>
      <w:r w:rsidR="004E3D74" w:rsidRPr="0033077F">
        <w:rPr>
          <w:sz w:val="24"/>
        </w:rPr>
        <w:t xml:space="preserve"> unacce</w:t>
      </w:r>
      <w:r w:rsidR="00ED675E" w:rsidRPr="0033077F">
        <w:rPr>
          <w:sz w:val="24"/>
        </w:rPr>
        <w:t>ptable levels of risk is vital to saving lives and reducing future costs to the nation</w:t>
      </w:r>
      <w:r w:rsidR="00375603" w:rsidRPr="0033077F">
        <w:rPr>
          <w:sz w:val="24"/>
        </w:rPr>
        <w:t>.</w:t>
      </w:r>
    </w:p>
    <w:p w:rsidR="00906BD5" w:rsidRPr="0033077F" w:rsidRDefault="00906BD5" w:rsidP="009D35FE">
      <w:pPr>
        <w:rPr>
          <w:sz w:val="24"/>
        </w:rPr>
      </w:pPr>
    </w:p>
    <w:p w:rsidR="00906BD5" w:rsidRPr="0033077F" w:rsidRDefault="00906BD5" w:rsidP="009D35FE">
      <w:pPr>
        <w:rPr>
          <w:sz w:val="24"/>
        </w:rPr>
      </w:pPr>
      <w:r w:rsidRPr="0033077F">
        <w:rPr>
          <w:sz w:val="24"/>
        </w:rPr>
        <w:t>Draft recommendation 3.2 outlines the Productivity Commission’s approach to mitigation:</w:t>
      </w:r>
    </w:p>
    <w:p w:rsidR="003D6533" w:rsidRPr="0033077F" w:rsidRDefault="003D6533" w:rsidP="003D6533">
      <w:pPr>
        <w:rPr>
          <w:sz w:val="24"/>
        </w:rPr>
      </w:pPr>
    </w:p>
    <w:p w:rsidR="00964338" w:rsidRPr="0033077F" w:rsidRDefault="003D6533" w:rsidP="003D6533">
      <w:pPr>
        <w:rPr>
          <w:i/>
          <w:sz w:val="24"/>
        </w:rPr>
      </w:pPr>
      <w:r w:rsidRPr="0033077F">
        <w:rPr>
          <w:i/>
          <w:sz w:val="24"/>
        </w:rPr>
        <w:t>If the Australian Government reduces the relief and recovery funding it provides to state and territory governments, it should increase annual mitigation expenditure gradually to $200 million, distributed to the states and territories on a per capita basis. The amount of mitigation spending could be adjusted over time to reflect the imputed ‘savings’ from reduced relief and recovery funding.</w:t>
      </w:r>
    </w:p>
    <w:p w:rsidR="003D6533" w:rsidRPr="0033077F" w:rsidRDefault="003D6533" w:rsidP="003D6533">
      <w:pPr>
        <w:rPr>
          <w:i/>
          <w:sz w:val="24"/>
        </w:rPr>
      </w:pPr>
    </w:p>
    <w:p w:rsidR="003D6533" w:rsidRPr="0033077F" w:rsidRDefault="003D6533" w:rsidP="003D6533">
      <w:pPr>
        <w:rPr>
          <w:i/>
          <w:sz w:val="24"/>
        </w:rPr>
      </w:pPr>
      <w:r w:rsidRPr="0033077F">
        <w:rPr>
          <w:i/>
          <w:sz w:val="24"/>
        </w:rPr>
        <w:t>Increased mitigation funding should be conditional on matched funding contributions from the states and territories and best-practice institutional and governance arrangements for identifying and selecting mitigation projects. These would include:</w:t>
      </w:r>
    </w:p>
    <w:p w:rsidR="003D6533" w:rsidRPr="0033077F" w:rsidRDefault="003D6533" w:rsidP="003D6533">
      <w:pPr>
        <w:pStyle w:val="ListParagraph"/>
        <w:numPr>
          <w:ilvl w:val="0"/>
          <w:numId w:val="9"/>
        </w:numPr>
        <w:rPr>
          <w:i/>
          <w:sz w:val="24"/>
        </w:rPr>
      </w:pPr>
      <w:r w:rsidRPr="0033077F">
        <w:rPr>
          <w:i/>
          <w:sz w:val="24"/>
        </w:rPr>
        <w:t>Project proposals that are supported by robust and transparent evaluations (including cost–benefit analysis and assessment of non-quantifiable impacts), consistent with National Emergency Risk Assessment Guidelines risk assessments and long-term asset management plans, and subject to public consultation and public disclosure of analysis and decisions.</w:t>
      </w:r>
    </w:p>
    <w:p w:rsidR="003D6533" w:rsidRPr="0033077F" w:rsidRDefault="003D6533" w:rsidP="003D6533">
      <w:pPr>
        <w:pStyle w:val="ListParagraph"/>
        <w:numPr>
          <w:ilvl w:val="0"/>
          <w:numId w:val="9"/>
        </w:numPr>
        <w:rPr>
          <w:i/>
          <w:sz w:val="24"/>
        </w:rPr>
      </w:pPr>
      <w:r w:rsidRPr="0033077F">
        <w:rPr>
          <w:i/>
          <w:sz w:val="24"/>
        </w:rPr>
        <w:t>Considering all alternative or complementary mitigation options (including both structural and non-structural measures).</w:t>
      </w:r>
    </w:p>
    <w:p w:rsidR="003D6533" w:rsidRPr="0033077F" w:rsidRDefault="003D6533" w:rsidP="003D6533">
      <w:pPr>
        <w:pStyle w:val="ListParagraph"/>
        <w:numPr>
          <w:ilvl w:val="0"/>
          <w:numId w:val="9"/>
        </w:numPr>
        <w:rPr>
          <w:i/>
          <w:sz w:val="24"/>
        </w:rPr>
      </w:pPr>
      <w:r w:rsidRPr="0033077F">
        <w:rPr>
          <w:i/>
          <w:sz w:val="24"/>
        </w:rPr>
        <w:t>Using private funding sources where it is feasible and efficient to do so (including charging beneficiaries).</w:t>
      </w:r>
    </w:p>
    <w:p w:rsidR="003D6533" w:rsidRPr="0033077F" w:rsidRDefault="003D6533" w:rsidP="003D6533">
      <w:pPr>
        <w:pStyle w:val="ListParagraph"/>
        <w:numPr>
          <w:ilvl w:val="0"/>
          <w:numId w:val="9"/>
        </w:numPr>
        <w:rPr>
          <w:i/>
          <w:sz w:val="24"/>
        </w:rPr>
      </w:pPr>
      <w:r w:rsidRPr="0033077F">
        <w:rPr>
          <w:i/>
          <w:sz w:val="24"/>
        </w:rPr>
        <w:t>Partnering with insurers to encourage take-up of adequate private insurance and private mitigation through measures such as improved information sharing and reduced premiums.</w:t>
      </w:r>
    </w:p>
    <w:p w:rsidR="00906BD5" w:rsidRPr="0033077F" w:rsidRDefault="00906BD5" w:rsidP="00906BD5">
      <w:pPr>
        <w:rPr>
          <w:sz w:val="24"/>
        </w:rPr>
      </w:pPr>
    </w:p>
    <w:p w:rsidR="00D04001" w:rsidRPr="0033077F" w:rsidRDefault="00906BD5" w:rsidP="00906BD5">
      <w:pPr>
        <w:rPr>
          <w:sz w:val="24"/>
        </w:rPr>
      </w:pPr>
      <w:r w:rsidRPr="0033077F">
        <w:rPr>
          <w:sz w:val="24"/>
        </w:rPr>
        <w:t xml:space="preserve">The RAI </w:t>
      </w:r>
      <w:r w:rsidR="00ED675E" w:rsidRPr="0033077F">
        <w:rPr>
          <w:sz w:val="24"/>
        </w:rPr>
        <w:t xml:space="preserve">is </w:t>
      </w:r>
      <w:r w:rsidR="00D04001" w:rsidRPr="0033077F">
        <w:rPr>
          <w:sz w:val="24"/>
        </w:rPr>
        <w:t xml:space="preserve">supportive of increasing the emphasis on mitigation. The current disaster arrangements which </w:t>
      </w:r>
      <w:proofErr w:type="spellStart"/>
      <w:r w:rsidR="00D04001" w:rsidRPr="0033077F">
        <w:rPr>
          <w:sz w:val="24"/>
        </w:rPr>
        <w:t>favour</w:t>
      </w:r>
      <w:proofErr w:type="spellEnd"/>
      <w:r w:rsidR="00D04001" w:rsidRPr="0033077F">
        <w:rPr>
          <w:sz w:val="24"/>
        </w:rPr>
        <w:t xml:space="preserve"> response and recovery are inefficient at reducing Australia’s risk exposure and </w:t>
      </w:r>
      <w:r w:rsidR="00FF5C4B" w:rsidRPr="0033077F">
        <w:rPr>
          <w:sz w:val="24"/>
        </w:rPr>
        <w:t>are</w:t>
      </w:r>
      <w:r w:rsidR="00D04001" w:rsidRPr="0033077F">
        <w:rPr>
          <w:sz w:val="24"/>
        </w:rPr>
        <w:t xml:space="preserve"> incurring increasing costs. </w:t>
      </w:r>
    </w:p>
    <w:p w:rsidR="00D04001" w:rsidRPr="0033077F" w:rsidRDefault="00D04001" w:rsidP="00906BD5">
      <w:pPr>
        <w:rPr>
          <w:sz w:val="24"/>
        </w:rPr>
      </w:pPr>
    </w:p>
    <w:p w:rsidR="00D04001" w:rsidRPr="0033077F" w:rsidRDefault="00D04001" w:rsidP="00906BD5">
      <w:pPr>
        <w:rPr>
          <w:sz w:val="24"/>
        </w:rPr>
      </w:pPr>
      <w:r w:rsidRPr="0033077F">
        <w:rPr>
          <w:sz w:val="24"/>
        </w:rPr>
        <w:t xml:space="preserve">We do however recommend that the Productivity Commission </w:t>
      </w:r>
      <w:r w:rsidR="00FF5C4B" w:rsidRPr="0033077F">
        <w:rPr>
          <w:sz w:val="24"/>
        </w:rPr>
        <w:t>articulates</w:t>
      </w:r>
      <w:r w:rsidRPr="0033077F">
        <w:rPr>
          <w:sz w:val="24"/>
        </w:rPr>
        <w:t xml:space="preserve"> how it </w:t>
      </w:r>
      <w:r w:rsidR="00FA6649" w:rsidRPr="0033077F">
        <w:rPr>
          <w:sz w:val="24"/>
        </w:rPr>
        <w:t>arrived at</w:t>
      </w:r>
      <w:r w:rsidRPr="0033077F">
        <w:rPr>
          <w:sz w:val="24"/>
        </w:rPr>
        <w:t xml:space="preserve"> the proposed figure of $200 million</w:t>
      </w:r>
      <w:r w:rsidR="00FF5C4B" w:rsidRPr="0033077F">
        <w:rPr>
          <w:sz w:val="24"/>
        </w:rPr>
        <w:t xml:space="preserve"> for annual mitigation expenditure</w:t>
      </w:r>
      <w:r w:rsidR="00D46433">
        <w:rPr>
          <w:sz w:val="24"/>
        </w:rPr>
        <w:t xml:space="preserve">. </w:t>
      </w:r>
      <w:r w:rsidRPr="0033077F">
        <w:rPr>
          <w:sz w:val="24"/>
        </w:rPr>
        <w:t xml:space="preserve">There is likely to be ongoing debate about this amount and providing a </w:t>
      </w:r>
      <w:r w:rsidR="00FA6649" w:rsidRPr="0033077F">
        <w:rPr>
          <w:sz w:val="24"/>
        </w:rPr>
        <w:t>clear rationale for this recommendation</w:t>
      </w:r>
      <w:r w:rsidRPr="0033077F">
        <w:rPr>
          <w:sz w:val="24"/>
        </w:rPr>
        <w:t xml:space="preserve"> will be important. If </w:t>
      </w:r>
      <w:r w:rsidRPr="0033077F">
        <w:rPr>
          <w:sz w:val="24"/>
        </w:rPr>
        <w:lastRenderedPageBreak/>
        <w:t xml:space="preserve">possible, it would also be advantageous if the Productivity Commission could </w:t>
      </w:r>
      <w:r w:rsidR="001B66C8" w:rsidRPr="0033077F">
        <w:rPr>
          <w:sz w:val="24"/>
        </w:rPr>
        <w:t>provide</w:t>
      </w:r>
      <w:r w:rsidRPr="0033077F">
        <w:rPr>
          <w:sz w:val="24"/>
        </w:rPr>
        <w:t xml:space="preserve"> an overview </w:t>
      </w:r>
      <w:r w:rsidR="001B66C8" w:rsidRPr="0033077F">
        <w:rPr>
          <w:sz w:val="24"/>
        </w:rPr>
        <w:t>of what it would see as grounds for increasing or decreasing this figure over time.</w:t>
      </w:r>
    </w:p>
    <w:p w:rsidR="00D04001" w:rsidRPr="0033077F" w:rsidRDefault="00ED675E" w:rsidP="00906BD5">
      <w:pPr>
        <w:rPr>
          <w:sz w:val="24"/>
        </w:rPr>
      </w:pPr>
      <w:r w:rsidRPr="0033077F">
        <w:rPr>
          <w:sz w:val="24"/>
        </w:rPr>
        <w:t xml:space="preserve"> </w:t>
      </w:r>
    </w:p>
    <w:p w:rsidR="00ED675E" w:rsidRPr="0033077F" w:rsidRDefault="00ED675E" w:rsidP="00906BD5">
      <w:pPr>
        <w:rPr>
          <w:sz w:val="24"/>
        </w:rPr>
      </w:pPr>
      <w:r w:rsidRPr="0033077F">
        <w:rPr>
          <w:sz w:val="24"/>
        </w:rPr>
        <w:t>We would</w:t>
      </w:r>
      <w:r w:rsidR="00FA6649" w:rsidRPr="0033077F">
        <w:rPr>
          <w:sz w:val="24"/>
        </w:rPr>
        <w:t xml:space="preserve"> also</w:t>
      </w:r>
      <w:r w:rsidRPr="0033077F">
        <w:rPr>
          <w:sz w:val="24"/>
        </w:rPr>
        <w:t xml:space="preserve"> encourage</w:t>
      </w:r>
      <w:r w:rsidR="00906BD5" w:rsidRPr="0033077F">
        <w:rPr>
          <w:sz w:val="24"/>
        </w:rPr>
        <w:t xml:space="preserve"> the Productivity Commission</w:t>
      </w:r>
      <w:r w:rsidR="00FF5C4B" w:rsidRPr="0033077F">
        <w:rPr>
          <w:sz w:val="24"/>
        </w:rPr>
        <w:t xml:space="preserve"> </w:t>
      </w:r>
      <w:r w:rsidR="00906BD5" w:rsidRPr="0033077F">
        <w:rPr>
          <w:sz w:val="24"/>
        </w:rPr>
        <w:t xml:space="preserve">to provide a </w:t>
      </w:r>
      <w:r w:rsidRPr="0033077F">
        <w:rPr>
          <w:sz w:val="24"/>
        </w:rPr>
        <w:t xml:space="preserve">more </w:t>
      </w:r>
      <w:r w:rsidR="00906BD5" w:rsidRPr="0033077F">
        <w:rPr>
          <w:sz w:val="24"/>
        </w:rPr>
        <w:t xml:space="preserve">detailed policy </w:t>
      </w:r>
      <w:r w:rsidR="00FF5C4B" w:rsidRPr="0033077F">
        <w:rPr>
          <w:sz w:val="24"/>
        </w:rPr>
        <w:t>design recommendation</w:t>
      </w:r>
      <w:r w:rsidR="00D36FD5" w:rsidRPr="0033077F">
        <w:rPr>
          <w:sz w:val="24"/>
        </w:rPr>
        <w:t xml:space="preserve"> for the Australian Government to </w:t>
      </w:r>
      <w:r w:rsidR="00FA6649" w:rsidRPr="0033077F">
        <w:rPr>
          <w:sz w:val="24"/>
        </w:rPr>
        <w:t>follow</w:t>
      </w:r>
      <w:r w:rsidRPr="0033077F">
        <w:rPr>
          <w:sz w:val="24"/>
        </w:rPr>
        <w:t xml:space="preserve"> in implementing future mitigation spending.</w:t>
      </w:r>
      <w:r w:rsidR="00FA6649" w:rsidRPr="0033077F">
        <w:rPr>
          <w:sz w:val="24"/>
        </w:rPr>
        <w:t xml:space="preserve"> Designing and implementing these programs will be challenging and </w:t>
      </w:r>
      <w:r w:rsidR="00FF5C4B" w:rsidRPr="0033077F">
        <w:rPr>
          <w:sz w:val="24"/>
        </w:rPr>
        <w:t>any</w:t>
      </w:r>
      <w:r w:rsidR="00FA6649" w:rsidRPr="0033077F">
        <w:rPr>
          <w:sz w:val="24"/>
        </w:rPr>
        <w:t xml:space="preserve"> guidance will be helpful. The </w:t>
      </w:r>
      <w:proofErr w:type="gramStart"/>
      <w:r w:rsidR="00FA6649" w:rsidRPr="0033077F">
        <w:rPr>
          <w:sz w:val="24"/>
        </w:rPr>
        <w:t xml:space="preserve">types of outcomes sought </w:t>
      </w:r>
      <w:r w:rsidR="00D46433">
        <w:rPr>
          <w:sz w:val="24"/>
        </w:rPr>
        <w:t>is</w:t>
      </w:r>
      <w:proofErr w:type="gramEnd"/>
      <w:r w:rsidR="00FA6649" w:rsidRPr="0033077F">
        <w:rPr>
          <w:sz w:val="24"/>
        </w:rPr>
        <w:t xml:space="preserve"> one area when the draft report is silent. </w:t>
      </w:r>
    </w:p>
    <w:p w:rsidR="00ED675E" w:rsidRPr="0033077F" w:rsidRDefault="00ED675E" w:rsidP="00906BD5">
      <w:pPr>
        <w:rPr>
          <w:sz w:val="24"/>
        </w:rPr>
      </w:pPr>
    </w:p>
    <w:p w:rsidR="00906BD5" w:rsidRPr="0033077F" w:rsidRDefault="00906BD5" w:rsidP="00906BD5">
      <w:pPr>
        <w:rPr>
          <w:sz w:val="24"/>
        </w:rPr>
      </w:pPr>
      <w:r w:rsidRPr="0033077F">
        <w:rPr>
          <w:sz w:val="24"/>
        </w:rPr>
        <w:t>The RAI would also encourage the Productivity Commission to provide greater detail about how mitigation projects</w:t>
      </w:r>
      <w:r w:rsidR="00ED675E" w:rsidRPr="0033077F">
        <w:rPr>
          <w:sz w:val="24"/>
        </w:rPr>
        <w:t xml:space="preserve"> would be propose</w:t>
      </w:r>
      <w:r w:rsidR="00FA6649" w:rsidRPr="0033077F">
        <w:rPr>
          <w:sz w:val="24"/>
        </w:rPr>
        <w:t>d</w:t>
      </w:r>
      <w:r w:rsidR="00ED675E" w:rsidRPr="0033077F">
        <w:rPr>
          <w:sz w:val="24"/>
        </w:rPr>
        <w:t xml:space="preserve"> and selected</w:t>
      </w:r>
      <w:r w:rsidR="00DF443C" w:rsidRPr="0033077F">
        <w:rPr>
          <w:sz w:val="24"/>
        </w:rPr>
        <w:t>. The Australia</w:t>
      </w:r>
      <w:r w:rsidR="00FA6649" w:rsidRPr="0033077F">
        <w:rPr>
          <w:sz w:val="24"/>
        </w:rPr>
        <w:t>n</w:t>
      </w:r>
      <w:r w:rsidR="00DF443C" w:rsidRPr="0033077F">
        <w:rPr>
          <w:sz w:val="24"/>
        </w:rPr>
        <w:t xml:space="preserve"> Government has less experience in </w:t>
      </w:r>
      <w:r w:rsidR="00ED675E" w:rsidRPr="0033077F">
        <w:rPr>
          <w:sz w:val="24"/>
        </w:rPr>
        <w:t>designing and de</w:t>
      </w:r>
      <w:r w:rsidR="00DF443C" w:rsidRPr="0033077F">
        <w:rPr>
          <w:sz w:val="24"/>
        </w:rPr>
        <w:t>livering these types of programs compared with</w:t>
      </w:r>
      <w:r w:rsidR="00ED675E" w:rsidRPr="0033077F">
        <w:rPr>
          <w:sz w:val="24"/>
        </w:rPr>
        <w:t xml:space="preserve"> managing recovery expenditure. </w:t>
      </w:r>
    </w:p>
    <w:p w:rsidR="00906BD5" w:rsidRPr="0033077F" w:rsidRDefault="00906BD5" w:rsidP="00906BD5">
      <w:pPr>
        <w:rPr>
          <w:sz w:val="24"/>
        </w:rPr>
      </w:pPr>
    </w:p>
    <w:p w:rsidR="00D46433" w:rsidRDefault="007B6ADE" w:rsidP="009D35FE">
      <w:pPr>
        <w:rPr>
          <w:sz w:val="24"/>
        </w:rPr>
      </w:pPr>
      <w:r w:rsidRPr="0033077F">
        <w:rPr>
          <w:sz w:val="24"/>
        </w:rPr>
        <w:t xml:space="preserve">The </w:t>
      </w:r>
      <w:r w:rsidR="00D36FD5" w:rsidRPr="0033077F">
        <w:rPr>
          <w:sz w:val="24"/>
        </w:rPr>
        <w:t xml:space="preserve">RAI has reservations about </w:t>
      </w:r>
      <w:r w:rsidRPr="0033077F">
        <w:rPr>
          <w:sz w:val="24"/>
        </w:rPr>
        <w:t xml:space="preserve">the distribution of </w:t>
      </w:r>
      <w:r w:rsidR="00843CA7" w:rsidRPr="0033077F">
        <w:rPr>
          <w:sz w:val="24"/>
        </w:rPr>
        <w:t xml:space="preserve">mitigation </w:t>
      </w:r>
      <w:r w:rsidRPr="0033077F">
        <w:rPr>
          <w:sz w:val="24"/>
        </w:rPr>
        <w:t>funding on a per capita basis. This approach fails to consider the varying levels of risk people are exposed to across the country</w:t>
      </w:r>
      <w:r w:rsidR="007728A4" w:rsidRPr="0033077F">
        <w:rPr>
          <w:sz w:val="24"/>
        </w:rPr>
        <w:t>. For example, Figure 1 shows disaster declared areas between November 2010 and February 2011. Although this does not show the level of risk different areas are exposed to</w:t>
      </w:r>
      <w:r w:rsidR="00375603" w:rsidRPr="0033077F">
        <w:rPr>
          <w:sz w:val="24"/>
        </w:rPr>
        <w:t>,</w:t>
      </w:r>
      <w:r w:rsidR="007728A4" w:rsidRPr="0033077F">
        <w:rPr>
          <w:sz w:val="24"/>
        </w:rPr>
        <w:t xml:space="preserve"> it clear</w:t>
      </w:r>
      <w:r w:rsidR="00991A2A" w:rsidRPr="0033077F">
        <w:rPr>
          <w:sz w:val="24"/>
        </w:rPr>
        <w:t>ly</w:t>
      </w:r>
      <w:r w:rsidR="007728A4" w:rsidRPr="0033077F">
        <w:rPr>
          <w:sz w:val="24"/>
        </w:rPr>
        <w:t xml:space="preserve"> demonstrates </w:t>
      </w:r>
      <w:r w:rsidR="00991A2A" w:rsidRPr="0033077F">
        <w:rPr>
          <w:sz w:val="24"/>
        </w:rPr>
        <w:t xml:space="preserve">the </w:t>
      </w:r>
      <w:r w:rsidR="007728A4" w:rsidRPr="0033077F">
        <w:rPr>
          <w:sz w:val="24"/>
        </w:rPr>
        <w:t xml:space="preserve">varying levels of exposure in different geographical areas. </w:t>
      </w:r>
      <w:r w:rsidR="009C57B5" w:rsidRPr="0033077F">
        <w:rPr>
          <w:sz w:val="24"/>
        </w:rPr>
        <w:t>M</w:t>
      </w:r>
      <w:r w:rsidR="00ED675E" w:rsidRPr="0033077F">
        <w:rPr>
          <w:sz w:val="24"/>
        </w:rPr>
        <w:t xml:space="preserve">itigation expenditure </w:t>
      </w:r>
      <w:r w:rsidR="009C57B5" w:rsidRPr="0033077F">
        <w:rPr>
          <w:sz w:val="24"/>
        </w:rPr>
        <w:t>should be distributed</w:t>
      </w:r>
      <w:r w:rsidR="00ED675E" w:rsidRPr="0033077F">
        <w:rPr>
          <w:sz w:val="24"/>
        </w:rPr>
        <w:t xml:space="preserve"> </w:t>
      </w:r>
      <w:r w:rsidR="009C57B5" w:rsidRPr="0033077F">
        <w:rPr>
          <w:sz w:val="24"/>
        </w:rPr>
        <w:t>to where it is most needed</w:t>
      </w:r>
      <w:r w:rsidR="003B70B1" w:rsidRPr="0033077F">
        <w:rPr>
          <w:sz w:val="24"/>
        </w:rPr>
        <w:t xml:space="preserve">. Equitable division to the states </w:t>
      </w:r>
      <w:r w:rsidR="009C57B5" w:rsidRPr="0033077F">
        <w:rPr>
          <w:sz w:val="24"/>
        </w:rPr>
        <w:t>as a way of easing</w:t>
      </w:r>
      <w:r w:rsidR="00ED675E" w:rsidRPr="0033077F">
        <w:rPr>
          <w:sz w:val="24"/>
        </w:rPr>
        <w:t xml:space="preserve"> </w:t>
      </w:r>
    </w:p>
    <w:p w:rsidR="007728A4" w:rsidRDefault="00ED675E" w:rsidP="009D35FE">
      <w:pPr>
        <w:rPr>
          <w:sz w:val="24"/>
        </w:rPr>
      </w:pPr>
      <w:proofErr w:type="gramStart"/>
      <w:r w:rsidRPr="0033077F">
        <w:rPr>
          <w:sz w:val="24"/>
        </w:rPr>
        <w:t>intergov</w:t>
      </w:r>
      <w:r w:rsidR="003B70B1" w:rsidRPr="0033077F">
        <w:rPr>
          <w:sz w:val="24"/>
        </w:rPr>
        <w:t>ernmental</w:t>
      </w:r>
      <w:proofErr w:type="gramEnd"/>
      <w:r w:rsidR="003B70B1" w:rsidRPr="0033077F">
        <w:rPr>
          <w:sz w:val="24"/>
        </w:rPr>
        <w:t xml:space="preserve"> tension </w:t>
      </w:r>
      <w:r w:rsidR="00FF5C4B" w:rsidRPr="0033077F">
        <w:rPr>
          <w:sz w:val="24"/>
        </w:rPr>
        <w:t>is</w:t>
      </w:r>
      <w:r w:rsidR="00FA6649" w:rsidRPr="0033077F">
        <w:rPr>
          <w:sz w:val="24"/>
        </w:rPr>
        <w:t xml:space="preserve"> unlikely to </w:t>
      </w:r>
      <w:r w:rsidR="003B70B1" w:rsidRPr="0033077F">
        <w:rPr>
          <w:sz w:val="24"/>
        </w:rPr>
        <w:t xml:space="preserve">achieve optimal outcomes. </w:t>
      </w:r>
    </w:p>
    <w:p w:rsidR="00D46433" w:rsidRDefault="00D46433" w:rsidP="009D35FE">
      <w:pPr>
        <w:rPr>
          <w:sz w:val="24"/>
        </w:rPr>
      </w:pPr>
    </w:p>
    <w:p w:rsidR="00D46433" w:rsidRPr="007728A4" w:rsidRDefault="00D46433" w:rsidP="00D46433">
      <w:pPr>
        <w:spacing w:line="240" w:lineRule="auto"/>
        <w:jc w:val="center"/>
        <w:rPr>
          <w:i/>
          <w:szCs w:val="20"/>
          <w:lang w:val="en-AU"/>
        </w:rPr>
      </w:pPr>
      <w:r w:rsidRPr="007728A4">
        <w:rPr>
          <w:i/>
          <w:szCs w:val="20"/>
          <w:lang w:val="en-AU"/>
        </w:rPr>
        <w:t>Figure 1: Map of Disaster declared LGAs November 2010-February 2011</w:t>
      </w:r>
    </w:p>
    <w:p w:rsidR="00D46433" w:rsidRPr="0033077F" w:rsidRDefault="00D46433" w:rsidP="009D35FE">
      <w:pPr>
        <w:rPr>
          <w:sz w:val="24"/>
        </w:rPr>
      </w:pPr>
    </w:p>
    <w:p w:rsidR="007728A4" w:rsidRPr="00D36FD5" w:rsidRDefault="007728A4" w:rsidP="009D35FE">
      <w:pPr>
        <w:rPr>
          <w:szCs w:val="20"/>
        </w:rPr>
      </w:pPr>
    </w:p>
    <w:p w:rsidR="007728A4" w:rsidRPr="007728A4" w:rsidRDefault="007728A4" w:rsidP="007728A4">
      <w:pPr>
        <w:spacing w:line="240" w:lineRule="auto"/>
        <w:rPr>
          <w:sz w:val="24"/>
          <w:lang w:val="en-AU"/>
        </w:rPr>
      </w:pPr>
      <w:r w:rsidRPr="007728A4">
        <w:rPr>
          <w:noProof/>
          <w:sz w:val="24"/>
          <w:lang w:val="en-AU" w:eastAsia="en-AU"/>
        </w:rPr>
        <w:drawing>
          <wp:inline distT="0" distB="0" distL="0" distR="0" wp14:anchorId="60CDD77C" wp14:editId="53D0A8E8">
            <wp:extent cx="6321115" cy="26003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5317" cy="2602054"/>
                    </a:xfrm>
                    <a:prstGeom prst="rect">
                      <a:avLst/>
                    </a:prstGeom>
                    <a:noFill/>
                    <a:ln>
                      <a:noFill/>
                    </a:ln>
                  </pic:spPr>
                </pic:pic>
              </a:graphicData>
            </a:graphic>
          </wp:inline>
        </w:drawing>
      </w:r>
    </w:p>
    <w:p w:rsidR="007728A4" w:rsidRPr="007728A4" w:rsidRDefault="007728A4" w:rsidP="007728A4">
      <w:pPr>
        <w:spacing w:line="240" w:lineRule="auto"/>
        <w:rPr>
          <w:sz w:val="24"/>
          <w:lang w:val="en-AU"/>
        </w:rPr>
      </w:pPr>
    </w:p>
    <w:p w:rsidR="007728A4" w:rsidRPr="007728A4" w:rsidRDefault="00D46433" w:rsidP="007728A4">
      <w:pPr>
        <w:spacing w:line="240" w:lineRule="auto"/>
        <w:rPr>
          <w:i/>
          <w:szCs w:val="20"/>
          <w:lang w:val="en-AU"/>
        </w:rPr>
      </w:pPr>
      <w:r>
        <w:rPr>
          <w:i/>
          <w:szCs w:val="20"/>
          <w:lang w:val="en-AU"/>
        </w:rPr>
        <w:t xml:space="preserve">Source: </w:t>
      </w:r>
      <w:r w:rsidR="007728A4" w:rsidRPr="007728A4">
        <w:rPr>
          <w:i/>
          <w:szCs w:val="20"/>
          <w:lang w:val="en-AU"/>
        </w:rPr>
        <w:t>Budget Overview, May 2011</w:t>
      </w:r>
    </w:p>
    <w:p w:rsidR="007728A4" w:rsidRDefault="007728A4" w:rsidP="009D35FE">
      <w:pPr>
        <w:rPr>
          <w:sz w:val="24"/>
        </w:rPr>
      </w:pPr>
    </w:p>
    <w:p w:rsidR="00D36FD5" w:rsidRPr="0033077F" w:rsidRDefault="007728A4" w:rsidP="009D35FE">
      <w:pPr>
        <w:rPr>
          <w:sz w:val="24"/>
        </w:rPr>
      </w:pPr>
      <w:r w:rsidRPr="0033077F">
        <w:rPr>
          <w:sz w:val="24"/>
        </w:rPr>
        <w:t>The distribu</w:t>
      </w:r>
      <w:r w:rsidR="009C57B5" w:rsidRPr="0033077F">
        <w:rPr>
          <w:sz w:val="24"/>
        </w:rPr>
        <w:t>tion of funding at a per capita</w:t>
      </w:r>
      <w:r w:rsidRPr="0033077F">
        <w:rPr>
          <w:sz w:val="24"/>
        </w:rPr>
        <w:t xml:space="preserve"> basis</w:t>
      </w:r>
      <w:r w:rsidR="00A56D76" w:rsidRPr="0033077F">
        <w:rPr>
          <w:sz w:val="24"/>
        </w:rPr>
        <w:t xml:space="preserve"> risks</w:t>
      </w:r>
      <w:r w:rsidRPr="0033077F">
        <w:rPr>
          <w:sz w:val="24"/>
        </w:rPr>
        <w:t xml:space="preserve"> </w:t>
      </w:r>
      <w:r w:rsidR="00A56D76" w:rsidRPr="0033077F">
        <w:rPr>
          <w:sz w:val="24"/>
        </w:rPr>
        <w:t>limiting</w:t>
      </w:r>
      <w:r w:rsidR="0069226B" w:rsidRPr="0033077F">
        <w:rPr>
          <w:sz w:val="24"/>
        </w:rPr>
        <w:t xml:space="preserve"> the pool of </w:t>
      </w:r>
      <w:r w:rsidR="0052705B" w:rsidRPr="0033077F">
        <w:rPr>
          <w:sz w:val="24"/>
        </w:rPr>
        <w:t>resources</w:t>
      </w:r>
      <w:r w:rsidR="0069226B" w:rsidRPr="0033077F">
        <w:rPr>
          <w:sz w:val="24"/>
        </w:rPr>
        <w:t xml:space="preserve"> available to </w:t>
      </w:r>
      <w:r w:rsidR="0052705B" w:rsidRPr="0033077F">
        <w:rPr>
          <w:sz w:val="24"/>
        </w:rPr>
        <w:t xml:space="preserve">different mitigation projects. </w:t>
      </w:r>
      <w:r w:rsidR="00A56D76" w:rsidRPr="0033077F">
        <w:rPr>
          <w:sz w:val="24"/>
        </w:rPr>
        <w:t xml:space="preserve">The Productivity Commission should consider whether this approach will provide a foundation for larger scale mitigation projects in areas </w:t>
      </w:r>
      <w:r w:rsidR="00D46433">
        <w:rPr>
          <w:sz w:val="24"/>
        </w:rPr>
        <w:t>exposed</w:t>
      </w:r>
      <w:r w:rsidR="00A56D76" w:rsidRPr="0033077F">
        <w:rPr>
          <w:sz w:val="24"/>
        </w:rPr>
        <w:t xml:space="preserve"> to the highest levels of risk, where higher levels of relative benefit can be demonstrated.</w:t>
      </w:r>
    </w:p>
    <w:p w:rsidR="009C57B5" w:rsidRPr="0033077F" w:rsidRDefault="009C57B5" w:rsidP="009D35FE">
      <w:pPr>
        <w:rPr>
          <w:sz w:val="24"/>
        </w:rPr>
      </w:pPr>
    </w:p>
    <w:p w:rsidR="004E3D74" w:rsidRPr="0033077F" w:rsidRDefault="00D36FD5" w:rsidP="009D35FE">
      <w:pPr>
        <w:rPr>
          <w:sz w:val="24"/>
        </w:rPr>
      </w:pPr>
      <w:r w:rsidRPr="0033077F">
        <w:rPr>
          <w:sz w:val="24"/>
        </w:rPr>
        <w:lastRenderedPageBreak/>
        <w:t xml:space="preserve">A centrally-located single pool of funding distributed based on the relative risk exposure of different communities </w:t>
      </w:r>
      <w:r w:rsidR="009C57B5" w:rsidRPr="0033077F">
        <w:rPr>
          <w:sz w:val="24"/>
        </w:rPr>
        <w:t>should be considered</w:t>
      </w:r>
      <w:r w:rsidRPr="0033077F">
        <w:rPr>
          <w:sz w:val="24"/>
        </w:rPr>
        <w:t xml:space="preserve">. </w:t>
      </w:r>
      <w:r w:rsidR="009C57B5" w:rsidRPr="0033077F">
        <w:rPr>
          <w:sz w:val="24"/>
        </w:rPr>
        <w:t>T</w:t>
      </w:r>
      <w:r w:rsidRPr="0033077F">
        <w:rPr>
          <w:sz w:val="24"/>
        </w:rPr>
        <w:t xml:space="preserve">his model would be more likely to </w:t>
      </w:r>
      <w:r w:rsidR="00991A2A" w:rsidRPr="0033077F">
        <w:rPr>
          <w:sz w:val="24"/>
        </w:rPr>
        <w:t>direct funding</w:t>
      </w:r>
      <w:r w:rsidRPr="0033077F">
        <w:rPr>
          <w:sz w:val="24"/>
        </w:rPr>
        <w:t xml:space="preserve"> towards area</w:t>
      </w:r>
      <w:r w:rsidR="009C57B5" w:rsidRPr="0033077F">
        <w:rPr>
          <w:sz w:val="24"/>
        </w:rPr>
        <w:t>s where it will have the greatest benefits of protecting Australian</w:t>
      </w:r>
      <w:r w:rsidR="00FA6649" w:rsidRPr="0033077F">
        <w:rPr>
          <w:sz w:val="24"/>
        </w:rPr>
        <w:t>s</w:t>
      </w:r>
      <w:r w:rsidR="009C57B5" w:rsidRPr="0033077F">
        <w:rPr>
          <w:sz w:val="24"/>
        </w:rPr>
        <w:t xml:space="preserve"> and reducing costs over time. </w:t>
      </w:r>
    </w:p>
    <w:p w:rsidR="009C57B5" w:rsidRPr="0033077F" w:rsidRDefault="009C57B5" w:rsidP="009D35FE">
      <w:pPr>
        <w:rPr>
          <w:sz w:val="24"/>
        </w:rPr>
      </w:pPr>
    </w:p>
    <w:p w:rsidR="006765F6" w:rsidRPr="009C57B5" w:rsidRDefault="009C57B5" w:rsidP="009C57B5">
      <w:pPr>
        <w:pStyle w:val="Heading3"/>
      </w:pPr>
      <w:r>
        <w:t xml:space="preserve">Relief and Recovery </w:t>
      </w:r>
      <w:r w:rsidR="00FA6649">
        <w:t xml:space="preserve">Reform Proposals </w:t>
      </w:r>
    </w:p>
    <w:p w:rsidR="006765F6" w:rsidRPr="0033077F" w:rsidRDefault="006765F6" w:rsidP="009D35FE">
      <w:pPr>
        <w:rPr>
          <w:sz w:val="24"/>
        </w:rPr>
      </w:pPr>
      <w:r w:rsidRPr="0033077F">
        <w:rPr>
          <w:sz w:val="24"/>
        </w:rPr>
        <w:t>The Productivity Commission’s proposed changes to the Natural Disaster Relief and Recovery Arrangements are outlined in draft recommendation</w:t>
      </w:r>
      <w:r w:rsidR="00991A2A" w:rsidRPr="0033077F">
        <w:rPr>
          <w:sz w:val="24"/>
        </w:rPr>
        <w:t xml:space="preserve"> 3.1</w:t>
      </w:r>
      <w:r w:rsidRPr="0033077F">
        <w:rPr>
          <w:sz w:val="24"/>
        </w:rPr>
        <w:t>:</w:t>
      </w:r>
    </w:p>
    <w:p w:rsidR="006765F6" w:rsidRPr="0033077F" w:rsidRDefault="006765F6" w:rsidP="009D35FE">
      <w:pPr>
        <w:rPr>
          <w:sz w:val="24"/>
        </w:rPr>
      </w:pPr>
    </w:p>
    <w:p w:rsidR="006765F6" w:rsidRPr="0033077F" w:rsidRDefault="006765F6" w:rsidP="009D35FE">
      <w:pPr>
        <w:rPr>
          <w:i/>
          <w:sz w:val="24"/>
        </w:rPr>
      </w:pPr>
      <w:r w:rsidRPr="0033077F">
        <w:rPr>
          <w:i/>
          <w:sz w:val="24"/>
        </w:rPr>
        <w:t>The Australian Government should:</w:t>
      </w:r>
    </w:p>
    <w:p w:rsidR="006765F6" w:rsidRPr="0033077F" w:rsidRDefault="006765F6" w:rsidP="006765F6">
      <w:pPr>
        <w:pStyle w:val="ListParagraph"/>
        <w:numPr>
          <w:ilvl w:val="0"/>
          <w:numId w:val="10"/>
        </w:numPr>
        <w:rPr>
          <w:i/>
          <w:sz w:val="24"/>
        </w:rPr>
      </w:pPr>
      <w:r w:rsidRPr="0033077F">
        <w:rPr>
          <w:i/>
          <w:sz w:val="24"/>
        </w:rPr>
        <w:t>Reduce its marginal cost sharing contribution rate to disaster recovery outlays to 50 percent under the natural Disaster Relief and Recovery Arrangements.</w:t>
      </w:r>
    </w:p>
    <w:p w:rsidR="006765F6" w:rsidRPr="0033077F" w:rsidRDefault="006765F6" w:rsidP="006765F6">
      <w:pPr>
        <w:pStyle w:val="ListParagraph"/>
        <w:numPr>
          <w:ilvl w:val="0"/>
          <w:numId w:val="10"/>
        </w:numPr>
        <w:rPr>
          <w:i/>
          <w:sz w:val="24"/>
        </w:rPr>
      </w:pPr>
      <w:r w:rsidRPr="0033077F">
        <w:rPr>
          <w:i/>
          <w:sz w:val="24"/>
        </w:rPr>
        <w:t>Increase the triggers for Australian Government assistance (small disaster criterion and annual expenditure threshold).</w:t>
      </w:r>
    </w:p>
    <w:p w:rsidR="006765F6" w:rsidRPr="0033077F" w:rsidRDefault="006765F6" w:rsidP="006765F6">
      <w:pPr>
        <w:rPr>
          <w:i/>
          <w:sz w:val="24"/>
        </w:rPr>
      </w:pPr>
    </w:p>
    <w:p w:rsidR="006765F6" w:rsidRPr="0033077F" w:rsidRDefault="006765F6" w:rsidP="006765F6">
      <w:pPr>
        <w:rPr>
          <w:i/>
          <w:sz w:val="24"/>
        </w:rPr>
      </w:pPr>
      <w:r w:rsidRPr="0033077F">
        <w:rPr>
          <w:i/>
          <w:sz w:val="24"/>
        </w:rPr>
        <w:t xml:space="preserve">In conjunction with this reduction in funding assistance, the Australian Government should provide state and territory governments with increased autonomy to manage relief and recovery expenditure in a way that reflects the preferences and characteristics of their communities. </w:t>
      </w:r>
    </w:p>
    <w:p w:rsidR="00D36FD5" w:rsidRPr="0033077F" w:rsidRDefault="00D36FD5" w:rsidP="009D35FE">
      <w:pPr>
        <w:rPr>
          <w:sz w:val="24"/>
        </w:rPr>
      </w:pPr>
    </w:p>
    <w:p w:rsidR="0084389A" w:rsidRPr="0033077F" w:rsidRDefault="0084389A" w:rsidP="009D35FE">
      <w:pPr>
        <w:rPr>
          <w:sz w:val="24"/>
        </w:rPr>
      </w:pPr>
      <w:r w:rsidRPr="0033077F">
        <w:rPr>
          <w:sz w:val="24"/>
        </w:rPr>
        <w:t>As outline</w:t>
      </w:r>
      <w:r w:rsidR="00FA6649" w:rsidRPr="0033077F">
        <w:rPr>
          <w:sz w:val="24"/>
        </w:rPr>
        <w:t>d</w:t>
      </w:r>
      <w:r w:rsidRPr="0033077F">
        <w:rPr>
          <w:sz w:val="24"/>
        </w:rPr>
        <w:t xml:space="preserve"> in the RAI’s initial submission on </w:t>
      </w:r>
      <w:r w:rsidRPr="0033077F">
        <w:rPr>
          <w:i/>
          <w:sz w:val="24"/>
        </w:rPr>
        <w:t>Natural Disaster Funding Arrangements</w:t>
      </w:r>
      <w:r w:rsidRPr="0033077F">
        <w:rPr>
          <w:sz w:val="24"/>
        </w:rPr>
        <w:t>, decreasing Australia’s risk exposure requires a rebalancing of expenditure and effort towards mitigation. This, to some extent, will be at the expens</w:t>
      </w:r>
      <w:r w:rsidR="00FA6649" w:rsidRPr="0033077F">
        <w:rPr>
          <w:sz w:val="24"/>
        </w:rPr>
        <w:t>e of recovery. Therefore the RAI</w:t>
      </w:r>
      <w:r w:rsidRPr="0033077F">
        <w:rPr>
          <w:sz w:val="24"/>
        </w:rPr>
        <w:t xml:space="preserve"> views the reduction in the </w:t>
      </w:r>
      <w:r w:rsidR="0051390B" w:rsidRPr="0033077F">
        <w:rPr>
          <w:sz w:val="24"/>
        </w:rPr>
        <w:t>Australian Government’s</w:t>
      </w:r>
      <w:r w:rsidR="00991A2A" w:rsidRPr="0033077F">
        <w:rPr>
          <w:sz w:val="24"/>
        </w:rPr>
        <w:t xml:space="preserve"> current</w:t>
      </w:r>
      <w:r w:rsidR="0051390B" w:rsidRPr="0033077F">
        <w:rPr>
          <w:sz w:val="24"/>
        </w:rPr>
        <w:t xml:space="preserve"> 75 per cent contribution to </w:t>
      </w:r>
      <w:r w:rsidR="00991A2A" w:rsidRPr="0033077F">
        <w:rPr>
          <w:sz w:val="24"/>
        </w:rPr>
        <w:t>natural disaster recovery</w:t>
      </w:r>
      <w:r w:rsidR="00FA6649" w:rsidRPr="0033077F">
        <w:rPr>
          <w:sz w:val="24"/>
        </w:rPr>
        <w:t xml:space="preserve"> a</w:t>
      </w:r>
      <w:r w:rsidR="0051390B" w:rsidRPr="0033077F">
        <w:rPr>
          <w:sz w:val="24"/>
        </w:rPr>
        <w:t xml:space="preserve">s a necessary step to </w:t>
      </w:r>
      <w:r w:rsidR="00FA6649" w:rsidRPr="0033077F">
        <w:rPr>
          <w:sz w:val="24"/>
        </w:rPr>
        <w:t>provide for</w:t>
      </w:r>
      <w:r w:rsidR="0051390B" w:rsidRPr="0033077F">
        <w:rPr>
          <w:sz w:val="24"/>
        </w:rPr>
        <w:t xml:space="preserve"> an increase in mitigation spending. </w:t>
      </w:r>
    </w:p>
    <w:p w:rsidR="0084389A" w:rsidRPr="0033077F" w:rsidRDefault="0084389A" w:rsidP="009D35FE">
      <w:pPr>
        <w:rPr>
          <w:sz w:val="24"/>
        </w:rPr>
      </w:pPr>
    </w:p>
    <w:p w:rsidR="00A56096" w:rsidRPr="0033077F" w:rsidRDefault="0084389A" w:rsidP="009D35FE">
      <w:pPr>
        <w:rPr>
          <w:sz w:val="24"/>
        </w:rPr>
      </w:pPr>
      <w:r w:rsidRPr="0033077F">
        <w:rPr>
          <w:sz w:val="24"/>
        </w:rPr>
        <w:t>Reduced spending is also a</w:t>
      </w:r>
      <w:r w:rsidR="0051390B" w:rsidRPr="0033077F">
        <w:rPr>
          <w:sz w:val="24"/>
        </w:rPr>
        <w:t xml:space="preserve"> vital incentive for both </w:t>
      </w:r>
      <w:r w:rsidR="007C7CF6" w:rsidRPr="0033077F">
        <w:rPr>
          <w:sz w:val="24"/>
        </w:rPr>
        <w:t>s</w:t>
      </w:r>
      <w:r w:rsidR="00375603" w:rsidRPr="0033077F">
        <w:rPr>
          <w:sz w:val="24"/>
        </w:rPr>
        <w:t>tate</w:t>
      </w:r>
      <w:r w:rsidR="0051390B" w:rsidRPr="0033077F">
        <w:rPr>
          <w:sz w:val="24"/>
        </w:rPr>
        <w:t xml:space="preserve"> and </w:t>
      </w:r>
      <w:r w:rsidR="00375603" w:rsidRPr="0033077F">
        <w:rPr>
          <w:sz w:val="24"/>
        </w:rPr>
        <w:t>local</w:t>
      </w:r>
      <w:r w:rsidR="0051390B" w:rsidRPr="0033077F">
        <w:rPr>
          <w:sz w:val="24"/>
        </w:rPr>
        <w:t xml:space="preserve"> governments to increase their emphasis on mitigation.</w:t>
      </w:r>
      <w:r w:rsidR="00C12766" w:rsidRPr="0033077F">
        <w:rPr>
          <w:sz w:val="24"/>
        </w:rPr>
        <w:t xml:space="preserve"> </w:t>
      </w:r>
      <w:r w:rsidR="00A56096" w:rsidRPr="0033077F">
        <w:rPr>
          <w:sz w:val="24"/>
        </w:rPr>
        <w:t xml:space="preserve">Sharper incentives such as this increase </w:t>
      </w:r>
      <w:r w:rsidR="00FA6649" w:rsidRPr="0033077F">
        <w:rPr>
          <w:sz w:val="24"/>
        </w:rPr>
        <w:t>the likelihood that proactive steps will be taken</w:t>
      </w:r>
      <w:r w:rsidR="00A56096" w:rsidRPr="0033077F">
        <w:rPr>
          <w:sz w:val="24"/>
        </w:rPr>
        <w:t xml:space="preserve"> at the state and local level. </w:t>
      </w:r>
    </w:p>
    <w:p w:rsidR="00A56096" w:rsidRPr="0033077F" w:rsidRDefault="00A56096" w:rsidP="009D35FE">
      <w:pPr>
        <w:rPr>
          <w:sz w:val="24"/>
        </w:rPr>
      </w:pPr>
    </w:p>
    <w:p w:rsidR="00C12766" w:rsidRPr="0033077F" w:rsidRDefault="0051390B" w:rsidP="009D35FE">
      <w:pPr>
        <w:rPr>
          <w:sz w:val="24"/>
        </w:rPr>
      </w:pPr>
      <w:r w:rsidRPr="0033077F">
        <w:rPr>
          <w:sz w:val="24"/>
        </w:rPr>
        <w:t>That said</w:t>
      </w:r>
      <w:proofErr w:type="gramStart"/>
      <w:r w:rsidRPr="0033077F">
        <w:rPr>
          <w:sz w:val="24"/>
        </w:rPr>
        <w:t>,</w:t>
      </w:r>
      <w:proofErr w:type="gramEnd"/>
      <w:r w:rsidRPr="0033077F">
        <w:rPr>
          <w:sz w:val="24"/>
        </w:rPr>
        <w:t xml:space="preserve"> the inclusion of a more </w:t>
      </w:r>
      <w:r w:rsidR="00594998" w:rsidRPr="0033077F">
        <w:rPr>
          <w:sz w:val="24"/>
        </w:rPr>
        <w:t>detailed policy rationale</w:t>
      </w:r>
      <w:r w:rsidR="00C12766" w:rsidRPr="0033077F">
        <w:rPr>
          <w:sz w:val="24"/>
        </w:rPr>
        <w:t xml:space="preserve"> about how the</w:t>
      </w:r>
      <w:r w:rsidR="00594998" w:rsidRPr="0033077F">
        <w:rPr>
          <w:sz w:val="24"/>
        </w:rPr>
        <w:t xml:space="preserve"> Productivity Commission settled on the</w:t>
      </w:r>
      <w:r w:rsidR="00C12766" w:rsidRPr="0033077F">
        <w:rPr>
          <w:sz w:val="24"/>
        </w:rPr>
        <w:t xml:space="preserve"> 50 per cent contribution</w:t>
      </w:r>
      <w:r w:rsidRPr="0033077F">
        <w:rPr>
          <w:sz w:val="24"/>
        </w:rPr>
        <w:t>, as recommended in the draft report,</w:t>
      </w:r>
      <w:r w:rsidR="00C12766" w:rsidRPr="0033077F">
        <w:rPr>
          <w:sz w:val="24"/>
        </w:rPr>
        <w:t xml:space="preserve"> would be beneficial</w:t>
      </w:r>
      <w:r w:rsidR="00D42665" w:rsidRPr="0033077F">
        <w:rPr>
          <w:sz w:val="24"/>
        </w:rPr>
        <w:t xml:space="preserve"> to the inevitable criticisms and eventual negotiation that will arise from this </w:t>
      </w:r>
      <w:r w:rsidR="00375603" w:rsidRPr="0033077F">
        <w:rPr>
          <w:sz w:val="24"/>
        </w:rPr>
        <w:t xml:space="preserve">proposed </w:t>
      </w:r>
      <w:r w:rsidR="00D42665" w:rsidRPr="0033077F">
        <w:rPr>
          <w:sz w:val="24"/>
        </w:rPr>
        <w:t>change.</w:t>
      </w:r>
      <w:r w:rsidR="00355847" w:rsidRPr="0033077F">
        <w:rPr>
          <w:sz w:val="24"/>
        </w:rPr>
        <w:t xml:space="preserve"> </w:t>
      </w:r>
      <w:r w:rsidR="00FA6649" w:rsidRPr="0033077F">
        <w:rPr>
          <w:sz w:val="24"/>
        </w:rPr>
        <w:t xml:space="preserve">The alignment with health and education proportions </w:t>
      </w:r>
      <w:r w:rsidR="00FF5C4B" w:rsidRPr="0033077F">
        <w:rPr>
          <w:sz w:val="24"/>
        </w:rPr>
        <w:t>is not a strong</w:t>
      </w:r>
      <w:r w:rsidR="00FA6649" w:rsidRPr="0033077F">
        <w:rPr>
          <w:sz w:val="24"/>
        </w:rPr>
        <w:t xml:space="preserve"> case given these expenditures are more predictable. </w:t>
      </w:r>
    </w:p>
    <w:p w:rsidR="0080113D" w:rsidRPr="0033077F" w:rsidRDefault="0080113D" w:rsidP="009D35FE">
      <w:pPr>
        <w:rPr>
          <w:sz w:val="24"/>
        </w:rPr>
      </w:pPr>
    </w:p>
    <w:p w:rsidR="005A53FC" w:rsidRPr="0033077F" w:rsidRDefault="00FA6649" w:rsidP="009D35FE">
      <w:pPr>
        <w:rPr>
          <w:sz w:val="24"/>
        </w:rPr>
      </w:pPr>
      <w:r w:rsidRPr="0033077F">
        <w:rPr>
          <w:sz w:val="24"/>
        </w:rPr>
        <w:t>A</w:t>
      </w:r>
      <w:r w:rsidR="00D91E55" w:rsidRPr="0033077F">
        <w:rPr>
          <w:sz w:val="24"/>
        </w:rPr>
        <w:t xml:space="preserve">ll three of the </w:t>
      </w:r>
      <w:r w:rsidR="005A53FC" w:rsidRPr="0033077F">
        <w:rPr>
          <w:sz w:val="24"/>
        </w:rPr>
        <w:t>Productivity Commission’s</w:t>
      </w:r>
      <w:r w:rsidR="00D91E55" w:rsidRPr="0033077F">
        <w:rPr>
          <w:sz w:val="24"/>
        </w:rPr>
        <w:t xml:space="preserve"> proposed funding reform options encouraged greater autonomy for state and local governments</w:t>
      </w:r>
      <w:r w:rsidRPr="0033077F">
        <w:rPr>
          <w:sz w:val="24"/>
        </w:rPr>
        <w:t xml:space="preserve"> in managing relief and recovery efforts</w:t>
      </w:r>
      <w:r w:rsidR="00D91E55" w:rsidRPr="0033077F">
        <w:rPr>
          <w:sz w:val="24"/>
        </w:rPr>
        <w:t>.</w:t>
      </w:r>
      <w:r w:rsidR="0036589C" w:rsidRPr="0033077F">
        <w:rPr>
          <w:sz w:val="24"/>
        </w:rPr>
        <w:t xml:space="preserve"> </w:t>
      </w:r>
      <w:r w:rsidR="005631B9" w:rsidRPr="0033077F">
        <w:rPr>
          <w:sz w:val="24"/>
        </w:rPr>
        <w:t xml:space="preserve">This approach reflects the RAI’s research which </w:t>
      </w:r>
      <w:proofErr w:type="spellStart"/>
      <w:r w:rsidR="005631B9" w:rsidRPr="0033077F">
        <w:rPr>
          <w:sz w:val="24"/>
        </w:rPr>
        <w:t>emphasises</w:t>
      </w:r>
      <w:proofErr w:type="spellEnd"/>
      <w:r w:rsidR="005631B9" w:rsidRPr="0033077F">
        <w:rPr>
          <w:sz w:val="24"/>
        </w:rPr>
        <w:t xml:space="preserve"> the unique nature of each </w:t>
      </w:r>
      <w:r w:rsidRPr="0033077F">
        <w:rPr>
          <w:sz w:val="24"/>
        </w:rPr>
        <w:t>recovery</w:t>
      </w:r>
      <w:r w:rsidR="005631B9" w:rsidRPr="0033077F">
        <w:rPr>
          <w:sz w:val="24"/>
        </w:rPr>
        <w:t xml:space="preserve">. A prescriptive national approach </w:t>
      </w:r>
      <w:r w:rsidRPr="0033077F">
        <w:rPr>
          <w:sz w:val="24"/>
        </w:rPr>
        <w:t>has</w:t>
      </w:r>
      <w:r w:rsidR="005631B9" w:rsidRPr="0033077F">
        <w:rPr>
          <w:sz w:val="24"/>
        </w:rPr>
        <w:t xml:space="preserve"> mean</w:t>
      </w:r>
      <w:r w:rsidRPr="0033077F">
        <w:rPr>
          <w:sz w:val="24"/>
        </w:rPr>
        <w:t>t</w:t>
      </w:r>
      <w:r w:rsidR="00BE206A" w:rsidRPr="0033077F">
        <w:rPr>
          <w:sz w:val="24"/>
        </w:rPr>
        <w:t xml:space="preserve"> that activities are</w:t>
      </w:r>
      <w:r w:rsidRPr="0033077F">
        <w:rPr>
          <w:sz w:val="24"/>
        </w:rPr>
        <w:t xml:space="preserve"> encouraged to</w:t>
      </w:r>
      <w:r w:rsidR="005631B9" w:rsidRPr="0033077F">
        <w:rPr>
          <w:sz w:val="24"/>
        </w:rPr>
        <w:t xml:space="preserve"> align to the funding guidelines rather than </w:t>
      </w:r>
      <w:r w:rsidR="00BE206A" w:rsidRPr="0033077F">
        <w:rPr>
          <w:sz w:val="24"/>
        </w:rPr>
        <w:t xml:space="preserve">the </w:t>
      </w:r>
      <w:r w:rsidR="005631B9" w:rsidRPr="0033077F">
        <w:rPr>
          <w:sz w:val="24"/>
        </w:rPr>
        <w:t>genuine needs of people on the ground.</w:t>
      </w:r>
    </w:p>
    <w:p w:rsidR="00991A2A" w:rsidRPr="0033077F" w:rsidRDefault="00991A2A" w:rsidP="009D35FE">
      <w:pPr>
        <w:rPr>
          <w:sz w:val="24"/>
        </w:rPr>
      </w:pPr>
    </w:p>
    <w:p w:rsidR="00991A2A" w:rsidRPr="0033077F" w:rsidRDefault="00991A2A" w:rsidP="009D35FE">
      <w:pPr>
        <w:rPr>
          <w:sz w:val="24"/>
        </w:rPr>
      </w:pPr>
      <w:r w:rsidRPr="0033077F">
        <w:rPr>
          <w:sz w:val="24"/>
        </w:rPr>
        <w:t>More flexible funding</w:t>
      </w:r>
      <w:r w:rsidR="005A53FC" w:rsidRPr="0033077F">
        <w:rPr>
          <w:sz w:val="24"/>
        </w:rPr>
        <w:t xml:space="preserve"> will </w:t>
      </w:r>
      <w:r w:rsidR="00FA6649" w:rsidRPr="0033077F">
        <w:rPr>
          <w:sz w:val="24"/>
        </w:rPr>
        <w:t xml:space="preserve">also </w:t>
      </w:r>
      <w:r w:rsidR="005A53FC" w:rsidRPr="0033077F">
        <w:rPr>
          <w:sz w:val="24"/>
        </w:rPr>
        <w:t xml:space="preserve">allow for a critical evaluation of what needs to be rebuilt, where and to what standard to ensure the future success of the community. This </w:t>
      </w:r>
      <w:r w:rsidR="00FA6649" w:rsidRPr="0033077F">
        <w:rPr>
          <w:sz w:val="24"/>
        </w:rPr>
        <w:t>should</w:t>
      </w:r>
      <w:r w:rsidR="005A53FC" w:rsidRPr="0033077F">
        <w:rPr>
          <w:sz w:val="24"/>
        </w:rPr>
        <w:t xml:space="preserve"> lead to </w:t>
      </w:r>
      <w:r w:rsidR="00D46433">
        <w:rPr>
          <w:sz w:val="24"/>
        </w:rPr>
        <w:t xml:space="preserve">a </w:t>
      </w:r>
      <w:r w:rsidR="005A53FC" w:rsidRPr="0033077F">
        <w:rPr>
          <w:sz w:val="24"/>
        </w:rPr>
        <w:t xml:space="preserve">more efficient use of </w:t>
      </w:r>
      <w:r w:rsidR="005A53FC" w:rsidRPr="0033077F">
        <w:rPr>
          <w:sz w:val="24"/>
        </w:rPr>
        <w:lastRenderedPageBreak/>
        <w:t>resources. It is also an important step towards encourag</w:t>
      </w:r>
      <w:r w:rsidR="007E4358" w:rsidRPr="0033077F">
        <w:rPr>
          <w:sz w:val="24"/>
        </w:rPr>
        <w:t xml:space="preserve">ing disaster affected areas to </w:t>
      </w:r>
      <w:r w:rsidR="005A53FC" w:rsidRPr="0033077F">
        <w:rPr>
          <w:sz w:val="24"/>
        </w:rPr>
        <w:t xml:space="preserve">start focusing on </w:t>
      </w:r>
      <w:r w:rsidR="007E4358" w:rsidRPr="0033077F">
        <w:rPr>
          <w:sz w:val="24"/>
        </w:rPr>
        <w:t>a ‘new normal’ and genuine engagement in betterment.</w:t>
      </w:r>
    </w:p>
    <w:p w:rsidR="0094595B" w:rsidRPr="0033077F" w:rsidRDefault="0094595B" w:rsidP="009D35FE">
      <w:pPr>
        <w:rPr>
          <w:sz w:val="24"/>
        </w:rPr>
      </w:pPr>
    </w:p>
    <w:p w:rsidR="0036589C" w:rsidRPr="0033077F" w:rsidRDefault="007E4358" w:rsidP="009D35FE">
      <w:pPr>
        <w:rPr>
          <w:sz w:val="24"/>
        </w:rPr>
      </w:pPr>
      <w:r w:rsidRPr="0033077F">
        <w:rPr>
          <w:sz w:val="24"/>
        </w:rPr>
        <w:t>One of the challenges with the recommended</w:t>
      </w:r>
      <w:r w:rsidR="00991A2A" w:rsidRPr="0033077F">
        <w:rPr>
          <w:sz w:val="24"/>
        </w:rPr>
        <w:t xml:space="preserve"> approach is the need</w:t>
      </w:r>
      <w:r w:rsidR="0036589C" w:rsidRPr="0033077F">
        <w:rPr>
          <w:sz w:val="24"/>
        </w:rPr>
        <w:t xml:space="preserve"> for government to </w:t>
      </w:r>
      <w:r w:rsidR="0080113D" w:rsidRPr="0033077F">
        <w:rPr>
          <w:sz w:val="24"/>
        </w:rPr>
        <w:t xml:space="preserve">accurately estimate reconstruction costs. This is particularly the case for regional Australia where prices </w:t>
      </w:r>
      <w:r w:rsidR="00BE206A" w:rsidRPr="0033077F">
        <w:rPr>
          <w:sz w:val="24"/>
        </w:rPr>
        <w:t>may</w:t>
      </w:r>
      <w:r w:rsidR="0080113D" w:rsidRPr="0033077F">
        <w:rPr>
          <w:sz w:val="24"/>
        </w:rPr>
        <w:t xml:space="preserve"> vary significantly</w:t>
      </w:r>
      <w:r w:rsidR="00BE206A" w:rsidRPr="0033077F">
        <w:rPr>
          <w:sz w:val="24"/>
        </w:rPr>
        <w:t xml:space="preserve"> depending on location</w:t>
      </w:r>
      <w:r w:rsidR="0080113D" w:rsidRPr="0033077F">
        <w:rPr>
          <w:sz w:val="24"/>
        </w:rPr>
        <w:t xml:space="preserve">. </w:t>
      </w:r>
      <w:r w:rsidR="00F72D5B" w:rsidRPr="0033077F">
        <w:rPr>
          <w:sz w:val="24"/>
        </w:rPr>
        <w:t xml:space="preserve">Monitoring and evaluation </w:t>
      </w:r>
      <w:r w:rsidR="005A53FC" w:rsidRPr="0033077F">
        <w:rPr>
          <w:sz w:val="24"/>
        </w:rPr>
        <w:t>of outcomes</w:t>
      </w:r>
      <w:r w:rsidR="00F72D5B" w:rsidRPr="0033077F">
        <w:rPr>
          <w:sz w:val="24"/>
        </w:rPr>
        <w:t xml:space="preserve"> in regional Australia would present an effective way of ensuring that the Australian Government’s est</w:t>
      </w:r>
      <w:r w:rsidR="00BE206A" w:rsidRPr="0033077F">
        <w:rPr>
          <w:sz w:val="24"/>
        </w:rPr>
        <w:t>imates are reasonably accurate as well as providing trans</w:t>
      </w:r>
      <w:r w:rsidR="007C7CF6" w:rsidRPr="0033077F">
        <w:rPr>
          <w:sz w:val="24"/>
        </w:rPr>
        <w:t>parency about performance of s</w:t>
      </w:r>
      <w:r w:rsidR="00BE206A" w:rsidRPr="0033077F">
        <w:rPr>
          <w:sz w:val="24"/>
        </w:rPr>
        <w:t xml:space="preserve">tate and local government in applying recovery resources in practice. </w:t>
      </w:r>
    </w:p>
    <w:p w:rsidR="00BE206A" w:rsidRPr="0033077F" w:rsidRDefault="00BE206A" w:rsidP="009D35FE">
      <w:pPr>
        <w:rPr>
          <w:sz w:val="24"/>
        </w:rPr>
      </w:pPr>
    </w:p>
    <w:p w:rsidR="00BE206A" w:rsidRPr="0033077F" w:rsidRDefault="00BE206A" w:rsidP="009D35FE">
      <w:pPr>
        <w:rPr>
          <w:sz w:val="24"/>
        </w:rPr>
      </w:pPr>
      <w:r w:rsidRPr="0033077F">
        <w:rPr>
          <w:sz w:val="24"/>
        </w:rPr>
        <w:t xml:space="preserve">It is important to note that </w:t>
      </w:r>
      <w:r w:rsidR="007525E7" w:rsidRPr="0033077F">
        <w:rPr>
          <w:sz w:val="24"/>
        </w:rPr>
        <w:t>due to the natur</w:t>
      </w:r>
      <w:r w:rsidR="007C7CF6" w:rsidRPr="0033077F">
        <w:rPr>
          <w:sz w:val="24"/>
        </w:rPr>
        <w:t>e of population settlements in r</w:t>
      </w:r>
      <w:r w:rsidR="007525E7" w:rsidRPr="0033077F">
        <w:rPr>
          <w:sz w:val="24"/>
        </w:rPr>
        <w:t xml:space="preserve">egional Australia, </w:t>
      </w:r>
      <w:r w:rsidRPr="0033077F">
        <w:rPr>
          <w:sz w:val="24"/>
        </w:rPr>
        <w:t>the draft recommendations made by t</w:t>
      </w:r>
      <w:r w:rsidR="007525E7" w:rsidRPr="0033077F">
        <w:rPr>
          <w:sz w:val="24"/>
        </w:rPr>
        <w:t xml:space="preserve">he Productivity Commission will have varying impacts for different areas. </w:t>
      </w:r>
      <w:r w:rsidR="007E4358" w:rsidRPr="0033077F">
        <w:rPr>
          <w:sz w:val="24"/>
        </w:rPr>
        <w:t>The RAI notes that:</w:t>
      </w:r>
    </w:p>
    <w:p w:rsidR="00BE206A" w:rsidRPr="0033077F" w:rsidRDefault="00BE206A" w:rsidP="00BE206A">
      <w:pPr>
        <w:pStyle w:val="ListParagraph"/>
        <w:numPr>
          <w:ilvl w:val="0"/>
          <w:numId w:val="11"/>
        </w:numPr>
        <w:rPr>
          <w:sz w:val="24"/>
        </w:rPr>
      </w:pPr>
      <w:r w:rsidRPr="0033077F">
        <w:rPr>
          <w:sz w:val="24"/>
        </w:rPr>
        <w:t>Lifting the thresholds that determine when the Australian Government will provide fina</w:t>
      </w:r>
      <w:r w:rsidR="007525E7" w:rsidRPr="0033077F">
        <w:rPr>
          <w:sz w:val="24"/>
        </w:rPr>
        <w:t>ncial assistance will mean that</w:t>
      </w:r>
      <w:r w:rsidRPr="0033077F">
        <w:rPr>
          <w:sz w:val="24"/>
        </w:rPr>
        <w:t xml:space="preserve"> some smaller, but locally serious regional disasters will no longer qualify for </w:t>
      </w:r>
      <w:r w:rsidR="00D46433">
        <w:rPr>
          <w:sz w:val="24"/>
        </w:rPr>
        <w:t>Australian G</w:t>
      </w:r>
      <w:r w:rsidR="007E4358" w:rsidRPr="0033077F">
        <w:rPr>
          <w:sz w:val="24"/>
        </w:rPr>
        <w:t xml:space="preserve">overnment </w:t>
      </w:r>
      <w:r w:rsidRPr="0033077F">
        <w:rPr>
          <w:sz w:val="24"/>
        </w:rPr>
        <w:t xml:space="preserve">support. </w:t>
      </w:r>
    </w:p>
    <w:p w:rsidR="007525E7" w:rsidRPr="0033077F" w:rsidRDefault="007525E7" w:rsidP="00BE206A">
      <w:pPr>
        <w:pStyle w:val="ListParagraph"/>
        <w:numPr>
          <w:ilvl w:val="0"/>
          <w:numId w:val="11"/>
        </w:numPr>
        <w:rPr>
          <w:sz w:val="24"/>
        </w:rPr>
      </w:pPr>
      <w:r w:rsidRPr="0033077F">
        <w:rPr>
          <w:sz w:val="24"/>
        </w:rPr>
        <w:t xml:space="preserve">The emphasis on local flexibility to manage recovery is likely to be particularly challenging for smaller local governments in regional Australia that have limited </w:t>
      </w:r>
      <w:r w:rsidR="00375603" w:rsidRPr="0033077F">
        <w:rPr>
          <w:sz w:val="24"/>
        </w:rPr>
        <w:t xml:space="preserve">capacity </w:t>
      </w:r>
      <w:r w:rsidR="007E4358" w:rsidRPr="0033077F">
        <w:rPr>
          <w:sz w:val="24"/>
        </w:rPr>
        <w:t>to prepare and respond</w:t>
      </w:r>
      <w:r w:rsidRPr="0033077F">
        <w:rPr>
          <w:sz w:val="24"/>
        </w:rPr>
        <w:t xml:space="preserve">. </w:t>
      </w:r>
    </w:p>
    <w:p w:rsidR="008D2668" w:rsidRPr="0033077F" w:rsidRDefault="00D46433" w:rsidP="008D2668">
      <w:pPr>
        <w:pStyle w:val="ListParagraph"/>
        <w:numPr>
          <w:ilvl w:val="0"/>
          <w:numId w:val="11"/>
        </w:numPr>
        <w:rPr>
          <w:sz w:val="24"/>
        </w:rPr>
      </w:pPr>
      <w:r>
        <w:rPr>
          <w:sz w:val="24"/>
        </w:rPr>
        <w:t>Existing low socio-</w:t>
      </w:r>
      <w:r w:rsidR="00715C04" w:rsidRPr="0033077F">
        <w:rPr>
          <w:sz w:val="24"/>
        </w:rPr>
        <w:t xml:space="preserve">economic communities have limited capacity to increase their asset protection, for example insurance will be more unaffordable in high risk areas. As </w:t>
      </w:r>
      <w:r>
        <w:rPr>
          <w:sz w:val="24"/>
        </w:rPr>
        <w:t>mentioned in the draft report, g</w:t>
      </w:r>
      <w:r w:rsidR="00715C04" w:rsidRPr="0033077F">
        <w:rPr>
          <w:sz w:val="24"/>
        </w:rPr>
        <w:t>overnments may need to consider structural mitigation measures (such as flood levees) or other mitigation options, such as relocation.</w:t>
      </w:r>
      <w:r w:rsidR="008D2668" w:rsidRPr="0033077F">
        <w:rPr>
          <w:sz w:val="24"/>
        </w:rPr>
        <w:t xml:space="preserve"> </w:t>
      </w:r>
      <w:r w:rsidR="007E4358" w:rsidRPr="0033077F">
        <w:rPr>
          <w:sz w:val="24"/>
        </w:rPr>
        <w:t xml:space="preserve">This should be provided for in the mitigation program design. </w:t>
      </w:r>
    </w:p>
    <w:p w:rsidR="008D2668" w:rsidRPr="0033077F" w:rsidRDefault="00D46433" w:rsidP="008D2668">
      <w:pPr>
        <w:pStyle w:val="ListParagraph"/>
        <w:numPr>
          <w:ilvl w:val="0"/>
          <w:numId w:val="11"/>
        </w:numPr>
        <w:rPr>
          <w:sz w:val="24"/>
        </w:rPr>
      </w:pPr>
      <w:r>
        <w:rPr>
          <w:sz w:val="24"/>
        </w:rPr>
        <w:t>Small or low socio-</w:t>
      </w:r>
      <w:r w:rsidR="008D2668" w:rsidRPr="0033077F">
        <w:rPr>
          <w:sz w:val="24"/>
        </w:rPr>
        <w:t xml:space="preserve">economic regional communities </w:t>
      </w:r>
      <w:r w:rsidR="00715C04" w:rsidRPr="0033077F">
        <w:rPr>
          <w:sz w:val="24"/>
        </w:rPr>
        <w:t xml:space="preserve">will </w:t>
      </w:r>
      <w:r w:rsidR="008D2668" w:rsidRPr="0033077F">
        <w:rPr>
          <w:sz w:val="24"/>
        </w:rPr>
        <w:t xml:space="preserve">likely </w:t>
      </w:r>
      <w:r w:rsidR="00715C04" w:rsidRPr="0033077F">
        <w:rPr>
          <w:sz w:val="24"/>
        </w:rPr>
        <w:t>be more exposed to</w:t>
      </w:r>
      <w:r w:rsidR="008D2668" w:rsidRPr="0033077F">
        <w:rPr>
          <w:sz w:val="24"/>
        </w:rPr>
        <w:t xml:space="preserve"> the impacts of inadequate natural disaster funding as a result of inaccuracies in estimating assessed damages and the expected costs of reconstruction soon after a disaster has occurred. </w:t>
      </w:r>
      <w:r w:rsidR="007E4358" w:rsidRPr="0033077F">
        <w:rPr>
          <w:sz w:val="24"/>
        </w:rPr>
        <w:t xml:space="preserve">In severe disasters this may lead to pressure to retreat from some parts of the </w:t>
      </w:r>
      <w:r w:rsidR="00375603" w:rsidRPr="0033077F">
        <w:rPr>
          <w:sz w:val="24"/>
        </w:rPr>
        <w:t xml:space="preserve">proposed </w:t>
      </w:r>
      <w:r w:rsidR="007E4358" w:rsidRPr="0033077F">
        <w:rPr>
          <w:sz w:val="24"/>
        </w:rPr>
        <w:t xml:space="preserve">reform. </w:t>
      </w:r>
    </w:p>
    <w:p w:rsidR="00930134" w:rsidRPr="0033077F" w:rsidRDefault="00930134" w:rsidP="008D2668">
      <w:pPr>
        <w:pStyle w:val="ListParagraph"/>
        <w:numPr>
          <w:ilvl w:val="0"/>
          <w:numId w:val="11"/>
        </w:numPr>
        <w:rPr>
          <w:sz w:val="24"/>
        </w:rPr>
      </w:pPr>
      <w:r w:rsidRPr="0033077F">
        <w:rPr>
          <w:sz w:val="24"/>
        </w:rPr>
        <w:t xml:space="preserve">Limiting financial assistance to businesses due to its inefficient results is largely appropriate. However in instances where a whole communities’ economy is significantly impacted by a natural disaster, as can happen in regional areas, government assistance can be vital for long-term recovery. </w:t>
      </w:r>
      <w:r w:rsidR="001738B6" w:rsidRPr="0033077F">
        <w:rPr>
          <w:sz w:val="24"/>
        </w:rPr>
        <w:t xml:space="preserve">Research undertaken by the RAI clearly demonstrates that the health of the local economy is </w:t>
      </w:r>
      <w:proofErr w:type="gramStart"/>
      <w:r w:rsidR="001738B6" w:rsidRPr="0033077F">
        <w:rPr>
          <w:sz w:val="24"/>
        </w:rPr>
        <w:t>key</w:t>
      </w:r>
      <w:proofErr w:type="gramEnd"/>
      <w:r w:rsidR="001738B6" w:rsidRPr="0033077F">
        <w:rPr>
          <w:sz w:val="24"/>
        </w:rPr>
        <w:t xml:space="preserve"> for community recovery. </w:t>
      </w:r>
    </w:p>
    <w:p w:rsidR="00BC2AD2" w:rsidRPr="0033077F" w:rsidRDefault="00BC2AD2" w:rsidP="009D35FE">
      <w:pPr>
        <w:rPr>
          <w:sz w:val="24"/>
        </w:rPr>
      </w:pPr>
    </w:p>
    <w:p w:rsidR="00976276" w:rsidRPr="0033077F" w:rsidRDefault="00F662DD" w:rsidP="009D35FE">
      <w:pPr>
        <w:rPr>
          <w:sz w:val="24"/>
        </w:rPr>
      </w:pPr>
      <w:r w:rsidRPr="0033077F">
        <w:rPr>
          <w:sz w:val="24"/>
        </w:rPr>
        <w:t xml:space="preserve">Many of these challenges are likely to be the exception rather than the rule. </w:t>
      </w:r>
      <w:r w:rsidR="00FF5C4B" w:rsidRPr="0033077F">
        <w:rPr>
          <w:sz w:val="24"/>
        </w:rPr>
        <w:t>Therefore,</w:t>
      </w:r>
      <w:r w:rsidRPr="0033077F">
        <w:rPr>
          <w:sz w:val="24"/>
        </w:rPr>
        <w:t xml:space="preserve"> while they </w:t>
      </w:r>
      <w:r w:rsidR="00930134" w:rsidRPr="0033077F">
        <w:rPr>
          <w:sz w:val="24"/>
        </w:rPr>
        <w:t>may</w:t>
      </w:r>
      <w:r w:rsidRPr="0033077F">
        <w:rPr>
          <w:sz w:val="24"/>
        </w:rPr>
        <w:t xml:space="preserve"> not impact the overall policy d</w:t>
      </w:r>
      <w:r w:rsidR="00930134" w:rsidRPr="0033077F">
        <w:rPr>
          <w:sz w:val="24"/>
        </w:rPr>
        <w:t>esign, they should remain critical considerations to</w:t>
      </w:r>
      <w:r w:rsidRPr="0033077F">
        <w:rPr>
          <w:sz w:val="24"/>
        </w:rPr>
        <w:t xml:space="preserve"> ensure that reform does not unfairly disadvantage regional communities. Once again, monitoring and evaluating outcomes in regional Australia will provide a better understanding of the broad scale of outcomes</w:t>
      </w:r>
      <w:r w:rsidR="007E4358" w:rsidRPr="0033077F">
        <w:rPr>
          <w:sz w:val="24"/>
        </w:rPr>
        <w:t xml:space="preserve"> and provide for sensible adjustments over time</w:t>
      </w:r>
      <w:r w:rsidRPr="0033077F">
        <w:rPr>
          <w:sz w:val="24"/>
        </w:rPr>
        <w:t xml:space="preserve">.  </w:t>
      </w:r>
    </w:p>
    <w:p w:rsidR="00AF35A7" w:rsidRPr="00D36FD5" w:rsidRDefault="00AF35A7" w:rsidP="009D35FE">
      <w:pPr>
        <w:rPr>
          <w:sz w:val="22"/>
          <w:szCs w:val="22"/>
        </w:rPr>
      </w:pPr>
    </w:p>
    <w:p w:rsidR="00D46433" w:rsidRDefault="00D46433">
      <w:pPr>
        <w:spacing w:line="240" w:lineRule="auto"/>
        <w:rPr>
          <w:color w:val="F79646" w:themeColor="accent6"/>
          <w:sz w:val="22"/>
          <w:szCs w:val="22"/>
        </w:rPr>
      </w:pPr>
      <w:r>
        <w:rPr>
          <w:color w:val="F79646" w:themeColor="accent6"/>
          <w:sz w:val="22"/>
          <w:szCs w:val="22"/>
        </w:rPr>
        <w:br w:type="page"/>
      </w:r>
    </w:p>
    <w:p w:rsidR="00C9152E" w:rsidRPr="00D36FD5" w:rsidRDefault="00C9152E" w:rsidP="009D35FE">
      <w:pPr>
        <w:rPr>
          <w:color w:val="F79646" w:themeColor="accent6"/>
          <w:sz w:val="22"/>
          <w:szCs w:val="22"/>
        </w:rPr>
      </w:pPr>
      <w:r w:rsidRPr="00D36FD5">
        <w:rPr>
          <w:color w:val="F79646" w:themeColor="accent6"/>
          <w:sz w:val="22"/>
          <w:szCs w:val="22"/>
        </w:rPr>
        <w:lastRenderedPageBreak/>
        <w:t>Conclusion</w:t>
      </w:r>
    </w:p>
    <w:p w:rsidR="00C9152E" w:rsidRPr="0033077F" w:rsidRDefault="00DF443C" w:rsidP="009D35FE">
      <w:pPr>
        <w:rPr>
          <w:sz w:val="24"/>
        </w:rPr>
      </w:pPr>
      <w:r w:rsidRPr="0033077F">
        <w:rPr>
          <w:sz w:val="24"/>
        </w:rPr>
        <w:t>T</w:t>
      </w:r>
      <w:r w:rsidR="00C9152E" w:rsidRPr="0033077F">
        <w:rPr>
          <w:sz w:val="24"/>
        </w:rPr>
        <w:t xml:space="preserve">he RAI </w:t>
      </w:r>
      <w:r w:rsidRPr="0033077F">
        <w:rPr>
          <w:sz w:val="24"/>
        </w:rPr>
        <w:t xml:space="preserve">is </w:t>
      </w:r>
      <w:r w:rsidR="00A56D76" w:rsidRPr="0033077F">
        <w:rPr>
          <w:sz w:val="24"/>
        </w:rPr>
        <w:t>supportive</w:t>
      </w:r>
      <w:r w:rsidRPr="0033077F">
        <w:rPr>
          <w:sz w:val="24"/>
        </w:rPr>
        <w:t xml:space="preserve"> of</w:t>
      </w:r>
      <w:r w:rsidR="00C9152E" w:rsidRPr="0033077F">
        <w:rPr>
          <w:sz w:val="24"/>
        </w:rPr>
        <w:t xml:space="preserve"> the direction taken by the Productivity Commission in regards to natural disaster funding arrangements. The final report will benefit from the inclusion of greater detail about </w:t>
      </w:r>
      <w:r w:rsidR="007E4358" w:rsidRPr="0033077F">
        <w:rPr>
          <w:sz w:val="24"/>
        </w:rPr>
        <w:t>how the</w:t>
      </w:r>
      <w:r w:rsidR="00C9152E" w:rsidRPr="0033077F">
        <w:rPr>
          <w:sz w:val="24"/>
        </w:rPr>
        <w:t xml:space="preserve"> recommendations shoul</w:t>
      </w:r>
      <w:r w:rsidR="00FF5C4B" w:rsidRPr="0033077F">
        <w:rPr>
          <w:sz w:val="24"/>
        </w:rPr>
        <w:t xml:space="preserve">d be implemented, including </w:t>
      </w:r>
      <w:r w:rsidR="00C9152E" w:rsidRPr="0033077F">
        <w:rPr>
          <w:sz w:val="24"/>
        </w:rPr>
        <w:t xml:space="preserve">a deeper consideration of the different levels of risk exposure in different areas of Australia. </w:t>
      </w:r>
    </w:p>
    <w:p w:rsidR="00C9152E" w:rsidRPr="0033077F" w:rsidRDefault="00C9152E" w:rsidP="009D35FE">
      <w:pPr>
        <w:rPr>
          <w:sz w:val="24"/>
        </w:rPr>
      </w:pPr>
    </w:p>
    <w:p w:rsidR="00C9152E" w:rsidRPr="0033077F" w:rsidRDefault="00DF443C" w:rsidP="009D35FE">
      <w:pPr>
        <w:rPr>
          <w:sz w:val="24"/>
        </w:rPr>
      </w:pPr>
      <w:r w:rsidRPr="0033077F">
        <w:rPr>
          <w:sz w:val="24"/>
        </w:rPr>
        <w:t>T</w:t>
      </w:r>
      <w:r w:rsidR="00C9152E" w:rsidRPr="0033077F">
        <w:rPr>
          <w:sz w:val="24"/>
        </w:rPr>
        <w:t>he Productivity Commission should</w:t>
      </w:r>
      <w:r w:rsidRPr="0033077F">
        <w:rPr>
          <w:sz w:val="24"/>
        </w:rPr>
        <w:t xml:space="preserve"> also</w:t>
      </w:r>
      <w:r w:rsidR="00C9152E" w:rsidRPr="0033077F">
        <w:rPr>
          <w:sz w:val="24"/>
        </w:rPr>
        <w:t xml:space="preserve"> ensure that all its findings and recommendations are </w:t>
      </w:r>
      <w:r w:rsidRPr="0033077F">
        <w:rPr>
          <w:sz w:val="24"/>
        </w:rPr>
        <w:t>presented not only as efficiency measures but also as progress towards better achieving</w:t>
      </w:r>
      <w:r w:rsidR="00C9152E" w:rsidRPr="0033077F">
        <w:rPr>
          <w:sz w:val="24"/>
        </w:rPr>
        <w:t xml:space="preserve"> the core function of natural disaster policy – safeguarding Australia’s population from unacceptable levels of exposure to natural disasters. </w:t>
      </w:r>
      <w:r w:rsidRPr="0033077F">
        <w:rPr>
          <w:sz w:val="24"/>
        </w:rPr>
        <w:t xml:space="preserve">Our collective goal should always be to protect Australian lives and livelihoods. This could be more clearly enunciated in the report and serve as a foundational argument for the urgency of bringing these reforms to fruition. </w:t>
      </w:r>
    </w:p>
    <w:p w:rsidR="00EB71AA" w:rsidRPr="0033077F" w:rsidRDefault="00EB71AA" w:rsidP="009D35FE">
      <w:pPr>
        <w:rPr>
          <w:sz w:val="24"/>
        </w:rPr>
      </w:pPr>
    </w:p>
    <w:p w:rsidR="007A474A" w:rsidRDefault="007A474A">
      <w:pPr>
        <w:spacing w:line="240" w:lineRule="auto"/>
        <w:rPr>
          <w:rFonts w:eastAsia="Times New Roman"/>
          <w:bCs/>
          <w:color w:val="F89850"/>
          <w:sz w:val="28"/>
        </w:rPr>
      </w:pPr>
      <w:r>
        <w:br w:type="page"/>
      </w:r>
    </w:p>
    <w:p w:rsidR="009D35FE" w:rsidRDefault="009D35FE" w:rsidP="009D35FE">
      <w:pPr>
        <w:pStyle w:val="Heading3"/>
      </w:pPr>
      <w:r>
        <w:lastRenderedPageBreak/>
        <w:t>Contacts and Further Information</w:t>
      </w:r>
    </w:p>
    <w:p w:rsidR="000E46D7" w:rsidRPr="00D46433" w:rsidRDefault="000E46D7" w:rsidP="009D35FE">
      <w:pPr>
        <w:pStyle w:val="ListBullet"/>
        <w:numPr>
          <w:ilvl w:val="0"/>
          <w:numId w:val="0"/>
        </w:numPr>
        <w:rPr>
          <w:sz w:val="24"/>
          <w:szCs w:val="24"/>
        </w:rPr>
      </w:pPr>
      <w:r w:rsidRPr="00D46433">
        <w:rPr>
          <w:sz w:val="24"/>
          <w:szCs w:val="24"/>
        </w:rPr>
        <w:t>The Regional Australia Institute</w:t>
      </w:r>
      <w:r w:rsidR="00D46433" w:rsidRPr="00D46433">
        <w:rPr>
          <w:sz w:val="24"/>
          <w:szCs w:val="24"/>
        </w:rPr>
        <w:t xml:space="preserve"> (RAI)</w:t>
      </w:r>
      <w:r w:rsidRPr="00D46433">
        <w:rPr>
          <w:sz w:val="24"/>
          <w:szCs w:val="24"/>
        </w:rPr>
        <w:t xml:space="preserve"> welcomes the opportunity to engage further with the Productivity Commission on its draft report on Natural Disaster Funding Arrangements and any of the issues raised in this response. </w:t>
      </w:r>
    </w:p>
    <w:p w:rsidR="000E46D7" w:rsidRPr="00D46433" w:rsidRDefault="000E46D7" w:rsidP="009D35FE">
      <w:pPr>
        <w:pStyle w:val="ListBullet"/>
        <w:numPr>
          <w:ilvl w:val="0"/>
          <w:numId w:val="0"/>
        </w:numPr>
        <w:rPr>
          <w:sz w:val="24"/>
          <w:szCs w:val="24"/>
        </w:rPr>
      </w:pPr>
    </w:p>
    <w:p w:rsidR="009D35FE" w:rsidRPr="00D46433" w:rsidRDefault="00AF35A7" w:rsidP="009D35FE">
      <w:pPr>
        <w:pStyle w:val="ListBullet"/>
        <w:numPr>
          <w:ilvl w:val="0"/>
          <w:numId w:val="0"/>
        </w:numPr>
        <w:rPr>
          <w:sz w:val="24"/>
          <w:szCs w:val="24"/>
        </w:rPr>
      </w:pPr>
      <w:r w:rsidRPr="00D46433">
        <w:rPr>
          <w:sz w:val="24"/>
          <w:szCs w:val="24"/>
        </w:rPr>
        <w:t xml:space="preserve">To discuss further </w:t>
      </w:r>
      <w:r w:rsidR="009D35FE" w:rsidRPr="00D46433">
        <w:rPr>
          <w:sz w:val="24"/>
          <w:szCs w:val="24"/>
        </w:rPr>
        <w:t>please contact</w:t>
      </w:r>
      <w:r w:rsidRPr="00D46433">
        <w:rPr>
          <w:sz w:val="24"/>
          <w:szCs w:val="24"/>
        </w:rPr>
        <w:t>:</w:t>
      </w:r>
    </w:p>
    <w:p w:rsidR="00594998" w:rsidRPr="00D46433" w:rsidRDefault="00594998" w:rsidP="00AF35A7">
      <w:pPr>
        <w:spacing w:line="240" w:lineRule="auto"/>
        <w:rPr>
          <w:sz w:val="24"/>
          <w:lang w:val="en-AU"/>
        </w:rPr>
      </w:pPr>
    </w:p>
    <w:p w:rsidR="00AF35A7" w:rsidRPr="00D46433" w:rsidRDefault="00AF35A7" w:rsidP="00AF35A7">
      <w:pPr>
        <w:spacing w:line="240" w:lineRule="auto"/>
        <w:rPr>
          <w:sz w:val="24"/>
          <w:lang w:val="en-AU"/>
        </w:rPr>
      </w:pPr>
      <w:r w:rsidRPr="00D46433">
        <w:rPr>
          <w:sz w:val="24"/>
          <w:lang w:val="en-AU"/>
        </w:rPr>
        <w:t>Jack Archer – General Manager, Research and Policy</w:t>
      </w:r>
    </w:p>
    <w:p w:rsidR="00AF35A7" w:rsidRPr="00D46433" w:rsidRDefault="00AF35A7" w:rsidP="00AF35A7">
      <w:pPr>
        <w:spacing w:line="240" w:lineRule="auto"/>
        <w:rPr>
          <w:sz w:val="24"/>
          <w:lang w:val="en-AU"/>
        </w:rPr>
      </w:pPr>
      <w:bookmarkStart w:id="0" w:name="_GoBack"/>
      <w:bookmarkEnd w:id="0"/>
    </w:p>
    <w:p w:rsidR="00AF35A7" w:rsidRPr="00D46433" w:rsidRDefault="00AF35A7" w:rsidP="00AF35A7">
      <w:pPr>
        <w:spacing w:line="240" w:lineRule="auto"/>
        <w:rPr>
          <w:sz w:val="24"/>
          <w:lang w:val="en-AU"/>
        </w:rPr>
      </w:pPr>
      <w:r w:rsidRPr="00D46433">
        <w:rPr>
          <w:sz w:val="24"/>
          <w:lang w:val="en-AU"/>
        </w:rPr>
        <w:t>Morgan Rennie, Policy Researcher</w:t>
      </w:r>
    </w:p>
    <w:p w:rsidR="009D35FE" w:rsidRPr="009B61ED" w:rsidRDefault="009D35FE" w:rsidP="00AF35A7">
      <w:pPr>
        <w:pStyle w:val="ListBullet"/>
        <w:numPr>
          <w:ilvl w:val="0"/>
          <w:numId w:val="0"/>
        </w:numPr>
        <w:rPr>
          <w:sz w:val="24"/>
          <w:szCs w:val="24"/>
        </w:rPr>
      </w:pPr>
    </w:p>
    <w:p w:rsidR="00AF35A7" w:rsidRPr="00AF35A7" w:rsidRDefault="00AF35A7" w:rsidP="00D36FD5">
      <w:pPr>
        <w:keepNext/>
        <w:keepLines/>
        <w:tabs>
          <w:tab w:val="left" w:pos="9105"/>
        </w:tabs>
        <w:spacing w:before="120" w:after="60"/>
        <w:outlineLvl w:val="2"/>
        <w:rPr>
          <w:rFonts w:eastAsia="Times New Roman"/>
          <w:bCs/>
          <w:color w:val="F89850"/>
          <w:sz w:val="28"/>
          <w:lang w:val="en-AU"/>
        </w:rPr>
      </w:pPr>
      <w:r w:rsidRPr="00AF35A7">
        <w:rPr>
          <w:rFonts w:eastAsia="Times New Roman"/>
          <w:bCs/>
          <w:color w:val="F89850"/>
          <w:sz w:val="28"/>
          <w:lang w:val="en-AU"/>
        </w:rPr>
        <w:t xml:space="preserve">About the Regional Australia Institute </w:t>
      </w:r>
      <w:r w:rsidR="00D36FD5">
        <w:rPr>
          <w:rFonts w:eastAsia="Times New Roman"/>
          <w:bCs/>
          <w:color w:val="F89850"/>
          <w:sz w:val="28"/>
          <w:lang w:val="en-AU"/>
        </w:rPr>
        <w:tab/>
      </w:r>
    </w:p>
    <w:p w:rsidR="00AF35A7" w:rsidRPr="00D46433" w:rsidRDefault="00AF35A7" w:rsidP="00AF35A7">
      <w:pPr>
        <w:spacing w:line="240" w:lineRule="auto"/>
        <w:rPr>
          <w:sz w:val="24"/>
          <w:lang w:val="en-AU"/>
        </w:rPr>
      </w:pPr>
      <w:r w:rsidRPr="00D46433">
        <w:rPr>
          <w:sz w:val="24"/>
          <w:lang w:val="en-AU"/>
        </w:rPr>
        <w:t xml:space="preserve">Independent and informed by both research and ongoing dialogue with the community, the </w:t>
      </w:r>
      <w:r w:rsidR="00D46433" w:rsidRPr="00D46433">
        <w:rPr>
          <w:sz w:val="24"/>
          <w:lang w:val="en-AU"/>
        </w:rPr>
        <w:t>RAI</w:t>
      </w:r>
      <w:r w:rsidRPr="00D46433">
        <w:rPr>
          <w:sz w:val="24"/>
          <w:lang w:val="en-AU"/>
        </w:rPr>
        <w:t xml:space="preserve"> develops evidence-based policy and advocates for change to build a stronger economy and better quality of life in regional Australia – for the benefit of all Australians. </w:t>
      </w:r>
    </w:p>
    <w:p w:rsidR="00AF35A7" w:rsidRPr="00D46433" w:rsidRDefault="00AF35A7" w:rsidP="00AF35A7">
      <w:pPr>
        <w:spacing w:line="240" w:lineRule="auto"/>
        <w:rPr>
          <w:sz w:val="24"/>
          <w:lang w:val="en-AU"/>
        </w:rPr>
      </w:pPr>
    </w:p>
    <w:p w:rsidR="00AF35A7" w:rsidRPr="00D46433" w:rsidRDefault="00AF35A7" w:rsidP="00AF35A7">
      <w:pPr>
        <w:spacing w:line="240" w:lineRule="auto"/>
        <w:rPr>
          <w:sz w:val="24"/>
          <w:lang w:val="en-AU"/>
        </w:rPr>
      </w:pPr>
      <w:r w:rsidRPr="00D46433">
        <w:rPr>
          <w:sz w:val="24"/>
          <w:lang w:val="en-AU"/>
        </w:rPr>
        <w:t xml:space="preserve">The RAI was specifically formed to help bridge the gap between knowledge, debate and decision-making for the potential and future pathways of regional Australia. It exists to ensure local, state and Federal policy makers, researcher, business and members of the community have access to the information they need to make informed choices about the future of regional Australia. </w:t>
      </w:r>
    </w:p>
    <w:p w:rsidR="00AF35A7" w:rsidRPr="00AF35A7" w:rsidRDefault="00AF35A7" w:rsidP="00AF35A7">
      <w:pPr>
        <w:spacing w:line="240" w:lineRule="auto"/>
        <w:rPr>
          <w:sz w:val="24"/>
          <w:lang w:val="en-AU"/>
        </w:rPr>
      </w:pPr>
    </w:p>
    <w:p w:rsidR="00AF35A7" w:rsidRPr="00AF35A7" w:rsidRDefault="00D46433" w:rsidP="00AF35A7">
      <w:pPr>
        <w:keepNext/>
        <w:keepLines/>
        <w:spacing w:before="120" w:after="60"/>
        <w:outlineLvl w:val="2"/>
        <w:rPr>
          <w:rFonts w:eastAsia="Times New Roman"/>
          <w:bCs/>
          <w:color w:val="F89850"/>
          <w:sz w:val="28"/>
          <w:lang w:val="en-AU"/>
        </w:rPr>
      </w:pPr>
      <w:r>
        <w:rPr>
          <w:rFonts w:eastAsia="Times New Roman"/>
          <w:bCs/>
          <w:color w:val="F89850"/>
          <w:sz w:val="28"/>
          <w:lang w:val="en-AU"/>
        </w:rPr>
        <w:t>Definition of R</w:t>
      </w:r>
      <w:r w:rsidR="00AF35A7" w:rsidRPr="00AF35A7">
        <w:rPr>
          <w:rFonts w:eastAsia="Times New Roman"/>
          <w:bCs/>
          <w:color w:val="F89850"/>
          <w:sz w:val="28"/>
          <w:lang w:val="en-AU"/>
        </w:rPr>
        <w:t>egional Australia</w:t>
      </w:r>
    </w:p>
    <w:p w:rsidR="00AF35A7" w:rsidRPr="00D46433" w:rsidRDefault="00AF35A7" w:rsidP="00AF35A7">
      <w:pPr>
        <w:spacing w:line="240" w:lineRule="auto"/>
        <w:rPr>
          <w:sz w:val="24"/>
          <w:lang w:val="en-AU"/>
        </w:rPr>
      </w:pPr>
      <w:r w:rsidRPr="00D46433">
        <w:rPr>
          <w:sz w:val="24"/>
          <w:lang w:val="en-AU"/>
        </w:rPr>
        <w:t xml:space="preserve">The RAI defines regional Australia as the non-metropolitan areas of the nation that lie beyond Australia’s major capital cities and their immediate surrounding suburbs. </w:t>
      </w:r>
    </w:p>
    <w:p w:rsidR="009B61ED" w:rsidRDefault="009B61ED" w:rsidP="009D35FE">
      <w:pPr>
        <w:pStyle w:val="ListBullet"/>
        <w:numPr>
          <w:ilvl w:val="0"/>
          <w:numId w:val="0"/>
        </w:numPr>
        <w:rPr>
          <w:b/>
          <w:sz w:val="24"/>
          <w:szCs w:val="24"/>
        </w:rPr>
      </w:pPr>
    </w:p>
    <w:p w:rsidR="00426B90" w:rsidRDefault="00426B90" w:rsidP="00753416">
      <w:pPr>
        <w:rPr>
          <w:lang w:val="en-AU"/>
        </w:rPr>
      </w:pPr>
    </w:p>
    <w:p w:rsidR="009B61ED" w:rsidRPr="00753416" w:rsidRDefault="009B61ED" w:rsidP="00753416">
      <w:pPr>
        <w:rPr>
          <w:lang w:val="en-AU"/>
        </w:rPr>
      </w:pPr>
    </w:p>
    <w:sectPr w:rsidR="009B61ED" w:rsidRPr="00753416" w:rsidSect="007E59DA">
      <w:headerReference w:type="default" r:id="rId19"/>
      <w:footerReference w:type="default" r:id="rId20"/>
      <w:pgSz w:w="11900" w:h="16840"/>
      <w:pgMar w:top="1672" w:right="1021" w:bottom="1440" w:left="1021"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D74" w:rsidRDefault="004E3D74" w:rsidP="003B77F0">
      <w:r>
        <w:separator/>
      </w:r>
    </w:p>
  </w:endnote>
  <w:endnote w:type="continuationSeparator" w:id="0">
    <w:p w:rsidR="004E3D74" w:rsidRDefault="004E3D74" w:rsidP="003B7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w Cen MT">
    <w:altName w:val="Arial"/>
    <w:panose1 w:val="020B0602020104020603"/>
    <w:charset w:val="00"/>
    <w:family w:val="swiss"/>
    <w:pitch w:val="variable"/>
    <w:sig w:usb0="00000007" w:usb1="00000000" w:usb2="00000000" w:usb3="00000000" w:csb0="00000003"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E23" w:rsidRDefault="00404E23">
    <w:pPr>
      <w:pStyle w:val="Footer"/>
    </w:pPr>
    <w:r>
      <w:rPr>
        <w:noProof/>
        <w:lang w:val="en-AU" w:eastAsia="en-AU"/>
      </w:rPr>
      <mc:AlternateContent>
        <mc:Choice Requires="wps">
          <w:drawing>
            <wp:anchor distT="0" distB="0" distL="114300" distR="114300" simplePos="0" relativeHeight="251682816" behindDoc="0" locked="0" layoutInCell="1" allowOverlap="1" wp14:anchorId="58607963" wp14:editId="081DA961">
              <wp:simplePos x="0" y="0"/>
              <wp:positionH relativeFrom="column">
                <wp:posOffset>-228600</wp:posOffset>
              </wp:positionH>
              <wp:positionV relativeFrom="paragraph">
                <wp:posOffset>-100330</wp:posOffset>
              </wp:positionV>
              <wp:extent cx="6629400" cy="457200"/>
              <wp:effectExtent l="0" t="0" r="0" b="0"/>
              <wp:wrapNone/>
              <wp:docPr id="716" name="Text Box 716"/>
              <wp:cNvGraphicFramePr/>
              <a:graphic xmlns:a="http://schemas.openxmlformats.org/drawingml/2006/main">
                <a:graphicData uri="http://schemas.microsoft.com/office/word/2010/wordprocessingShape">
                  <wps:wsp>
                    <wps:cNvSpPr txBox="1"/>
                    <wps:spPr>
                      <a:xfrm>
                        <a:off x="0" y="0"/>
                        <a:ext cx="6629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404E23" w:rsidRPr="00A05A17" w:rsidRDefault="00404E23" w:rsidP="005608FE">
                          <w:pPr>
                            <w:pStyle w:val="Footer"/>
                            <w:tabs>
                              <w:tab w:val="clear" w:pos="8640"/>
                              <w:tab w:val="right" w:pos="10065"/>
                            </w:tabs>
                            <w:rPr>
                              <w:noProof/>
                              <w:color w:val="auto"/>
                              <w:sz w:val="22"/>
                              <w:szCs w:val="22"/>
                            </w:rPr>
                          </w:pPr>
                          <w:r w:rsidRPr="00A05A17">
                            <w:rPr>
                              <w:color w:val="auto"/>
                              <w:sz w:val="22"/>
                              <w:szCs w:val="22"/>
                            </w:rPr>
                            <w:t xml:space="preserve">RAI </w:t>
                          </w:r>
                          <w:r w:rsidR="00F36481" w:rsidRPr="00A05A17">
                            <w:rPr>
                              <w:color w:val="auto"/>
                              <w:sz w:val="22"/>
                              <w:szCs w:val="22"/>
                            </w:rPr>
                            <w:t xml:space="preserve">Project </w:t>
                          </w:r>
                          <w:r w:rsidR="00A05A17">
                            <w:rPr>
                              <w:color w:val="auto"/>
                              <w:sz w:val="22"/>
                              <w:szCs w:val="22"/>
                            </w:rPr>
                            <w:t>Date</w:t>
                          </w:r>
                        </w:p>
                        <w:p w:rsidR="00404E23" w:rsidRPr="005608FE" w:rsidRDefault="00404E23">
                          <w:pPr>
                            <w:rPr>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58607963" id="_x0000_t202" coordsize="21600,21600" o:spt="202" path="m,l,21600r21600,l21600,xe">
              <v:stroke joinstyle="miter"/>
              <v:path gradientshapeok="t" o:connecttype="rect"/>
            </v:shapetype>
            <v:shape id="Text Box 716" o:spid="_x0000_s1026" type="#_x0000_t202" style="position:absolute;margin-left:-18pt;margin-top:-7.9pt;width:522pt;height:3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" filled="f" stroked="f">
              <v:textbox>
                <w:txbxContent>
                  <w:p w:rsidR="00404E23" w:rsidRPr="00A05A17" w:rsidRDefault="00404E23" w:rsidP="005608FE">
                    <w:pPr>
                      <w:pStyle w:val="Footer"/>
                      <w:tabs>
                        <w:tab w:val="clear" w:pos="8640"/>
                        <w:tab w:val="right" w:pos="10065"/>
                      </w:tabs>
                      <w:rPr>
                        <w:noProof/>
                        <w:color w:val="auto"/>
                        <w:sz w:val="22"/>
                        <w:szCs w:val="22"/>
                      </w:rPr>
                    </w:pPr>
                    <w:r w:rsidRPr="00A05A17">
                      <w:rPr>
                        <w:color w:val="auto"/>
                        <w:sz w:val="22"/>
                        <w:szCs w:val="22"/>
                      </w:rPr>
                      <w:t xml:space="preserve">RAI </w:t>
                    </w:r>
                    <w:r w:rsidR="00F36481" w:rsidRPr="00A05A17">
                      <w:rPr>
                        <w:color w:val="auto"/>
                        <w:sz w:val="22"/>
                        <w:szCs w:val="22"/>
                      </w:rPr>
                      <w:t xml:space="preserve">Project </w:t>
                    </w:r>
                    <w:r w:rsidR="00A05A17">
                      <w:rPr>
                        <w:color w:val="auto"/>
                        <w:sz w:val="22"/>
                        <w:szCs w:val="22"/>
                      </w:rPr>
                      <w:t>Date</w:t>
                    </w:r>
                  </w:p>
                  <w:p w:rsidR="00404E23" w:rsidRPr="005608FE" w:rsidRDefault="00404E23">
                    <w:pPr>
                      <w:rPr>
                        <w:color w:val="FFFFFF" w:themeColor="background1"/>
                        <w:sz w:val="22"/>
                        <w:szCs w:val="22"/>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E23" w:rsidRDefault="00404E23">
    <w:pPr>
      <w:pStyle w:val="Footer"/>
    </w:pPr>
    <w:r>
      <w:rPr>
        <w:noProof/>
        <w:lang w:val="en-AU" w:eastAsia="en-AU"/>
      </w:rPr>
      <w:drawing>
        <wp:anchor distT="0" distB="0" distL="114300" distR="114300" simplePos="0" relativeHeight="251681792" behindDoc="1" locked="0" layoutInCell="1" allowOverlap="1" wp14:anchorId="5BC4FB22" wp14:editId="05E9368F">
          <wp:simplePos x="0" y="0"/>
          <wp:positionH relativeFrom="column">
            <wp:posOffset>-228600</wp:posOffset>
          </wp:positionH>
          <wp:positionV relativeFrom="paragraph">
            <wp:posOffset>-100330</wp:posOffset>
          </wp:positionV>
          <wp:extent cx="6674485" cy="257175"/>
          <wp:effectExtent l="0" t="0" r="5715" b="0"/>
          <wp:wrapNone/>
          <wp:docPr id="20" name="Picture 20" descr="JULES 2:Regional Australia Institute:RAI marketing collateral:Letterhead:letterhead 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LES 2:Regional Australia Institute:RAI marketing collateral:Letterhead:letterhead addres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4485" cy="2571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689989"/>
      <w:docPartObj>
        <w:docPartGallery w:val="Page Numbers (Bottom of Page)"/>
        <w:docPartUnique/>
      </w:docPartObj>
    </w:sdtPr>
    <w:sdtEndPr>
      <w:rPr>
        <w:noProof/>
      </w:rPr>
    </w:sdtEndPr>
    <w:sdtContent>
      <w:p w:rsidR="00D36FD5" w:rsidRDefault="00D36FD5">
        <w:pPr>
          <w:pStyle w:val="Footer"/>
          <w:jc w:val="right"/>
        </w:pPr>
        <w:r>
          <w:fldChar w:fldCharType="begin"/>
        </w:r>
        <w:r>
          <w:instrText xml:space="preserve"> PAGE   \* MERGEFORMAT </w:instrText>
        </w:r>
        <w:r>
          <w:fldChar w:fldCharType="separate"/>
        </w:r>
        <w:r w:rsidR="007B4B08">
          <w:rPr>
            <w:noProof/>
          </w:rPr>
          <w:t>7</w:t>
        </w:r>
        <w:r>
          <w:rPr>
            <w:noProof/>
          </w:rPr>
          <w:fldChar w:fldCharType="end"/>
        </w:r>
      </w:p>
    </w:sdtContent>
  </w:sdt>
  <w:p w:rsidR="00404E23" w:rsidRDefault="00404E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D74" w:rsidRDefault="004E3D74" w:rsidP="003B77F0">
      <w:r>
        <w:separator/>
      </w:r>
    </w:p>
  </w:footnote>
  <w:footnote w:type="continuationSeparator" w:id="0">
    <w:p w:rsidR="004E3D74" w:rsidRDefault="004E3D74" w:rsidP="003B77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E23" w:rsidRDefault="00404E23">
    <w:pPr>
      <w:pStyle w:val="Header"/>
    </w:pPr>
    <w:r>
      <w:rPr>
        <w:noProof/>
        <w:lang w:val="en-AU" w:eastAsia="en-AU"/>
      </w:rPr>
      <w:drawing>
        <wp:anchor distT="0" distB="0" distL="114300" distR="114300" simplePos="0" relativeHeight="251678720" behindDoc="0" locked="0" layoutInCell="1" allowOverlap="1" wp14:anchorId="097452D1" wp14:editId="0CBD61C3">
          <wp:simplePos x="0" y="0"/>
          <wp:positionH relativeFrom="column">
            <wp:posOffset>5050790</wp:posOffset>
          </wp:positionH>
          <wp:positionV relativeFrom="paragraph">
            <wp:posOffset>-179705</wp:posOffset>
          </wp:positionV>
          <wp:extent cx="1600200" cy="537210"/>
          <wp:effectExtent l="0" t="0" r="0" b="0"/>
          <wp:wrapNone/>
          <wp:docPr id="8" name="Picture 8" descr="GHETTRO5 :RBR PROJECTS:1889_RAI_BRAND TEMPLATES:PRODUCTION:ASSETS:Policy Document:Links:RAI letterhea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GHETTRO5 :RBR PROJECTS:1889_RAI_BRAND TEMPLATES:PRODUCTION:ASSETS:Policy Document:Links:RAI letterhead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5372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E23" w:rsidRDefault="00631EAA">
    <w:pPr>
      <w:pStyle w:val="Header"/>
    </w:pPr>
    <w:r>
      <w:rPr>
        <w:noProof/>
        <w:lang w:val="en-AU" w:eastAsia="en-AU"/>
      </w:rPr>
      <w:drawing>
        <wp:anchor distT="0" distB="0" distL="114300" distR="114300" simplePos="0" relativeHeight="251675647" behindDoc="1" locked="0" layoutInCell="1" allowOverlap="1" wp14:anchorId="3EE01867" wp14:editId="30A0E368">
          <wp:simplePos x="0" y="0"/>
          <wp:positionH relativeFrom="column">
            <wp:posOffset>-652145</wp:posOffset>
          </wp:positionH>
          <wp:positionV relativeFrom="paragraph">
            <wp:posOffset>-445770</wp:posOffset>
          </wp:positionV>
          <wp:extent cx="7586345" cy="10715625"/>
          <wp:effectExtent l="0" t="0" r="0" b="9525"/>
          <wp:wrapNone/>
          <wp:docPr id="17" name="Picture 17" descr="Macintosh HD 2:RBR_01JULY:1889_RAI_BRAND TEMPLATES:PRODUCTION:ASSETS:Policy Document:Links:policy-Front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 2:RBR_01JULY:1889_RAI_BRAND TEMPLATES:PRODUCTION:ASSETS:Policy Document:Links:policy-Frontpage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156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04E23">
      <w:rPr>
        <w:noProof/>
        <w:lang w:val="en-AU" w:eastAsia="en-AU"/>
      </w:rPr>
      <w:drawing>
        <wp:anchor distT="0" distB="0" distL="114300" distR="114300" simplePos="0" relativeHeight="251746304" behindDoc="1" locked="0" layoutInCell="1" allowOverlap="1" wp14:anchorId="51C18233" wp14:editId="4BD510E2">
          <wp:simplePos x="0" y="0"/>
          <wp:positionH relativeFrom="column">
            <wp:posOffset>4203065</wp:posOffset>
          </wp:positionH>
          <wp:positionV relativeFrom="paragraph">
            <wp:posOffset>-290830</wp:posOffset>
          </wp:positionV>
          <wp:extent cx="2386965" cy="801338"/>
          <wp:effectExtent l="0" t="0" r="635" b="12065"/>
          <wp:wrapNone/>
          <wp:docPr id="14" name="Picture 14" descr="Macintosh HD 2:RBR_01JULY:1889_RAI_BRAND TEMPLATES:PRODUCTION:ASSETS:Policy Document:Links:RAI letterhead logo_white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 2:RBR_01JULY:1889_RAI_BRAND TEMPLATES:PRODUCTION:ASSETS:Policy Document:Links:RAI letterhead logo_whitetex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6965" cy="80133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E23" w:rsidRDefault="00404E23">
    <w:pPr>
      <w:pStyle w:val="Header"/>
    </w:pPr>
    <w:r>
      <w:rPr>
        <w:noProof/>
        <w:lang w:val="en-AU" w:eastAsia="en-AU"/>
      </w:rPr>
      <w:drawing>
        <wp:anchor distT="0" distB="0" distL="114300" distR="114300" simplePos="0" relativeHeight="251739136" behindDoc="0" locked="0" layoutInCell="1" allowOverlap="1" wp14:anchorId="5EC8316A" wp14:editId="09AA5A63">
          <wp:simplePos x="0" y="0"/>
          <wp:positionH relativeFrom="column">
            <wp:posOffset>4965065</wp:posOffset>
          </wp:positionH>
          <wp:positionV relativeFrom="paragraph">
            <wp:posOffset>-93980</wp:posOffset>
          </wp:positionV>
          <wp:extent cx="1600200" cy="537210"/>
          <wp:effectExtent l="0" t="0" r="0" b="0"/>
          <wp:wrapNone/>
          <wp:docPr id="746" name="Picture 746" descr="GHETTRO5 :RBR PROJECTS:1889_RAI_BRAND TEMPLATES:PRODUCTION:ASSETS:Policy Document:Links:RAI letterhea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GHETTRO5 :RBR PROJECTS:1889_RAI_BRAND TEMPLATES:PRODUCTION:ASSETS:Policy Document:Links:RAI letterhead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5372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4A06662"/>
    <w:lvl w:ilvl="0">
      <w:start w:val="1"/>
      <w:numFmt w:val="bullet"/>
      <w:pStyle w:val="ListBullet"/>
      <w:lvlText w:val=""/>
      <w:lvlJc w:val="left"/>
      <w:pPr>
        <w:ind w:left="360" w:hanging="360"/>
      </w:pPr>
      <w:rPr>
        <w:rFonts w:ascii="Wingdings" w:hAnsi="Wingdings" w:hint="default"/>
        <w:sz w:val="28"/>
      </w:rPr>
    </w:lvl>
  </w:abstractNum>
  <w:abstractNum w:abstractNumId="1">
    <w:nsid w:val="0B486F2A"/>
    <w:multiLevelType w:val="hybridMultilevel"/>
    <w:tmpl w:val="5C048CE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90A3256"/>
    <w:multiLevelType w:val="hybridMultilevel"/>
    <w:tmpl w:val="781AF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69157A"/>
    <w:multiLevelType w:val="hybridMultilevel"/>
    <w:tmpl w:val="55BED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ADC2408"/>
    <w:multiLevelType w:val="hybridMultilevel"/>
    <w:tmpl w:val="F692F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26D6322"/>
    <w:multiLevelType w:val="hybridMultilevel"/>
    <w:tmpl w:val="DCECD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54B43A1D"/>
    <w:multiLevelType w:val="hybridMultilevel"/>
    <w:tmpl w:val="68ACE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75E0ABB"/>
    <w:multiLevelType w:val="hybridMultilevel"/>
    <w:tmpl w:val="BC50D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B0934E1"/>
    <w:multiLevelType w:val="hybridMultilevel"/>
    <w:tmpl w:val="B768B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3FA498F"/>
    <w:multiLevelType w:val="hybridMultilevel"/>
    <w:tmpl w:val="AA26DD5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1F878C9"/>
    <w:multiLevelType w:val="hybridMultilevel"/>
    <w:tmpl w:val="2B827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8"/>
  </w:num>
  <w:num w:numId="5">
    <w:abstractNumId w:val="2"/>
  </w:num>
  <w:num w:numId="6">
    <w:abstractNumId w:val="5"/>
  </w:num>
  <w:num w:numId="7">
    <w:abstractNumId w:val="7"/>
  </w:num>
  <w:num w:numId="8">
    <w:abstractNumId w:val="4"/>
  </w:num>
  <w:num w:numId="9">
    <w:abstractNumId w:val="3"/>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D74"/>
    <w:rsid w:val="00004F86"/>
    <w:rsid w:val="00097E55"/>
    <w:rsid w:val="000E46D7"/>
    <w:rsid w:val="001356BE"/>
    <w:rsid w:val="001526D8"/>
    <w:rsid w:val="00152B9A"/>
    <w:rsid w:val="001738B6"/>
    <w:rsid w:val="001B66C8"/>
    <w:rsid w:val="00211AB7"/>
    <w:rsid w:val="00296FC0"/>
    <w:rsid w:val="0033077F"/>
    <w:rsid w:val="0033443C"/>
    <w:rsid w:val="00334DE2"/>
    <w:rsid w:val="00355847"/>
    <w:rsid w:val="0036589C"/>
    <w:rsid w:val="00375603"/>
    <w:rsid w:val="00376DDB"/>
    <w:rsid w:val="003B70B1"/>
    <w:rsid w:val="003B77F0"/>
    <w:rsid w:val="003D6533"/>
    <w:rsid w:val="00404E23"/>
    <w:rsid w:val="00412C94"/>
    <w:rsid w:val="00425209"/>
    <w:rsid w:val="00426B90"/>
    <w:rsid w:val="004538DF"/>
    <w:rsid w:val="004E2608"/>
    <w:rsid w:val="004E3D74"/>
    <w:rsid w:val="0051390B"/>
    <w:rsid w:val="0052705B"/>
    <w:rsid w:val="005431DF"/>
    <w:rsid w:val="005608FE"/>
    <w:rsid w:val="005631B9"/>
    <w:rsid w:val="00594998"/>
    <w:rsid w:val="005A53FC"/>
    <w:rsid w:val="0062529B"/>
    <w:rsid w:val="00631EAA"/>
    <w:rsid w:val="00633226"/>
    <w:rsid w:val="0066275B"/>
    <w:rsid w:val="006765F6"/>
    <w:rsid w:val="006765FD"/>
    <w:rsid w:val="006866D8"/>
    <w:rsid w:val="0069226B"/>
    <w:rsid w:val="006B375D"/>
    <w:rsid w:val="006C2A45"/>
    <w:rsid w:val="00714AA0"/>
    <w:rsid w:val="00715C04"/>
    <w:rsid w:val="007525E7"/>
    <w:rsid w:val="00753416"/>
    <w:rsid w:val="007653EC"/>
    <w:rsid w:val="007728A4"/>
    <w:rsid w:val="007A474A"/>
    <w:rsid w:val="007B4B08"/>
    <w:rsid w:val="007B6ADE"/>
    <w:rsid w:val="007C3655"/>
    <w:rsid w:val="007C7CF6"/>
    <w:rsid w:val="007E4358"/>
    <w:rsid w:val="007E59DA"/>
    <w:rsid w:val="0080113D"/>
    <w:rsid w:val="0084389A"/>
    <w:rsid w:val="00843CA7"/>
    <w:rsid w:val="0088082D"/>
    <w:rsid w:val="008A3019"/>
    <w:rsid w:val="008D2668"/>
    <w:rsid w:val="009025EE"/>
    <w:rsid w:val="00906BD5"/>
    <w:rsid w:val="00913575"/>
    <w:rsid w:val="00914860"/>
    <w:rsid w:val="00930134"/>
    <w:rsid w:val="0094595B"/>
    <w:rsid w:val="00964338"/>
    <w:rsid w:val="00976276"/>
    <w:rsid w:val="00991A2A"/>
    <w:rsid w:val="00996A6B"/>
    <w:rsid w:val="009B61ED"/>
    <w:rsid w:val="009C57B5"/>
    <w:rsid w:val="009D2A24"/>
    <w:rsid w:val="009D35FE"/>
    <w:rsid w:val="00A05A17"/>
    <w:rsid w:val="00A37655"/>
    <w:rsid w:val="00A41A1D"/>
    <w:rsid w:val="00A5374B"/>
    <w:rsid w:val="00A56096"/>
    <w:rsid w:val="00A56D76"/>
    <w:rsid w:val="00AF35A7"/>
    <w:rsid w:val="00B06E91"/>
    <w:rsid w:val="00B27234"/>
    <w:rsid w:val="00B56E98"/>
    <w:rsid w:val="00BA5F63"/>
    <w:rsid w:val="00BC2AD2"/>
    <w:rsid w:val="00BE206A"/>
    <w:rsid w:val="00C12766"/>
    <w:rsid w:val="00C8330F"/>
    <w:rsid w:val="00C9152E"/>
    <w:rsid w:val="00CD7EB9"/>
    <w:rsid w:val="00CE652F"/>
    <w:rsid w:val="00D04001"/>
    <w:rsid w:val="00D36FD5"/>
    <w:rsid w:val="00D42665"/>
    <w:rsid w:val="00D46433"/>
    <w:rsid w:val="00D91E55"/>
    <w:rsid w:val="00DE59E4"/>
    <w:rsid w:val="00DF443C"/>
    <w:rsid w:val="00E3092F"/>
    <w:rsid w:val="00E5574A"/>
    <w:rsid w:val="00E77296"/>
    <w:rsid w:val="00EB1C1A"/>
    <w:rsid w:val="00EB71AA"/>
    <w:rsid w:val="00ED675E"/>
    <w:rsid w:val="00EF31C9"/>
    <w:rsid w:val="00F31FF7"/>
    <w:rsid w:val="00F36481"/>
    <w:rsid w:val="00F662DD"/>
    <w:rsid w:val="00F66389"/>
    <w:rsid w:val="00F72D5B"/>
    <w:rsid w:val="00FA6649"/>
    <w:rsid w:val="00FB244B"/>
    <w:rsid w:val="00FF555D"/>
    <w:rsid w:val="00FF5C4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55D"/>
    <w:pPr>
      <w:spacing w:line="288" w:lineRule="auto"/>
    </w:pPr>
    <w:rPr>
      <w:rFonts w:ascii="Tw Cen MT" w:eastAsia="Cambria" w:hAnsi="Tw Cen MT" w:cs="Times New Roman"/>
      <w:color w:val="262626"/>
      <w:sz w:val="20"/>
    </w:rPr>
  </w:style>
  <w:style w:type="paragraph" w:styleId="Heading1">
    <w:name w:val="heading 1"/>
    <w:basedOn w:val="Normal"/>
    <w:next w:val="Normal"/>
    <w:link w:val="Heading1Char"/>
    <w:qFormat/>
    <w:rsid w:val="00FF555D"/>
    <w:pPr>
      <w:keepNext/>
      <w:keepLines/>
      <w:pBdr>
        <w:bottom w:val="single" w:sz="2" w:space="2" w:color="0F243E"/>
      </w:pBdr>
      <w:spacing w:before="120" w:after="240"/>
      <w:outlineLvl w:val="0"/>
    </w:pPr>
    <w:rPr>
      <w:rFonts w:eastAsia="Times New Roman"/>
      <w:bCs/>
      <w:color w:val="F89850"/>
      <w:sz w:val="56"/>
      <w:szCs w:val="32"/>
    </w:rPr>
  </w:style>
  <w:style w:type="paragraph" w:styleId="Heading2">
    <w:name w:val="heading 2"/>
    <w:basedOn w:val="Normal"/>
    <w:next w:val="Normal"/>
    <w:link w:val="Heading2Char"/>
    <w:qFormat/>
    <w:rsid w:val="00FF555D"/>
    <w:pPr>
      <w:keepNext/>
      <w:keepLines/>
      <w:spacing w:before="120" w:after="120"/>
      <w:outlineLvl w:val="1"/>
    </w:pPr>
    <w:rPr>
      <w:rFonts w:eastAsia="Times New Roman"/>
      <w:bCs/>
      <w:color w:val="F89850"/>
      <w:sz w:val="40"/>
      <w:szCs w:val="26"/>
    </w:rPr>
  </w:style>
  <w:style w:type="paragraph" w:styleId="Heading3">
    <w:name w:val="heading 3"/>
    <w:basedOn w:val="Normal"/>
    <w:next w:val="Normal"/>
    <w:link w:val="Heading3Char"/>
    <w:qFormat/>
    <w:rsid w:val="00FF555D"/>
    <w:pPr>
      <w:keepNext/>
      <w:keepLines/>
      <w:spacing w:before="120" w:after="60"/>
      <w:outlineLvl w:val="2"/>
    </w:pPr>
    <w:rPr>
      <w:rFonts w:eastAsia="Times New Roman"/>
      <w:bCs/>
      <w:color w:val="F8985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7F0"/>
    <w:pPr>
      <w:tabs>
        <w:tab w:val="center" w:pos="4320"/>
        <w:tab w:val="right" w:pos="8640"/>
      </w:tabs>
    </w:pPr>
  </w:style>
  <w:style w:type="character" w:customStyle="1" w:styleId="HeaderChar">
    <w:name w:val="Header Char"/>
    <w:basedOn w:val="DefaultParagraphFont"/>
    <w:link w:val="Header"/>
    <w:uiPriority w:val="99"/>
    <w:rsid w:val="003B77F0"/>
  </w:style>
  <w:style w:type="paragraph" w:styleId="Footer">
    <w:name w:val="footer"/>
    <w:basedOn w:val="Normal"/>
    <w:link w:val="FooterChar"/>
    <w:uiPriority w:val="99"/>
    <w:unhideWhenUsed/>
    <w:rsid w:val="003B77F0"/>
    <w:pPr>
      <w:tabs>
        <w:tab w:val="center" w:pos="4320"/>
        <w:tab w:val="right" w:pos="8640"/>
      </w:tabs>
    </w:pPr>
  </w:style>
  <w:style w:type="character" w:customStyle="1" w:styleId="FooterChar">
    <w:name w:val="Footer Char"/>
    <w:basedOn w:val="DefaultParagraphFont"/>
    <w:link w:val="Footer"/>
    <w:uiPriority w:val="99"/>
    <w:rsid w:val="003B77F0"/>
  </w:style>
  <w:style w:type="character" w:customStyle="1" w:styleId="Heading1Char">
    <w:name w:val="Heading 1 Char"/>
    <w:basedOn w:val="DefaultParagraphFont"/>
    <w:link w:val="Heading1"/>
    <w:rsid w:val="00FF555D"/>
    <w:rPr>
      <w:rFonts w:ascii="Tw Cen MT" w:eastAsia="Times New Roman" w:hAnsi="Tw Cen MT" w:cs="Times New Roman"/>
      <w:bCs/>
      <w:color w:val="F89850"/>
      <w:sz w:val="56"/>
      <w:szCs w:val="32"/>
    </w:rPr>
  </w:style>
  <w:style w:type="character" w:customStyle="1" w:styleId="Heading2Char">
    <w:name w:val="Heading 2 Char"/>
    <w:basedOn w:val="DefaultParagraphFont"/>
    <w:link w:val="Heading2"/>
    <w:rsid w:val="00FF555D"/>
    <w:rPr>
      <w:rFonts w:ascii="Tw Cen MT" w:eastAsia="Times New Roman" w:hAnsi="Tw Cen MT" w:cs="Times New Roman"/>
      <w:bCs/>
      <w:color w:val="F89850"/>
      <w:sz w:val="40"/>
      <w:szCs w:val="26"/>
    </w:rPr>
  </w:style>
  <w:style w:type="character" w:customStyle="1" w:styleId="Heading3Char">
    <w:name w:val="Heading 3 Char"/>
    <w:basedOn w:val="DefaultParagraphFont"/>
    <w:link w:val="Heading3"/>
    <w:rsid w:val="00FF555D"/>
    <w:rPr>
      <w:rFonts w:ascii="Tw Cen MT" w:eastAsia="Times New Roman" w:hAnsi="Tw Cen MT" w:cs="Times New Roman"/>
      <w:bCs/>
      <w:color w:val="F89850"/>
      <w:sz w:val="28"/>
    </w:rPr>
  </w:style>
  <w:style w:type="paragraph" w:styleId="BalloonText">
    <w:name w:val="Balloon Text"/>
    <w:basedOn w:val="Normal"/>
    <w:link w:val="BalloonTextChar"/>
    <w:uiPriority w:val="99"/>
    <w:semiHidden/>
    <w:unhideWhenUsed/>
    <w:rsid w:val="00FF555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555D"/>
    <w:rPr>
      <w:rFonts w:ascii="Lucida Grande" w:eastAsia="Cambria" w:hAnsi="Lucida Grande" w:cs="Lucida Grande"/>
      <w:color w:val="262626"/>
      <w:sz w:val="18"/>
      <w:szCs w:val="18"/>
    </w:rPr>
  </w:style>
  <w:style w:type="paragraph" w:styleId="ListBullet">
    <w:name w:val="List Bullet"/>
    <w:basedOn w:val="Normal"/>
    <w:rsid w:val="00FF555D"/>
    <w:pPr>
      <w:numPr>
        <w:numId w:val="2"/>
      </w:numPr>
    </w:pPr>
    <w:rPr>
      <w:rFonts w:eastAsia="Calibri"/>
      <w:szCs w:val="22"/>
      <w:lang w:val="en-AU"/>
    </w:rPr>
  </w:style>
  <w:style w:type="paragraph" w:styleId="ListParagraph">
    <w:name w:val="List Paragraph"/>
    <w:basedOn w:val="Normal"/>
    <w:uiPriority w:val="34"/>
    <w:qFormat/>
    <w:rsid w:val="00FF555D"/>
    <w:pPr>
      <w:ind w:left="720"/>
      <w:contextualSpacing/>
    </w:pPr>
  </w:style>
  <w:style w:type="character" w:styleId="Hyperlink">
    <w:name w:val="Hyperlink"/>
    <w:basedOn w:val="DefaultParagraphFont"/>
    <w:rsid w:val="00FF555D"/>
    <w:rPr>
      <w:color w:val="0000FF" w:themeColor="hyperlink"/>
      <w:u w:val="single"/>
    </w:rPr>
  </w:style>
  <w:style w:type="table" w:styleId="MediumShading1-Accent1">
    <w:name w:val="Medium Shading 1 Accent 1"/>
    <w:basedOn w:val="TableNormal"/>
    <w:uiPriority w:val="63"/>
    <w:rsid w:val="00F36481"/>
    <w:rPr>
      <w:rFonts w:eastAsiaTheme="minorHAnsi"/>
      <w:sz w:val="22"/>
      <w:szCs w:val="22"/>
      <w:lang w:val="en-GB"/>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CommentText">
    <w:name w:val="annotation text"/>
    <w:basedOn w:val="Normal"/>
    <w:link w:val="CommentTextChar"/>
    <w:uiPriority w:val="99"/>
    <w:semiHidden/>
    <w:unhideWhenUsed/>
    <w:rsid w:val="00AF35A7"/>
    <w:pPr>
      <w:spacing w:line="240" w:lineRule="auto"/>
    </w:pPr>
    <w:rPr>
      <w:szCs w:val="20"/>
    </w:rPr>
  </w:style>
  <w:style w:type="character" w:customStyle="1" w:styleId="CommentTextChar">
    <w:name w:val="Comment Text Char"/>
    <w:basedOn w:val="DefaultParagraphFont"/>
    <w:link w:val="CommentText"/>
    <w:uiPriority w:val="99"/>
    <w:semiHidden/>
    <w:rsid w:val="00AF35A7"/>
    <w:rPr>
      <w:rFonts w:ascii="Tw Cen MT" w:eastAsia="Cambria" w:hAnsi="Tw Cen MT" w:cs="Times New Roman"/>
      <w:color w:val="262626"/>
      <w:sz w:val="20"/>
      <w:szCs w:val="20"/>
    </w:rPr>
  </w:style>
  <w:style w:type="paragraph" w:styleId="CommentSubject">
    <w:name w:val="annotation subject"/>
    <w:basedOn w:val="CommentText"/>
    <w:next w:val="CommentText"/>
    <w:link w:val="CommentSubjectChar"/>
    <w:uiPriority w:val="99"/>
    <w:semiHidden/>
    <w:unhideWhenUsed/>
    <w:rsid w:val="00AF35A7"/>
    <w:rPr>
      <w:b/>
      <w:bCs/>
    </w:rPr>
  </w:style>
  <w:style w:type="character" w:customStyle="1" w:styleId="CommentSubjectChar">
    <w:name w:val="Comment Subject Char"/>
    <w:basedOn w:val="CommentTextChar"/>
    <w:link w:val="CommentSubject"/>
    <w:uiPriority w:val="99"/>
    <w:semiHidden/>
    <w:rsid w:val="00AF35A7"/>
    <w:rPr>
      <w:rFonts w:ascii="Tw Cen MT" w:eastAsia="Cambria" w:hAnsi="Tw Cen MT" w:cs="Times New Roman"/>
      <w:b/>
      <w:bCs/>
      <w:color w:val="262626"/>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55D"/>
    <w:pPr>
      <w:spacing w:line="288" w:lineRule="auto"/>
    </w:pPr>
    <w:rPr>
      <w:rFonts w:ascii="Tw Cen MT" w:eastAsia="Cambria" w:hAnsi="Tw Cen MT" w:cs="Times New Roman"/>
      <w:color w:val="262626"/>
      <w:sz w:val="20"/>
    </w:rPr>
  </w:style>
  <w:style w:type="paragraph" w:styleId="Heading1">
    <w:name w:val="heading 1"/>
    <w:basedOn w:val="Normal"/>
    <w:next w:val="Normal"/>
    <w:link w:val="Heading1Char"/>
    <w:qFormat/>
    <w:rsid w:val="00FF555D"/>
    <w:pPr>
      <w:keepNext/>
      <w:keepLines/>
      <w:pBdr>
        <w:bottom w:val="single" w:sz="2" w:space="2" w:color="0F243E"/>
      </w:pBdr>
      <w:spacing w:before="120" w:after="240"/>
      <w:outlineLvl w:val="0"/>
    </w:pPr>
    <w:rPr>
      <w:rFonts w:eastAsia="Times New Roman"/>
      <w:bCs/>
      <w:color w:val="F89850"/>
      <w:sz w:val="56"/>
      <w:szCs w:val="32"/>
    </w:rPr>
  </w:style>
  <w:style w:type="paragraph" w:styleId="Heading2">
    <w:name w:val="heading 2"/>
    <w:basedOn w:val="Normal"/>
    <w:next w:val="Normal"/>
    <w:link w:val="Heading2Char"/>
    <w:qFormat/>
    <w:rsid w:val="00FF555D"/>
    <w:pPr>
      <w:keepNext/>
      <w:keepLines/>
      <w:spacing w:before="120" w:after="120"/>
      <w:outlineLvl w:val="1"/>
    </w:pPr>
    <w:rPr>
      <w:rFonts w:eastAsia="Times New Roman"/>
      <w:bCs/>
      <w:color w:val="F89850"/>
      <w:sz w:val="40"/>
      <w:szCs w:val="26"/>
    </w:rPr>
  </w:style>
  <w:style w:type="paragraph" w:styleId="Heading3">
    <w:name w:val="heading 3"/>
    <w:basedOn w:val="Normal"/>
    <w:next w:val="Normal"/>
    <w:link w:val="Heading3Char"/>
    <w:qFormat/>
    <w:rsid w:val="00FF555D"/>
    <w:pPr>
      <w:keepNext/>
      <w:keepLines/>
      <w:spacing w:before="120" w:after="60"/>
      <w:outlineLvl w:val="2"/>
    </w:pPr>
    <w:rPr>
      <w:rFonts w:eastAsia="Times New Roman"/>
      <w:bCs/>
      <w:color w:val="F8985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7F0"/>
    <w:pPr>
      <w:tabs>
        <w:tab w:val="center" w:pos="4320"/>
        <w:tab w:val="right" w:pos="8640"/>
      </w:tabs>
    </w:pPr>
  </w:style>
  <w:style w:type="character" w:customStyle="1" w:styleId="HeaderChar">
    <w:name w:val="Header Char"/>
    <w:basedOn w:val="DefaultParagraphFont"/>
    <w:link w:val="Header"/>
    <w:uiPriority w:val="99"/>
    <w:rsid w:val="003B77F0"/>
  </w:style>
  <w:style w:type="paragraph" w:styleId="Footer">
    <w:name w:val="footer"/>
    <w:basedOn w:val="Normal"/>
    <w:link w:val="FooterChar"/>
    <w:uiPriority w:val="99"/>
    <w:unhideWhenUsed/>
    <w:rsid w:val="003B77F0"/>
    <w:pPr>
      <w:tabs>
        <w:tab w:val="center" w:pos="4320"/>
        <w:tab w:val="right" w:pos="8640"/>
      </w:tabs>
    </w:pPr>
  </w:style>
  <w:style w:type="character" w:customStyle="1" w:styleId="FooterChar">
    <w:name w:val="Footer Char"/>
    <w:basedOn w:val="DefaultParagraphFont"/>
    <w:link w:val="Footer"/>
    <w:uiPriority w:val="99"/>
    <w:rsid w:val="003B77F0"/>
  </w:style>
  <w:style w:type="character" w:customStyle="1" w:styleId="Heading1Char">
    <w:name w:val="Heading 1 Char"/>
    <w:basedOn w:val="DefaultParagraphFont"/>
    <w:link w:val="Heading1"/>
    <w:rsid w:val="00FF555D"/>
    <w:rPr>
      <w:rFonts w:ascii="Tw Cen MT" w:eastAsia="Times New Roman" w:hAnsi="Tw Cen MT" w:cs="Times New Roman"/>
      <w:bCs/>
      <w:color w:val="F89850"/>
      <w:sz w:val="56"/>
      <w:szCs w:val="32"/>
    </w:rPr>
  </w:style>
  <w:style w:type="character" w:customStyle="1" w:styleId="Heading2Char">
    <w:name w:val="Heading 2 Char"/>
    <w:basedOn w:val="DefaultParagraphFont"/>
    <w:link w:val="Heading2"/>
    <w:rsid w:val="00FF555D"/>
    <w:rPr>
      <w:rFonts w:ascii="Tw Cen MT" w:eastAsia="Times New Roman" w:hAnsi="Tw Cen MT" w:cs="Times New Roman"/>
      <w:bCs/>
      <w:color w:val="F89850"/>
      <w:sz w:val="40"/>
      <w:szCs w:val="26"/>
    </w:rPr>
  </w:style>
  <w:style w:type="character" w:customStyle="1" w:styleId="Heading3Char">
    <w:name w:val="Heading 3 Char"/>
    <w:basedOn w:val="DefaultParagraphFont"/>
    <w:link w:val="Heading3"/>
    <w:rsid w:val="00FF555D"/>
    <w:rPr>
      <w:rFonts w:ascii="Tw Cen MT" w:eastAsia="Times New Roman" w:hAnsi="Tw Cen MT" w:cs="Times New Roman"/>
      <w:bCs/>
      <w:color w:val="F89850"/>
      <w:sz w:val="28"/>
    </w:rPr>
  </w:style>
  <w:style w:type="paragraph" w:styleId="BalloonText">
    <w:name w:val="Balloon Text"/>
    <w:basedOn w:val="Normal"/>
    <w:link w:val="BalloonTextChar"/>
    <w:uiPriority w:val="99"/>
    <w:semiHidden/>
    <w:unhideWhenUsed/>
    <w:rsid w:val="00FF555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555D"/>
    <w:rPr>
      <w:rFonts w:ascii="Lucida Grande" w:eastAsia="Cambria" w:hAnsi="Lucida Grande" w:cs="Lucida Grande"/>
      <w:color w:val="262626"/>
      <w:sz w:val="18"/>
      <w:szCs w:val="18"/>
    </w:rPr>
  </w:style>
  <w:style w:type="paragraph" w:styleId="ListBullet">
    <w:name w:val="List Bullet"/>
    <w:basedOn w:val="Normal"/>
    <w:rsid w:val="00FF555D"/>
    <w:pPr>
      <w:numPr>
        <w:numId w:val="2"/>
      </w:numPr>
    </w:pPr>
    <w:rPr>
      <w:rFonts w:eastAsia="Calibri"/>
      <w:szCs w:val="22"/>
      <w:lang w:val="en-AU"/>
    </w:rPr>
  </w:style>
  <w:style w:type="paragraph" w:styleId="ListParagraph">
    <w:name w:val="List Paragraph"/>
    <w:basedOn w:val="Normal"/>
    <w:uiPriority w:val="34"/>
    <w:qFormat/>
    <w:rsid w:val="00FF555D"/>
    <w:pPr>
      <w:ind w:left="720"/>
      <w:contextualSpacing/>
    </w:pPr>
  </w:style>
  <w:style w:type="character" w:styleId="Hyperlink">
    <w:name w:val="Hyperlink"/>
    <w:basedOn w:val="DefaultParagraphFont"/>
    <w:rsid w:val="00FF555D"/>
    <w:rPr>
      <w:color w:val="0000FF" w:themeColor="hyperlink"/>
      <w:u w:val="single"/>
    </w:rPr>
  </w:style>
  <w:style w:type="table" w:styleId="MediumShading1-Accent1">
    <w:name w:val="Medium Shading 1 Accent 1"/>
    <w:basedOn w:val="TableNormal"/>
    <w:uiPriority w:val="63"/>
    <w:rsid w:val="00F36481"/>
    <w:rPr>
      <w:rFonts w:eastAsiaTheme="minorHAnsi"/>
      <w:sz w:val="22"/>
      <w:szCs w:val="22"/>
      <w:lang w:val="en-GB"/>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CommentText">
    <w:name w:val="annotation text"/>
    <w:basedOn w:val="Normal"/>
    <w:link w:val="CommentTextChar"/>
    <w:uiPriority w:val="99"/>
    <w:semiHidden/>
    <w:unhideWhenUsed/>
    <w:rsid w:val="00AF35A7"/>
    <w:pPr>
      <w:spacing w:line="240" w:lineRule="auto"/>
    </w:pPr>
    <w:rPr>
      <w:szCs w:val="20"/>
    </w:rPr>
  </w:style>
  <w:style w:type="character" w:customStyle="1" w:styleId="CommentTextChar">
    <w:name w:val="Comment Text Char"/>
    <w:basedOn w:val="DefaultParagraphFont"/>
    <w:link w:val="CommentText"/>
    <w:uiPriority w:val="99"/>
    <w:semiHidden/>
    <w:rsid w:val="00AF35A7"/>
    <w:rPr>
      <w:rFonts w:ascii="Tw Cen MT" w:eastAsia="Cambria" w:hAnsi="Tw Cen MT" w:cs="Times New Roman"/>
      <w:color w:val="262626"/>
      <w:sz w:val="20"/>
      <w:szCs w:val="20"/>
    </w:rPr>
  </w:style>
  <w:style w:type="paragraph" w:styleId="CommentSubject">
    <w:name w:val="annotation subject"/>
    <w:basedOn w:val="CommentText"/>
    <w:next w:val="CommentText"/>
    <w:link w:val="CommentSubjectChar"/>
    <w:uiPriority w:val="99"/>
    <w:semiHidden/>
    <w:unhideWhenUsed/>
    <w:rsid w:val="00AF35A7"/>
    <w:rPr>
      <w:b/>
      <w:bCs/>
    </w:rPr>
  </w:style>
  <w:style w:type="character" w:customStyle="1" w:styleId="CommentSubjectChar">
    <w:name w:val="Comment Subject Char"/>
    <w:basedOn w:val="CommentTextChar"/>
    <w:link w:val="CommentSubject"/>
    <w:uiPriority w:val="99"/>
    <w:semiHidden/>
    <w:rsid w:val="00AF35A7"/>
    <w:rPr>
      <w:rFonts w:ascii="Tw Cen MT" w:eastAsia="Cambria" w:hAnsi="Tw Cen MT" w:cs="Times New Roman"/>
      <w:b/>
      <w:bCs/>
      <w:color w:val="26262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0833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ubmissions" ma:contentTypeID="0x01010066EDC8E18BFE9C418F00295EA55D44EA0015EE9FD84A134F42A8E78176E2093D4400FA055CF3113ACE489CC83C69505D2DFE" ma:contentTypeVersion="10" ma:contentTypeDescription="" ma:contentTypeScope="" ma:versionID="d089c9d5e52a23621f4460d79da6eba3">
  <xsd:schema xmlns:xsd="http://www.w3.org/2001/XMLSchema" xmlns:xs="http://www.w3.org/2001/XMLSchema" xmlns:p="http://schemas.microsoft.com/office/2006/metadata/properties" xmlns:ns2="http://schemas.microsoft.com/sharepoint/v4" targetNamespace="http://schemas.microsoft.com/office/2006/metadata/properties" ma:root="true" ma:fieldsID="56744cf7dae5f007ba57270149f9373e"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2AC6D-283D-4824-9B26-0D1BCA7D3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2B8A1A-5DCE-4A12-A3B3-050B2B6ED252}">
  <ds:schemaRefs>
    <ds:schemaRef ds:uri="http://schemas.microsoft.com/sharepoint/events"/>
  </ds:schemaRefs>
</ds:datastoreItem>
</file>

<file path=customXml/itemProps3.xml><?xml version="1.0" encoding="utf-8"?>
<ds:datastoreItem xmlns:ds="http://schemas.openxmlformats.org/officeDocument/2006/customXml" ds:itemID="{760749B8-05A5-46C7-951A-0F9603D35C54}">
  <ds:schemaRefs>
    <ds:schemaRef ds:uri="http://purl.org/dc/elements/1.1/"/>
    <ds:schemaRef ds:uri="http://purl.org/dc/terms/"/>
    <ds:schemaRef ds:uri="http://schemas.microsoft.com/office/2006/metadata/properties"/>
    <ds:schemaRef ds:uri="http://schemas.microsoft.com/office/2006/documentManagement/types"/>
    <ds:schemaRef ds:uri="http://www.w3.org/XML/1998/namespace"/>
    <ds:schemaRef ds:uri="http://purl.org/dc/dcmitype/"/>
    <ds:schemaRef ds:uri="http://schemas.microsoft.com/office/infopath/2007/PartnerControls"/>
    <ds:schemaRef ds:uri="http://schemas.openxmlformats.org/package/2006/metadata/core-properties"/>
    <ds:schemaRef ds:uri="http://schemas.microsoft.com/sharepoint/v4"/>
  </ds:schemaRefs>
</ds:datastoreItem>
</file>

<file path=customXml/itemProps4.xml><?xml version="1.0" encoding="utf-8"?>
<ds:datastoreItem xmlns:ds="http://schemas.openxmlformats.org/officeDocument/2006/customXml" ds:itemID="{47A11D44-8F35-42EB-BE67-A77F6BD28B62}">
  <ds:schemaRefs>
    <ds:schemaRef ds:uri="http://schemas.microsoft.com/office/2006/metadata/customXsn"/>
  </ds:schemaRefs>
</ds:datastoreItem>
</file>

<file path=customXml/itemProps5.xml><?xml version="1.0" encoding="utf-8"?>
<ds:datastoreItem xmlns:ds="http://schemas.openxmlformats.org/officeDocument/2006/customXml" ds:itemID="{1A5EDF94-015A-404D-A0A9-DE7C0E31FCA0}">
  <ds:schemaRefs>
    <ds:schemaRef ds:uri="http://schemas.microsoft.com/sharepoint/v3/contenttype/forms"/>
  </ds:schemaRefs>
</ds:datastoreItem>
</file>

<file path=customXml/itemProps6.xml><?xml version="1.0" encoding="utf-8"?>
<ds:datastoreItem xmlns:ds="http://schemas.openxmlformats.org/officeDocument/2006/customXml" ds:itemID="{A571EBF1-6A45-4BB8-BC1F-F6A96AFA8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7</Pages>
  <Words>1937</Words>
  <Characters>11047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Submission DR203 - Regional Australia Institute - Natural Disaster Funding - Public inquiry</vt:lpstr>
    </vt:vector>
  </TitlesOfParts>
  <Company/>
  <LinksUpToDate>false</LinksUpToDate>
  <CharactersWithSpaces>12959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DR203 - Regional Australia Institute - Natural Disaster Funding - Public inquiry</dc:title>
  <dc:creator>Regional Australia Institute</dc:creator>
  <cp:lastModifiedBy>Mark Pimperl</cp:lastModifiedBy>
  <cp:revision>7</cp:revision>
  <cp:lastPrinted>2014-10-23T22:39:00Z</cp:lastPrinted>
  <dcterms:created xsi:type="dcterms:W3CDTF">2014-10-23T21:45:00Z</dcterms:created>
  <dcterms:modified xsi:type="dcterms:W3CDTF">2014-10-28T21:52:00Z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0x01010066EDC8E18BFE9C418F00295EA55D44EA0015EE9FD84A134F42A8E78176E2093D4400FA055CF3113ACE489CC83C69505D2DFE</vt:lpwstr>
  </property>
  <property fmtid="{D5CDD505-2E9C-101B-9397-08002B2CF9AE}" pid="3" name="RecordPoint_ActiveItemSiteId">
    <vt:lpwstr>{5750d626-0aa0-474c-a55f-8063909d4906}</vt:lpwstr>
  </property>
  <property fmtid="{D5CDD505-2E9C-101B-9397-08002B2CF9AE}" pid="4" name="RecordPoint_ActiveItemListId">
    <vt:lpwstr>{5ddcf88e-8444-4ec5-9e6b-ef3ebb4e4a49}</vt:lpwstr>
  </property>
  <property fmtid="{D5CDD505-2E9C-101B-9397-08002B2CF9AE}" pid="5" name="RecordPoint_ActiveItemUniqueId">
    <vt:lpwstr>{a597cf28-40e3-4369-b176-1a818a29fdc6}</vt:lpwstr>
  </property>
  <property fmtid="{D5CDD505-2E9C-101B-9397-08002B2CF9AE}" pid="6" name="RecordPoint_ActiveItemWebId">
    <vt:lpwstr>{2159b2f9-a7b8-4f1e-afd4-3e549d486baf}</vt:lpwstr>
  </property>
  <property fmtid="{D5CDD505-2E9C-101B-9397-08002B2CF9AE}" pid="7" name="RecordPoint_SubmissionCompleted">
    <vt:lpwstr>2014-10-27T14:21:19.8165029+11:00</vt:lpwstr>
  </property>
  <property fmtid="{D5CDD505-2E9C-101B-9397-08002B2CF9AE}" pid="8" name="RecordPoint_WorkflowType">
    <vt:lpwstr>ActiveSubmitStub</vt:lpwstr>
  </property>
  <property fmtid="{D5CDD505-2E9C-101B-9397-08002B2CF9AE}" pid="9" name="RecordPoint_RecordNumberSubmitted">
    <vt:lpwstr>R0000001759</vt:lpwstr>
  </property>
</Properties>
</file>