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585F4FB" w14:textId="77777777" w:rsidR="008F69D5" w:rsidRDefault="009F69B5" w:rsidP="008F69D5">
      <w:pPr>
        <w:pStyle w:val="Reference"/>
      </w:pPr>
      <w:r>
        <w:t>DOC</w:t>
      </w:r>
      <w:r w:rsidR="004274A4">
        <w:t>014820</w:t>
      </w:r>
    </w:p>
    <w:p w14:paraId="1F13F663" w14:textId="77777777" w:rsidR="008F69D5" w:rsidRDefault="004274A4" w:rsidP="008F69D5">
      <w:pPr>
        <w:pStyle w:val="Addressee"/>
      </w:pPr>
      <w:r>
        <w:t>Commissioners Coppel and Chester</w:t>
      </w:r>
    </w:p>
    <w:p w14:paraId="5BDFE617" w14:textId="77777777" w:rsidR="008F69D5" w:rsidRDefault="004274A4" w:rsidP="008F69D5">
      <w:pPr>
        <w:pStyle w:val="Addressee"/>
      </w:pPr>
      <w:r>
        <w:t>Natural Disaster Funding Arrangements</w:t>
      </w:r>
    </w:p>
    <w:p w14:paraId="378AEE0D" w14:textId="77777777" w:rsidR="008F69D5" w:rsidRDefault="004274A4" w:rsidP="008F69D5">
      <w:pPr>
        <w:pStyle w:val="Addressee"/>
      </w:pPr>
      <w:r>
        <w:t>Productivity Commission</w:t>
      </w:r>
    </w:p>
    <w:p w14:paraId="67DB3F90" w14:textId="77777777" w:rsidR="008F69D5" w:rsidRDefault="004274A4" w:rsidP="008F69D5">
      <w:pPr>
        <w:pStyle w:val="Addressee"/>
      </w:pPr>
      <w:r>
        <w:t>Locked Bag 2, Collins Street East</w:t>
      </w:r>
    </w:p>
    <w:p w14:paraId="61226528" w14:textId="77777777" w:rsidR="008F69D5" w:rsidRDefault="004274A4" w:rsidP="008F69D5">
      <w:pPr>
        <w:pStyle w:val="Addressee"/>
      </w:pPr>
      <w:r>
        <w:t>MELBOURNE VICTORIA 8003</w:t>
      </w:r>
    </w:p>
    <w:p w14:paraId="7F8F944E" w14:textId="77777777" w:rsidR="008F69D5" w:rsidRDefault="008F69D5" w:rsidP="004E6B1D">
      <w:pPr>
        <w:pStyle w:val="BodyText1"/>
      </w:pPr>
    </w:p>
    <w:p w14:paraId="4239804D" w14:textId="77777777" w:rsidR="004E6B1D" w:rsidRDefault="004E6B1D" w:rsidP="004E6B1D">
      <w:pPr>
        <w:pStyle w:val="BodyText1"/>
      </w:pPr>
      <w:r>
        <w:t>Dear</w:t>
      </w:r>
      <w:r w:rsidR="004274A4">
        <w:t xml:space="preserve"> Commissioners</w:t>
      </w:r>
    </w:p>
    <w:p w14:paraId="32FBEF80" w14:textId="77777777" w:rsidR="004E6B1D" w:rsidRPr="00102007" w:rsidRDefault="004274A4" w:rsidP="004274A4">
      <w:pPr>
        <w:pStyle w:val="Heading1"/>
        <w:jc w:val="center"/>
      </w:pPr>
      <w:r>
        <w:t>Inquiry into Natural Disaster Funding – Requests for Information</w:t>
      </w:r>
    </w:p>
    <w:p w14:paraId="061FE010" w14:textId="77777777" w:rsidR="00102007" w:rsidRDefault="004274A4" w:rsidP="00346BCA">
      <w:pPr>
        <w:pStyle w:val="BodyText1"/>
        <w:jc w:val="both"/>
      </w:pPr>
      <w:r>
        <w:t xml:space="preserve">I refer to the draft report of the Productivity Commission’s </w:t>
      </w:r>
      <w:r w:rsidR="004B5918">
        <w:t>i</w:t>
      </w:r>
      <w:r>
        <w:t xml:space="preserve">nquiry into </w:t>
      </w:r>
      <w:r w:rsidR="004B5918">
        <w:t>n</w:t>
      </w:r>
      <w:r>
        <w:t xml:space="preserve">atural </w:t>
      </w:r>
      <w:r w:rsidR="004B5918">
        <w:t>d</w:t>
      </w:r>
      <w:r>
        <w:t xml:space="preserve">isaster </w:t>
      </w:r>
      <w:r w:rsidR="004B5918">
        <w:t>f</w:t>
      </w:r>
      <w:r>
        <w:t>unding</w:t>
      </w:r>
      <w:r w:rsidR="004B5918">
        <w:t xml:space="preserve"> arrangements</w:t>
      </w:r>
      <w:r>
        <w:t>, which wa</w:t>
      </w:r>
      <w:r w:rsidR="004B5918">
        <w:t>s released on 25 September 2014, and which contains a number of information requests.</w:t>
      </w:r>
    </w:p>
    <w:p w14:paraId="0FE38222" w14:textId="77777777" w:rsidR="004B5918" w:rsidRDefault="004B5918" w:rsidP="00346BCA">
      <w:pPr>
        <w:pStyle w:val="BodyText1"/>
        <w:jc w:val="both"/>
      </w:pPr>
      <w:r>
        <w:t>The attached table presents a number of officer-level responses to information requests that are of direct relevance to the NSW Government.</w:t>
      </w:r>
    </w:p>
    <w:p w14:paraId="26040E4C" w14:textId="77777777" w:rsidR="008A2722" w:rsidRDefault="008A2722" w:rsidP="00346BCA">
      <w:pPr>
        <w:pStyle w:val="BodyText1"/>
        <w:jc w:val="both"/>
      </w:pPr>
      <w:r>
        <w:t xml:space="preserve">The responses </w:t>
      </w:r>
      <w:r w:rsidRPr="008A2722">
        <w:t xml:space="preserve">provided </w:t>
      </w:r>
      <w:r>
        <w:t xml:space="preserve">in the attached table are </w:t>
      </w:r>
      <w:r w:rsidRPr="008A2722">
        <w:t xml:space="preserve">suggestions and contributions to the </w:t>
      </w:r>
      <w:r>
        <w:t xml:space="preserve">Inquiry from a range of NSW Government agencies, and they do not necessarily represent the endorsed </w:t>
      </w:r>
      <w:r w:rsidRPr="008A2722">
        <w:t>polic</w:t>
      </w:r>
      <w:r>
        <w:t>y position of the NSW Government.</w:t>
      </w:r>
    </w:p>
    <w:p w14:paraId="04A53914" w14:textId="77777777" w:rsidR="008A2722" w:rsidRDefault="008A2722" w:rsidP="00346BCA">
      <w:pPr>
        <w:pStyle w:val="BodyText1"/>
        <w:jc w:val="both"/>
      </w:pPr>
      <w:r>
        <w:t>The NSW Minister for Police and Emergency Services will send a separate letter which addresses a number of findings and recommendations in the draft report, which are of significant concern to the NSW Government.</w:t>
      </w:r>
    </w:p>
    <w:p w14:paraId="518B61F9" w14:textId="77777777" w:rsidR="005F5598" w:rsidRDefault="005F5598" w:rsidP="005F5598">
      <w:pPr>
        <w:pStyle w:val="BodyText1"/>
        <w:jc w:val="both"/>
      </w:pPr>
      <w:r>
        <w:t>I trust that this information will assist the Commission with its inquiry.</w:t>
      </w:r>
    </w:p>
    <w:p w14:paraId="6B3A5FA7" w14:textId="25F186EE" w:rsidR="004274A4" w:rsidRDefault="005F5598" w:rsidP="005F5598">
      <w:pPr>
        <w:pStyle w:val="BodyText1"/>
        <w:jc w:val="both"/>
      </w:pPr>
      <w:r>
        <w:t>Should you have any further queries please do not hesitate to contact the Response and Recovery Branch within the Mi</w:t>
      </w:r>
      <w:r w:rsidR="00B563A3">
        <w:t>nistry for Police and Emergency.</w:t>
      </w:r>
    </w:p>
    <w:p w14:paraId="39746D79" w14:textId="77777777" w:rsidR="004274A4" w:rsidRDefault="004274A4" w:rsidP="00346BCA">
      <w:pPr>
        <w:pStyle w:val="BodyText1"/>
        <w:jc w:val="both"/>
      </w:pPr>
    </w:p>
    <w:p w14:paraId="429892B3" w14:textId="77777777" w:rsidR="004E6B1D" w:rsidRDefault="004E6B1D" w:rsidP="004E6B1D">
      <w:pPr>
        <w:pStyle w:val="BodyText1"/>
      </w:pPr>
      <w:r>
        <w:t>Your</w:t>
      </w:r>
      <w:r w:rsidR="00102007">
        <w:t>s</w:t>
      </w:r>
      <w:r>
        <w:t xml:space="preserve"> sincerely</w:t>
      </w:r>
      <w:bookmarkStart w:id="0" w:name="_GoBack"/>
      <w:bookmarkEnd w:id="0"/>
    </w:p>
    <w:p w14:paraId="7240AB66" w14:textId="77777777" w:rsidR="004E6B1D" w:rsidRDefault="00DB7AF0" w:rsidP="00102007">
      <w:pPr>
        <w:pStyle w:val="Sign-off"/>
      </w:pPr>
      <w:r>
        <w:t>Vicki D’Adam</w:t>
      </w:r>
    </w:p>
    <w:p w14:paraId="35FC681C" w14:textId="77777777" w:rsidR="005552B9" w:rsidRPr="005552B9" w:rsidRDefault="00DB7AF0" w:rsidP="00102007">
      <w:pPr>
        <w:pStyle w:val="Sign-off"/>
        <w:rPr>
          <w:b w:val="0"/>
        </w:rPr>
      </w:pPr>
      <w:r>
        <w:rPr>
          <w:b w:val="0"/>
        </w:rPr>
        <w:t>Chief Executive Officer</w:t>
      </w:r>
    </w:p>
    <w:p w14:paraId="2F32BDFC" w14:textId="77777777" w:rsidR="008F69D5" w:rsidRDefault="005552B9" w:rsidP="00102007">
      <w:pPr>
        <w:pStyle w:val="Sign-off"/>
        <w:rPr>
          <w:b w:val="0"/>
        </w:rPr>
      </w:pPr>
      <w:r>
        <w:rPr>
          <w:b w:val="0"/>
        </w:rPr>
        <w:t>Ministry for Police and Emergency Services</w:t>
      </w:r>
    </w:p>
    <w:p w14:paraId="48AF2EC9" w14:textId="77777777" w:rsidR="00C712DF" w:rsidRDefault="00C712DF" w:rsidP="00102007">
      <w:pPr>
        <w:pStyle w:val="Sign-off"/>
        <w:rPr>
          <w:b w:val="0"/>
        </w:rPr>
      </w:pPr>
    </w:p>
    <w:p w14:paraId="03A29E61" w14:textId="77777777" w:rsidR="00C712DF" w:rsidRDefault="00C712DF" w:rsidP="00102007">
      <w:pPr>
        <w:pStyle w:val="Sign-off"/>
        <w:rPr>
          <w:b w:val="0"/>
        </w:rPr>
        <w:sectPr w:rsidR="00C712DF" w:rsidSect="008F69D5">
          <w:footerReference w:type="even" r:id="rId14"/>
          <w:footerReference w:type="default" r:id="rId15"/>
          <w:headerReference w:type="first" r:id="rId16"/>
          <w:footerReference w:type="first" r:id="rId17"/>
          <w:pgSz w:w="11906" w:h="16838"/>
          <w:pgMar w:top="1134" w:right="1418" w:bottom="1134" w:left="1418" w:header="567" w:footer="567" w:gutter="0"/>
          <w:cols w:space="708"/>
          <w:titlePg/>
          <w:docGrid w:linePitch="360"/>
        </w:sectPr>
      </w:pPr>
    </w:p>
    <w:p w14:paraId="10A29C0C" w14:textId="77777777" w:rsidR="00C712DF" w:rsidRDefault="00C712DF" w:rsidP="00C712DF">
      <w:pPr>
        <w:jc w:val="center"/>
        <w:rPr>
          <w:b/>
        </w:rPr>
      </w:pPr>
      <w:r w:rsidRPr="00AD40BF">
        <w:rPr>
          <w:b/>
        </w:rPr>
        <w:lastRenderedPageBreak/>
        <w:t>Productivity Commission Inquiry into Natural Disaster Funding</w:t>
      </w:r>
    </w:p>
    <w:p w14:paraId="494943A9" w14:textId="77777777" w:rsidR="00C712DF" w:rsidRPr="00AD40BF" w:rsidRDefault="00C712DF" w:rsidP="00C712DF">
      <w:pPr>
        <w:jc w:val="center"/>
        <w:rPr>
          <w:b/>
        </w:rPr>
      </w:pPr>
      <w:r>
        <w:rPr>
          <w:b/>
        </w:rPr>
        <w:t>NSW officer-level responses to information requests in the September 2014 Draft Report</w:t>
      </w:r>
    </w:p>
    <w:p w14:paraId="1AB5994A" w14:textId="77777777" w:rsidR="00C712DF" w:rsidRDefault="00C712DF" w:rsidP="00C712DF"/>
    <w:tbl>
      <w:tblPr>
        <w:tblStyle w:val="TableGrid"/>
        <w:tblW w:w="15559" w:type="dxa"/>
        <w:tblLayout w:type="fixed"/>
        <w:tblLook w:val="04A0" w:firstRow="1" w:lastRow="0" w:firstColumn="1" w:lastColumn="0" w:noHBand="0" w:noVBand="1"/>
      </w:tblPr>
      <w:tblGrid>
        <w:gridCol w:w="1809"/>
        <w:gridCol w:w="3828"/>
        <w:gridCol w:w="9922"/>
      </w:tblGrid>
      <w:tr w:rsidR="00C712DF" w14:paraId="798AE142" w14:textId="77777777" w:rsidTr="009338AB">
        <w:trPr>
          <w:cnfStyle w:val="100000000000" w:firstRow="1" w:lastRow="0" w:firstColumn="0" w:lastColumn="0" w:oddVBand="0" w:evenVBand="0" w:oddHBand="0" w:evenHBand="0" w:firstRowFirstColumn="0" w:firstRowLastColumn="0" w:lastRowFirstColumn="0" w:lastRowLastColumn="0"/>
          <w:cantSplit/>
          <w:tblHeader/>
        </w:trPr>
        <w:tc>
          <w:tcPr>
            <w:tcW w:w="1809"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3C67F21" w14:textId="77777777" w:rsidR="00C712DF" w:rsidRDefault="00C712DF" w:rsidP="00797C58">
            <w:pPr>
              <w:rPr>
                <w:b/>
              </w:rPr>
            </w:pPr>
            <w:r>
              <w:rPr>
                <w:b/>
              </w:rPr>
              <w:t>Theme</w:t>
            </w:r>
          </w:p>
        </w:tc>
        <w:tc>
          <w:tcPr>
            <w:tcW w:w="3828"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107E743" w14:textId="77777777" w:rsidR="00C712DF" w:rsidRDefault="00C712DF" w:rsidP="00797C58">
            <w:pPr>
              <w:rPr>
                <w:b/>
              </w:rPr>
            </w:pPr>
            <w:r>
              <w:rPr>
                <w:b/>
              </w:rPr>
              <w:t>Request, Finding or Recommendation</w:t>
            </w:r>
          </w:p>
        </w:tc>
        <w:tc>
          <w:tcPr>
            <w:tcW w:w="9922"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73FB9C1" w14:textId="77777777" w:rsidR="00C712DF" w:rsidRDefault="00C712DF" w:rsidP="00797C58">
            <w:pPr>
              <w:rPr>
                <w:b/>
              </w:rPr>
            </w:pPr>
            <w:r>
              <w:rPr>
                <w:b/>
              </w:rPr>
              <w:t>NSW Government Position</w:t>
            </w:r>
          </w:p>
          <w:p w14:paraId="02C5CE60" w14:textId="77777777" w:rsidR="00C712DF" w:rsidRDefault="00C712DF" w:rsidP="00797C58">
            <w:pPr>
              <w:rPr>
                <w:b/>
              </w:rPr>
            </w:pPr>
          </w:p>
        </w:tc>
      </w:tr>
      <w:tr w:rsidR="00C712DF" w14:paraId="048687BB" w14:textId="77777777" w:rsidTr="009338AB">
        <w:trPr>
          <w:cantSplit/>
        </w:trPr>
        <w:tc>
          <w:tcPr>
            <w:tcW w:w="1809" w:type="dxa"/>
            <w:tcBorders>
              <w:top w:val="single" w:sz="4" w:space="0" w:color="auto"/>
              <w:left w:val="single" w:sz="4" w:space="0" w:color="auto"/>
              <w:bottom w:val="single" w:sz="4" w:space="0" w:color="auto"/>
              <w:right w:val="single" w:sz="4" w:space="0" w:color="auto"/>
            </w:tcBorders>
            <w:hideMark/>
          </w:tcPr>
          <w:p w14:paraId="5FF09D82" w14:textId="77777777" w:rsidR="00C712DF" w:rsidRDefault="00C712DF" w:rsidP="00797C58">
            <w:r>
              <w:t>Budget treatment of natural disaster risks</w:t>
            </w:r>
          </w:p>
        </w:tc>
        <w:tc>
          <w:tcPr>
            <w:tcW w:w="3828" w:type="dxa"/>
            <w:tcBorders>
              <w:top w:val="single" w:sz="4" w:space="0" w:color="auto"/>
              <w:left w:val="single" w:sz="4" w:space="0" w:color="auto"/>
              <w:bottom w:val="single" w:sz="4" w:space="0" w:color="auto"/>
              <w:right w:val="single" w:sz="4" w:space="0" w:color="auto"/>
            </w:tcBorders>
            <w:hideMark/>
          </w:tcPr>
          <w:p w14:paraId="2CD770CD" w14:textId="77777777" w:rsidR="00C712DF" w:rsidRDefault="00C712DF" w:rsidP="00797C58">
            <w:pPr>
              <w:pStyle w:val="InformationRequestTitle"/>
              <w:keepNext w:val="0"/>
              <w:spacing w:before="0"/>
              <w:jc w:val="left"/>
              <w:rPr>
                <w:rFonts w:asciiTheme="minorHAnsi" w:hAnsiTheme="minorHAnsi"/>
                <w:i w:val="0"/>
                <w:caps w:val="0"/>
                <w:sz w:val="22"/>
                <w:szCs w:val="22"/>
                <w:lang w:eastAsia="en-US"/>
              </w:rPr>
            </w:pPr>
            <w:r>
              <w:rPr>
                <w:rFonts w:asciiTheme="minorHAnsi" w:hAnsiTheme="minorHAnsi"/>
                <w:i w:val="0"/>
                <w:caps w:val="0"/>
                <w:sz w:val="22"/>
                <w:szCs w:val="22"/>
                <w:lang w:eastAsia="en-US"/>
              </w:rPr>
              <w:t>Information request</w:t>
            </w:r>
          </w:p>
          <w:p w14:paraId="600F2384" w14:textId="77777777" w:rsidR="00C712DF" w:rsidRDefault="00C712DF" w:rsidP="00797C58">
            <w:pPr>
              <w:pStyle w:val="InformationRequest"/>
              <w:spacing w:before="0"/>
              <w:jc w:val="left"/>
              <w:rPr>
                <w:rFonts w:asciiTheme="minorHAnsi" w:hAnsiTheme="minorHAnsi"/>
                <w:i w:val="0"/>
                <w:szCs w:val="22"/>
                <w:lang w:eastAsia="en-US"/>
              </w:rPr>
            </w:pPr>
            <w:r>
              <w:rPr>
                <w:rFonts w:asciiTheme="minorHAnsi" w:hAnsiTheme="minorHAnsi"/>
                <w:i w:val="0"/>
                <w:szCs w:val="22"/>
                <w:lang w:eastAsia="en-US"/>
              </w:rPr>
              <w:t>Do state, territory and local governments maintain up</w:t>
            </w:r>
            <w:r>
              <w:rPr>
                <w:rFonts w:asciiTheme="minorHAnsi" w:hAnsiTheme="minorHAnsi"/>
                <w:i w:val="0"/>
                <w:szCs w:val="22"/>
                <w:lang w:eastAsia="en-US"/>
              </w:rPr>
              <w:noBreakHyphen/>
              <w:t>to</w:t>
            </w:r>
            <w:r>
              <w:rPr>
                <w:rFonts w:asciiTheme="minorHAnsi" w:hAnsiTheme="minorHAnsi"/>
                <w:i w:val="0"/>
                <w:szCs w:val="22"/>
                <w:lang w:eastAsia="en-US"/>
              </w:rPr>
              <w:noBreakHyphen/>
              <w:t>date asset registers?</w:t>
            </w:r>
          </w:p>
          <w:p w14:paraId="3FD25DE3" w14:textId="77777777" w:rsidR="00C712DF" w:rsidRDefault="00C712DF" w:rsidP="00797C58">
            <w:pPr>
              <w:pStyle w:val="InformationRequest"/>
              <w:spacing w:before="0"/>
              <w:jc w:val="left"/>
              <w:rPr>
                <w:rFonts w:asciiTheme="minorHAnsi" w:hAnsiTheme="minorHAnsi"/>
                <w:i w:val="0"/>
                <w:szCs w:val="22"/>
                <w:lang w:eastAsia="en-US"/>
              </w:rPr>
            </w:pPr>
            <w:r>
              <w:rPr>
                <w:rFonts w:asciiTheme="minorHAnsi" w:hAnsiTheme="minorHAnsi"/>
                <w:i w:val="0"/>
                <w:szCs w:val="22"/>
                <w:lang w:eastAsia="en-US"/>
              </w:rPr>
              <w:t>How is asset management planning integrated into state, territory and local government budgets?</w:t>
            </w:r>
          </w:p>
          <w:p w14:paraId="0468ACA1" w14:textId="77777777" w:rsidR="00C712DF" w:rsidRDefault="00C712DF" w:rsidP="00797C58">
            <w:pPr>
              <w:pStyle w:val="InformationRequest"/>
              <w:spacing w:before="0"/>
              <w:jc w:val="left"/>
              <w:rPr>
                <w:rFonts w:asciiTheme="minorHAnsi" w:hAnsiTheme="minorHAnsi"/>
                <w:i w:val="0"/>
                <w:szCs w:val="22"/>
                <w:lang w:eastAsia="en-US"/>
              </w:rPr>
            </w:pPr>
            <w:r>
              <w:rPr>
                <w:rFonts w:asciiTheme="minorHAnsi" w:hAnsiTheme="minorHAnsi"/>
                <w:i w:val="0"/>
                <w:szCs w:val="22"/>
                <w:lang w:eastAsia="en-US"/>
              </w:rPr>
              <w:t>How do state, territory and local governments’ asset management plans incorporate natural disaster risk management?</w:t>
            </w:r>
          </w:p>
        </w:tc>
        <w:tc>
          <w:tcPr>
            <w:tcW w:w="9922" w:type="dxa"/>
            <w:tcBorders>
              <w:top w:val="single" w:sz="4" w:space="0" w:color="auto"/>
              <w:left w:val="single" w:sz="4" w:space="0" w:color="auto"/>
              <w:bottom w:val="single" w:sz="4" w:space="0" w:color="auto"/>
              <w:right w:val="single" w:sz="4" w:space="0" w:color="auto"/>
            </w:tcBorders>
          </w:tcPr>
          <w:p w14:paraId="3EB343D3" w14:textId="77777777" w:rsidR="00C712DF" w:rsidRDefault="00C712DF" w:rsidP="00797C58">
            <w:r>
              <w:t xml:space="preserve">In NSW, State Government agencies and Local Councils are required to maintain up to date asset registers. NSW State Government agencies are required to follow the government asset management guidelines reflecting best practice total asset management, while Local Councils are required under the NSW Local Government Act 1993 to prepare strategic plans which include asset management plans. </w:t>
            </w:r>
          </w:p>
          <w:p w14:paraId="7E3DDD5A" w14:textId="77777777" w:rsidR="00C712DF" w:rsidRDefault="00C712DF" w:rsidP="00797C58"/>
          <w:p w14:paraId="2661AE86" w14:textId="77777777" w:rsidR="00C712DF" w:rsidRDefault="00C712DF" w:rsidP="00797C58">
            <w:r>
              <w:t>In addition, State agencies and Local Councils are required to maintain asset registers as part of their insurance arrangements. NSW Treasury Managed Fund member agencies are required, on an annual basis, to provide an updated declaration of replacement values for their building and contents assets down to address level. This data is captured centrally by NSW Self Insurance Corporation (SICorp) and used to purchase annual reinsurance protection and model SICorp’s exposure to insurable loss to determine limits of cover.</w:t>
            </w:r>
          </w:p>
          <w:p w14:paraId="0C7102A8" w14:textId="77777777" w:rsidR="00C712DF" w:rsidRDefault="00C712DF" w:rsidP="00797C58"/>
          <w:p w14:paraId="667F8E71" w14:textId="77777777" w:rsidR="00C712DF" w:rsidRDefault="00C712DF" w:rsidP="00797C58">
            <w:r>
              <w:t>At Local Government level, asset management planning is a key component of local government strategic, financial and operational planning through the Integrated Planning and Reporting (IP&amp;R) Framework. IP&amp;R recognises that council plans and policies should not exist in isolation; that they are inter-connected. This framework requires NSW councils to draw their various plans together, understand how they interact and get the maximum leverage from their efforts by planning holistically and sustainably for the future, in consultation with the community.</w:t>
            </w:r>
          </w:p>
          <w:p w14:paraId="468873B8" w14:textId="77777777" w:rsidR="00C712DF" w:rsidRDefault="00C712DF" w:rsidP="00797C58"/>
          <w:p w14:paraId="7BCC3E8B" w14:textId="77777777" w:rsidR="00C712DF" w:rsidRDefault="00C712DF" w:rsidP="00797C58">
            <w:r>
              <w:t xml:space="preserve">The framework (available from the Office of Local Government website: </w:t>
            </w:r>
            <w:hyperlink r:id="rId18" w:history="1">
              <w:r>
                <w:rPr>
                  <w:rStyle w:val="Hyperlink"/>
                </w:rPr>
                <w:t>http://www.olg.nsw.gov.au/councils/integrated-planning-and-reporting</w:t>
              </w:r>
            </w:hyperlink>
            <w:r>
              <w:t>) shows the linkages of the Community Strategic Plan with the, the State/Regional Plans, the resourcing strategy, including the land use strategy, and the local delivery programs and operating plans including mitigation and disaster response and recovery.</w:t>
            </w:r>
          </w:p>
          <w:p w14:paraId="65885F7E" w14:textId="77777777" w:rsidR="00C712DF" w:rsidRDefault="00C712DF" w:rsidP="00797C58">
            <w:r>
              <w:rPr>
                <w:i/>
              </w:rPr>
              <w:t xml:space="preserve"> </w:t>
            </w:r>
          </w:p>
          <w:p w14:paraId="3BC44E7F" w14:textId="77777777" w:rsidR="00C712DF" w:rsidRDefault="00C712DF" w:rsidP="00797C58">
            <w:r>
              <w:t>While asset registers are maintained by all councils in NSW, it is acknowledged that there is significant variation in the capability and capacity of local councils in relation to asset management. However, in most parts of NSW asset management and planning capability is improving.</w:t>
            </w:r>
          </w:p>
          <w:p w14:paraId="75044349" w14:textId="77777777" w:rsidR="00C712DF" w:rsidRDefault="00C712DF" w:rsidP="00797C58"/>
          <w:p w14:paraId="3F964FF7" w14:textId="77777777" w:rsidR="00C712DF" w:rsidRDefault="00C712DF" w:rsidP="00797C58">
            <w:r>
              <w:t>A number of councils in NSW have already built climate change adaption into their asset management planning. Over time, as infrastructure management capability improves, it is anticipated that this will increase.</w:t>
            </w:r>
          </w:p>
        </w:tc>
      </w:tr>
      <w:tr w:rsidR="00C712DF" w14:paraId="224EC900" w14:textId="77777777" w:rsidTr="009338AB">
        <w:trPr>
          <w:cantSplit/>
        </w:trPr>
        <w:tc>
          <w:tcPr>
            <w:tcW w:w="1809" w:type="dxa"/>
            <w:tcBorders>
              <w:top w:val="single" w:sz="4" w:space="0" w:color="auto"/>
              <w:left w:val="single" w:sz="4" w:space="0" w:color="auto"/>
              <w:bottom w:val="single" w:sz="4" w:space="0" w:color="auto"/>
              <w:right w:val="single" w:sz="4" w:space="0" w:color="auto"/>
            </w:tcBorders>
          </w:tcPr>
          <w:p w14:paraId="3811D1F9" w14:textId="77777777" w:rsidR="00C712DF" w:rsidRDefault="00C712DF" w:rsidP="00797C58">
            <w:r>
              <w:lastRenderedPageBreak/>
              <w:t>Funding arrangements for recovery</w:t>
            </w:r>
          </w:p>
          <w:p w14:paraId="1EB10A69" w14:textId="77777777" w:rsidR="00C712DF" w:rsidRDefault="00C712DF" w:rsidP="00797C58"/>
        </w:tc>
        <w:tc>
          <w:tcPr>
            <w:tcW w:w="3828" w:type="dxa"/>
            <w:tcBorders>
              <w:top w:val="single" w:sz="4" w:space="0" w:color="auto"/>
              <w:left w:val="single" w:sz="4" w:space="0" w:color="auto"/>
              <w:bottom w:val="single" w:sz="4" w:space="0" w:color="auto"/>
              <w:right w:val="single" w:sz="4" w:space="0" w:color="auto"/>
            </w:tcBorders>
            <w:hideMark/>
          </w:tcPr>
          <w:p w14:paraId="08E92687" w14:textId="77777777" w:rsidR="00C712DF" w:rsidRDefault="00C712DF" w:rsidP="00797C58">
            <w:pPr>
              <w:pStyle w:val="InformationRequestTitle"/>
              <w:keepNext w:val="0"/>
              <w:spacing w:before="0"/>
              <w:jc w:val="left"/>
              <w:rPr>
                <w:rFonts w:asciiTheme="minorHAnsi" w:hAnsiTheme="minorHAnsi"/>
                <w:i w:val="0"/>
                <w:caps w:val="0"/>
                <w:sz w:val="22"/>
                <w:szCs w:val="22"/>
                <w:lang w:eastAsia="en-US"/>
              </w:rPr>
            </w:pPr>
            <w:r>
              <w:rPr>
                <w:rFonts w:asciiTheme="minorHAnsi" w:hAnsiTheme="minorHAnsi"/>
                <w:i w:val="0"/>
                <w:caps w:val="0"/>
                <w:sz w:val="22"/>
                <w:szCs w:val="22"/>
                <w:lang w:eastAsia="en-US"/>
              </w:rPr>
              <w:t>Information request</w:t>
            </w:r>
          </w:p>
          <w:p w14:paraId="7377CE59" w14:textId="77777777" w:rsidR="00C712DF" w:rsidRDefault="00C712DF" w:rsidP="00797C58">
            <w:pPr>
              <w:pStyle w:val="InformationRequest"/>
              <w:spacing w:before="0"/>
              <w:jc w:val="left"/>
              <w:rPr>
                <w:rFonts w:asciiTheme="minorHAnsi" w:hAnsiTheme="minorHAnsi"/>
                <w:i w:val="0"/>
                <w:szCs w:val="22"/>
                <w:lang w:eastAsia="en-US"/>
              </w:rPr>
            </w:pPr>
            <w:r>
              <w:rPr>
                <w:rFonts w:asciiTheme="minorHAnsi" w:hAnsiTheme="minorHAnsi"/>
                <w:i w:val="0"/>
                <w:szCs w:val="22"/>
                <w:lang w:eastAsia="en-US"/>
              </w:rPr>
              <w:t xml:space="preserve">The Commission seeks information from state and territory governments regarding natural disaster costs by event to inform its analysis of the small disaster criterion. In particular, the Commission requests a list of Natural Disaster Relief and Recovery Arrangements eligible events with total expenditure for each event for the past five financial years. </w:t>
            </w:r>
          </w:p>
        </w:tc>
        <w:tc>
          <w:tcPr>
            <w:tcW w:w="9922" w:type="dxa"/>
            <w:tcBorders>
              <w:top w:val="single" w:sz="4" w:space="0" w:color="auto"/>
              <w:left w:val="single" w:sz="4" w:space="0" w:color="auto"/>
              <w:bottom w:val="single" w:sz="4" w:space="0" w:color="auto"/>
              <w:right w:val="single" w:sz="4" w:space="0" w:color="auto"/>
            </w:tcBorders>
          </w:tcPr>
          <w:p w14:paraId="56342D35" w14:textId="77777777" w:rsidR="00C712DF" w:rsidRDefault="00C712DF" w:rsidP="00797C58">
            <w:r>
              <w:t>The following information is provided in response to this Information Request. The table shows a breakdown of 122 declared natural disasters in NSW between 2008-09 and 2012-13 by NDRRA Eligible Expenditure Range.</w:t>
            </w:r>
          </w:p>
          <w:p w14:paraId="2AB73447" w14:textId="77777777" w:rsidR="00C712DF" w:rsidRDefault="00C712DF" w:rsidP="00797C58"/>
          <w:tbl>
            <w:tblPr>
              <w:tblW w:w="7995" w:type="dxa"/>
              <w:tblLayout w:type="fixed"/>
              <w:tblCellMar>
                <w:left w:w="0" w:type="dxa"/>
                <w:right w:w="0" w:type="dxa"/>
              </w:tblCellMar>
              <w:tblLook w:val="04A0" w:firstRow="1" w:lastRow="0" w:firstColumn="1" w:lastColumn="0" w:noHBand="0" w:noVBand="1"/>
            </w:tblPr>
            <w:tblGrid>
              <w:gridCol w:w="2610"/>
              <w:gridCol w:w="2405"/>
              <w:gridCol w:w="2980"/>
            </w:tblGrid>
            <w:tr w:rsidR="00C712DF" w14:paraId="0696F41B" w14:textId="77777777" w:rsidTr="00797C58">
              <w:trPr>
                <w:trHeight w:val="300"/>
              </w:trPr>
              <w:tc>
                <w:tcPr>
                  <w:tcW w:w="7988" w:type="dxa"/>
                  <w:gridSpan w:val="3"/>
                  <w:tcBorders>
                    <w:top w:val="single" w:sz="8" w:space="0" w:color="95B3D7"/>
                    <w:left w:val="single" w:sz="8" w:space="0" w:color="95B3D7"/>
                    <w:bottom w:val="single" w:sz="8" w:space="0" w:color="95B3D7"/>
                    <w:right w:val="single" w:sz="8" w:space="0" w:color="95B3D7"/>
                  </w:tcBorders>
                  <w:shd w:val="clear" w:color="auto" w:fill="4F81BD"/>
                  <w:noWrap/>
                  <w:tcMar>
                    <w:top w:w="0" w:type="dxa"/>
                    <w:left w:w="108" w:type="dxa"/>
                    <w:bottom w:w="0" w:type="dxa"/>
                    <w:right w:w="108" w:type="dxa"/>
                  </w:tcMar>
                  <w:vAlign w:val="bottom"/>
                  <w:hideMark/>
                </w:tcPr>
                <w:p w14:paraId="515D6275" w14:textId="77777777" w:rsidR="00C712DF" w:rsidRDefault="00C712DF" w:rsidP="00797C58">
                  <w:r>
                    <w:rPr>
                      <w:b/>
                      <w:bCs/>
                      <w:color w:val="FFFFFF"/>
                    </w:rPr>
                    <w:t>Number of Declared Natural Disasters in NSW between 2008-09 and 2012-13 by NDRRA Eligible Expenditure Range</w:t>
                  </w:r>
                </w:p>
              </w:tc>
            </w:tr>
            <w:tr w:rsidR="00C712DF" w14:paraId="5F032FF3" w14:textId="77777777" w:rsidTr="00797C58">
              <w:trPr>
                <w:trHeight w:val="300"/>
              </w:trPr>
              <w:tc>
                <w:tcPr>
                  <w:tcW w:w="2608" w:type="dxa"/>
                  <w:tcBorders>
                    <w:top w:val="nil"/>
                    <w:left w:val="single" w:sz="8" w:space="0" w:color="95B3D7"/>
                    <w:bottom w:val="single" w:sz="8" w:space="0" w:color="95B3D7"/>
                    <w:right w:val="nil"/>
                  </w:tcBorders>
                  <w:shd w:val="clear" w:color="auto" w:fill="DCE6F1"/>
                  <w:noWrap/>
                  <w:tcMar>
                    <w:top w:w="0" w:type="dxa"/>
                    <w:left w:w="108" w:type="dxa"/>
                    <w:bottom w:w="0" w:type="dxa"/>
                    <w:right w:w="108" w:type="dxa"/>
                  </w:tcMar>
                  <w:vAlign w:val="bottom"/>
                  <w:hideMark/>
                </w:tcPr>
                <w:p w14:paraId="681F5BDD" w14:textId="77777777" w:rsidR="00C712DF" w:rsidRDefault="00C712DF" w:rsidP="00797C58">
                  <w:pPr>
                    <w:rPr>
                      <w:color w:val="000000"/>
                    </w:rPr>
                  </w:pPr>
                  <w:r>
                    <w:rPr>
                      <w:color w:val="000000"/>
                    </w:rPr>
                    <w:t>NDRRA Eligible Expenditure Range</w:t>
                  </w:r>
                </w:p>
              </w:tc>
              <w:tc>
                <w:tcPr>
                  <w:tcW w:w="2403" w:type="dxa"/>
                  <w:tcBorders>
                    <w:top w:val="nil"/>
                    <w:left w:val="nil"/>
                    <w:bottom w:val="single" w:sz="8" w:space="0" w:color="95B3D7"/>
                    <w:right w:val="nil"/>
                  </w:tcBorders>
                  <w:shd w:val="clear" w:color="auto" w:fill="DCE6F1"/>
                  <w:noWrap/>
                  <w:tcMar>
                    <w:top w:w="0" w:type="dxa"/>
                    <w:left w:w="108" w:type="dxa"/>
                    <w:bottom w:w="0" w:type="dxa"/>
                    <w:right w:w="108" w:type="dxa"/>
                  </w:tcMar>
                  <w:vAlign w:val="bottom"/>
                  <w:hideMark/>
                </w:tcPr>
                <w:p w14:paraId="161425FF" w14:textId="77777777" w:rsidR="00C712DF" w:rsidRDefault="00C712DF" w:rsidP="00797C58">
                  <w:pPr>
                    <w:rPr>
                      <w:color w:val="000000"/>
                    </w:rPr>
                  </w:pPr>
                  <w:r>
                    <w:rPr>
                      <w:color w:val="000000"/>
                    </w:rPr>
                    <w:t>Number of Natural Disasters in this range</w:t>
                  </w:r>
                </w:p>
              </w:tc>
              <w:tc>
                <w:tcPr>
                  <w:tcW w:w="2977" w:type="dxa"/>
                  <w:tcBorders>
                    <w:top w:val="nil"/>
                    <w:left w:val="nil"/>
                    <w:bottom w:val="single" w:sz="8" w:space="0" w:color="95B3D7"/>
                    <w:right w:val="single" w:sz="8" w:space="0" w:color="95B3D7"/>
                  </w:tcBorders>
                  <w:shd w:val="clear" w:color="auto" w:fill="DCE6F1"/>
                  <w:noWrap/>
                  <w:tcMar>
                    <w:top w:w="0" w:type="dxa"/>
                    <w:left w:w="108" w:type="dxa"/>
                    <w:bottom w:w="0" w:type="dxa"/>
                    <w:right w:w="108" w:type="dxa"/>
                  </w:tcMar>
                  <w:vAlign w:val="bottom"/>
                  <w:hideMark/>
                </w:tcPr>
                <w:p w14:paraId="1E027304" w14:textId="77777777" w:rsidR="00C712DF" w:rsidRDefault="00C712DF" w:rsidP="00797C58">
                  <w:pPr>
                    <w:rPr>
                      <w:color w:val="000000"/>
                    </w:rPr>
                  </w:pPr>
                  <w:r>
                    <w:rPr>
                      <w:color w:val="000000"/>
                    </w:rPr>
                    <w:t>Total Eligible Expenditure for Declared Natural Disasters in this range</w:t>
                  </w:r>
                </w:p>
              </w:tc>
            </w:tr>
            <w:tr w:rsidR="00C712DF" w14:paraId="6296FA01" w14:textId="77777777" w:rsidTr="00797C58">
              <w:trPr>
                <w:trHeight w:val="300"/>
              </w:trPr>
              <w:tc>
                <w:tcPr>
                  <w:tcW w:w="2608" w:type="dxa"/>
                  <w:tcBorders>
                    <w:top w:val="nil"/>
                    <w:left w:val="single" w:sz="8" w:space="0" w:color="95B3D7"/>
                    <w:bottom w:val="single" w:sz="8" w:space="0" w:color="95B3D7"/>
                    <w:right w:val="nil"/>
                  </w:tcBorders>
                  <w:noWrap/>
                  <w:tcMar>
                    <w:top w:w="0" w:type="dxa"/>
                    <w:left w:w="108" w:type="dxa"/>
                    <w:bottom w:w="0" w:type="dxa"/>
                    <w:right w:w="108" w:type="dxa"/>
                  </w:tcMar>
                  <w:vAlign w:val="bottom"/>
                  <w:hideMark/>
                </w:tcPr>
                <w:p w14:paraId="185372C5" w14:textId="77777777" w:rsidR="00C712DF" w:rsidRDefault="00C712DF" w:rsidP="00797C58">
                  <w:pPr>
                    <w:rPr>
                      <w:color w:val="000000"/>
                    </w:rPr>
                  </w:pPr>
                  <w:r>
                    <w:rPr>
                      <w:color w:val="000000"/>
                    </w:rPr>
                    <w:t>&lt; $1m</w:t>
                  </w:r>
                </w:p>
              </w:tc>
              <w:tc>
                <w:tcPr>
                  <w:tcW w:w="2403" w:type="dxa"/>
                  <w:tcBorders>
                    <w:top w:val="nil"/>
                    <w:left w:val="nil"/>
                    <w:bottom w:val="single" w:sz="8" w:space="0" w:color="95B3D7"/>
                    <w:right w:val="nil"/>
                  </w:tcBorders>
                  <w:noWrap/>
                  <w:tcMar>
                    <w:top w:w="0" w:type="dxa"/>
                    <w:left w:w="108" w:type="dxa"/>
                    <w:bottom w:w="0" w:type="dxa"/>
                    <w:right w:w="108" w:type="dxa"/>
                  </w:tcMar>
                  <w:vAlign w:val="bottom"/>
                  <w:hideMark/>
                </w:tcPr>
                <w:p w14:paraId="54669BD9" w14:textId="77777777" w:rsidR="00C712DF" w:rsidRDefault="00C712DF" w:rsidP="00797C58">
                  <w:pPr>
                    <w:jc w:val="right"/>
                    <w:rPr>
                      <w:color w:val="000000"/>
                    </w:rPr>
                  </w:pPr>
                  <w:r>
                    <w:rPr>
                      <w:color w:val="000000"/>
                    </w:rPr>
                    <w:t>48</w:t>
                  </w:r>
                </w:p>
              </w:tc>
              <w:tc>
                <w:tcPr>
                  <w:tcW w:w="2977" w:type="dxa"/>
                  <w:tcBorders>
                    <w:top w:val="nil"/>
                    <w:left w:val="nil"/>
                    <w:bottom w:val="single" w:sz="8" w:space="0" w:color="95B3D7"/>
                    <w:right w:val="single" w:sz="8" w:space="0" w:color="95B3D7"/>
                  </w:tcBorders>
                  <w:noWrap/>
                  <w:tcMar>
                    <w:top w:w="0" w:type="dxa"/>
                    <w:left w:w="108" w:type="dxa"/>
                    <w:bottom w:w="0" w:type="dxa"/>
                    <w:right w:w="108" w:type="dxa"/>
                  </w:tcMar>
                  <w:vAlign w:val="bottom"/>
                  <w:hideMark/>
                </w:tcPr>
                <w:p w14:paraId="7F75BB14" w14:textId="77777777" w:rsidR="00C712DF" w:rsidRDefault="00C712DF" w:rsidP="00797C58">
                  <w:pPr>
                    <w:jc w:val="right"/>
                    <w:rPr>
                      <w:color w:val="000000"/>
                    </w:rPr>
                  </w:pPr>
                  <w:r>
                    <w:rPr>
                      <w:color w:val="000000"/>
                    </w:rPr>
                    <w:t xml:space="preserve">$15,189,322 </w:t>
                  </w:r>
                </w:p>
              </w:tc>
            </w:tr>
            <w:tr w:rsidR="00C712DF" w14:paraId="228D25B2" w14:textId="77777777" w:rsidTr="00797C58">
              <w:trPr>
                <w:trHeight w:val="300"/>
              </w:trPr>
              <w:tc>
                <w:tcPr>
                  <w:tcW w:w="2608" w:type="dxa"/>
                  <w:tcBorders>
                    <w:top w:val="nil"/>
                    <w:left w:val="single" w:sz="8" w:space="0" w:color="95B3D7"/>
                    <w:bottom w:val="single" w:sz="8" w:space="0" w:color="95B3D7"/>
                    <w:right w:val="nil"/>
                  </w:tcBorders>
                  <w:shd w:val="clear" w:color="auto" w:fill="DCE6F1"/>
                  <w:noWrap/>
                  <w:tcMar>
                    <w:top w:w="0" w:type="dxa"/>
                    <w:left w:w="108" w:type="dxa"/>
                    <w:bottom w:w="0" w:type="dxa"/>
                    <w:right w:w="108" w:type="dxa"/>
                  </w:tcMar>
                  <w:vAlign w:val="bottom"/>
                  <w:hideMark/>
                </w:tcPr>
                <w:p w14:paraId="5501EF6C" w14:textId="77777777" w:rsidR="00C712DF" w:rsidRDefault="00C712DF" w:rsidP="00797C58">
                  <w:pPr>
                    <w:rPr>
                      <w:color w:val="000000"/>
                    </w:rPr>
                  </w:pPr>
                  <w:r>
                    <w:rPr>
                      <w:color w:val="000000"/>
                    </w:rPr>
                    <w:t>&gt; $1m and &lt; $2m</w:t>
                  </w:r>
                </w:p>
              </w:tc>
              <w:tc>
                <w:tcPr>
                  <w:tcW w:w="2403" w:type="dxa"/>
                  <w:tcBorders>
                    <w:top w:val="nil"/>
                    <w:left w:val="nil"/>
                    <w:bottom w:val="single" w:sz="8" w:space="0" w:color="95B3D7"/>
                    <w:right w:val="nil"/>
                  </w:tcBorders>
                  <w:shd w:val="clear" w:color="auto" w:fill="DCE6F1"/>
                  <w:noWrap/>
                  <w:tcMar>
                    <w:top w:w="0" w:type="dxa"/>
                    <w:left w:w="108" w:type="dxa"/>
                    <w:bottom w:w="0" w:type="dxa"/>
                    <w:right w:w="108" w:type="dxa"/>
                  </w:tcMar>
                  <w:vAlign w:val="bottom"/>
                  <w:hideMark/>
                </w:tcPr>
                <w:p w14:paraId="464AF420" w14:textId="77777777" w:rsidR="00C712DF" w:rsidRDefault="00C712DF" w:rsidP="00797C58">
                  <w:pPr>
                    <w:jc w:val="right"/>
                    <w:rPr>
                      <w:color w:val="000000"/>
                    </w:rPr>
                  </w:pPr>
                  <w:r>
                    <w:rPr>
                      <w:color w:val="000000"/>
                    </w:rPr>
                    <w:t>20</w:t>
                  </w:r>
                </w:p>
              </w:tc>
              <w:tc>
                <w:tcPr>
                  <w:tcW w:w="2977" w:type="dxa"/>
                  <w:tcBorders>
                    <w:top w:val="nil"/>
                    <w:left w:val="nil"/>
                    <w:bottom w:val="single" w:sz="8" w:space="0" w:color="95B3D7"/>
                    <w:right w:val="single" w:sz="8" w:space="0" w:color="95B3D7"/>
                  </w:tcBorders>
                  <w:shd w:val="clear" w:color="auto" w:fill="DCE6F1"/>
                  <w:noWrap/>
                  <w:tcMar>
                    <w:top w:w="0" w:type="dxa"/>
                    <w:left w:w="108" w:type="dxa"/>
                    <w:bottom w:w="0" w:type="dxa"/>
                    <w:right w:w="108" w:type="dxa"/>
                  </w:tcMar>
                  <w:vAlign w:val="bottom"/>
                  <w:hideMark/>
                </w:tcPr>
                <w:p w14:paraId="44844D10" w14:textId="77777777" w:rsidR="00C712DF" w:rsidRDefault="00C712DF" w:rsidP="00797C58">
                  <w:pPr>
                    <w:jc w:val="right"/>
                    <w:rPr>
                      <w:color w:val="000000"/>
                    </w:rPr>
                  </w:pPr>
                  <w:r>
                    <w:rPr>
                      <w:color w:val="000000"/>
                    </w:rPr>
                    <w:t xml:space="preserve">$28,601,166 </w:t>
                  </w:r>
                </w:p>
              </w:tc>
            </w:tr>
            <w:tr w:rsidR="00C712DF" w14:paraId="2AD5E7AF" w14:textId="77777777" w:rsidTr="00797C58">
              <w:trPr>
                <w:trHeight w:val="300"/>
              </w:trPr>
              <w:tc>
                <w:tcPr>
                  <w:tcW w:w="2608" w:type="dxa"/>
                  <w:tcBorders>
                    <w:top w:val="nil"/>
                    <w:left w:val="single" w:sz="8" w:space="0" w:color="95B3D7"/>
                    <w:bottom w:val="single" w:sz="8" w:space="0" w:color="95B3D7"/>
                    <w:right w:val="nil"/>
                  </w:tcBorders>
                  <w:noWrap/>
                  <w:tcMar>
                    <w:top w:w="0" w:type="dxa"/>
                    <w:left w:w="108" w:type="dxa"/>
                    <w:bottom w:w="0" w:type="dxa"/>
                    <w:right w:w="108" w:type="dxa"/>
                  </w:tcMar>
                  <w:vAlign w:val="bottom"/>
                  <w:hideMark/>
                </w:tcPr>
                <w:p w14:paraId="1BEBF110" w14:textId="77777777" w:rsidR="00C712DF" w:rsidRDefault="00C712DF" w:rsidP="00797C58">
                  <w:pPr>
                    <w:ind w:left="-68"/>
                    <w:rPr>
                      <w:color w:val="000000"/>
                    </w:rPr>
                  </w:pPr>
                  <w:r>
                    <w:rPr>
                      <w:color w:val="000000"/>
                    </w:rPr>
                    <w:t>&gt; $2m and &lt; $3m</w:t>
                  </w:r>
                </w:p>
              </w:tc>
              <w:tc>
                <w:tcPr>
                  <w:tcW w:w="2403" w:type="dxa"/>
                  <w:tcBorders>
                    <w:top w:val="nil"/>
                    <w:left w:val="nil"/>
                    <w:bottom w:val="single" w:sz="8" w:space="0" w:color="95B3D7"/>
                    <w:right w:val="nil"/>
                  </w:tcBorders>
                  <w:noWrap/>
                  <w:tcMar>
                    <w:top w:w="0" w:type="dxa"/>
                    <w:left w:w="108" w:type="dxa"/>
                    <w:bottom w:w="0" w:type="dxa"/>
                    <w:right w:w="108" w:type="dxa"/>
                  </w:tcMar>
                  <w:vAlign w:val="bottom"/>
                  <w:hideMark/>
                </w:tcPr>
                <w:p w14:paraId="458BACA8" w14:textId="77777777" w:rsidR="00C712DF" w:rsidRDefault="00C712DF" w:rsidP="00797C58">
                  <w:pPr>
                    <w:jc w:val="right"/>
                    <w:rPr>
                      <w:color w:val="000000"/>
                    </w:rPr>
                  </w:pPr>
                  <w:r>
                    <w:rPr>
                      <w:color w:val="000000"/>
                    </w:rPr>
                    <w:t>8</w:t>
                  </w:r>
                </w:p>
              </w:tc>
              <w:tc>
                <w:tcPr>
                  <w:tcW w:w="2977" w:type="dxa"/>
                  <w:tcBorders>
                    <w:top w:val="nil"/>
                    <w:left w:val="nil"/>
                    <w:bottom w:val="single" w:sz="8" w:space="0" w:color="95B3D7"/>
                    <w:right w:val="single" w:sz="8" w:space="0" w:color="95B3D7"/>
                  </w:tcBorders>
                  <w:noWrap/>
                  <w:tcMar>
                    <w:top w:w="0" w:type="dxa"/>
                    <w:left w:w="108" w:type="dxa"/>
                    <w:bottom w:w="0" w:type="dxa"/>
                    <w:right w:w="108" w:type="dxa"/>
                  </w:tcMar>
                  <w:vAlign w:val="bottom"/>
                  <w:hideMark/>
                </w:tcPr>
                <w:p w14:paraId="1A6B8B91" w14:textId="77777777" w:rsidR="00C712DF" w:rsidRDefault="00C712DF" w:rsidP="00797C58">
                  <w:pPr>
                    <w:jc w:val="right"/>
                    <w:rPr>
                      <w:color w:val="000000"/>
                    </w:rPr>
                  </w:pPr>
                  <w:r>
                    <w:rPr>
                      <w:color w:val="000000"/>
                    </w:rPr>
                    <w:t xml:space="preserve">$21,229,819 </w:t>
                  </w:r>
                </w:p>
              </w:tc>
            </w:tr>
            <w:tr w:rsidR="00C712DF" w14:paraId="27E8329A" w14:textId="77777777" w:rsidTr="00797C58">
              <w:trPr>
                <w:trHeight w:val="300"/>
              </w:trPr>
              <w:tc>
                <w:tcPr>
                  <w:tcW w:w="2608" w:type="dxa"/>
                  <w:tcBorders>
                    <w:top w:val="nil"/>
                    <w:left w:val="single" w:sz="8" w:space="0" w:color="95B3D7"/>
                    <w:bottom w:val="single" w:sz="8" w:space="0" w:color="95B3D7"/>
                    <w:right w:val="nil"/>
                  </w:tcBorders>
                  <w:shd w:val="clear" w:color="auto" w:fill="DCE6F1"/>
                  <w:noWrap/>
                  <w:tcMar>
                    <w:top w:w="0" w:type="dxa"/>
                    <w:left w:w="108" w:type="dxa"/>
                    <w:bottom w:w="0" w:type="dxa"/>
                    <w:right w:w="108" w:type="dxa"/>
                  </w:tcMar>
                  <w:vAlign w:val="bottom"/>
                  <w:hideMark/>
                </w:tcPr>
                <w:p w14:paraId="6B25EC47" w14:textId="77777777" w:rsidR="00C712DF" w:rsidRDefault="00C712DF" w:rsidP="00797C58">
                  <w:pPr>
                    <w:rPr>
                      <w:color w:val="000000"/>
                    </w:rPr>
                  </w:pPr>
                  <w:r>
                    <w:rPr>
                      <w:color w:val="000000"/>
                    </w:rPr>
                    <w:t>&gt; $3m and &lt; $4m</w:t>
                  </w:r>
                </w:p>
              </w:tc>
              <w:tc>
                <w:tcPr>
                  <w:tcW w:w="2403" w:type="dxa"/>
                  <w:tcBorders>
                    <w:top w:val="nil"/>
                    <w:left w:val="nil"/>
                    <w:bottom w:val="single" w:sz="8" w:space="0" w:color="95B3D7"/>
                    <w:right w:val="nil"/>
                  </w:tcBorders>
                  <w:shd w:val="clear" w:color="auto" w:fill="DCE6F1"/>
                  <w:noWrap/>
                  <w:tcMar>
                    <w:top w:w="0" w:type="dxa"/>
                    <w:left w:w="108" w:type="dxa"/>
                    <w:bottom w:w="0" w:type="dxa"/>
                    <w:right w:w="108" w:type="dxa"/>
                  </w:tcMar>
                  <w:vAlign w:val="bottom"/>
                  <w:hideMark/>
                </w:tcPr>
                <w:p w14:paraId="28E6597A" w14:textId="77777777" w:rsidR="00C712DF" w:rsidRDefault="00C712DF" w:rsidP="00797C58">
                  <w:pPr>
                    <w:jc w:val="right"/>
                    <w:rPr>
                      <w:color w:val="000000"/>
                    </w:rPr>
                  </w:pPr>
                  <w:r>
                    <w:rPr>
                      <w:color w:val="000000"/>
                    </w:rPr>
                    <w:t>9</w:t>
                  </w:r>
                </w:p>
              </w:tc>
              <w:tc>
                <w:tcPr>
                  <w:tcW w:w="2977" w:type="dxa"/>
                  <w:tcBorders>
                    <w:top w:val="nil"/>
                    <w:left w:val="nil"/>
                    <w:bottom w:val="single" w:sz="8" w:space="0" w:color="95B3D7"/>
                    <w:right w:val="single" w:sz="8" w:space="0" w:color="95B3D7"/>
                  </w:tcBorders>
                  <w:shd w:val="clear" w:color="auto" w:fill="DCE6F1"/>
                  <w:noWrap/>
                  <w:tcMar>
                    <w:top w:w="0" w:type="dxa"/>
                    <w:left w:w="108" w:type="dxa"/>
                    <w:bottom w:w="0" w:type="dxa"/>
                    <w:right w:w="108" w:type="dxa"/>
                  </w:tcMar>
                  <w:vAlign w:val="bottom"/>
                  <w:hideMark/>
                </w:tcPr>
                <w:p w14:paraId="28037690" w14:textId="77777777" w:rsidR="00C712DF" w:rsidRDefault="00C712DF" w:rsidP="00797C58">
                  <w:pPr>
                    <w:ind w:left="1386" w:hanging="1211"/>
                    <w:jc w:val="right"/>
                    <w:rPr>
                      <w:color w:val="000000"/>
                    </w:rPr>
                  </w:pPr>
                  <w:r>
                    <w:rPr>
                      <w:color w:val="000000"/>
                    </w:rPr>
                    <w:t xml:space="preserve">$31,278,165 </w:t>
                  </w:r>
                </w:p>
              </w:tc>
            </w:tr>
            <w:tr w:rsidR="00C712DF" w14:paraId="17BF4AB7" w14:textId="77777777" w:rsidTr="00797C58">
              <w:trPr>
                <w:trHeight w:val="300"/>
              </w:trPr>
              <w:tc>
                <w:tcPr>
                  <w:tcW w:w="2608" w:type="dxa"/>
                  <w:tcBorders>
                    <w:top w:val="nil"/>
                    <w:left w:val="single" w:sz="8" w:space="0" w:color="95B3D7"/>
                    <w:bottom w:val="single" w:sz="8" w:space="0" w:color="95B3D7"/>
                    <w:right w:val="nil"/>
                  </w:tcBorders>
                  <w:noWrap/>
                  <w:tcMar>
                    <w:top w:w="0" w:type="dxa"/>
                    <w:left w:w="108" w:type="dxa"/>
                    <w:bottom w:w="0" w:type="dxa"/>
                    <w:right w:w="108" w:type="dxa"/>
                  </w:tcMar>
                  <w:vAlign w:val="bottom"/>
                  <w:hideMark/>
                </w:tcPr>
                <w:p w14:paraId="11EA11F1" w14:textId="77777777" w:rsidR="00C712DF" w:rsidRDefault="00C712DF" w:rsidP="00797C58">
                  <w:pPr>
                    <w:rPr>
                      <w:color w:val="000000"/>
                    </w:rPr>
                  </w:pPr>
                  <w:r>
                    <w:rPr>
                      <w:color w:val="000000"/>
                    </w:rPr>
                    <w:t>&gt; $4m and &lt; $5m</w:t>
                  </w:r>
                </w:p>
              </w:tc>
              <w:tc>
                <w:tcPr>
                  <w:tcW w:w="2403" w:type="dxa"/>
                  <w:tcBorders>
                    <w:top w:val="nil"/>
                    <w:left w:val="nil"/>
                    <w:bottom w:val="single" w:sz="8" w:space="0" w:color="95B3D7"/>
                    <w:right w:val="nil"/>
                  </w:tcBorders>
                  <w:noWrap/>
                  <w:tcMar>
                    <w:top w:w="0" w:type="dxa"/>
                    <w:left w:w="108" w:type="dxa"/>
                    <w:bottom w:w="0" w:type="dxa"/>
                    <w:right w:w="108" w:type="dxa"/>
                  </w:tcMar>
                  <w:vAlign w:val="bottom"/>
                  <w:hideMark/>
                </w:tcPr>
                <w:p w14:paraId="5BBF15C7" w14:textId="77777777" w:rsidR="00C712DF" w:rsidRDefault="00C712DF" w:rsidP="00797C58">
                  <w:pPr>
                    <w:jc w:val="right"/>
                    <w:rPr>
                      <w:color w:val="000000"/>
                    </w:rPr>
                  </w:pPr>
                  <w:r>
                    <w:rPr>
                      <w:color w:val="000000"/>
                    </w:rPr>
                    <w:t>4</w:t>
                  </w:r>
                </w:p>
              </w:tc>
              <w:tc>
                <w:tcPr>
                  <w:tcW w:w="2977" w:type="dxa"/>
                  <w:tcBorders>
                    <w:top w:val="nil"/>
                    <w:left w:val="nil"/>
                    <w:bottom w:val="single" w:sz="8" w:space="0" w:color="95B3D7"/>
                    <w:right w:val="single" w:sz="8" w:space="0" w:color="95B3D7"/>
                  </w:tcBorders>
                  <w:noWrap/>
                  <w:tcMar>
                    <w:top w:w="0" w:type="dxa"/>
                    <w:left w:w="108" w:type="dxa"/>
                    <w:bottom w:w="0" w:type="dxa"/>
                    <w:right w:w="108" w:type="dxa"/>
                  </w:tcMar>
                  <w:vAlign w:val="bottom"/>
                  <w:hideMark/>
                </w:tcPr>
                <w:p w14:paraId="4CB35B38" w14:textId="77777777" w:rsidR="00C712DF" w:rsidRDefault="00C712DF" w:rsidP="00797C58">
                  <w:pPr>
                    <w:jc w:val="right"/>
                    <w:rPr>
                      <w:color w:val="000000"/>
                    </w:rPr>
                  </w:pPr>
                  <w:r>
                    <w:rPr>
                      <w:color w:val="000000"/>
                    </w:rPr>
                    <w:t xml:space="preserve">$17,997,528 </w:t>
                  </w:r>
                </w:p>
              </w:tc>
            </w:tr>
            <w:tr w:rsidR="00C712DF" w14:paraId="463477E5" w14:textId="77777777" w:rsidTr="00797C58">
              <w:trPr>
                <w:trHeight w:val="300"/>
              </w:trPr>
              <w:tc>
                <w:tcPr>
                  <w:tcW w:w="2608" w:type="dxa"/>
                  <w:tcBorders>
                    <w:top w:val="nil"/>
                    <w:left w:val="single" w:sz="8" w:space="0" w:color="95B3D7"/>
                    <w:bottom w:val="single" w:sz="8" w:space="0" w:color="95B3D7"/>
                    <w:right w:val="nil"/>
                  </w:tcBorders>
                  <w:shd w:val="clear" w:color="auto" w:fill="DCE6F1"/>
                  <w:noWrap/>
                  <w:tcMar>
                    <w:top w:w="0" w:type="dxa"/>
                    <w:left w:w="108" w:type="dxa"/>
                    <w:bottom w:w="0" w:type="dxa"/>
                    <w:right w:w="108" w:type="dxa"/>
                  </w:tcMar>
                  <w:vAlign w:val="bottom"/>
                  <w:hideMark/>
                </w:tcPr>
                <w:p w14:paraId="20A1FA04" w14:textId="77777777" w:rsidR="00C712DF" w:rsidRDefault="00C712DF" w:rsidP="00797C58">
                  <w:pPr>
                    <w:rPr>
                      <w:color w:val="000000"/>
                    </w:rPr>
                  </w:pPr>
                  <w:r>
                    <w:rPr>
                      <w:color w:val="000000"/>
                    </w:rPr>
                    <w:t>&gt; $5m and &lt; $10m</w:t>
                  </w:r>
                </w:p>
              </w:tc>
              <w:tc>
                <w:tcPr>
                  <w:tcW w:w="2403" w:type="dxa"/>
                  <w:tcBorders>
                    <w:top w:val="nil"/>
                    <w:left w:val="nil"/>
                    <w:bottom w:val="single" w:sz="8" w:space="0" w:color="95B3D7"/>
                    <w:right w:val="nil"/>
                  </w:tcBorders>
                  <w:shd w:val="clear" w:color="auto" w:fill="DCE6F1"/>
                  <w:noWrap/>
                  <w:tcMar>
                    <w:top w:w="0" w:type="dxa"/>
                    <w:left w:w="108" w:type="dxa"/>
                    <w:bottom w:w="0" w:type="dxa"/>
                    <w:right w:w="108" w:type="dxa"/>
                  </w:tcMar>
                  <w:vAlign w:val="bottom"/>
                  <w:hideMark/>
                </w:tcPr>
                <w:p w14:paraId="01013363" w14:textId="77777777" w:rsidR="00C712DF" w:rsidRDefault="00C712DF" w:rsidP="00797C58">
                  <w:pPr>
                    <w:jc w:val="right"/>
                    <w:rPr>
                      <w:color w:val="000000"/>
                    </w:rPr>
                  </w:pPr>
                  <w:r>
                    <w:rPr>
                      <w:color w:val="000000"/>
                    </w:rPr>
                    <w:t>15</w:t>
                  </w:r>
                </w:p>
              </w:tc>
              <w:tc>
                <w:tcPr>
                  <w:tcW w:w="2977" w:type="dxa"/>
                  <w:tcBorders>
                    <w:top w:val="nil"/>
                    <w:left w:val="nil"/>
                    <w:bottom w:val="single" w:sz="8" w:space="0" w:color="95B3D7"/>
                    <w:right w:val="single" w:sz="8" w:space="0" w:color="95B3D7"/>
                  </w:tcBorders>
                  <w:shd w:val="clear" w:color="auto" w:fill="DCE6F1"/>
                  <w:noWrap/>
                  <w:tcMar>
                    <w:top w:w="0" w:type="dxa"/>
                    <w:left w:w="108" w:type="dxa"/>
                    <w:bottom w:w="0" w:type="dxa"/>
                    <w:right w:w="108" w:type="dxa"/>
                  </w:tcMar>
                  <w:vAlign w:val="bottom"/>
                  <w:hideMark/>
                </w:tcPr>
                <w:p w14:paraId="261D1ED4" w14:textId="77777777" w:rsidR="00C712DF" w:rsidRDefault="00C712DF" w:rsidP="00797C58">
                  <w:pPr>
                    <w:jc w:val="right"/>
                    <w:rPr>
                      <w:color w:val="000000"/>
                    </w:rPr>
                  </w:pPr>
                  <w:r>
                    <w:rPr>
                      <w:color w:val="000000"/>
                    </w:rPr>
                    <w:t xml:space="preserve">$115,527,307 </w:t>
                  </w:r>
                </w:p>
              </w:tc>
            </w:tr>
            <w:tr w:rsidR="00C712DF" w14:paraId="1A3CA3BA" w14:textId="77777777" w:rsidTr="00797C58">
              <w:trPr>
                <w:trHeight w:val="300"/>
              </w:trPr>
              <w:tc>
                <w:tcPr>
                  <w:tcW w:w="2608" w:type="dxa"/>
                  <w:tcBorders>
                    <w:top w:val="nil"/>
                    <w:left w:val="single" w:sz="8" w:space="0" w:color="95B3D7"/>
                    <w:bottom w:val="single" w:sz="8" w:space="0" w:color="95B3D7"/>
                    <w:right w:val="nil"/>
                  </w:tcBorders>
                  <w:noWrap/>
                  <w:tcMar>
                    <w:top w:w="0" w:type="dxa"/>
                    <w:left w:w="108" w:type="dxa"/>
                    <w:bottom w:w="0" w:type="dxa"/>
                    <w:right w:w="108" w:type="dxa"/>
                  </w:tcMar>
                  <w:vAlign w:val="bottom"/>
                  <w:hideMark/>
                </w:tcPr>
                <w:p w14:paraId="65E8591A" w14:textId="77777777" w:rsidR="00C712DF" w:rsidRDefault="00C712DF" w:rsidP="00797C58">
                  <w:pPr>
                    <w:rPr>
                      <w:color w:val="000000"/>
                    </w:rPr>
                  </w:pPr>
                  <w:r>
                    <w:rPr>
                      <w:color w:val="000000"/>
                    </w:rPr>
                    <w:t>&gt; $10m and &lt; $20m</w:t>
                  </w:r>
                </w:p>
              </w:tc>
              <w:tc>
                <w:tcPr>
                  <w:tcW w:w="2403" w:type="dxa"/>
                  <w:tcBorders>
                    <w:top w:val="nil"/>
                    <w:left w:val="nil"/>
                    <w:bottom w:val="single" w:sz="8" w:space="0" w:color="95B3D7"/>
                    <w:right w:val="nil"/>
                  </w:tcBorders>
                  <w:noWrap/>
                  <w:tcMar>
                    <w:top w:w="0" w:type="dxa"/>
                    <w:left w:w="108" w:type="dxa"/>
                    <w:bottom w:w="0" w:type="dxa"/>
                    <w:right w:w="108" w:type="dxa"/>
                  </w:tcMar>
                  <w:vAlign w:val="bottom"/>
                  <w:hideMark/>
                </w:tcPr>
                <w:p w14:paraId="1DAF38ED" w14:textId="77777777" w:rsidR="00C712DF" w:rsidRDefault="00C712DF" w:rsidP="00797C58">
                  <w:pPr>
                    <w:jc w:val="right"/>
                    <w:rPr>
                      <w:color w:val="000000"/>
                    </w:rPr>
                  </w:pPr>
                  <w:r>
                    <w:rPr>
                      <w:color w:val="000000"/>
                    </w:rPr>
                    <w:t>4</w:t>
                  </w:r>
                </w:p>
              </w:tc>
              <w:tc>
                <w:tcPr>
                  <w:tcW w:w="2977" w:type="dxa"/>
                  <w:tcBorders>
                    <w:top w:val="nil"/>
                    <w:left w:val="nil"/>
                    <w:bottom w:val="single" w:sz="8" w:space="0" w:color="95B3D7"/>
                    <w:right w:val="single" w:sz="8" w:space="0" w:color="95B3D7"/>
                  </w:tcBorders>
                  <w:noWrap/>
                  <w:tcMar>
                    <w:top w:w="0" w:type="dxa"/>
                    <w:left w:w="108" w:type="dxa"/>
                    <w:bottom w:w="0" w:type="dxa"/>
                    <w:right w:w="108" w:type="dxa"/>
                  </w:tcMar>
                  <w:vAlign w:val="bottom"/>
                  <w:hideMark/>
                </w:tcPr>
                <w:p w14:paraId="6627A6F3" w14:textId="77777777" w:rsidR="00C712DF" w:rsidRDefault="00C712DF" w:rsidP="00797C58">
                  <w:pPr>
                    <w:jc w:val="right"/>
                    <w:rPr>
                      <w:color w:val="000000"/>
                    </w:rPr>
                  </w:pPr>
                  <w:r>
                    <w:rPr>
                      <w:color w:val="000000"/>
                    </w:rPr>
                    <w:t xml:space="preserve">$67,940,735 </w:t>
                  </w:r>
                </w:p>
              </w:tc>
            </w:tr>
            <w:tr w:rsidR="00C712DF" w14:paraId="22F75EFB" w14:textId="77777777" w:rsidTr="00797C58">
              <w:trPr>
                <w:trHeight w:val="300"/>
              </w:trPr>
              <w:tc>
                <w:tcPr>
                  <w:tcW w:w="2608" w:type="dxa"/>
                  <w:tcBorders>
                    <w:top w:val="nil"/>
                    <w:left w:val="single" w:sz="8" w:space="0" w:color="95B3D7"/>
                    <w:bottom w:val="single" w:sz="8" w:space="0" w:color="95B3D7"/>
                    <w:right w:val="nil"/>
                  </w:tcBorders>
                  <w:shd w:val="clear" w:color="auto" w:fill="DCE6F1"/>
                  <w:noWrap/>
                  <w:tcMar>
                    <w:top w:w="0" w:type="dxa"/>
                    <w:left w:w="108" w:type="dxa"/>
                    <w:bottom w:w="0" w:type="dxa"/>
                    <w:right w:w="108" w:type="dxa"/>
                  </w:tcMar>
                  <w:vAlign w:val="bottom"/>
                  <w:hideMark/>
                </w:tcPr>
                <w:p w14:paraId="2361DC2E" w14:textId="77777777" w:rsidR="00C712DF" w:rsidRDefault="00C712DF" w:rsidP="00797C58">
                  <w:pPr>
                    <w:rPr>
                      <w:color w:val="000000"/>
                    </w:rPr>
                  </w:pPr>
                  <w:r>
                    <w:rPr>
                      <w:color w:val="000000"/>
                    </w:rPr>
                    <w:t>&gt; $20m and &lt; $30m</w:t>
                  </w:r>
                </w:p>
              </w:tc>
              <w:tc>
                <w:tcPr>
                  <w:tcW w:w="2403" w:type="dxa"/>
                  <w:tcBorders>
                    <w:top w:val="nil"/>
                    <w:left w:val="nil"/>
                    <w:bottom w:val="single" w:sz="8" w:space="0" w:color="95B3D7"/>
                    <w:right w:val="nil"/>
                  </w:tcBorders>
                  <w:shd w:val="clear" w:color="auto" w:fill="DCE6F1"/>
                  <w:noWrap/>
                  <w:tcMar>
                    <w:top w:w="0" w:type="dxa"/>
                    <w:left w:w="108" w:type="dxa"/>
                    <w:bottom w:w="0" w:type="dxa"/>
                    <w:right w:w="108" w:type="dxa"/>
                  </w:tcMar>
                  <w:vAlign w:val="bottom"/>
                  <w:hideMark/>
                </w:tcPr>
                <w:p w14:paraId="7C48A0BB" w14:textId="77777777" w:rsidR="00C712DF" w:rsidRDefault="00C712DF" w:rsidP="00797C58">
                  <w:pPr>
                    <w:jc w:val="right"/>
                    <w:rPr>
                      <w:color w:val="000000"/>
                    </w:rPr>
                  </w:pPr>
                  <w:r>
                    <w:rPr>
                      <w:color w:val="000000"/>
                    </w:rPr>
                    <w:t>3</w:t>
                  </w:r>
                </w:p>
              </w:tc>
              <w:tc>
                <w:tcPr>
                  <w:tcW w:w="2977" w:type="dxa"/>
                  <w:tcBorders>
                    <w:top w:val="nil"/>
                    <w:left w:val="nil"/>
                    <w:bottom w:val="single" w:sz="8" w:space="0" w:color="95B3D7"/>
                    <w:right w:val="single" w:sz="8" w:space="0" w:color="95B3D7"/>
                  </w:tcBorders>
                  <w:shd w:val="clear" w:color="auto" w:fill="DCE6F1"/>
                  <w:noWrap/>
                  <w:tcMar>
                    <w:top w:w="0" w:type="dxa"/>
                    <w:left w:w="108" w:type="dxa"/>
                    <w:bottom w:w="0" w:type="dxa"/>
                    <w:right w:w="108" w:type="dxa"/>
                  </w:tcMar>
                  <w:vAlign w:val="bottom"/>
                  <w:hideMark/>
                </w:tcPr>
                <w:p w14:paraId="094B25D7" w14:textId="77777777" w:rsidR="00C712DF" w:rsidRDefault="00C712DF" w:rsidP="00797C58">
                  <w:pPr>
                    <w:jc w:val="right"/>
                    <w:rPr>
                      <w:color w:val="000000"/>
                    </w:rPr>
                  </w:pPr>
                  <w:r>
                    <w:rPr>
                      <w:color w:val="000000"/>
                    </w:rPr>
                    <w:t xml:space="preserve">$70,204,936 </w:t>
                  </w:r>
                </w:p>
              </w:tc>
            </w:tr>
            <w:tr w:rsidR="00C712DF" w14:paraId="5BC1C326" w14:textId="77777777" w:rsidTr="00797C58">
              <w:trPr>
                <w:trHeight w:val="300"/>
              </w:trPr>
              <w:tc>
                <w:tcPr>
                  <w:tcW w:w="2608" w:type="dxa"/>
                  <w:tcBorders>
                    <w:top w:val="nil"/>
                    <w:left w:val="single" w:sz="8" w:space="0" w:color="95B3D7"/>
                    <w:bottom w:val="single" w:sz="8" w:space="0" w:color="95B3D7"/>
                    <w:right w:val="nil"/>
                  </w:tcBorders>
                  <w:noWrap/>
                  <w:tcMar>
                    <w:top w:w="0" w:type="dxa"/>
                    <w:left w:w="108" w:type="dxa"/>
                    <w:bottom w:w="0" w:type="dxa"/>
                    <w:right w:w="108" w:type="dxa"/>
                  </w:tcMar>
                  <w:vAlign w:val="bottom"/>
                  <w:hideMark/>
                </w:tcPr>
                <w:p w14:paraId="07038DAB" w14:textId="77777777" w:rsidR="00C712DF" w:rsidRDefault="00C712DF" w:rsidP="00797C58">
                  <w:pPr>
                    <w:rPr>
                      <w:color w:val="000000"/>
                    </w:rPr>
                  </w:pPr>
                  <w:r>
                    <w:rPr>
                      <w:color w:val="000000"/>
                    </w:rPr>
                    <w:t>&gt; $30m and &lt; $40m</w:t>
                  </w:r>
                </w:p>
              </w:tc>
              <w:tc>
                <w:tcPr>
                  <w:tcW w:w="2403" w:type="dxa"/>
                  <w:tcBorders>
                    <w:top w:val="nil"/>
                    <w:left w:val="nil"/>
                    <w:bottom w:val="single" w:sz="8" w:space="0" w:color="95B3D7"/>
                    <w:right w:val="nil"/>
                  </w:tcBorders>
                  <w:noWrap/>
                  <w:tcMar>
                    <w:top w:w="0" w:type="dxa"/>
                    <w:left w:w="108" w:type="dxa"/>
                    <w:bottom w:w="0" w:type="dxa"/>
                    <w:right w:w="108" w:type="dxa"/>
                  </w:tcMar>
                  <w:vAlign w:val="bottom"/>
                  <w:hideMark/>
                </w:tcPr>
                <w:p w14:paraId="2E5E7B5D" w14:textId="77777777" w:rsidR="00C712DF" w:rsidRDefault="00C712DF" w:rsidP="00797C58">
                  <w:pPr>
                    <w:jc w:val="right"/>
                    <w:rPr>
                      <w:color w:val="000000"/>
                    </w:rPr>
                  </w:pPr>
                  <w:r>
                    <w:rPr>
                      <w:color w:val="000000"/>
                    </w:rPr>
                    <w:t>2</w:t>
                  </w:r>
                </w:p>
              </w:tc>
              <w:tc>
                <w:tcPr>
                  <w:tcW w:w="2977" w:type="dxa"/>
                  <w:tcBorders>
                    <w:top w:val="nil"/>
                    <w:left w:val="nil"/>
                    <w:bottom w:val="single" w:sz="8" w:space="0" w:color="95B3D7"/>
                    <w:right w:val="single" w:sz="8" w:space="0" w:color="95B3D7"/>
                  </w:tcBorders>
                  <w:noWrap/>
                  <w:tcMar>
                    <w:top w:w="0" w:type="dxa"/>
                    <w:left w:w="108" w:type="dxa"/>
                    <w:bottom w:w="0" w:type="dxa"/>
                    <w:right w:w="108" w:type="dxa"/>
                  </w:tcMar>
                  <w:vAlign w:val="bottom"/>
                  <w:hideMark/>
                </w:tcPr>
                <w:p w14:paraId="79AF78FF" w14:textId="77777777" w:rsidR="00C712DF" w:rsidRDefault="00C712DF" w:rsidP="00797C58">
                  <w:pPr>
                    <w:jc w:val="right"/>
                    <w:rPr>
                      <w:color w:val="000000"/>
                    </w:rPr>
                  </w:pPr>
                  <w:r>
                    <w:rPr>
                      <w:color w:val="000000"/>
                    </w:rPr>
                    <w:t xml:space="preserve">$72,907,969 </w:t>
                  </w:r>
                </w:p>
              </w:tc>
            </w:tr>
            <w:tr w:rsidR="00C712DF" w14:paraId="6B6FBFDD" w14:textId="77777777" w:rsidTr="00797C58">
              <w:trPr>
                <w:trHeight w:val="300"/>
              </w:trPr>
              <w:tc>
                <w:tcPr>
                  <w:tcW w:w="2608" w:type="dxa"/>
                  <w:tcBorders>
                    <w:top w:val="nil"/>
                    <w:left w:val="single" w:sz="8" w:space="0" w:color="95B3D7"/>
                    <w:bottom w:val="single" w:sz="8" w:space="0" w:color="95B3D7"/>
                    <w:right w:val="nil"/>
                  </w:tcBorders>
                  <w:shd w:val="clear" w:color="auto" w:fill="DCE6F1"/>
                  <w:noWrap/>
                  <w:tcMar>
                    <w:top w:w="0" w:type="dxa"/>
                    <w:left w:w="108" w:type="dxa"/>
                    <w:bottom w:w="0" w:type="dxa"/>
                    <w:right w:w="108" w:type="dxa"/>
                  </w:tcMar>
                  <w:vAlign w:val="bottom"/>
                  <w:hideMark/>
                </w:tcPr>
                <w:p w14:paraId="33687407" w14:textId="77777777" w:rsidR="00C712DF" w:rsidRDefault="00C712DF" w:rsidP="00797C58">
                  <w:pPr>
                    <w:rPr>
                      <w:color w:val="000000"/>
                    </w:rPr>
                  </w:pPr>
                  <w:r>
                    <w:rPr>
                      <w:color w:val="000000"/>
                    </w:rPr>
                    <w:t>&gt; $40m and &lt; $50m</w:t>
                  </w:r>
                </w:p>
              </w:tc>
              <w:tc>
                <w:tcPr>
                  <w:tcW w:w="2403" w:type="dxa"/>
                  <w:tcBorders>
                    <w:top w:val="nil"/>
                    <w:left w:val="nil"/>
                    <w:bottom w:val="single" w:sz="8" w:space="0" w:color="95B3D7"/>
                    <w:right w:val="nil"/>
                  </w:tcBorders>
                  <w:shd w:val="clear" w:color="auto" w:fill="DCE6F1"/>
                  <w:noWrap/>
                  <w:tcMar>
                    <w:top w:w="0" w:type="dxa"/>
                    <w:left w:w="108" w:type="dxa"/>
                    <w:bottom w:w="0" w:type="dxa"/>
                    <w:right w:w="108" w:type="dxa"/>
                  </w:tcMar>
                  <w:vAlign w:val="bottom"/>
                  <w:hideMark/>
                </w:tcPr>
                <w:p w14:paraId="4938079C" w14:textId="77777777" w:rsidR="00C712DF" w:rsidRDefault="00C712DF" w:rsidP="00797C58">
                  <w:pPr>
                    <w:jc w:val="right"/>
                    <w:rPr>
                      <w:color w:val="000000"/>
                    </w:rPr>
                  </w:pPr>
                  <w:r>
                    <w:rPr>
                      <w:color w:val="000000"/>
                    </w:rPr>
                    <w:t>3</w:t>
                  </w:r>
                </w:p>
              </w:tc>
              <w:tc>
                <w:tcPr>
                  <w:tcW w:w="2977" w:type="dxa"/>
                  <w:tcBorders>
                    <w:top w:val="nil"/>
                    <w:left w:val="nil"/>
                    <w:bottom w:val="single" w:sz="8" w:space="0" w:color="95B3D7"/>
                    <w:right w:val="single" w:sz="8" w:space="0" w:color="95B3D7"/>
                  </w:tcBorders>
                  <w:shd w:val="clear" w:color="auto" w:fill="DCE6F1"/>
                  <w:noWrap/>
                  <w:tcMar>
                    <w:top w:w="0" w:type="dxa"/>
                    <w:left w:w="108" w:type="dxa"/>
                    <w:bottom w:w="0" w:type="dxa"/>
                    <w:right w:w="108" w:type="dxa"/>
                  </w:tcMar>
                  <w:vAlign w:val="bottom"/>
                  <w:hideMark/>
                </w:tcPr>
                <w:p w14:paraId="0588C810" w14:textId="77777777" w:rsidR="00C712DF" w:rsidRDefault="00C712DF" w:rsidP="00797C58">
                  <w:pPr>
                    <w:jc w:val="right"/>
                    <w:rPr>
                      <w:color w:val="000000"/>
                    </w:rPr>
                  </w:pPr>
                  <w:r>
                    <w:rPr>
                      <w:color w:val="000000"/>
                    </w:rPr>
                    <w:t xml:space="preserve"> $125,049,041 </w:t>
                  </w:r>
                </w:p>
              </w:tc>
            </w:tr>
            <w:tr w:rsidR="00C712DF" w14:paraId="7BEC4FFD" w14:textId="77777777" w:rsidTr="00797C58">
              <w:trPr>
                <w:trHeight w:val="300"/>
              </w:trPr>
              <w:tc>
                <w:tcPr>
                  <w:tcW w:w="2608" w:type="dxa"/>
                  <w:tcBorders>
                    <w:top w:val="nil"/>
                    <w:left w:val="single" w:sz="8" w:space="0" w:color="95B3D7"/>
                    <w:bottom w:val="single" w:sz="8" w:space="0" w:color="95B3D7"/>
                    <w:right w:val="nil"/>
                  </w:tcBorders>
                  <w:noWrap/>
                  <w:tcMar>
                    <w:top w:w="0" w:type="dxa"/>
                    <w:left w:w="108" w:type="dxa"/>
                    <w:bottom w:w="0" w:type="dxa"/>
                    <w:right w:w="108" w:type="dxa"/>
                  </w:tcMar>
                  <w:vAlign w:val="bottom"/>
                  <w:hideMark/>
                </w:tcPr>
                <w:p w14:paraId="39206803" w14:textId="77777777" w:rsidR="00C712DF" w:rsidRDefault="00C712DF" w:rsidP="00797C58">
                  <w:pPr>
                    <w:rPr>
                      <w:color w:val="000000"/>
                    </w:rPr>
                  </w:pPr>
                  <w:r>
                    <w:rPr>
                      <w:color w:val="000000"/>
                    </w:rPr>
                    <w:t>&gt; $50m and &lt; $60m</w:t>
                  </w:r>
                </w:p>
              </w:tc>
              <w:tc>
                <w:tcPr>
                  <w:tcW w:w="2403" w:type="dxa"/>
                  <w:tcBorders>
                    <w:top w:val="nil"/>
                    <w:left w:val="nil"/>
                    <w:bottom w:val="single" w:sz="8" w:space="0" w:color="95B3D7"/>
                    <w:right w:val="nil"/>
                  </w:tcBorders>
                  <w:noWrap/>
                  <w:tcMar>
                    <w:top w:w="0" w:type="dxa"/>
                    <w:left w:w="108" w:type="dxa"/>
                    <w:bottom w:w="0" w:type="dxa"/>
                    <w:right w:w="108" w:type="dxa"/>
                  </w:tcMar>
                  <w:vAlign w:val="bottom"/>
                  <w:hideMark/>
                </w:tcPr>
                <w:p w14:paraId="2B431621" w14:textId="77777777" w:rsidR="00C712DF" w:rsidRDefault="00C712DF" w:rsidP="00797C58">
                  <w:pPr>
                    <w:jc w:val="right"/>
                    <w:rPr>
                      <w:color w:val="000000"/>
                    </w:rPr>
                  </w:pPr>
                  <w:r>
                    <w:rPr>
                      <w:color w:val="000000"/>
                    </w:rPr>
                    <w:t>2</w:t>
                  </w:r>
                </w:p>
              </w:tc>
              <w:tc>
                <w:tcPr>
                  <w:tcW w:w="2977" w:type="dxa"/>
                  <w:tcBorders>
                    <w:top w:val="nil"/>
                    <w:left w:val="nil"/>
                    <w:bottom w:val="single" w:sz="8" w:space="0" w:color="95B3D7"/>
                    <w:right w:val="single" w:sz="8" w:space="0" w:color="95B3D7"/>
                  </w:tcBorders>
                  <w:noWrap/>
                  <w:tcMar>
                    <w:top w:w="0" w:type="dxa"/>
                    <w:left w:w="108" w:type="dxa"/>
                    <w:bottom w:w="0" w:type="dxa"/>
                    <w:right w:w="108" w:type="dxa"/>
                  </w:tcMar>
                  <w:vAlign w:val="bottom"/>
                  <w:hideMark/>
                </w:tcPr>
                <w:p w14:paraId="47B4BE10" w14:textId="77777777" w:rsidR="00C712DF" w:rsidRDefault="00C712DF" w:rsidP="00797C58">
                  <w:pPr>
                    <w:jc w:val="right"/>
                    <w:rPr>
                      <w:color w:val="000000"/>
                    </w:rPr>
                  </w:pPr>
                  <w:r>
                    <w:rPr>
                      <w:color w:val="000000"/>
                    </w:rPr>
                    <w:t xml:space="preserve"> $116,586,497 </w:t>
                  </w:r>
                </w:p>
              </w:tc>
            </w:tr>
            <w:tr w:rsidR="00C712DF" w14:paraId="1F5375F6" w14:textId="77777777" w:rsidTr="00797C58">
              <w:trPr>
                <w:trHeight w:val="300"/>
              </w:trPr>
              <w:tc>
                <w:tcPr>
                  <w:tcW w:w="2608" w:type="dxa"/>
                  <w:tcBorders>
                    <w:top w:val="nil"/>
                    <w:left w:val="single" w:sz="8" w:space="0" w:color="95B3D7"/>
                    <w:bottom w:val="single" w:sz="8" w:space="0" w:color="95B3D7"/>
                    <w:right w:val="nil"/>
                  </w:tcBorders>
                  <w:shd w:val="clear" w:color="auto" w:fill="DCE6F1"/>
                  <w:noWrap/>
                  <w:tcMar>
                    <w:top w:w="0" w:type="dxa"/>
                    <w:left w:w="108" w:type="dxa"/>
                    <w:bottom w:w="0" w:type="dxa"/>
                    <w:right w:w="108" w:type="dxa"/>
                  </w:tcMar>
                  <w:vAlign w:val="bottom"/>
                  <w:hideMark/>
                </w:tcPr>
                <w:p w14:paraId="33C5977E" w14:textId="77777777" w:rsidR="00C712DF" w:rsidRDefault="00C712DF" w:rsidP="00797C58">
                  <w:pPr>
                    <w:rPr>
                      <w:color w:val="000000"/>
                    </w:rPr>
                  </w:pPr>
                  <w:r>
                    <w:rPr>
                      <w:color w:val="000000"/>
                    </w:rPr>
                    <w:t>&gt; $60m and &lt; $70m</w:t>
                  </w:r>
                </w:p>
              </w:tc>
              <w:tc>
                <w:tcPr>
                  <w:tcW w:w="2403" w:type="dxa"/>
                  <w:tcBorders>
                    <w:top w:val="nil"/>
                    <w:left w:val="nil"/>
                    <w:bottom w:val="single" w:sz="8" w:space="0" w:color="95B3D7"/>
                    <w:right w:val="nil"/>
                  </w:tcBorders>
                  <w:shd w:val="clear" w:color="auto" w:fill="DCE6F1"/>
                  <w:noWrap/>
                  <w:tcMar>
                    <w:top w:w="0" w:type="dxa"/>
                    <w:left w:w="108" w:type="dxa"/>
                    <w:bottom w:w="0" w:type="dxa"/>
                    <w:right w:w="108" w:type="dxa"/>
                  </w:tcMar>
                  <w:vAlign w:val="bottom"/>
                  <w:hideMark/>
                </w:tcPr>
                <w:p w14:paraId="3E519CE8" w14:textId="77777777" w:rsidR="00C712DF" w:rsidRDefault="00C712DF" w:rsidP="00797C58">
                  <w:pPr>
                    <w:jc w:val="right"/>
                    <w:rPr>
                      <w:color w:val="000000"/>
                    </w:rPr>
                  </w:pPr>
                  <w:r>
                    <w:rPr>
                      <w:color w:val="000000"/>
                    </w:rPr>
                    <w:t>0</w:t>
                  </w:r>
                </w:p>
              </w:tc>
              <w:tc>
                <w:tcPr>
                  <w:tcW w:w="2977" w:type="dxa"/>
                  <w:tcBorders>
                    <w:top w:val="nil"/>
                    <w:left w:val="nil"/>
                    <w:bottom w:val="single" w:sz="8" w:space="0" w:color="95B3D7"/>
                    <w:right w:val="single" w:sz="8" w:space="0" w:color="95B3D7"/>
                  </w:tcBorders>
                  <w:shd w:val="clear" w:color="auto" w:fill="DCE6F1"/>
                  <w:noWrap/>
                  <w:tcMar>
                    <w:top w:w="0" w:type="dxa"/>
                    <w:left w:w="108" w:type="dxa"/>
                    <w:bottom w:w="0" w:type="dxa"/>
                    <w:right w:w="108" w:type="dxa"/>
                  </w:tcMar>
                  <w:vAlign w:val="bottom"/>
                  <w:hideMark/>
                </w:tcPr>
                <w:p w14:paraId="5BFD4BD8" w14:textId="77777777" w:rsidR="00C712DF" w:rsidRDefault="00C712DF" w:rsidP="00797C58">
                  <w:pPr>
                    <w:jc w:val="right"/>
                    <w:rPr>
                      <w:color w:val="000000"/>
                    </w:rPr>
                  </w:pPr>
                  <w:r>
                    <w:rPr>
                      <w:color w:val="000000"/>
                    </w:rPr>
                    <w:t>0</w:t>
                  </w:r>
                </w:p>
              </w:tc>
            </w:tr>
            <w:tr w:rsidR="00C712DF" w14:paraId="4A8A5A8D" w14:textId="77777777" w:rsidTr="00797C58">
              <w:trPr>
                <w:trHeight w:val="300"/>
              </w:trPr>
              <w:tc>
                <w:tcPr>
                  <w:tcW w:w="2608" w:type="dxa"/>
                  <w:tcBorders>
                    <w:top w:val="nil"/>
                    <w:left w:val="single" w:sz="8" w:space="0" w:color="95B3D7"/>
                    <w:bottom w:val="single" w:sz="8" w:space="0" w:color="95B3D7"/>
                    <w:right w:val="nil"/>
                  </w:tcBorders>
                  <w:noWrap/>
                  <w:tcMar>
                    <w:top w:w="0" w:type="dxa"/>
                    <w:left w:w="108" w:type="dxa"/>
                    <w:bottom w:w="0" w:type="dxa"/>
                    <w:right w:w="108" w:type="dxa"/>
                  </w:tcMar>
                  <w:vAlign w:val="bottom"/>
                  <w:hideMark/>
                </w:tcPr>
                <w:p w14:paraId="5FE125B3" w14:textId="77777777" w:rsidR="00C712DF" w:rsidRDefault="00C712DF" w:rsidP="00797C58">
                  <w:pPr>
                    <w:rPr>
                      <w:color w:val="000000"/>
                    </w:rPr>
                  </w:pPr>
                  <w:r>
                    <w:rPr>
                      <w:color w:val="000000"/>
                    </w:rPr>
                    <w:t>&gt; $70m and &lt; $80m</w:t>
                  </w:r>
                </w:p>
              </w:tc>
              <w:tc>
                <w:tcPr>
                  <w:tcW w:w="2403" w:type="dxa"/>
                  <w:tcBorders>
                    <w:top w:val="nil"/>
                    <w:left w:val="nil"/>
                    <w:bottom w:val="single" w:sz="8" w:space="0" w:color="95B3D7"/>
                    <w:right w:val="nil"/>
                  </w:tcBorders>
                  <w:noWrap/>
                  <w:tcMar>
                    <w:top w:w="0" w:type="dxa"/>
                    <w:left w:w="108" w:type="dxa"/>
                    <w:bottom w:w="0" w:type="dxa"/>
                    <w:right w:w="108" w:type="dxa"/>
                  </w:tcMar>
                  <w:vAlign w:val="bottom"/>
                  <w:hideMark/>
                </w:tcPr>
                <w:p w14:paraId="5B701ADE" w14:textId="77777777" w:rsidR="00C712DF" w:rsidRDefault="00C712DF" w:rsidP="00797C58">
                  <w:pPr>
                    <w:jc w:val="right"/>
                    <w:rPr>
                      <w:color w:val="000000"/>
                    </w:rPr>
                  </w:pPr>
                  <w:r>
                    <w:rPr>
                      <w:color w:val="000000"/>
                    </w:rPr>
                    <w:t>0</w:t>
                  </w:r>
                </w:p>
              </w:tc>
              <w:tc>
                <w:tcPr>
                  <w:tcW w:w="2977" w:type="dxa"/>
                  <w:tcBorders>
                    <w:top w:val="nil"/>
                    <w:left w:val="nil"/>
                    <w:bottom w:val="single" w:sz="8" w:space="0" w:color="95B3D7"/>
                    <w:right w:val="single" w:sz="8" w:space="0" w:color="95B3D7"/>
                  </w:tcBorders>
                  <w:noWrap/>
                  <w:tcMar>
                    <w:top w:w="0" w:type="dxa"/>
                    <w:left w:w="108" w:type="dxa"/>
                    <w:bottom w:w="0" w:type="dxa"/>
                    <w:right w:w="108" w:type="dxa"/>
                  </w:tcMar>
                  <w:vAlign w:val="bottom"/>
                  <w:hideMark/>
                </w:tcPr>
                <w:p w14:paraId="76C3A47E" w14:textId="77777777" w:rsidR="00C712DF" w:rsidRDefault="00C712DF" w:rsidP="00797C58">
                  <w:pPr>
                    <w:jc w:val="right"/>
                    <w:rPr>
                      <w:color w:val="000000"/>
                    </w:rPr>
                  </w:pPr>
                  <w:r>
                    <w:rPr>
                      <w:color w:val="000000"/>
                    </w:rPr>
                    <w:t>0</w:t>
                  </w:r>
                </w:p>
              </w:tc>
            </w:tr>
            <w:tr w:rsidR="00C712DF" w14:paraId="666E9CF3" w14:textId="77777777" w:rsidTr="00797C58">
              <w:trPr>
                <w:trHeight w:val="300"/>
              </w:trPr>
              <w:tc>
                <w:tcPr>
                  <w:tcW w:w="2608" w:type="dxa"/>
                  <w:tcBorders>
                    <w:top w:val="nil"/>
                    <w:left w:val="single" w:sz="8" w:space="0" w:color="95B3D7"/>
                    <w:bottom w:val="single" w:sz="8" w:space="0" w:color="95B3D7"/>
                    <w:right w:val="nil"/>
                  </w:tcBorders>
                  <w:shd w:val="clear" w:color="auto" w:fill="DCE6F1"/>
                  <w:noWrap/>
                  <w:tcMar>
                    <w:top w:w="0" w:type="dxa"/>
                    <w:left w:w="108" w:type="dxa"/>
                    <w:bottom w:w="0" w:type="dxa"/>
                    <w:right w:w="108" w:type="dxa"/>
                  </w:tcMar>
                  <w:vAlign w:val="bottom"/>
                  <w:hideMark/>
                </w:tcPr>
                <w:p w14:paraId="38C0B8E7" w14:textId="77777777" w:rsidR="00C712DF" w:rsidRDefault="00C712DF" w:rsidP="00797C58">
                  <w:pPr>
                    <w:rPr>
                      <w:color w:val="000000"/>
                    </w:rPr>
                  </w:pPr>
                  <w:r>
                    <w:rPr>
                      <w:color w:val="000000"/>
                    </w:rPr>
                    <w:t>&gt; $80m and &lt; $90m</w:t>
                  </w:r>
                </w:p>
              </w:tc>
              <w:tc>
                <w:tcPr>
                  <w:tcW w:w="2403" w:type="dxa"/>
                  <w:tcBorders>
                    <w:top w:val="nil"/>
                    <w:left w:val="nil"/>
                    <w:bottom w:val="single" w:sz="8" w:space="0" w:color="95B3D7"/>
                    <w:right w:val="nil"/>
                  </w:tcBorders>
                  <w:shd w:val="clear" w:color="auto" w:fill="DCE6F1"/>
                  <w:noWrap/>
                  <w:tcMar>
                    <w:top w:w="0" w:type="dxa"/>
                    <w:left w:w="108" w:type="dxa"/>
                    <w:bottom w:w="0" w:type="dxa"/>
                    <w:right w:w="108" w:type="dxa"/>
                  </w:tcMar>
                  <w:vAlign w:val="bottom"/>
                  <w:hideMark/>
                </w:tcPr>
                <w:p w14:paraId="54823C0D" w14:textId="77777777" w:rsidR="00C712DF" w:rsidRDefault="00C712DF" w:rsidP="00797C58">
                  <w:pPr>
                    <w:jc w:val="right"/>
                    <w:rPr>
                      <w:color w:val="000000"/>
                    </w:rPr>
                  </w:pPr>
                  <w:r>
                    <w:rPr>
                      <w:color w:val="000000"/>
                    </w:rPr>
                    <w:t>0</w:t>
                  </w:r>
                </w:p>
              </w:tc>
              <w:tc>
                <w:tcPr>
                  <w:tcW w:w="2977" w:type="dxa"/>
                  <w:tcBorders>
                    <w:top w:val="nil"/>
                    <w:left w:val="nil"/>
                    <w:bottom w:val="single" w:sz="8" w:space="0" w:color="95B3D7"/>
                    <w:right w:val="single" w:sz="8" w:space="0" w:color="95B3D7"/>
                  </w:tcBorders>
                  <w:shd w:val="clear" w:color="auto" w:fill="DCE6F1"/>
                  <w:noWrap/>
                  <w:tcMar>
                    <w:top w:w="0" w:type="dxa"/>
                    <w:left w:w="108" w:type="dxa"/>
                    <w:bottom w:w="0" w:type="dxa"/>
                    <w:right w:w="108" w:type="dxa"/>
                  </w:tcMar>
                  <w:vAlign w:val="bottom"/>
                  <w:hideMark/>
                </w:tcPr>
                <w:p w14:paraId="2346992A" w14:textId="77777777" w:rsidR="00C712DF" w:rsidRDefault="00C712DF" w:rsidP="00797C58">
                  <w:pPr>
                    <w:jc w:val="right"/>
                    <w:rPr>
                      <w:color w:val="000000"/>
                    </w:rPr>
                  </w:pPr>
                  <w:r>
                    <w:rPr>
                      <w:color w:val="000000"/>
                    </w:rPr>
                    <w:t>0</w:t>
                  </w:r>
                </w:p>
              </w:tc>
            </w:tr>
            <w:tr w:rsidR="00C712DF" w14:paraId="62D30991" w14:textId="77777777" w:rsidTr="00797C58">
              <w:trPr>
                <w:trHeight w:val="300"/>
              </w:trPr>
              <w:tc>
                <w:tcPr>
                  <w:tcW w:w="2608" w:type="dxa"/>
                  <w:tcBorders>
                    <w:top w:val="nil"/>
                    <w:left w:val="single" w:sz="8" w:space="0" w:color="95B3D7"/>
                    <w:bottom w:val="single" w:sz="8" w:space="0" w:color="95B3D7"/>
                    <w:right w:val="nil"/>
                  </w:tcBorders>
                  <w:noWrap/>
                  <w:tcMar>
                    <w:top w:w="0" w:type="dxa"/>
                    <w:left w:w="108" w:type="dxa"/>
                    <w:bottom w:w="0" w:type="dxa"/>
                    <w:right w:w="108" w:type="dxa"/>
                  </w:tcMar>
                  <w:vAlign w:val="bottom"/>
                  <w:hideMark/>
                </w:tcPr>
                <w:p w14:paraId="3C87F510" w14:textId="77777777" w:rsidR="00C712DF" w:rsidRDefault="00C712DF" w:rsidP="00797C58">
                  <w:pPr>
                    <w:rPr>
                      <w:color w:val="000000"/>
                    </w:rPr>
                  </w:pPr>
                  <w:r>
                    <w:rPr>
                      <w:color w:val="000000"/>
                    </w:rPr>
                    <w:t>&gt; $90m and &lt; $100m</w:t>
                  </w:r>
                </w:p>
              </w:tc>
              <w:tc>
                <w:tcPr>
                  <w:tcW w:w="2403" w:type="dxa"/>
                  <w:tcBorders>
                    <w:top w:val="nil"/>
                    <w:left w:val="nil"/>
                    <w:bottom w:val="single" w:sz="8" w:space="0" w:color="95B3D7"/>
                    <w:right w:val="nil"/>
                  </w:tcBorders>
                  <w:noWrap/>
                  <w:tcMar>
                    <w:top w:w="0" w:type="dxa"/>
                    <w:left w:w="108" w:type="dxa"/>
                    <w:bottom w:w="0" w:type="dxa"/>
                    <w:right w:w="108" w:type="dxa"/>
                  </w:tcMar>
                  <w:vAlign w:val="bottom"/>
                  <w:hideMark/>
                </w:tcPr>
                <w:p w14:paraId="46D13809" w14:textId="77777777" w:rsidR="00C712DF" w:rsidRDefault="00C712DF" w:rsidP="00797C58">
                  <w:pPr>
                    <w:jc w:val="right"/>
                    <w:rPr>
                      <w:color w:val="000000"/>
                    </w:rPr>
                  </w:pPr>
                  <w:r>
                    <w:rPr>
                      <w:color w:val="000000"/>
                    </w:rPr>
                    <w:t>1</w:t>
                  </w:r>
                </w:p>
              </w:tc>
              <w:tc>
                <w:tcPr>
                  <w:tcW w:w="2977" w:type="dxa"/>
                  <w:tcBorders>
                    <w:top w:val="nil"/>
                    <w:left w:val="nil"/>
                    <w:bottom w:val="single" w:sz="8" w:space="0" w:color="95B3D7"/>
                    <w:right w:val="single" w:sz="8" w:space="0" w:color="95B3D7"/>
                  </w:tcBorders>
                  <w:noWrap/>
                  <w:tcMar>
                    <w:top w:w="0" w:type="dxa"/>
                    <w:left w:w="108" w:type="dxa"/>
                    <w:bottom w:w="0" w:type="dxa"/>
                    <w:right w:w="108" w:type="dxa"/>
                  </w:tcMar>
                  <w:vAlign w:val="bottom"/>
                  <w:hideMark/>
                </w:tcPr>
                <w:p w14:paraId="635F8736" w14:textId="77777777" w:rsidR="00C712DF" w:rsidRDefault="00C712DF" w:rsidP="00797C58">
                  <w:pPr>
                    <w:jc w:val="right"/>
                    <w:rPr>
                      <w:color w:val="000000"/>
                    </w:rPr>
                  </w:pPr>
                  <w:r>
                    <w:rPr>
                      <w:color w:val="000000"/>
                    </w:rPr>
                    <w:t xml:space="preserve">$95,533,580 </w:t>
                  </w:r>
                </w:p>
              </w:tc>
            </w:tr>
            <w:tr w:rsidR="00C712DF" w14:paraId="7B3AB6CA" w14:textId="77777777" w:rsidTr="00797C58">
              <w:trPr>
                <w:trHeight w:val="300"/>
              </w:trPr>
              <w:tc>
                <w:tcPr>
                  <w:tcW w:w="2608" w:type="dxa"/>
                  <w:tcBorders>
                    <w:top w:val="nil"/>
                    <w:left w:val="single" w:sz="8" w:space="0" w:color="95B3D7"/>
                    <w:bottom w:val="single" w:sz="8" w:space="0" w:color="95B3D7"/>
                    <w:right w:val="nil"/>
                  </w:tcBorders>
                  <w:shd w:val="clear" w:color="auto" w:fill="DCE6F1"/>
                  <w:noWrap/>
                  <w:tcMar>
                    <w:top w:w="0" w:type="dxa"/>
                    <w:left w:w="108" w:type="dxa"/>
                    <w:bottom w:w="0" w:type="dxa"/>
                    <w:right w:w="108" w:type="dxa"/>
                  </w:tcMar>
                  <w:vAlign w:val="bottom"/>
                  <w:hideMark/>
                </w:tcPr>
                <w:p w14:paraId="5522EF8B" w14:textId="77777777" w:rsidR="00C712DF" w:rsidRDefault="00C712DF" w:rsidP="00797C58">
                  <w:pPr>
                    <w:rPr>
                      <w:color w:val="000000"/>
                    </w:rPr>
                  </w:pPr>
                  <w:r>
                    <w:rPr>
                      <w:color w:val="000000"/>
                    </w:rPr>
                    <w:t>&gt; $100m</w:t>
                  </w:r>
                </w:p>
              </w:tc>
              <w:tc>
                <w:tcPr>
                  <w:tcW w:w="2403" w:type="dxa"/>
                  <w:tcBorders>
                    <w:top w:val="nil"/>
                    <w:left w:val="nil"/>
                    <w:bottom w:val="single" w:sz="8" w:space="0" w:color="95B3D7"/>
                    <w:right w:val="nil"/>
                  </w:tcBorders>
                  <w:shd w:val="clear" w:color="auto" w:fill="DCE6F1"/>
                  <w:noWrap/>
                  <w:tcMar>
                    <w:top w:w="0" w:type="dxa"/>
                    <w:left w:w="108" w:type="dxa"/>
                    <w:bottom w:w="0" w:type="dxa"/>
                    <w:right w:w="108" w:type="dxa"/>
                  </w:tcMar>
                  <w:vAlign w:val="bottom"/>
                  <w:hideMark/>
                </w:tcPr>
                <w:p w14:paraId="384C889B" w14:textId="77777777" w:rsidR="00C712DF" w:rsidRDefault="00C712DF" w:rsidP="00797C58">
                  <w:pPr>
                    <w:jc w:val="right"/>
                    <w:rPr>
                      <w:color w:val="000000"/>
                    </w:rPr>
                  </w:pPr>
                  <w:r>
                    <w:rPr>
                      <w:color w:val="000000"/>
                    </w:rPr>
                    <w:t>3</w:t>
                  </w:r>
                </w:p>
              </w:tc>
              <w:tc>
                <w:tcPr>
                  <w:tcW w:w="2977" w:type="dxa"/>
                  <w:tcBorders>
                    <w:top w:val="nil"/>
                    <w:left w:val="nil"/>
                    <w:bottom w:val="single" w:sz="8" w:space="0" w:color="95B3D7"/>
                    <w:right w:val="single" w:sz="8" w:space="0" w:color="95B3D7"/>
                  </w:tcBorders>
                  <w:shd w:val="clear" w:color="auto" w:fill="DCE6F1"/>
                  <w:noWrap/>
                  <w:tcMar>
                    <w:top w:w="0" w:type="dxa"/>
                    <w:left w:w="108" w:type="dxa"/>
                    <w:bottom w:w="0" w:type="dxa"/>
                    <w:right w:w="108" w:type="dxa"/>
                  </w:tcMar>
                  <w:vAlign w:val="bottom"/>
                  <w:hideMark/>
                </w:tcPr>
                <w:p w14:paraId="6B21655E" w14:textId="77777777" w:rsidR="00C712DF" w:rsidRDefault="00C712DF" w:rsidP="00797C58">
                  <w:pPr>
                    <w:jc w:val="right"/>
                    <w:rPr>
                      <w:color w:val="000000"/>
                    </w:rPr>
                  </w:pPr>
                  <w:r>
                    <w:rPr>
                      <w:color w:val="000000"/>
                    </w:rPr>
                    <w:t xml:space="preserve">$624,587,982 </w:t>
                  </w:r>
                </w:p>
              </w:tc>
            </w:tr>
            <w:tr w:rsidR="00C712DF" w14:paraId="25CB62ED" w14:textId="77777777" w:rsidTr="00797C58">
              <w:trPr>
                <w:trHeight w:val="300"/>
              </w:trPr>
              <w:tc>
                <w:tcPr>
                  <w:tcW w:w="2608" w:type="dxa"/>
                  <w:tcBorders>
                    <w:top w:val="nil"/>
                    <w:left w:val="single" w:sz="8" w:space="0" w:color="95B3D7"/>
                    <w:bottom w:val="nil"/>
                    <w:right w:val="nil"/>
                  </w:tcBorders>
                  <w:noWrap/>
                  <w:tcMar>
                    <w:top w:w="0" w:type="dxa"/>
                    <w:left w:w="108" w:type="dxa"/>
                    <w:bottom w:w="0" w:type="dxa"/>
                    <w:right w:w="108" w:type="dxa"/>
                  </w:tcMar>
                  <w:vAlign w:val="bottom"/>
                  <w:hideMark/>
                </w:tcPr>
                <w:p w14:paraId="1683561A" w14:textId="77777777" w:rsidR="00C712DF" w:rsidRDefault="00C712DF" w:rsidP="00797C58">
                  <w:pPr>
                    <w:rPr>
                      <w:color w:val="000000"/>
                    </w:rPr>
                  </w:pPr>
                  <w:r>
                    <w:rPr>
                      <w:color w:val="000000"/>
                    </w:rPr>
                    <w:t>Total</w:t>
                  </w:r>
                </w:p>
              </w:tc>
              <w:tc>
                <w:tcPr>
                  <w:tcW w:w="2403" w:type="dxa"/>
                  <w:noWrap/>
                  <w:tcMar>
                    <w:top w:w="0" w:type="dxa"/>
                    <w:left w:w="108" w:type="dxa"/>
                    <w:bottom w:w="0" w:type="dxa"/>
                    <w:right w:w="108" w:type="dxa"/>
                  </w:tcMar>
                  <w:vAlign w:val="bottom"/>
                  <w:hideMark/>
                </w:tcPr>
                <w:p w14:paraId="478ADA84" w14:textId="77777777" w:rsidR="00C712DF" w:rsidRDefault="00C712DF" w:rsidP="00797C58">
                  <w:pPr>
                    <w:jc w:val="right"/>
                    <w:rPr>
                      <w:color w:val="000000"/>
                    </w:rPr>
                  </w:pPr>
                  <w:r>
                    <w:rPr>
                      <w:color w:val="000000"/>
                    </w:rPr>
                    <w:t>122</w:t>
                  </w:r>
                </w:p>
              </w:tc>
              <w:tc>
                <w:tcPr>
                  <w:tcW w:w="2977" w:type="dxa"/>
                  <w:tcBorders>
                    <w:top w:val="nil"/>
                    <w:left w:val="nil"/>
                    <w:bottom w:val="nil"/>
                    <w:right w:val="single" w:sz="8" w:space="0" w:color="95B3D7"/>
                  </w:tcBorders>
                  <w:noWrap/>
                  <w:tcMar>
                    <w:top w:w="0" w:type="dxa"/>
                    <w:left w:w="108" w:type="dxa"/>
                    <w:bottom w:w="0" w:type="dxa"/>
                    <w:right w:w="108" w:type="dxa"/>
                  </w:tcMar>
                  <w:vAlign w:val="bottom"/>
                  <w:hideMark/>
                </w:tcPr>
                <w:p w14:paraId="34EDE733" w14:textId="77777777" w:rsidR="00C712DF" w:rsidRDefault="00C712DF" w:rsidP="00797C58">
                  <w:pPr>
                    <w:jc w:val="right"/>
                    <w:rPr>
                      <w:color w:val="000000"/>
                    </w:rPr>
                  </w:pPr>
                  <w:r>
                    <w:rPr>
                      <w:color w:val="000000"/>
                    </w:rPr>
                    <w:t xml:space="preserve">$1,402,634,047 </w:t>
                  </w:r>
                </w:p>
              </w:tc>
            </w:tr>
          </w:tbl>
          <w:p w14:paraId="069ED7F2" w14:textId="77777777" w:rsidR="00C712DF" w:rsidRDefault="00C712DF" w:rsidP="00797C58"/>
          <w:p w14:paraId="16CF1B16" w14:textId="77777777" w:rsidR="00C712DF" w:rsidRDefault="00C712DF" w:rsidP="00797C58"/>
        </w:tc>
      </w:tr>
      <w:tr w:rsidR="00C712DF" w14:paraId="56C99A85" w14:textId="77777777" w:rsidTr="009338AB">
        <w:trPr>
          <w:cantSplit/>
        </w:trPr>
        <w:tc>
          <w:tcPr>
            <w:tcW w:w="1809" w:type="dxa"/>
            <w:tcBorders>
              <w:top w:val="single" w:sz="4" w:space="0" w:color="auto"/>
              <w:left w:val="single" w:sz="4" w:space="0" w:color="auto"/>
              <w:bottom w:val="single" w:sz="4" w:space="0" w:color="auto"/>
              <w:right w:val="single" w:sz="4" w:space="0" w:color="auto"/>
            </w:tcBorders>
          </w:tcPr>
          <w:p w14:paraId="4381CCB5" w14:textId="77777777" w:rsidR="00C712DF" w:rsidRDefault="00C712DF" w:rsidP="00797C58">
            <w:r>
              <w:lastRenderedPageBreak/>
              <w:t>Funding arrangements for recovery</w:t>
            </w:r>
          </w:p>
          <w:p w14:paraId="65970F12" w14:textId="77777777" w:rsidR="00C712DF" w:rsidRDefault="00C712DF" w:rsidP="00797C58"/>
        </w:tc>
        <w:tc>
          <w:tcPr>
            <w:tcW w:w="3828" w:type="dxa"/>
            <w:tcBorders>
              <w:top w:val="single" w:sz="4" w:space="0" w:color="auto"/>
              <w:left w:val="single" w:sz="4" w:space="0" w:color="auto"/>
              <w:bottom w:val="single" w:sz="4" w:space="0" w:color="auto"/>
              <w:right w:val="single" w:sz="4" w:space="0" w:color="auto"/>
            </w:tcBorders>
            <w:hideMark/>
          </w:tcPr>
          <w:p w14:paraId="6F2A2524" w14:textId="77777777" w:rsidR="00C712DF" w:rsidRDefault="00C712DF" w:rsidP="00797C58">
            <w:pPr>
              <w:pStyle w:val="InformationRequestTitle"/>
              <w:spacing w:before="0"/>
              <w:jc w:val="left"/>
              <w:rPr>
                <w:rFonts w:asciiTheme="minorHAnsi" w:hAnsiTheme="minorHAnsi"/>
                <w:i w:val="0"/>
                <w:caps w:val="0"/>
                <w:sz w:val="22"/>
                <w:szCs w:val="22"/>
                <w:lang w:eastAsia="en-US"/>
              </w:rPr>
            </w:pPr>
            <w:r>
              <w:rPr>
                <w:rFonts w:asciiTheme="minorHAnsi" w:hAnsiTheme="minorHAnsi"/>
                <w:i w:val="0"/>
                <w:caps w:val="0"/>
                <w:sz w:val="22"/>
                <w:szCs w:val="22"/>
                <w:lang w:eastAsia="en-US"/>
              </w:rPr>
              <w:t>Information request</w:t>
            </w:r>
          </w:p>
          <w:p w14:paraId="3EDFBCBB" w14:textId="77777777" w:rsidR="00C712DF" w:rsidRDefault="00C712DF" w:rsidP="00797C58">
            <w:pPr>
              <w:pStyle w:val="InformationRequest"/>
              <w:spacing w:before="0"/>
              <w:jc w:val="left"/>
              <w:rPr>
                <w:rFonts w:asciiTheme="minorHAnsi" w:hAnsiTheme="minorHAnsi"/>
                <w:i w:val="0"/>
                <w:szCs w:val="22"/>
                <w:lang w:eastAsia="en-US"/>
              </w:rPr>
            </w:pPr>
            <w:r>
              <w:rPr>
                <w:rFonts w:asciiTheme="minorHAnsi" w:hAnsiTheme="minorHAnsi"/>
                <w:i w:val="0"/>
                <w:szCs w:val="22"/>
                <w:lang w:eastAsia="en-US"/>
              </w:rPr>
              <w:t>Should there be a more explicit definition of counter disaster operations under the Natural Disaster Relief and Recovery Arrangements (or any future arrangements)?</w:t>
            </w:r>
          </w:p>
          <w:p w14:paraId="28582614" w14:textId="77777777" w:rsidR="00C712DF" w:rsidRDefault="00C712DF" w:rsidP="00C712DF">
            <w:pPr>
              <w:pStyle w:val="InformationRequestBullet"/>
              <w:numPr>
                <w:ilvl w:val="0"/>
                <w:numId w:val="12"/>
              </w:numPr>
              <w:spacing w:before="0"/>
              <w:ind w:left="357" w:hanging="357"/>
              <w:jc w:val="left"/>
              <w:rPr>
                <w:rFonts w:asciiTheme="minorHAnsi" w:hAnsiTheme="minorHAnsi"/>
                <w:i w:val="0"/>
                <w:szCs w:val="22"/>
                <w:lang w:eastAsia="en-US"/>
              </w:rPr>
            </w:pPr>
            <w:r>
              <w:rPr>
                <w:rFonts w:asciiTheme="minorHAnsi" w:hAnsiTheme="minorHAnsi"/>
                <w:i w:val="0"/>
                <w:szCs w:val="22"/>
                <w:lang w:eastAsia="en-US"/>
              </w:rPr>
              <w:t>To what extent are extraordinary counter disaster operations costs subject to separate Australian Government cost</w:t>
            </w:r>
            <w:r>
              <w:rPr>
                <w:rFonts w:asciiTheme="minorHAnsi" w:hAnsiTheme="minorHAnsi"/>
                <w:i w:val="0"/>
                <w:szCs w:val="22"/>
                <w:lang w:eastAsia="en-US"/>
              </w:rPr>
              <w:noBreakHyphen/>
              <w:t xml:space="preserve">sharing arrangements? </w:t>
            </w:r>
          </w:p>
          <w:p w14:paraId="58B9A66E" w14:textId="77777777" w:rsidR="00C712DF" w:rsidRDefault="00C712DF" w:rsidP="00C712DF">
            <w:pPr>
              <w:pStyle w:val="InformationRequestBullet"/>
              <w:numPr>
                <w:ilvl w:val="0"/>
                <w:numId w:val="12"/>
              </w:numPr>
              <w:spacing w:before="0"/>
              <w:ind w:left="357" w:hanging="357"/>
              <w:jc w:val="left"/>
              <w:rPr>
                <w:rFonts w:asciiTheme="minorHAnsi" w:hAnsiTheme="minorHAnsi"/>
                <w:i w:val="0"/>
                <w:szCs w:val="22"/>
                <w:lang w:eastAsia="en-US"/>
              </w:rPr>
            </w:pPr>
            <w:r>
              <w:rPr>
                <w:rFonts w:asciiTheme="minorHAnsi" w:hAnsiTheme="minorHAnsi"/>
                <w:i w:val="0"/>
                <w:szCs w:val="22"/>
                <w:lang w:eastAsia="en-US"/>
              </w:rPr>
              <w:t>To what extent are activities that are the normal responsibilities of state and territory governments being included as eligible expenditure under this clause?</w:t>
            </w:r>
          </w:p>
          <w:p w14:paraId="6532A9A4" w14:textId="77777777" w:rsidR="00C712DF" w:rsidRDefault="00C712DF" w:rsidP="00C712DF">
            <w:pPr>
              <w:pStyle w:val="InformationRequestBullet"/>
              <w:numPr>
                <w:ilvl w:val="0"/>
                <w:numId w:val="12"/>
              </w:numPr>
              <w:spacing w:before="0"/>
              <w:ind w:left="357" w:hanging="357"/>
              <w:jc w:val="left"/>
              <w:rPr>
                <w:rFonts w:asciiTheme="minorHAnsi" w:hAnsiTheme="minorHAnsi"/>
                <w:i w:val="0"/>
                <w:szCs w:val="22"/>
                <w:lang w:eastAsia="en-US"/>
              </w:rPr>
            </w:pPr>
            <w:r>
              <w:rPr>
                <w:rFonts w:asciiTheme="minorHAnsi" w:hAnsiTheme="minorHAnsi"/>
                <w:i w:val="0"/>
                <w:szCs w:val="22"/>
                <w:lang w:eastAsia="en-US"/>
              </w:rPr>
              <w:t>To what extent do councils utilise day labour and own equipment for community recovery activities, such as counter disaster operations?</w:t>
            </w:r>
          </w:p>
          <w:p w14:paraId="63A2F70E" w14:textId="77777777" w:rsidR="00C712DF" w:rsidRPr="007A3B52" w:rsidRDefault="00C712DF" w:rsidP="00797C58">
            <w:pPr>
              <w:pStyle w:val="BodyText"/>
              <w:spacing w:before="0"/>
              <w:rPr>
                <w:lang w:eastAsia="en-US"/>
              </w:rPr>
            </w:pPr>
          </w:p>
        </w:tc>
        <w:tc>
          <w:tcPr>
            <w:tcW w:w="9922" w:type="dxa"/>
            <w:tcBorders>
              <w:top w:val="single" w:sz="4" w:space="0" w:color="auto"/>
              <w:left w:val="single" w:sz="4" w:space="0" w:color="auto"/>
              <w:bottom w:val="single" w:sz="4" w:space="0" w:color="auto"/>
              <w:right w:val="single" w:sz="4" w:space="0" w:color="auto"/>
            </w:tcBorders>
          </w:tcPr>
          <w:p w14:paraId="7DECC54D" w14:textId="77777777" w:rsidR="00C712DF" w:rsidRDefault="00C712DF" w:rsidP="00797C58">
            <w:pPr>
              <w:pStyle w:val="ListParagraph"/>
              <w:ind w:left="0"/>
              <w:rPr>
                <w:rFonts w:asciiTheme="minorHAnsi" w:hAnsiTheme="minorHAnsi"/>
                <w:sz w:val="22"/>
                <w:szCs w:val="22"/>
                <w:lang w:eastAsia="en-US"/>
              </w:rPr>
            </w:pPr>
            <w:r w:rsidRPr="00581EE3">
              <w:rPr>
                <w:rFonts w:asciiTheme="minorHAnsi" w:hAnsiTheme="minorHAnsi"/>
                <w:sz w:val="22"/>
                <w:szCs w:val="22"/>
                <w:lang w:eastAsia="en-US"/>
              </w:rPr>
              <w:t>NSW Government agencies suggest that there should be a more explicit definition of counter disaster operations under the Natural Disaster Relief and Recovery Arrangements (NDRRA). Although the Australian Government released a new NDRRA guideline about Counter Disaster Operations in October 2014, some interpretation by States and Territories is still required.  The guideline would benefit from further explanations and examples to illustrate what States and Territories could reasonably be expected to incur for Counter Disaster Operations.</w:t>
            </w:r>
          </w:p>
          <w:p w14:paraId="7F5A066B" w14:textId="77777777" w:rsidR="00C712DF" w:rsidRDefault="00C712DF" w:rsidP="00797C58">
            <w:pPr>
              <w:pStyle w:val="ListParagraph"/>
              <w:ind w:left="0"/>
              <w:rPr>
                <w:rFonts w:asciiTheme="minorHAnsi" w:hAnsiTheme="minorHAnsi"/>
                <w:sz w:val="22"/>
                <w:szCs w:val="22"/>
                <w:lang w:eastAsia="en-US"/>
              </w:rPr>
            </w:pPr>
          </w:p>
          <w:p w14:paraId="3BB522FE" w14:textId="77777777" w:rsidR="00C712DF" w:rsidRDefault="00C712DF" w:rsidP="00797C58">
            <w:pPr>
              <w:pStyle w:val="ListParagraph"/>
              <w:ind w:left="0"/>
              <w:rPr>
                <w:rFonts w:asciiTheme="minorHAnsi" w:hAnsiTheme="minorHAnsi"/>
                <w:sz w:val="22"/>
                <w:szCs w:val="22"/>
                <w:lang w:eastAsia="en-US"/>
              </w:rPr>
            </w:pPr>
            <w:r>
              <w:rPr>
                <w:rFonts w:asciiTheme="minorHAnsi" w:hAnsiTheme="minorHAnsi"/>
                <w:sz w:val="22"/>
                <w:szCs w:val="22"/>
                <w:lang w:eastAsia="en-US"/>
              </w:rPr>
              <w:t>NSW Government counter disaster operations expenditure is managed in accordance with established guidelines and audited as a matter of routine.  Guidelines and processes for managing counter disaster operations expenditure are designed to ensure that activities that are the normal responsibility of State and Territory governments are not included as eligible expenditure under the NDRRA.</w:t>
            </w:r>
          </w:p>
          <w:p w14:paraId="2F0C484F" w14:textId="77777777" w:rsidR="00C712DF" w:rsidRDefault="00C712DF" w:rsidP="00797C58"/>
          <w:p w14:paraId="053ED6F8" w14:textId="77777777" w:rsidR="00C712DF" w:rsidRDefault="00C712DF" w:rsidP="00797C58">
            <w:r>
              <w:t>Emergency response agencies in NSW routinely utilise the assets of Local Councils for counter disaster operations. The engagement of council assets and operators are undertaken under the same or similar contract arrangement that emergency response agencies have with other vendors. The NSW Government recognises that Local Councils are well placed to assist with natural disasters due to the assets they have available and their ability to deploy them at short notice during emergencies.</w:t>
            </w:r>
          </w:p>
        </w:tc>
      </w:tr>
      <w:tr w:rsidR="00C712DF" w14:paraId="25EBD32B" w14:textId="77777777" w:rsidTr="009338AB">
        <w:trPr>
          <w:cantSplit/>
        </w:trPr>
        <w:tc>
          <w:tcPr>
            <w:tcW w:w="1809" w:type="dxa"/>
            <w:tcBorders>
              <w:top w:val="single" w:sz="4" w:space="0" w:color="auto"/>
              <w:left w:val="single" w:sz="4" w:space="0" w:color="auto"/>
              <w:bottom w:val="single" w:sz="4" w:space="0" w:color="auto"/>
              <w:right w:val="single" w:sz="4" w:space="0" w:color="auto"/>
            </w:tcBorders>
          </w:tcPr>
          <w:p w14:paraId="0F39C386" w14:textId="77777777" w:rsidR="00C712DF" w:rsidRDefault="00C712DF" w:rsidP="00797C58">
            <w:r>
              <w:lastRenderedPageBreak/>
              <w:t>Funding arrangements for recovery</w:t>
            </w:r>
          </w:p>
          <w:p w14:paraId="360EB20A" w14:textId="77777777" w:rsidR="00C712DF" w:rsidRDefault="00C712DF" w:rsidP="00797C58"/>
        </w:tc>
        <w:tc>
          <w:tcPr>
            <w:tcW w:w="3828" w:type="dxa"/>
            <w:tcBorders>
              <w:top w:val="single" w:sz="4" w:space="0" w:color="auto"/>
              <w:left w:val="single" w:sz="4" w:space="0" w:color="auto"/>
              <w:bottom w:val="single" w:sz="4" w:space="0" w:color="auto"/>
              <w:right w:val="single" w:sz="4" w:space="0" w:color="auto"/>
            </w:tcBorders>
            <w:hideMark/>
          </w:tcPr>
          <w:p w14:paraId="6CD0F29C" w14:textId="77777777" w:rsidR="00C712DF" w:rsidRDefault="00C712DF" w:rsidP="00797C58">
            <w:pPr>
              <w:pStyle w:val="InformationRequestTitle"/>
              <w:keepNext w:val="0"/>
              <w:spacing w:before="0"/>
              <w:jc w:val="left"/>
              <w:rPr>
                <w:rFonts w:asciiTheme="minorHAnsi" w:hAnsiTheme="minorHAnsi"/>
                <w:i w:val="0"/>
                <w:caps w:val="0"/>
                <w:sz w:val="22"/>
                <w:szCs w:val="22"/>
                <w:lang w:eastAsia="en-US"/>
              </w:rPr>
            </w:pPr>
            <w:r>
              <w:rPr>
                <w:rFonts w:asciiTheme="minorHAnsi" w:hAnsiTheme="minorHAnsi"/>
                <w:i w:val="0"/>
                <w:caps w:val="0"/>
                <w:sz w:val="22"/>
                <w:szCs w:val="22"/>
                <w:lang w:eastAsia="en-US"/>
              </w:rPr>
              <w:t>Information request</w:t>
            </w:r>
          </w:p>
          <w:p w14:paraId="26F847BB" w14:textId="77777777" w:rsidR="00C712DF" w:rsidRDefault="00C712DF" w:rsidP="00797C58">
            <w:pPr>
              <w:pStyle w:val="InformationRequest"/>
              <w:spacing w:before="0"/>
              <w:jc w:val="left"/>
              <w:rPr>
                <w:rFonts w:asciiTheme="minorHAnsi" w:hAnsiTheme="minorHAnsi"/>
                <w:i w:val="0"/>
                <w:szCs w:val="22"/>
                <w:lang w:eastAsia="en-US"/>
              </w:rPr>
            </w:pPr>
            <w:r>
              <w:rPr>
                <w:rFonts w:asciiTheme="minorHAnsi" w:hAnsiTheme="minorHAnsi"/>
                <w:i w:val="0"/>
                <w:szCs w:val="22"/>
                <w:lang w:eastAsia="en-US"/>
              </w:rPr>
              <w:t>What sort of trigger is most appropriate for an upfront grants model (under the Commission’s reform option 3)? Is a threshold of 0.2 per cent of state or territory government revenue an appropriate measure of fiscal capacity where an event</w:t>
            </w:r>
            <w:r>
              <w:rPr>
                <w:rFonts w:asciiTheme="minorHAnsi" w:hAnsiTheme="minorHAnsi"/>
                <w:i w:val="0"/>
                <w:szCs w:val="22"/>
                <w:lang w:eastAsia="en-US"/>
              </w:rPr>
              <w:noBreakHyphen/>
              <w:t xml:space="preserve">based trigger is used? </w:t>
            </w:r>
          </w:p>
        </w:tc>
        <w:tc>
          <w:tcPr>
            <w:tcW w:w="9922" w:type="dxa"/>
            <w:tcBorders>
              <w:top w:val="single" w:sz="4" w:space="0" w:color="auto"/>
              <w:left w:val="single" w:sz="4" w:space="0" w:color="auto"/>
              <w:bottom w:val="single" w:sz="4" w:space="0" w:color="auto"/>
              <w:right w:val="single" w:sz="4" w:space="0" w:color="auto"/>
            </w:tcBorders>
          </w:tcPr>
          <w:p w14:paraId="1DE48A8E" w14:textId="77777777" w:rsidR="00C712DF" w:rsidRDefault="00C712DF" w:rsidP="00797C58">
            <w:r>
              <w:t xml:space="preserve">NSW Government agencies suggest the use of marginal reimbursement contribution and assistance triggers that are based on sound redistribution principles and which take account of a jurisdiction’s risk exposures and factors within its control.  </w:t>
            </w:r>
          </w:p>
          <w:p w14:paraId="63A43736" w14:textId="77777777" w:rsidR="00C712DF" w:rsidRDefault="00C712DF" w:rsidP="00797C58"/>
          <w:p w14:paraId="2DE6F35A" w14:textId="77777777" w:rsidR="00C712DF" w:rsidRDefault="00C712DF" w:rsidP="00797C58">
            <w:r>
              <w:t>Revenue-based triggers are inherently a weak basis for providing natural disaster assistance, as they do not reflect a jurisdiction’s potential loss, which in turn reflects the jurisdiction’s risk exposure and asset values. Such triggers also do not reflect the jurisdiction’s efficiency (e.g. in planning and regulation) and choices (e.g. decisions about mitigation), and they may contain factors that are outside the control of the jurisdiction.</w:t>
            </w:r>
          </w:p>
          <w:p w14:paraId="10128A48" w14:textId="77777777" w:rsidR="00C712DF" w:rsidRDefault="00C712DF" w:rsidP="00797C58"/>
          <w:p w14:paraId="324FA3AE" w14:textId="77777777" w:rsidR="00C712DF" w:rsidRDefault="00C712DF" w:rsidP="00797C58">
            <w:r>
              <w:t>The trigger for an upfront grants model (under the Commission’s reform option 3 should be established at a level which ensures that the model operates as an effective safety net. However, further definition and development is required in relation to the concept of a ‘safety net’.</w:t>
            </w:r>
          </w:p>
          <w:p w14:paraId="3447148A" w14:textId="77777777" w:rsidR="00C712DF" w:rsidRDefault="00C712DF" w:rsidP="00797C58"/>
        </w:tc>
      </w:tr>
      <w:tr w:rsidR="00C712DF" w14:paraId="3D3BE305" w14:textId="77777777" w:rsidTr="009338AB">
        <w:trPr>
          <w:cantSplit/>
        </w:trPr>
        <w:tc>
          <w:tcPr>
            <w:tcW w:w="1809" w:type="dxa"/>
            <w:tcBorders>
              <w:top w:val="single" w:sz="4" w:space="0" w:color="auto"/>
              <w:left w:val="single" w:sz="4" w:space="0" w:color="auto"/>
              <w:bottom w:val="single" w:sz="4" w:space="0" w:color="auto"/>
              <w:right w:val="single" w:sz="4" w:space="0" w:color="auto"/>
            </w:tcBorders>
          </w:tcPr>
          <w:p w14:paraId="6310D4B6" w14:textId="77777777" w:rsidR="00C712DF" w:rsidRDefault="00C712DF" w:rsidP="00797C58">
            <w:r>
              <w:t>Transitional requirements</w:t>
            </w:r>
          </w:p>
          <w:p w14:paraId="17BD3DE2" w14:textId="77777777" w:rsidR="00C712DF" w:rsidRDefault="00C712DF" w:rsidP="00797C58"/>
        </w:tc>
        <w:tc>
          <w:tcPr>
            <w:tcW w:w="3828" w:type="dxa"/>
            <w:tcBorders>
              <w:top w:val="single" w:sz="4" w:space="0" w:color="auto"/>
              <w:left w:val="single" w:sz="4" w:space="0" w:color="auto"/>
              <w:bottom w:val="single" w:sz="4" w:space="0" w:color="auto"/>
              <w:right w:val="single" w:sz="4" w:space="0" w:color="auto"/>
            </w:tcBorders>
            <w:hideMark/>
          </w:tcPr>
          <w:p w14:paraId="51FBD2EE" w14:textId="77777777" w:rsidR="00C712DF" w:rsidRDefault="00C712DF" w:rsidP="00797C58">
            <w:r>
              <w:t>Information request</w:t>
            </w:r>
          </w:p>
          <w:p w14:paraId="44D7C768" w14:textId="77777777" w:rsidR="00C712DF" w:rsidRDefault="00C712DF" w:rsidP="00797C58">
            <w:r>
              <w:t xml:space="preserve">To what extent would currently available estimation methods, such as the National Impact Assessment Model, inform the estimation of benchmark costs? Would additional assessment tools need to be developed? Who should be responsible for developing these tools? </w:t>
            </w:r>
          </w:p>
          <w:p w14:paraId="2509BD8B" w14:textId="77777777" w:rsidR="00C712DF" w:rsidRDefault="00C712DF" w:rsidP="00C712DF">
            <w:pPr>
              <w:pStyle w:val="ListParagraph"/>
              <w:numPr>
                <w:ilvl w:val="0"/>
                <w:numId w:val="13"/>
              </w:numPr>
              <w:ind w:left="365" w:hanging="365"/>
              <w:rPr>
                <w:rFonts w:asciiTheme="minorHAnsi" w:hAnsiTheme="minorHAnsi"/>
                <w:sz w:val="22"/>
                <w:szCs w:val="22"/>
                <w:lang w:eastAsia="en-US"/>
              </w:rPr>
            </w:pPr>
            <w:r>
              <w:rPr>
                <w:rFonts w:asciiTheme="minorHAnsi" w:hAnsiTheme="minorHAnsi"/>
                <w:sz w:val="22"/>
                <w:szCs w:val="22"/>
                <w:lang w:eastAsia="en-US"/>
              </w:rPr>
              <w:t>Could this be overseen by the Australian Government Reconstruction Inspectorate?</w:t>
            </w:r>
          </w:p>
          <w:p w14:paraId="01B95265" w14:textId="77777777" w:rsidR="00C712DF" w:rsidRDefault="00C712DF" w:rsidP="00C712DF">
            <w:pPr>
              <w:pStyle w:val="ListParagraph"/>
              <w:numPr>
                <w:ilvl w:val="0"/>
                <w:numId w:val="13"/>
              </w:numPr>
              <w:ind w:left="365" w:hanging="365"/>
              <w:rPr>
                <w:rFonts w:asciiTheme="minorHAnsi" w:hAnsiTheme="minorHAnsi"/>
                <w:sz w:val="22"/>
                <w:szCs w:val="22"/>
                <w:lang w:eastAsia="en-US"/>
              </w:rPr>
            </w:pPr>
            <w:r>
              <w:rPr>
                <w:rFonts w:asciiTheme="minorHAnsi" w:hAnsiTheme="minorHAnsi"/>
                <w:sz w:val="22"/>
                <w:szCs w:val="22"/>
                <w:lang w:eastAsia="en-US"/>
              </w:rPr>
              <w:t>What timeframe would be required for the development of benchmark cost estimates to be applied across all jurisdictions?</w:t>
            </w:r>
          </w:p>
        </w:tc>
        <w:tc>
          <w:tcPr>
            <w:tcW w:w="9922" w:type="dxa"/>
            <w:tcBorders>
              <w:top w:val="single" w:sz="4" w:space="0" w:color="auto"/>
              <w:left w:val="single" w:sz="4" w:space="0" w:color="auto"/>
              <w:bottom w:val="single" w:sz="4" w:space="0" w:color="auto"/>
              <w:right w:val="single" w:sz="4" w:space="0" w:color="auto"/>
            </w:tcBorders>
          </w:tcPr>
          <w:p w14:paraId="3D9A9873" w14:textId="77777777" w:rsidR="00C712DF" w:rsidRDefault="00C712DF" w:rsidP="00797C58">
            <w:r>
              <w:t xml:space="preserve">NSW Government agencies suggest that the National Impact Assessment Model (NIAM) is an appropriate tool for the earliest stages of impact assessment and to guide recovery activities.  With ongoing use and refinement, it is expected that the NIAM will develop into a reasonable predictive tool for reconstruction costs for much of the built environment.  However, it is less likely to be a useful tool for roads assessment.  </w:t>
            </w:r>
          </w:p>
          <w:p w14:paraId="6ED7509D" w14:textId="77777777" w:rsidR="00C712DF" w:rsidRDefault="00C712DF" w:rsidP="00797C58"/>
          <w:p w14:paraId="553C89E6" w14:textId="77777777" w:rsidR="00C712DF" w:rsidRDefault="00C712DF" w:rsidP="00797C58">
            <w:r>
              <w:t>The development of the tool is currently being progressed at a State level involving input from across the disaster recovery government agencies and with significant liaison between States.  This is the best approach to further development of the tool.   Oversight by the Australian Government Reconstruction Inspectorate is unlikely to accelerate development of the tool.</w:t>
            </w:r>
          </w:p>
          <w:p w14:paraId="0E8327EE" w14:textId="77777777" w:rsidR="00C712DF" w:rsidRDefault="00C712DF" w:rsidP="00797C58"/>
          <w:p w14:paraId="589F941A" w14:textId="77777777" w:rsidR="00C712DF" w:rsidRDefault="00C712DF" w:rsidP="00797C58">
            <w:r>
              <w:t>NSW Government agencies note a number of issues with benchmark cost estimates.  Recovery reconstruction is almost invariably associated with extraordinary demand and capacity constraints in the construction industry and costs are invariably higher than in normal times.  Reconstruction cost estimates based on standard industry benchmarks are invariably unachievable.   Also, the damage sustained during disasters can generate additional costs.  For example, a burnt building containing fibro and asbestos has dramatically increased demolition and disposal costs, compared with the same building demolished in a planned manner.</w:t>
            </w:r>
          </w:p>
          <w:p w14:paraId="7D017D96" w14:textId="77777777" w:rsidR="00C712DF" w:rsidRDefault="00C712DF" w:rsidP="00797C58"/>
        </w:tc>
      </w:tr>
      <w:tr w:rsidR="00C712DF" w14:paraId="37023AE1" w14:textId="77777777" w:rsidTr="009338AB">
        <w:trPr>
          <w:cantSplit/>
        </w:trPr>
        <w:tc>
          <w:tcPr>
            <w:tcW w:w="1809" w:type="dxa"/>
            <w:tcBorders>
              <w:top w:val="single" w:sz="4" w:space="0" w:color="auto"/>
              <w:left w:val="single" w:sz="4" w:space="0" w:color="auto"/>
              <w:bottom w:val="single" w:sz="4" w:space="0" w:color="auto"/>
              <w:right w:val="single" w:sz="4" w:space="0" w:color="auto"/>
            </w:tcBorders>
          </w:tcPr>
          <w:p w14:paraId="3D8116A6" w14:textId="77777777" w:rsidR="00C712DF" w:rsidRDefault="00C712DF" w:rsidP="00797C58">
            <w:r>
              <w:lastRenderedPageBreak/>
              <w:t>Transitional requirements</w:t>
            </w:r>
          </w:p>
          <w:p w14:paraId="1C4EC45C" w14:textId="77777777" w:rsidR="00C712DF" w:rsidRDefault="00C712DF" w:rsidP="00797C58"/>
        </w:tc>
        <w:tc>
          <w:tcPr>
            <w:tcW w:w="3828" w:type="dxa"/>
            <w:tcBorders>
              <w:top w:val="single" w:sz="4" w:space="0" w:color="auto"/>
              <w:left w:val="single" w:sz="4" w:space="0" w:color="auto"/>
              <w:bottom w:val="single" w:sz="4" w:space="0" w:color="auto"/>
              <w:right w:val="single" w:sz="4" w:space="0" w:color="auto"/>
            </w:tcBorders>
            <w:hideMark/>
          </w:tcPr>
          <w:p w14:paraId="14CFC009" w14:textId="77777777" w:rsidR="00C712DF" w:rsidRDefault="00C712DF" w:rsidP="00797C58">
            <w:pPr>
              <w:pStyle w:val="InformationRequestTitle"/>
              <w:keepNext w:val="0"/>
              <w:spacing w:before="0"/>
              <w:jc w:val="left"/>
              <w:rPr>
                <w:rFonts w:asciiTheme="minorHAnsi" w:hAnsiTheme="minorHAnsi"/>
                <w:i w:val="0"/>
                <w:caps w:val="0"/>
                <w:sz w:val="22"/>
                <w:szCs w:val="22"/>
                <w:lang w:eastAsia="en-US"/>
              </w:rPr>
            </w:pPr>
            <w:r>
              <w:rPr>
                <w:rFonts w:asciiTheme="minorHAnsi" w:hAnsiTheme="minorHAnsi"/>
                <w:i w:val="0"/>
                <w:caps w:val="0"/>
                <w:sz w:val="22"/>
                <w:szCs w:val="22"/>
                <w:lang w:eastAsia="en-US"/>
              </w:rPr>
              <w:t>Information request</w:t>
            </w:r>
          </w:p>
          <w:p w14:paraId="0106DF1B" w14:textId="77777777" w:rsidR="00C712DF" w:rsidRDefault="00C712DF" w:rsidP="00797C58">
            <w:pPr>
              <w:pStyle w:val="InformationRequest"/>
              <w:spacing w:before="0"/>
              <w:jc w:val="left"/>
              <w:rPr>
                <w:rFonts w:asciiTheme="minorHAnsi" w:hAnsiTheme="minorHAnsi"/>
                <w:i w:val="0"/>
                <w:szCs w:val="22"/>
                <w:lang w:eastAsia="en-US"/>
              </w:rPr>
            </w:pPr>
            <w:r>
              <w:rPr>
                <w:rFonts w:asciiTheme="minorHAnsi" w:hAnsiTheme="minorHAnsi"/>
                <w:i w:val="0"/>
                <w:szCs w:val="22"/>
                <w:lang w:eastAsia="en-US"/>
              </w:rPr>
              <w:t>What governance and institutional arrangements would be required to implement the Commission’s ‘top</w:t>
            </w:r>
            <w:r>
              <w:rPr>
                <w:rFonts w:asciiTheme="minorHAnsi" w:hAnsiTheme="minorHAnsi"/>
                <w:i w:val="0"/>
                <w:szCs w:val="22"/>
                <w:lang w:eastAsia="en-US"/>
              </w:rPr>
              <w:noBreakHyphen/>
              <w:t xml:space="preserve">up’ insurance option? Could premiums be estimated by the Department of Finance, the Australian Government Actuary, </w:t>
            </w:r>
            <w:proofErr w:type="spellStart"/>
            <w:r>
              <w:rPr>
                <w:rFonts w:asciiTheme="minorHAnsi" w:hAnsiTheme="minorHAnsi"/>
                <w:i w:val="0"/>
                <w:szCs w:val="22"/>
                <w:lang w:eastAsia="en-US"/>
              </w:rPr>
              <w:t>Comcover</w:t>
            </w:r>
            <w:proofErr w:type="spellEnd"/>
            <w:r>
              <w:rPr>
                <w:rFonts w:asciiTheme="minorHAnsi" w:hAnsiTheme="minorHAnsi"/>
                <w:i w:val="0"/>
                <w:szCs w:val="22"/>
                <w:lang w:eastAsia="en-US"/>
              </w:rPr>
              <w:t xml:space="preserve"> or another body? </w:t>
            </w:r>
          </w:p>
          <w:p w14:paraId="7FA9CD5F" w14:textId="77777777" w:rsidR="00C712DF" w:rsidRDefault="00C712DF" w:rsidP="00C712DF">
            <w:pPr>
              <w:pStyle w:val="InformationRequestBullet"/>
              <w:numPr>
                <w:ilvl w:val="0"/>
                <w:numId w:val="12"/>
              </w:numPr>
              <w:spacing w:before="0"/>
              <w:ind w:left="357" w:hanging="357"/>
              <w:jc w:val="left"/>
              <w:rPr>
                <w:rFonts w:asciiTheme="minorHAnsi" w:hAnsiTheme="minorHAnsi"/>
                <w:i w:val="0"/>
                <w:szCs w:val="22"/>
                <w:lang w:eastAsia="en-US"/>
              </w:rPr>
            </w:pPr>
            <w:r>
              <w:rPr>
                <w:rFonts w:asciiTheme="minorHAnsi" w:hAnsiTheme="minorHAnsi"/>
                <w:i w:val="0"/>
                <w:szCs w:val="22"/>
                <w:lang w:eastAsia="en-US"/>
              </w:rPr>
              <w:t>How could reinsurers be involved in this process?</w:t>
            </w:r>
          </w:p>
          <w:p w14:paraId="3038A90E" w14:textId="77777777" w:rsidR="00C712DF" w:rsidRDefault="00C712DF" w:rsidP="00C712DF">
            <w:pPr>
              <w:pStyle w:val="InformationRequestBullet"/>
              <w:numPr>
                <w:ilvl w:val="0"/>
                <w:numId w:val="12"/>
              </w:numPr>
              <w:spacing w:before="0"/>
              <w:ind w:left="357" w:hanging="357"/>
              <w:jc w:val="left"/>
              <w:rPr>
                <w:rFonts w:asciiTheme="minorHAnsi" w:hAnsiTheme="minorHAnsi"/>
                <w:i w:val="0"/>
                <w:szCs w:val="22"/>
                <w:lang w:eastAsia="en-US"/>
              </w:rPr>
            </w:pPr>
            <w:r>
              <w:rPr>
                <w:rFonts w:asciiTheme="minorHAnsi" w:hAnsiTheme="minorHAnsi"/>
                <w:i w:val="0"/>
                <w:szCs w:val="22"/>
                <w:lang w:eastAsia="en-US"/>
              </w:rPr>
              <w:t>What timeframe would be required before such a model could be operational?</w:t>
            </w:r>
          </w:p>
          <w:p w14:paraId="08BA408D" w14:textId="77777777" w:rsidR="00C712DF" w:rsidRDefault="00C712DF" w:rsidP="00797C58">
            <w:pPr>
              <w:pStyle w:val="InformationRequest"/>
              <w:spacing w:before="0"/>
              <w:jc w:val="left"/>
              <w:rPr>
                <w:rFonts w:asciiTheme="minorHAnsi" w:hAnsiTheme="minorHAnsi"/>
                <w:i w:val="0"/>
                <w:szCs w:val="22"/>
                <w:lang w:eastAsia="en-US"/>
              </w:rPr>
            </w:pPr>
            <w:r>
              <w:rPr>
                <w:rFonts w:asciiTheme="minorHAnsi" w:hAnsiTheme="minorHAnsi"/>
                <w:i w:val="0"/>
                <w:szCs w:val="22"/>
                <w:lang w:eastAsia="en-US"/>
              </w:rPr>
              <w:t>In addition to allowing cover for a lower small disaster criterion, smaller annual expenditure threshold and higher rate of cost sharing from the Australian Government, would there be merit in the ‘top</w:t>
            </w:r>
            <w:r>
              <w:rPr>
                <w:rFonts w:asciiTheme="minorHAnsi" w:hAnsiTheme="minorHAnsi"/>
                <w:i w:val="0"/>
                <w:szCs w:val="22"/>
                <w:lang w:eastAsia="en-US"/>
              </w:rPr>
              <w:noBreakHyphen/>
              <w:t>up’ insurance option also providing cover for broader eligible expenditure?</w:t>
            </w:r>
          </w:p>
        </w:tc>
        <w:tc>
          <w:tcPr>
            <w:tcW w:w="9922" w:type="dxa"/>
            <w:tcBorders>
              <w:top w:val="single" w:sz="4" w:space="0" w:color="auto"/>
              <w:left w:val="single" w:sz="4" w:space="0" w:color="auto"/>
              <w:bottom w:val="single" w:sz="4" w:space="0" w:color="auto"/>
              <w:right w:val="single" w:sz="4" w:space="0" w:color="auto"/>
            </w:tcBorders>
          </w:tcPr>
          <w:p w14:paraId="6C4B191E" w14:textId="77777777" w:rsidR="00C712DF" w:rsidRDefault="00C712DF" w:rsidP="00797C58">
            <w:r>
              <w:t>NSW Government agencies suggest that the establishment of top-up insurance arrangements should be carefully studied to ensure that they realise the incentives that they are intended to generate.</w:t>
            </w:r>
          </w:p>
          <w:p w14:paraId="180F8112" w14:textId="77777777" w:rsidR="00C712DF" w:rsidRDefault="00C712DF" w:rsidP="00797C58"/>
          <w:p w14:paraId="25D75C0B" w14:textId="77777777" w:rsidR="00C712DF" w:rsidRDefault="00C712DF" w:rsidP="00797C58">
            <w:r>
              <w:t>In addition to providing options to the States to vary thresholds and recovery rate, the insurance option should address the more pressing issues around the availability of road insurance.  As proposed in the 2011 review of State insurance arrangements, the Commonwealth should spearhead the investigation of alternative insurance mechanisms for roads.</w:t>
            </w:r>
          </w:p>
          <w:p w14:paraId="51F2D6EE" w14:textId="77777777" w:rsidR="00C712DF" w:rsidRDefault="00C712DF" w:rsidP="00797C58"/>
          <w:p w14:paraId="6C2C467E" w14:textId="77777777" w:rsidR="00C712DF" w:rsidRDefault="00C712DF" w:rsidP="00797C58">
            <w:r>
              <w:t>Top-up schemes could be operated on a self-indemnity model. Member States would opt for cover criteria within the scheme which sits outside of their insurable risk arrangements. Contributions could be assessed actuarially based on past NDRRA experience of the member, natural disaster history risk assessed against exposed assets and reinsurance expense for contribution calculation. Reinsurance could be purchased at levels assessed by the Australian Government based upon risk appetite and overall exposure. A scheme should be able to become operable inside a space of 24 months. With the current exception of roads, public assets of all NSW Treasury Managed Fund member agencies are fully indemnified for replacement in the event of damage. However, it would make sense to offer an insurable aspect for other broader eligible expenses for which State government is potentially at risk and has an option to insure within the Australian self-indemnity top-up scheme.</w:t>
            </w:r>
          </w:p>
          <w:p w14:paraId="79994E66" w14:textId="77777777" w:rsidR="00C712DF" w:rsidRDefault="00C712DF" w:rsidP="00797C58"/>
          <w:p w14:paraId="09619E5D" w14:textId="77777777" w:rsidR="00C712DF" w:rsidRDefault="00C712DF" w:rsidP="00797C58">
            <w:r>
              <w:t>There would be merit in the Australian Government also investigating the potential for insurance linked securities as a means of financing loss from natural perils within top-up schemes.</w:t>
            </w:r>
          </w:p>
          <w:p w14:paraId="0104FA48" w14:textId="77777777" w:rsidR="00C712DF" w:rsidRDefault="00C712DF" w:rsidP="00797C58"/>
        </w:tc>
      </w:tr>
      <w:tr w:rsidR="00C712DF" w14:paraId="396A11B6" w14:textId="77777777" w:rsidTr="009338AB">
        <w:trPr>
          <w:cantSplit/>
        </w:trPr>
        <w:tc>
          <w:tcPr>
            <w:tcW w:w="1809" w:type="dxa"/>
            <w:tcBorders>
              <w:top w:val="single" w:sz="4" w:space="0" w:color="auto"/>
              <w:left w:val="single" w:sz="4" w:space="0" w:color="auto"/>
              <w:bottom w:val="single" w:sz="4" w:space="0" w:color="auto"/>
              <w:right w:val="single" w:sz="4" w:space="0" w:color="auto"/>
            </w:tcBorders>
          </w:tcPr>
          <w:p w14:paraId="6B998F58" w14:textId="77777777" w:rsidR="00C712DF" w:rsidRDefault="00C712DF" w:rsidP="00797C58">
            <w:r>
              <w:lastRenderedPageBreak/>
              <w:t>Transitional requirements</w:t>
            </w:r>
          </w:p>
          <w:p w14:paraId="7D1D24D1" w14:textId="77777777" w:rsidR="00C712DF" w:rsidRDefault="00C712DF" w:rsidP="00797C58"/>
        </w:tc>
        <w:tc>
          <w:tcPr>
            <w:tcW w:w="3828" w:type="dxa"/>
            <w:tcBorders>
              <w:top w:val="single" w:sz="4" w:space="0" w:color="auto"/>
              <w:left w:val="single" w:sz="4" w:space="0" w:color="auto"/>
              <w:bottom w:val="single" w:sz="4" w:space="0" w:color="auto"/>
              <w:right w:val="single" w:sz="4" w:space="0" w:color="auto"/>
            </w:tcBorders>
            <w:hideMark/>
          </w:tcPr>
          <w:p w14:paraId="621A5DE2" w14:textId="77777777" w:rsidR="00C712DF" w:rsidRDefault="00C712DF" w:rsidP="00797C58">
            <w:pPr>
              <w:pStyle w:val="InformationRequestTitle"/>
              <w:keepNext w:val="0"/>
              <w:spacing w:before="0"/>
              <w:jc w:val="left"/>
              <w:rPr>
                <w:rFonts w:asciiTheme="minorHAnsi" w:hAnsiTheme="minorHAnsi"/>
                <w:i w:val="0"/>
                <w:caps w:val="0"/>
                <w:sz w:val="22"/>
                <w:szCs w:val="22"/>
                <w:lang w:eastAsia="en-US"/>
              </w:rPr>
            </w:pPr>
            <w:r>
              <w:rPr>
                <w:rFonts w:asciiTheme="minorHAnsi" w:hAnsiTheme="minorHAnsi"/>
                <w:i w:val="0"/>
                <w:caps w:val="0"/>
                <w:sz w:val="22"/>
                <w:szCs w:val="22"/>
                <w:lang w:eastAsia="en-US"/>
              </w:rPr>
              <w:t>Information request</w:t>
            </w:r>
          </w:p>
          <w:p w14:paraId="28909FF6" w14:textId="77777777" w:rsidR="00C712DF" w:rsidRDefault="00C712DF" w:rsidP="00797C58">
            <w:pPr>
              <w:pStyle w:val="InformationRequest"/>
              <w:spacing w:before="0"/>
              <w:jc w:val="left"/>
              <w:rPr>
                <w:rFonts w:asciiTheme="minorHAnsi" w:hAnsiTheme="minorHAnsi"/>
                <w:i w:val="0"/>
                <w:szCs w:val="22"/>
                <w:lang w:eastAsia="en-US"/>
              </w:rPr>
            </w:pPr>
            <w:r>
              <w:rPr>
                <w:rFonts w:asciiTheme="minorHAnsi" w:hAnsiTheme="minorHAnsi"/>
                <w:i w:val="0"/>
                <w:szCs w:val="22"/>
                <w:lang w:eastAsia="en-US"/>
              </w:rPr>
              <w:t>What transitional arrangements are required for state and territory governments to meet the proposed accountability requirements put forward by the Commission to apply to both mitigation and recovery assistance?</w:t>
            </w:r>
          </w:p>
        </w:tc>
        <w:tc>
          <w:tcPr>
            <w:tcW w:w="9922" w:type="dxa"/>
            <w:tcBorders>
              <w:top w:val="single" w:sz="4" w:space="0" w:color="auto"/>
              <w:left w:val="single" w:sz="4" w:space="0" w:color="auto"/>
              <w:bottom w:val="single" w:sz="4" w:space="0" w:color="auto"/>
              <w:right w:val="single" w:sz="4" w:space="0" w:color="auto"/>
            </w:tcBorders>
          </w:tcPr>
          <w:p w14:paraId="4F5579AE" w14:textId="77777777" w:rsidR="00C712DF" w:rsidRDefault="00C712DF" w:rsidP="00797C58">
            <w:r>
              <w:t>NSW currently meets most of the Commission’s proposed accountability requirements. For example:</w:t>
            </w:r>
          </w:p>
          <w:p w14:paraId="1D29F5D5" w14:textId="77777777" w:rsidR="00C712DF" w:rsidRDefault="00C712DF" w:rsidP="00C712DF">
            <w:pPr>
              <w:pStyle w:val="ListParagraph"/>
              <w:numPr>
                <w:ilvl w:val="0"/>
                <w:numId w:val="14"/>
              </w:numPr>
              <w:ind w:left="360"/>
              <w:rPr>
                <w:rFonts w:asciiTheme="minorHAnsi" w:hAnsiTheme="minorHAnsi"/>
                <w:sz w:val="22"/>
                <w:szCs w:val="22"/>
                <w:lang w:eastAsia="en-US"/>
              </w:rPr>
            </w:pPr>
            <w:r>
              <w:rPr>
                <w:rFonts w:asciiTheme="minorHAnsi" w:hAnsiTheme="minorHAnsi"/>
                <w:sz w:val="22"/>
                <w:szCs w:val="22"/>
                <w:lang w:eastAsia="en-US"/>
              </w:rPr>
              <w:t>NSW completed a State Risk Assessment in 2011, using a methodology that was consistent with the National Emergency Risk Assessment Guidelines (NERAG) and International Standards Organisation requirements</w:t>
            </w:r>
          </w:p>
          <w:p w14:paraId="6DC8BC40" w14:textId="77777777" w:rsidR="00C712DF" w:rsidRDefault="00C712DF" w:rsidP="00C712DF">
            <w:pPr>
              <w:pStyle w:val="ListParagraph"/>
              <w:numPr>
                <w:ilvl w:val="0"/>
                <w:numId w:val="14"/>
              </w:numPr>
              <w:ind w:left="360"/>
              <w:rPr>
                <w:rFonts w:asciiTheme="minorHAnsi" w:hAnsiTheme="minorHAnsi"/>
                <w:sz w:val="22"/>
                <w:szCs w:val="22"/>
                <w:lang w:eastAsia="en-US"/>
              </w:rPr>
            </w:pPr>
            <w:r>
              <w:rPr>
                <w:rFonts w:asciiTheme="minorHAnsi" w:hAnsiTheme="minorHAnsi"/>
                <w:sz w:val="22"/>
                <w:szCs w:val="22"/>
                <w:lang w:eastAsia="en-US"/>
              </w:rPr>
              <w:t>NSW has adequate insurance arrangements</w:t>
            </w:r>
          </w:p>
          <w:p w14:paraId="48EAD537" w14:textId="77777777" w:rsidR="00C712DF" w:rsidRDefault="00C712DF" w:rsidP="00C712DF">
            <w:pPr>
              <w:pStyle w:val="ListParagraph"/>
              <w:numPr>
                <w:ilvl w:val="0"/>
                <w:numId w:val="14"/>
              </w:numPr>
              <w:ind w:left="360"/>
              <w:rPr>
                <w:rFonts w:asciiTheme="minorHAnsi" w:hAnsiTheme="minorHAnsi"/>
                <w:sz w:val="22"/>
                <w:szCs w:val="22"/>
                <w:lang w:eastAsia="en-US"/>
              </w:rPr>
            </w:pPr>
            <w:r>
              <w:rPr>
                <w:rFonts w:asciiTheme="minorHAnsi" w:hAnsiTheme="minorHAnsi"/>
                <w:sz w:val="22"/>
                <w:szCs w:val="22"/>
                <w:lang w:eastAsia="en-US"/>
              </w:rPr>
              <w:t>NSW has transparency of natural disaster liabilities in its state budget</w:t>
            </w:r>
          </w:p>
          <w:p w14:paraId="74028375" w14:textId="77777777" w:rsidR="00C712DF" w:rsidRDefault="00C712DF" w:rsidP="00C712DF">
            <w:pPr>
              <w:pStyle w:val="ListParagraph"/>
              <w:numPr>
                <w:ilvl w:val="0"/>
                <w:numId w:val="14"/>
              </w:numPr>
              <w:ind w:left="360"/>
              <w:rPr>
                <w:rFonts w:asciiTheme="minorHAnsi" w:hAnsiTheme="minorHAnsi"/>
                <w:sz w:val="22"/>
                <w:szCs w:val="22"/>
                <w:lang w:eastAsia="en-US"/>
              </w:rPr>
            </w:pPr>
            <w:r>
              <w:rPr>
                <w:rFonts w:asciiTheme="minorHAnsi" w:hAnsiTheme="minorHAnsi"/>
                <w:sz w:val="22"/>
                <w:szCs w:val="22"/>
                <w:lang w:eastAsia="en-US"/>
              </w:rPr>
              <w:t>NSW has legislative requirements relating to local government asset management strategies</w:t>
            </w:r>
          </w:p>
          <w:p w14:paraId="1F7A0F99" w14:textId="77777777" w:rsidR="00C712DF" w:rsidRDefault="00C712DF" w:rsidP="00797C58"/>
          <w:p w14:paraId="28B5303C" w14:textId="77777777" w:rsidR="00C712DF" w:rsidRDefault="00C712DF" w:rsidP="00797C58">
            <w:r>
              <w:t>To meet the remaining accountability requirements, NSW would need to:</w:t>
            </w:r>
          </w:p>
          <w:p w14:paraId="4A08247F" w14:textId="77777777" w:rsidR="00C712DF" w:rsidRDefault="00C712DF" w:rsidP="00C712DF">
            <w:pPr>
              <w:pStyle w:val="ListParagraph"/>
              <w:numPr>
                <w:ilvl w:val="0"/>
                <w:numId w:val="15"/>
              </w:numPr>
              <w:rPr>
                <w:rFonts w:asciiTheme="minorHAnsi" w:hAnsiTheme="minorHAnsi"/>
                <w:sz w:val="22"/>
                <w:szCs w:val="22"/>
                <w:lang w:eastAsia="en-US"/>
              </w:rPr>
            </w:pPr>
            <w:r>
              <w:rPr>
                <w:rFonts w:asciiTheme="minorHAnsi" w:hAnsiTheme="minorHAnsi"/>
                <w:sz w:val="22"/>
                <w:szCs w:val="22"/>
                <w:lang w:eastAsia="en-US"/>
              </w:rPr>
              <w:t>Update its State Risk Assessment in accordance with the NERAG (planned for 2017)</w:t>
            </w:r>
          </w:p>
          <w:p w14:paraId="356CE68B" w14:textId="77777777" w:rsidR="00C712DF" w:rsidRDefault="00C712DF" w:rsidP="00C712DF">
            <w:pPr>
              <w:pStyle w:val="ListParagraph"/>
              <w:numPr>
                <w:ilvl w:val="0"/>
                <w:numId w:val="15"/>
              </w:numPr>
              <w:rPr>
                <w:rFonts w:asciiTheme="minorHAnsi" w:hAnsiTheme="minorHAnsi"/>
                <w:sz w:val="22"/>
                <w:szCs w:val="22"/>
                <w:lang w:eastAsia="en-US"/>
              </w:rPr>
            </w:pPr>
            <w:r>
              <w:rPr>
                <w:rFonts w:asciiTheme="minorHAnsi" w:hAnsiTheme="minorHAnsi"/>
                <w:sz w:val="22"/>
                <w:szCs w:val="22"/>
                <w:lang w:eastAsia="en-US"/>
              </w:rPr>
              <w:t xml:space="preserve">Increase the use of cost-benefit analysis in its mechanisms to prioritise mitigation spending </w:t>
            </w:r>
          </w:p>
          <w:p w14:paraId="2DD52422" w14:textId="77777777" w:rsidR="00C712DF" w:rsidRDefault="00C712DF" w:rsidP="00797C58">
            <w:pPr>
              <w:pStyle w:val="ListParagraph"/>
              <w:ind w:left="360"/>
              <w:rPr>
                <w:rFonts w:asciiTheme="minorHAnsi" w:hAnsiTheme="minorHAnsi"/>
                <w:sz w:val="22"/>
                <w:szCs w:val="22"/>
                <w:lang w:eastAsia="en-US"/>
              </w:rPr>
            </w:pPr>
          </w:p>
          <w:p w14:paraId="64D80AAF" w14:textId="77777777" w:rsidR="00C712DF" w:rsidRDefault="00C712DF" w:rsidP="00797C58">
            <w:r>
              <w:t>NSW Government agencies suggest that the reforms are similar in direction to those espoused in the Reform of the Federation (RF) process, and any changes to current arrangements for natural disaster funding should be considered in the broader changes to roles and responsibilities under the RF White Paper process. This will allow jurisdictions to work collaboratively with the Commonwealth through an established process that can consider a broad reform agenda. The RF White Paper is expected to be finalised by end of October 2015, with a Green Paper due to be released in early 2015. Deferring implementation in line with the RF will provide the States with greater leverage in terms of aligning revenues to support the shift of obligations from the Commonwealth to the States.</w:t>
            </w:r>
          </w:p>
          <w:p w14:paraId="4F1ECFB6" w14:textId="77777777" w:rsidR="00C712DF" w:rsidRDefault="00C712DF" w:rsidP="00797C58"/>
          <w:p w14:paraId="6C1367C9" w14:textId="77777777" w:rsidR="00C712DF" w:rsidRDefault="00C712DF" w:rsidP="00797C58">
            <w:r>
              <w:t>Any shifts in roles and responsibilities needs to consider shifts in funding capacity. Priority should be given to overall funding adequacy and certainty accompanied by clear accountabilities.</w:t>
            </w:r>
          </w:p>
          <w:p w14:paraId="3F816EB9" w14:textId="77777777" w:rsidR="00C712DF" w:rsidRDefault="00C712DF" w:rsidP="00797C58"/>
          <w:p w14:paraId="63818DD7" w14:textId="77777777" w:rsidR="00C712DF" w:rsidRDefault="00C712DF" w:rsidP="00797C58">
            <w:r>
              <w:t>Implementation of the proposed accountability requirements should be aligned with the Reform of the Federation process. However, if this is not feasible, implementation can be phased and subject to:</w:t>
            </w:r>
          </w:p>
          <w:p w14:paraId="7C2B5AC0" w14:textId="77777777" w:rsidR="00C712DF" w:rsidRDefault="00C712DF" w:rsidP="00C712DF">
            <w:pPr>
              <w:pStyle w:val="ListParagraph"/>
              <w:numPr>
                <w:ilvl w:val="0"/>
                <w:numId w:val="16"/>
              </w:numPr>
              <w:rPr>
                <w:rFonts w:asciiTheme="minorHAnsi" w:hAnsiTheme="minorHAnsi"/>
                <w:sz w:val="22"/>
                <w:szCs w:val="22"/>
                <w:lang w:eastAsia="en-US"/>
              </w:rPr>
            </w:pPr>
            <w:r>
              <w:rPr>
                <w:rFonts w:asciiTheme="minorHAnsi" w:hAnsiTheme="minorHAnsi"/>
                <w:sz w:val="22"/>
                <w:szCs w:val="22"/>
                <w:lang w:eastAsia="en-US"/>
              </w:rPr>
              <w:t>Agreement on a revised NDRRA determination and guidelines</w:t>
            </w:r>
          </w:p>
          <w:p w14:paraId="26457C4D" w14:textId="77777777" w:rsidR="00C712DF" w:rsidRDefault="00C712DF" w:rsidP="00C712DF">
            <w:pPr>
              <w:pStyle w:val="ListParagraph"/>
              <w:numPr>
                <w:ilvl w:val="0"/>
                <w:numId w:val="16"/>
              </w:numPr>
              <w:rPr>
                <w:rFonts w:asciiTheme="minorHAnsi" w:hAnsiTheme="minorHAnsi"/>
                <w:sz w:val="22"/>
                <w:szCs w:val="22"/>
                <w:lang w:eastAsia="en-US"/>
              </w:rPr>
            </w:pPr>
            <w:r>
              <w:rPr>
                <w:rFonts w:asciiTheme="minorHAnsi" w:hAnsiTheme="minorHAnsi"/>
                <w:sz w:val="22"/>
                <w:szCs w:val="22"/>
                <w:lang w:eastAsia="en-US"/>
              </w:rPr>
              <w:t>Development of standard costing and benchmarks, as recommended by the Productivity Commission</w:t>
            </w:r>
          </w:p>
          <w:p w14:paraId="52BE55E3" w14:textId="77777777" w:rsidR="00C712DF" w:rsidRDefault="00C712DF" w:rsidP="00797C58">
            <w:pPr>
              <w:pStyle w:val="ListParagraph"/>
              <w:numPr>
                <w:ilvl w:val="0"/>
                <w:numId w:val="16"/>
              </w:numPr>
              <w:rPr>
                <w:rFonts w:asciiTheme="minorHAnsi" w:hAnsiTheme="minorHAnsi"/>
                <w:sz w:val="22"/>
                <w:szCs w:val="22"/>
                <w:lang w:eastAsia="en-US"/>
              </w:rPr>
            </w:pPr>
            <w:r>
              <w:rPr>
                <w:rFonts w:asciiTheme="minorHAnsi" w:hAnsiTheme="minorHAnsi"/>
                <w:sz w:val="22"/>
                <w:szCs w:val="22"/>
                <w:lang w:eastAsia="en-US"/>
              </w:rPr>
              <w:t>Development of standard Cost Benefit Analysis methodology including standard costing and benchmarks in calculating economic costs and benefits</w:t>
            </w:r>
          </w:p>
          <w:p w14:paraId="6AF1BCFB" w14:textId="77777777" w:rsidR="009B77D6" w:rsidRDefault="009B77D6" w:rsidP="009B77D6">
            <w:pPr>
              <w:pStyle w:val="ListParagraph"/>
              <w:ind w:left="360"/>
              <w:rPr>
                <w:rFonts w:asciiTheme="minorHAnsi" w:hAnsiTheme="minorHAnsi"/>
                <w:sz w:val="22"/>
                <w:szCs w:val="22"/>
                <w:lang w:eastAsia="en-US"/>
              </w:rPr>
            </w:pPr>
          </w:p>
          <w:p w14:paraId="56EBC904" w14:textId="77777777" w:rsidR="009338AB" w:rsidRDefault="009338AB" w:rsidP="009B77D6">
            <w:pPr>
              <w:pStyle w:val="ListParagraph"/>
              <w:ind w:left="360"/>
              <w:rPr>
                <w:rFonts w:asciiTheme="minorHAnsi" w:hAnsiTheme="minorHAnsi"/>
                <w:sz w:val="22"/>
                <w:szCs w:val="22"/>
                <w:lang w:eastAsia="en-US"/>
              </w:rPr>
            </w:pPr>
          </w:p>
          <w:p w14:paraId="2E8B8495" w14:textId="77777777" w:rsidR="009338AB" w:rsidRPr="00C712DF" w:rsidRDefault="009338AB" w:rsidP="009B77D6">
            <w:pPr>
              <w:pStyle w:val="ListParagraph"/>
              <w:ind w:left="360"/>
              <w:rPr>
                <w:rFonts w:asciiTheme="minorHAnsi" w:hAnsiTheme="minorHAnsi"/>
                <w:sz w:val="22"/>
                <w:szCs w:val="22"/>
                <w:lang w:eastAsia="en-US"/>
              </w:rPr>
            </w:pPr>
          </w:p>
        </w:tc>
      </w:tr>
      <w:tr w:rsidR="00C712DF" w14:paraId="1F3EF8D3" w14:textId="77777777" w:rsidTr="009338AB">
        <w:tc>
          <w:tcPr>
            <w:tcW w:w="1809" w:type="dxa"/>
            <w:tcBorders>
              <w:top w:val="single" w:sz="4" w:space="0" w:color="auto"/>
              <w:left w:val="single" w:sz="4" w:space="0" w:color="auto"/>
              <w:bottom w:val="single" w:sz="4" w:space="0" w:color="auto"/>
              <w:right w:val="single" w:sz="4" w:space="0" w:color="auto"/>
            </w:tcBorders>
          </w:tcPr>
          <w:p w14:paraId="353634D5" w14:textId="77777777" w:rsidR="00C712DF" w:rsidRDefault="00C712DF" w:rsidP="00797C58">
            <w:r>
              <w:lastRenderedPageBreak/>
              <w:t>Information</w:t>
            </w:r>
          </w:p>
          <w:p w14:paraId="7B958E51" w14:textId="77777777" w:rsidR="00C712DF" w:rsidRDefault="00C712DF" w:rsidP="00797C58"/>
        </w:tc>
        <w:tc>
          <w:tcPr>
            <w:tcW w:w="3828" w:type="dxa"/>
            <w:tcBorders>
              <w:top w:val="single" w:sz="4" w:space="0" w:color="auto"/>
              <w:left w:val="single" w:sz="4" w:space="0" w:color="auto"/>
              <w:bottom w:val="single" w:sz="4" w:space="0" w:color="auto"/>
              <w:right w:val="single" w:sz="4" w:space="0" w:color="auto"/>
            </w:tcBorders>
          </w:tcPr>
          <w:p w14:paraId="3381A972" w14:textId="77777777" w:rsidR="00C712DF" w:rsidRDefault="00C712DF" w:rsidP="00797C58">
            <w:pPr>
              <w:pStyle w:val="InformationRequestTitle"/>
              <w:keepNext w:val="0"/>
              <w:spacing w:before="0"/>
              <w:jc w:val="left"/>
              <w:rPr>
                <w:rFonts w:asciiTheme="minorHAnsi" w:hAnsiTheme="minorHAnsi"/>
                <w:i w:val="0"/>
                <w:caps w:val="0"/>
                <w:sz w:val="22"/>
                <w:szCs w:val="22"/>
                <w:lang w:eastAsia="en-US"/>
              </w:rPr>
            </w:pPr>
            <w:r>
              <w:rPr>
                <w:rFonts w:asciiTheme="minorHAnsi" w:hAnsiTheme="minorHAnsi"/>
                <w:i w:val="0"/>
                <w:caps w:val="0"/>
                <w:sz w:val="22"/>
                <w:szCs w:val="22"/>
                <w:lang w:eastAsia="en-US"/>
              </w:rPr>
              <w:t>Information request</w:t>
            </w:r>
          </w:p>
          <w:p w14:paraId="104E432C" w14:textId="77777777" w:rsidR="00C712DF" w:rsidRDefault="00C712DF" w:rsidP="00797C58">
            <w:pPr>
              <w:pStyle w:val="InformationRequest"/>
              <w:spacing w:before="0"/>
              <w:jc w:val="left"/>
              <w:rPr>
                <w:rFonts w:asciiTheme="minorHAnsi" w:hAnsiTheme="minorHAnsi"/>
                <w:i w:val="0"/>
                <w:szCs w:val="22"/>
                <w:lang w:eastAsia="en-US"/>
              </w:rPr>
            </w:pPr>
            <w:r>
              <w:rPr>
                <w:rFonts w:asciiTheme="minorHAnsi" w:hAnsiTheme="minorHAnsi"/>
                <w:i w:val="0"/>
                <w:szCs w:val="22"/>
                <w:lang w:eastAsia="en-US"/>
              </w:rPr>
              <w:t>If guidelines for the collection and dissemination of hazard mapping and modelling are developed:</w:t>
            </w:r>
          </w:p>
          <w:p w14:paraId="2573B0C6" w14:textId="77777777" w:rsidR="00C712DF" w:rsidRDefault="00C712DF" w:rsidP="00C712DF">
            <w:pPr>
              <w:pStyle w:val="InformationRequestBullet"/>
              <w:numPr>
                <w:ilvl w:val="0"/>
                <w:numId w:val="12"/>
              </w:numPr>
              <w:spacing w:before="0"/>
              <w:ind w:left="357" w:hanging="357"/>
              <w:jc w:val="left"/>
              <w:rPr>
                <w:rFonts w:asciiTheme="minorHAnsi" w:hAnsiTheme="minorHAnsi"/>
                <w:i w:val="0"/>
                <w:szCs w:val="22"/>
                <w:lang w:eastAsia="en-US"/>
              </w:rPr>
            </w:pPr>
            <w:proofErr w:type="gramStart"/>
            <w:r>
              <w:rPr>
                <w:rFonts w:asciiTheme="minorHAnsi" w:hAnsiTheme="minorHAnsi"/>
                <w:i w:val="0"/>
                <w:szCs w:val="22"/>
                <w:lang w:eastAsia="en-US"/>
              </w:rPr>
              <w:t>who</w:t>
            </w:r>
            <w:proofErr w:type="gramEnd"/>
            <w:r>
              <w:rPr>
                <w:rFonts w:asciiTheme="minorHAnsi" w:hAnsiTheme="minorHAnsi"/>
                <w:i w:val="0"/>
                <w:szCs w:val="22"/>
                <w:lang w:eastAsia="en-US"/>
              </w:rPr>
              <w:t xml:space="preserve"> would be best placed to develop these guidelines?</w:t>
            </w:r>
          </w:p>
          <w:p w14:paraId="625161D6" w14:textId="77777777" w:rsidR="00C712DF" w:rsidRDefault="00C712DF" w:rsidP="00C712DF">
            <w:pPr>
              <w:pStyle w:val="InformationRequestBullet"/>
              <w:numPr>
                <w:ilvl w:val="0"/>
                <w:numId w:val="12"/>
              </w:numPr>
              <w:spacing w:before="0"/>
              <w:ind w:left="357" w:hanging="357"/>
              <w:jc w:val="left"/>
              <w:rPr>
                <w:rFonts w:asciiTheme="minorHAnsi" w:hAnsiTheme="minorHAnsi"/>
                <w:i w:val="0"/>
                <w:szCs w:val="22"/>
                <w:lang w:eastAsia="en-US"/>
              </w:rPr>
            </w:pPr>
            <w:proofErr w:type="gramStart"/>
            <w:r>
              <w:rPr>
                <w:rFonts w:asciiTheme="minorHAnsi" w:hAnsiTheme="minorHAnsi"/>
                <w:i w:val="0"/>
                <w:szCs w:val="22"/>
                <w:lang w:eastAsia="en-US"/>
              </w:rPr>
              <w:t>what</w:t>
            </w:r>
            <w:proofErr w:type="gramEnd"/>
            <w:r>
              <w:rPr>
                <w:rFonts w:asciiTheme="minorHAnsi" w:hAnsiTheme="minorHAnsi"/>
                <w:i w:val="0"/>
                <w:szCs w:val="22"/>
                <w:lang w:eastAsia="en-US"/>
              </w:rPr>
              <w:t xml:space="preserve"> hazards could be covered?</w:t>
            </w:r>
          </w:p>
          <w:p w14:paraId="67233AA3" w14:textId="77777777" w:rsidR="00C712DF" w:rsidRDefault="00C712DF" w:rsidP="00C712DF">
            <w:pPr>
              <w:pStyle w:val="InformationRequestBullet"/>
              <w:numPr>
                <w:ilvl w:val="0"/>
                <w:numId w:val="12"/>
              </w:numPr>
              <w:spacing w:before="0"/>
              <w:ind w:left="357" w:hanging="357"/>
              <w:jc w:val="left"/>
              <w:rPr>
                <w:rFonts w:asciiTheme="minorHAnsi" w:hAnsiTheme="minorHAnsi"/>
                <w:i w:val="0"/>
                <w:szCs w:val="22"/>
                <w:lang w:eastAsia="en-US"/>
              </w:rPr>
            </w:pPr>
            <w:proofErr w:type="gramStart"/>
            <w:r>
              <w:rPr>
                <w:rFonts w:asciiTheme="minorHAnsi" w:hAnsiTheme="minorHAnsi"/>
                <w:i w:val="0"/>
                <w:szCs w:val="22"/>
                <w:lang w:eastAsia="en-US"/>
              </w:rPr>
              <w:t>how</w:t>
            </w:r>
            <w:proofErr w:type="gramEnd"/>
            <w:r>
              <w:rPr>
                <w:rFonts w:asciiTheme="minorHAnsi" w:hAnsiTheme="minorHAnsi"/>
                <w:i w:val="0"/>
                <w:szCs w:val="22"/>
                <w:lang w:eastAsia="en-US"/>
              </w:rPr>
              <w:t xml:space="preserve"> could guidelines for hazard types be prioritised for development?</w:t>
            </w:r>
          </w:p>
          <w:p w14:paraId="4D8D6EA2" w14:textId="77777777" w:rsidR="00C712DF" w:rsidRDefault="00C712DF" w:rsidP="00797C58">
            <w:pPr>
              <w:pStyle w:val="BodyText"/>
              <w:spacing w:before="0"/>
              <w:rPr>
                <w:lang w:eastAsia="en-US"/>
              </w:rPr>
            </w:pPr>
          </w:p>
        </w:tc>
        <w:tc>
          <w:tcPr>
            <w:tcW w:w="9922" w:type="dxa"/>
            <w:tcBorders>
              <w:top w:val="single" w:sz="4" w:space="0" w:color="auto"/>
              <w:left w:val="single" w:sz="4" w:space="0" w:color="auto"/>
              <w:bottom w:val="single" w:sz="4" w:space="0" w:color="auto"/>
              <w:right w:val="single" w:sz="4" w:space="0" w:color="auto"/>
            </w:tcBorders>
          </w:tcPr>
          <w:p w14:paraId="45DA1A83" w14:textId="77777777" w:rsidR="00C712DF" w:rsidRDefault="00C712DF" w:rsidP="00797C58">
            <w:r>
              <w:t xml:space="preserve">NSW Emergency Services Organisations are well advanced in hazard mapping and modelling. Jurisdictionally, each state agency has its own arrangements in place, and for specific hazards, combat agencies are legislated and best placed to develop guidelines, prioritised according to risk of vulnerable communities and a comprehensive, valid, agreed emergency risk management process.  </w:t>
            </w:r>
          </w:p>
          <w:p w14:paraId="5B37EF60" w14:textId="77777777" w:rsidR="00C712DF" w:rsidRDefault="00C712DF" w:rsidP="00797C58">
            <w:pPr>
              <w:rPr>
                <w:i/>
                <w:color w:val="FF0000"/>
              </w:rPr>
            </w:pPr>
          </w:p>
          <w:p w14:paraId="0BE72346" w14:textId="77777777" w:rsidR="00C712DF" w:rsidRDefault="00C712DF" w:rsidP="00797C58">
            <w:pPr>
              <w:rPr>
                <w:i/>
                <w:color w:val="FF0000"/>
              </w:rPr>
            </w:pPr>
            <w:r w:rsidRPr="000C107E">
              <w:t>For bush fires, NSW has a bush fire risk management planning framework which produces a publicly available bush fire risk management plan for every local government area with a bush fire risk across the state. The policy and guidelines for this plan are produced by the NSW Bush Fire Coordinating Committee and implemented by local Bush Fire Management Committees, incorporating extensive community consultation measures</w:t>
            </w:r>
            <w:r w:rsidRPr="006B08C6">
              <w:rPr>
                <w:i/>
                <w:color w:val="FF0000"/>
              </w:rPr>
              <w:t>.</w:t>
            </w:r>
          </w:p>
          <w:p w14:paraId="3D40EF66" w14:textId="77777777" w:rsidR="00C712DF" w:rsidRDefault="00C712DF" w:rsidP="00797C58">
            <w:pPr>
              <w:rPr>
                <w:i/>
                <w:color w:val="FF0000"/>
              </w:rPr>
            </w:pPr>
          </w:p>
          <w:p w14:paraId="7F2CF404" w14:textId="77777777" w:rsidR="00C712DF" w:rsidRPr="000C107E" w:rsidRDefault="00C712DF" w:rsidP="00797C58">
            <w:r>
              <w:t>For floods, t</w:t>
            </w:r>
            <w:r w:rsidRPr="000C107E">
              <w:t xml:space="preserve">here are existing mechanisms and national reference groups in place for collation of hazard information. These include the National Flood Risk Information Portal (NFRIP), various national guidelines and cross functional and jurisdictional working groups (e.g. </w:t>
            </w:r>
            <w:r>
              <w:t xml:space="preserve">Emergency </w:t>
            </w:r>
            <w:r w:rsidRPr="000C107E">
              <w:t xml:space="preserve">Management Spatial Information Network Australia (EMSINA), the National Flood Risk Advisory Group (NFRAG), </w:t>
            </w:r>
            <w:r>
              <w:t xml:space="preserve">and the </w:t>
            </w:r>
            <w:r w:rsidRPr="000C107E">
              <w:t>Australia</w:t>
            </w:r>
            <w:r>
              <w:t>n Tsunami Advisory Group (ATAG)</w:t>
            </w:r>
            <w:r w:rsidRPr="000C107E">
              <w:t>). The NSW Flood Database project and NFRIP are good examples of interagency cooperation and partnership to deliver flood risk information to stakeholder agencies.</w:t>
            </w:r>
          </w:p>
          <w:p w14:paraId="7A9A4718" w14:textId="77777777" w:rsidR="00C712DF" w:rsidRDefault="00C712DF" w:rsidP="00797C58"/>
          <w:p w14:paraId="0BA6577D" w14:textId="77777777" w:rsidR="00C712DF" w:rsidRDefault="00C712DF" w:rsidP="00797C58">
            <w:r>
              <w:t xml:space="preserve">NSW government agencies suggest that guidelines should be improved for collection and dissemination of hazard mapping and modelling. To this end, </w:t>
            </w:r>
            <w:proofErr w:type="gramStart"/>
            <w:r>
              <w:t>an all-hazards</w:t>
            </w:r>
            <w:proofErr w:type="gramEnd"/>
            <w:r>
              <w:t>, risk-based emergency risk management approach should be led by the Commonwealth Government such as the Attorney General’s Department (EMA), in partnership with other appropriate State and Commonwealth agencies.</w:t>
            </w:r>
          </w:p>
          <w:p w14:paraId="0776FBF4" w14:textId="77777777" w:rsidR="00C712DF" w:rsidRDefault="00C712DF" w:rsidP="00797C58"/>
          <w:p w14:paraId="7AAC7330" w14:textId="77777777" w:rsidR="00C712DF" w:rsidRDefault="00C712DF" w:rsidP="00797C58">
            <w:r>
              <w:t xml:space="preserve">There are already existing mechanisms and national reference groups in place for collation of hazard information. </w:t>
            </w:r>
          </w:p>
          <w:p w14:paraId="44CBF771" w14:textId="77777777" w:rsidR="00C712DF" w:rsidRDefault="00C712DF" w:rsidP="00797C58"/>
          <w:p w14:paraId="5FE07F64" w14:textId="77777777" w:rsidR="00C712DF" w:rsidRDefault="00C712DF" w:rsidP="00797C58">
            <w:pPr>
              <w:rPr>
                <w:b/>
              </w:rPr>
            </w:pPr>
            <w:r>
              <w:rPr>
                <w:b/>
              </w:rPr>
              <w:t>Differences between modelling and mapping:</w:t>
            </w:r>
          </w:p>
          <w:p w14:paraId="42841B42" w14:textId="77777777" w:rsidR="00C712DF" w:rsidRDefault="00C712DF" w:rsidP="00797C58">
            <w:pPr>
              <w:rPr>
                <w:b/>
              </w:rPr>
            </w:pPr>
          </w:p>
          <w:p w14:paraId="61169D73" w14:textId="77777777" w:rsidR="00C712DF" w:rsidRDefault="00C712DF" w:rsidP="00797C58">
            <w:r>
              <w:t>It is important to clearly articulate the differences between modelling and mapping.  It is also important to acknowledge that different approaches may be needed for modelling and mapping.</w:t>
            </w:r>
          </w:p>
          <w:p w14:paraId="3BA322E3" w14:textId="77777777" w:rsidR="00C712DF" w:rsidRDefault="00C712DF" w:rsidP="00797C58"/>
          <w:p w14:paraId="7C7E3DB2" w14:textId="77777777" w:rsidR="00C712DF" w:rsidRDefault="00C712DF" w:rsidP="00797C58">
            <w:r>
              <w:t xml:space="preserve">Modelling of hazards relates to understanding hazard behaviour typically using models in studies.  For modelling, guidelines need to be: </w:t>
            </w:r>
          </w:p>
          <w:p w14:paraId="1211D0B3" w14:textId="77777777" w:rsidR="00C712DF" w:rsidRDefault="00C712DF" w:rsidP="00C712DF">
            <w:pPr>
              <w:pStyle w:val="ListParagraph"/>
              <w:numPr>
                <w:ilvl w:val="0"/>
                <w:numId w:val="17"/>
              </w:numPr>
              <w:ind w:left="335" w:hanging="284"/>
              <w:rPr>
                <w:rFonts w:asciiTheme="minorHAnsi" w:hAnsiTheme="minorHAnsi"/>
                <w:sz w:val="22"/>
                <w:szCs w:val="22"/>
                <w:lang w:eastAsia="en-US"/>
              </w:rPr>
            </w:pPr>
            <w:r>
              <w:rPr>
                <w:rFonts w:asciiTheme="minorHAnsi" w:hAnsiTheme="minorHAnsi"/>
                <w:sz w:val="22"/>
                <w:szCs w:val="22"/>
                <w:lang w:eastAsia="en-US"/>
              </w:rPr>
              <w:t xml:space="preserve">Hazard specific, aimed at outlining outputs rather than fixed methodologies or approaches and be scalable purpose dependent upon the type and scale of the problem so they are fit for </w:t>
            </w:r>
            <w:r>
              <w:rPr>
                <w:rFonts w:asciiTheme="minorHAnsi" w:hAnsiTheme="minorHAnsi"/>
                <w:sz w:val="22"/>
                <w:szCs w:val="22"/>
                <w:lang w:eastAsia="en-US"/>
              </w:rPr>
              <w:lastRenderedPageBreak/>
              <w:t>purpose</w:t>
            </w:r>
          </w:p>
          <w:p w14:paraId="50802065" w14:textId="77777777" w:rsidR="00C712DF" w:rsidRDefault="00C712DF" w:rsidP="00C712DF">
            <w:pPr>
              <w:pStyle w:val="ListParagraph"/>
              <w:numPr>
                <w:ilvl w:val="0"/>
                <w:numId w:val="17"/>
              </w:numPr>
              <w:ind w:left="335" w:hanging="284"/>
              <w:rPr>
                <w:rFonts w:asciiTheme="minorHAnsi" w:hAnsiTheme="minorHAnsi"/>
                <w:sz w:val="22"/>
                <w:szCs w:val="22"/>
                <w:lang w:eastAsia="en-US"/>
              </w:rPr>
            </w:pPr>
            <w:r>
              <w:rPr>
                <w:rFonts w:asciiTheme="minorHAnsi" w:hAnsiTheme="minorHAnsi"/>
                <w:sz w:val="22"/>
                <w:szCs w:val="22"/>
                <w:lang w:eastAsia="en-US"/>
              </w:rPr>
              <w:t xml:space="preserve">Industry and technically led and could be developed by the relevant national or jurisdictional technical committee or group.  For example, for flood, the National Flood Risk Advisory Group (NFRAG) developed generic specifications that provide a consistent basis for specifications for individual flood studies.  Individual states could then update specifications for studies in their own jurisdiction based upon these specifications. </w:t>
            </w:r>
          </w:p>
          <w:p w14:paraId="5E679376" w14:textId="77777777" w:rsidR="00C712DF" w:rsidRDefault="00C712DF" w:rsidP="00797C58"/>
          <w:p w14:paraId="46910EBA" w14:textId="77777777" w:rsidR="00C712DF" w:rsidRDefault="00C712DF" w:rsidP="00797C58">
            <w:r>
              <w:t>Mapping is generally an output from a study or investigation or for information from a historic event that provides spatial information for management and dissemination.  For mapping, guidelines should be:</w:t>
            </w:r>
          </w:p>
          <w:p w14:paraId="45EECEE3" w14:textId="77777777" w:rsidR="00C712DF" w:rsidRDefault="00C712DF" w:rsidP="00C712DF">
            <w:pPr>
              <w:pStyle w:val="ListParagraph"/>
              <w:numPr>
                <w:ilvl w:val="0"/>
                <w:numId w:val="17"/>
              </w:numPr>
              <w:ind w:left="335" w:hanging="284"/>
              <w:rPr>
                <w:rFonts w:asciiTheme="minorHAnsi" w:hAnsiTheme="minorHAnsi"/>
                <w:sz w:val="22"/>
                <w:szCs w:val="22"/>
                <w:lang w:eastAsia="en-US"/>
              </w:rPr>
            </w:pPr>
            <w:r>
              <w:rPr>
                <w:rFonts w:asciiTheme="minorHAnsi" w:hAnsiTheme="minorHAnsi"/>
                <w:sz w:val="22"/>
                <w:szCs w:val="22"/>
                <w:lang w:eastAsia="en-US"/>
              </w:rPr>
              <w:t>Developed in full consideration of the needs of end users for the mapping product</w:t>
            </w:r>
          </w:p>
          <w:p w14:paraId="7583A1B8" w14:textId="77777777" w:rsidR="00C712DF" w:rsidRDefault="00C712DF" w:rsidP="00C712DF">
            <w:pPr>
              <w:pStyle w:val="ListParagraph"/>
              <w:numPr>
                <w:ilvl w:val="0"/>
                <w:numId w:val="17"/>
              </w:numPr>
              <w:ind w:left="335" w:hanging="284"/>
              <w:rPr>
                <w:rFonts w:asciiTheme="minorHAnsi" w:hAnsiTheme="minorHAnsi"/>
                <w:sz w:val="22"/>
                <w:szCs w:val="22"/>
                <w:lang w:eastAsia="en-US"/>
              </w:rPr>
            </w:pPr>
            <w:r>
              <w:rPr>
                <w:rFonts w:asciiTheme="minorHAnsi" w:hAnsiTheme="minorHAnsi"/>
                <w:sz w:val="22"/>
                <w:szCs w:val="22"/>
                <w:lang w:eastAsia="en-US"/>
              </w:rPr>
              <w:t>Cover the major natural hazards that are location specific, i.e. flood, bushfire, Tsunami, coastal. These are best developed at a State or jurisdictional level to reflect user needs including land use planning systems and requirements</w:t>
            </w:r>
          </w:p>
          <w:p w14:paraId="55E00614" w14:textId="77777777" w:rsidR="00C712DF" w:rsidRDefault="00C712DF" w:rsidP="00C712DF">
            <w:pPr>
              <w:pStyle w:val="ListParagraph"/>
              <w:numPr>
                <w:ilvl w:val="0"/>
                <w:numId w:val="17"/>
              </w:numPr>
              <w:ind w:left="335" w:hanging="284"/>
              <w:rPr>
                <w:rFonts w:asciiTheme="minorHAnsi" w:hAnsiTheme="minorHAnsi"/>
                <w:sz w:val="22"/>
                <w:szCs w:val="22"/>
                <w:lang w:eastAsia="en-US"/>
              </w:rPr>
            </w:pPr>
            <w:r>
              <w:rPr>
                <w:rFonts w:asciiTheme="minorHAnsi" w:hAnsiTheme="minorHAnsi"/>
                <w:sz w:val="22"/>
                <w:szCs w:val="22"/>
                <w:lang w:eastAsia="en-US"/>
              </w:rPr>
              <w:t>Based on standards developed at a national level in consultation with jurisdictions, working and industry groups and considering the needs of the end user.  This work would be able to draw on existing work. This should not require the aggregation of all hazard data but rather target essential data to answer relevant questions.  E.g. provision of strategic layers on flood risk in NSW (1% Flood, historic floods, probable maximum flood layers) where licensing allows, rather than all information from studies</w:t>
            </w:r>
          </w:p>
          <w:p w14:paraId="0E561F63" w14:textId="77777777" w:rsidR="00C712DF" w:rsidRDefault="00C712DF" w:rsidP="00C712DF">
            <w:pPr>
              <w:pStyle w:val="ListParagraph"/>
              <w:numPr>
                <w:ilvl w:val="0"/>
                <w:numId w:val="17"/>
              </w:numPr>
              <w:ind w:left="335" w:hanging="284"/>
              <w:rPr>
                <w:rFonts w:asciiTheme="minorHAnsi" w:hAnsiTheme="minorHAnsi"/>
                <w:sz w:val="22"/>
                <w:szCs w:val="22"/>
                <w:lang w:eastAsia="en-US"/>
              </w:rPr>
            </w:pPr>
            <w:r>
              <w:rPr>
                <w:rFonts w:asciiTheme="minorHAnsi" w:hAnsiTheme="minorHAnsi"/>
                <w:sz w:val="22"/>
                <w:szCs w:val="22"/>
                <w:lang w:eastAsia="en-US"/>
              </w:rPr>
              <w:t>Mapping guidelines should cover the major natural hazards that are location specific, i.e. flood, bushfire, Tsunami, coastal. These are best developed at a State level to reflect user needs including land use planning systems and requirements</w:t>
            </w:r>
          </w:p>
          <w:p w14:paraId="18FEBE95" w14:textId="77777777" w:rsidR="00C712DF" w:rsidRDefault="00C712DF" w:rsidP="00C712DF">
            <w:pPr>
              <w:pStyle w:val="ListParagraph"/>
              <w:numPr>
                <w:ilvl w:val="0"/>
                <w:numId w:val="17"/>
              </w:numPr>
              <w:ind w:left="335" w:hanging="284"/>
              <w:rPr>
                <w:rFonts w:asciiTheme="minorHAnsi" w:hAnsiTheme="minorHAnsi"/>
                <w:sz w:val="22"/>
                <w:szCs w:val="22"/>
                <w:lang w:eastAsia="en-US"/>
              </w:rPr>
            </w:pPr>
            <w:r>
              <w:rPr>
                <w:rFonts w:asciiTheme="minorHAnsi" w:hAnsiTheme="minorHAnsi"/>
                <w:sz w:val="22"/>
                <w:szCs w:val="22"/>
                <w:lang w:eastAsia="en-US"/>
              </w:rPr>
              <w:t xml:space="preserve">Prioritisation for guidance should consider needs based upon gaps in the availability of data for end users and benefit of improved consistency. </w:t>
            </w:r>
          </w:p>
          <w:p w14:paraId="7FE214A5" w14:textId="77777777" w:rsidR="00C712DF" w:rsidRDefault="00C712DF" w:rsidP="00797C58">
            <w:pPr>
              <w:pStyle w:val="ListParagraph"/>
              <w:ind w:left="411"/>
              <w:rPr>
                <w:rFonts w:asciiTheme="minorHAnsi" w:hAnsiTheme="minorHAnsi" w:cs="Arial"/>
                <w:color w:val="FF00FF"/>
                <w:sz w:val="22"/>
                <w:szCs w:val="22"/>
                <w:lang w:eastAsia="en-US"/>
              </w:rPr>
            </w:pPr>
          </w:p>
        </w:tc>
      </w:tr>
    </w:tbl>
    <w:p w14:paraId="4DDC8C4B" w14:textId="77777777" w:rsidR="00C712DF" w:rsidRPr="008F69D5" w:rsidRDefault="00C712DF" w:rsidP="00102007">
      <w:pPr>
        <w:pStyle w:val="Sign-off"/>
        <w:rPr>
          <w:b w:val="0"/>
        </w:rPr>
      </w:pPr>
    </w:p>
    <w:sectPr w:rsidR="00C712DF" w:rsidRPr="008F69D5" w:rsidSect="00643BFB">
      <w:headerReference w:type="first" r:id="rId19"/>
      <w:footerReference w:type="first" r:id="rId20"/>
      <w:pgSz w:w="16838" w:h="11906" w:orient="landscape"/>
      <w:pgMar w:top="720" w:right="720" w:bottom="720" w:left="720" w:header="567" w:footer="567"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9EF9EF8" w14:textId="77777777" w:rsidR="00797C58" w:rsidRDefault="00797C58" w:rsidP="00110607">
      <w:r>
        <w:separator/>
      </w:r>
    </w:p>
  </w:endnote>
  <w:endnote w:type="continuationSeparator" w:id="0">
    <w:p w14:paraId="3D777FF0" w14:textId="77777777" w:rsidR="00797C58" w:rsidRDefault="00797C58" w:rsidP="001106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ＭＳ Ｐゴシック">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11CEF1" w14:textId="77777777" w:rsidR="00797C58" w:rsidRDefault="002E3BD9" w:rsidP="00110607">
    <w:pPr>
      <w:framePr w:wrap="around" w:vAnchor="text" w:hAnchor="margin" w:y="1"/>
      <w:rPr>
        <w:rStyle w:val="PageNumber"/>
      </w:rPr>
    </w:pPr>
    <w:r>
      <w:rPr>
        <w:rStyle w:val="PageNumber"/>
      </w:rPr>
      <w:fldChar w:fldCharType="begin"/>
    </w:r>
    <w:r w:rsidR="00797C58">
      <w:rPr>
        <w:rStyle w:val="PageNumber"/>
      </w:rPr>
      <w:instrText xml:space="preserve">PAGE  </w:instrText>
    </w:r>
    <w:r>
      <w:rPr>
        <w:rStyle w:val="PageNumber"/>
      </w:rPr>
      <w:fldChar w:fldCharType="end"/>
    </w:r>
  </w:p>
  <w:p w14:paraId="3B3CF314" w14:textId="77777777" w:rsidR="00797C58" w:rsidRDefault="002E3BD9" w:rsidP="00110607">
    <w:pPr>
      <w:framePr w:wrap="around" w:vAnchor="text" w:hAnchor="margin" w:xAlign="right" w:y="1"/>
      <w:ind w:firstLine="360"/>
      <w:rPr>
        <w:rStyle w:val="PageNumber"/>
      </w:rPr>
    </w:pPr>
    <w:r>
      <w:rPr>
        <w:rStyle w:val="PageNumber"/>
      </w:rPr>
      <w:fldChar w:fldCharType="begin"/>
    </w:r>
    <w:r w:rsidR="00797C58">
      <w:rPr>
        <w:rStyle w:val="PageNumber"/>
      </w:rPr>
      <w:instrText xml:space="preserve">PAGE  </w:instrText>
    </w:r>
    <w:r>
      <w:rPr>
        <w:rStyle w:val="PageNumber"/>
      </w:rPr>
      <w:fldChar w:fldCharType="end"/>
    </w:r>
  </w:p>
  <w:p w14:paraId="2C46261A" w14:textId="77777777" w:rsidR="00797C58" w:rsidRDefault="00797C58" w:rsidP="00110607">
    <w:pP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18"/>
      </w:rPr>
      <w:id w:val="5607920"/>
      <w:docPartObj>
        <w:docPartGallery w:val="Page Numbers (Bottom of Page)"/>
        <w:docPartUnique/>
      </w:docPartObj>
    </w:sdtPr>
    <w:sdtEndPr/>
    <w:sdtContent>
      <w:sdt>
        <w:sdtPr>
          <w:rPr>
            <w:sz w:val="18"/>
          </w:rPr>
          <w:id w:val="5607921"/>
          <w:docPartObj>
            <w:docPartGallery w:val="Page Numbers (Top of Page)"/>
            <w:docPartUnique/>
          </w:docPartObj>
        </w:sdtPr>
        <w:sdtEndPr/>
        <w:sdtContent>
          <w:p w14:paraId="4FBDC853" w14:textId="77777777" w:rsidR="00797C58" w:rsidRPr="00797C58" w:rsidRDefault="00797C58" w:rsidP="00797C58">
            <w:pPr>
              <w:pStyle w:val="Footer"/>
              <w:jc w:val="right"/>
              <w:rPr>
                <w:sz w:val="18"/>
              </w:rPr>
            </w:pPr>
            <w:r w:rsidRPr="00643BFB">
              <w:rPr>
                <w:sz w:val="18"/>
              </w:rPr>
              <w:t xml:space="preserve">Page </w:t>
            </w:r>
            <w:r w:rsidR="002E3BD9" w:rsidRPr="00643BFB">
              <w:rPr>
                <w:sz w:val="20"/>
                <w:szCs w:val="24"/>
              </w:rPr>
              <w:fldChar w:fldCharType="begin"/>
            </w:r>
            <w:r w:rsidRPr="00643BFB">
              <w:rPr>
                <w:sz w:val="18"/>
              </w:rPr>
              <w:instrText xml:space="preserve"> PAGE </w:instrText>
            </w:r>
            <w:r w:rsidR="002E3BD9" w:rsidRPr="00643BFB">
              <w:rPr>
                <w:sz w:val="20"/>
                <w:szCs w:val="24"/>
              </w:rPr>
              <w:fldChar w:fldCharType="separate"/>
            </w:r>
            <w:r w:rsidR="00B563A3">
              <w:rPr>
                <w:noProof/>
                <w:sz w:val="18"/>
              </w:rPr>
              <w:t>2</w:t>
            </w:r>
            <w:r w:rsidR="002E3BD9" w:rsidRPr="00643BFB">
              <w:rPr>
                <w:sz w:val="20"/>
                <w:szCs w:val="24"/>
              </w:rPr>
              <w:fldChar w:fldCharType="end"/>
            </w:r>
            <w:r w:rsidRPr="00643BFB">
              <w:rPr>
                <w:sz w:val="18"/>
              </w:rPr>
              <w:t xml:space="preserve"> of </w:t>
            </w:r>
            <w:r w:rsidR="00777DAC">
              <w:rPr>
                <w:sz w:val="18"/>
              </w:rPr>
              <w:t>8</w:t>
            </w:r>
          </w:p>
        </w:sdtContent>
      </w:sdt>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45273E" w14:textId="77777777" w:rsidR="00797C58" w:rsidRPr="0061241F" w:rsidRDefault="00797C58" w:rsidP="005552B9">
    <w:pPr>
      <w:tabs>
        <w:tab w:val="right" w:pos="9072"/>
      </w:tabs>
      <w:jc w:val="center"/>
      <w:rPr>
        <w:b/>
        <w:color w:val="A71930" w:themeColor="accent2"/>
        <w:sz w:val="2"/>
        <w:szCs w:val="2"/>
      </w:rPr>
    </w:pPr>
    <w:r>
      <w:rPr>
        <w:rFonts w:cs="Arial"/>
        <w:color w:val="365F91"/>
        <w:sz w:val="18"/>
        <w:szCs w:val="18"/>
      </w:rPr>
      <w:t>G</w:t>
    </w:r>
    <w:r w:rsidRPr="00AE7816">
      <w:rPr>
        <w:rFonts w:cs="Arial"/>
        <w:color w:val="365F91"/>
        <w:sz w:val="18"/>
        <w:szCs w:val="18"/>
      </w:rPr>
      <w:t xml:space="preserve">PO BOX </w:t>
    </w:r>
    <w:r>
      <w:rPr>
        <w:rFonts w:cs="Arial"/>
        <w:color w:val="365F91"/>
        <w:sz w:val="18"/>
        <w:szCs w:val="18"/>
      </w:rPr>
      <w:t>5434</w:t>
    </w:r>
    <w:r w:rsidRPr="00AE7816">
      <w:rPr>
        <w:rFonts w:cs="Arial"/>
        <w:color w:val="365F91"/>
        <w:sz w:val="18"/>
        <w:szCs w:val="18"/>
      </w:rPr>
      <w:t>, S</w:t>
    </w:r>
    <w:r>
      <w:rPr>
        <w:rFonts w:cs="Arial"/>
        <w:color w:val="365F91"/>
        <w:sz w:val="18"/>
        <w:szCs w:val="18"/>
      </w:rPr>
      <w:t>ydney</w:t>
    </w:r>
    <w:r w:rsidRPr="00AE7816">
      <w:rPr>
        <w:rFonts w:cs="Arial"/>
        <w:color w:val="365F91"/>
        <w:sz w:val="18"/>
        <w:szCs w:val="18"/>
      </w:rPr>
      <w:t xml:space="preserve"> NSW 2</w:t>
    </w:r>
    <w:r>
      <w:rPr>
        <w:rFonts w:cs="Arial"/>
        <w:color w:val="365F91"/>
        <w:sz w:val="18"/>
        <w:szCs w:val="18"/>
      </w:rPr>
      <w:t>001</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18"/>
      </w:rPr>
      <w:id w:val="5607911"/>
      <w:docPartObj>
        <w:docPartGallery w:val="Page Numbers (Bottom of Page)"/>
        <w:docPartUnique/>
      </w:docPartObj>
    </w:sdtPr>
    <w:sdtEndPr/>
    <w:sdtContent>
      <w:sdt>
        <w:sdtPr>
          <w:rPr>
            <w:sz w:val="18"/>
          </w:rPr>
          <w:id w:val="565050523"/>
          <w:docPartObj>
            <w:docPartGallery w:val="Page Numbers (Top of Page)"/>
            <w:docPartUnique/>
          </w:docPartObj>
        </w:sdtPr>
        <w:sdtEndPr/>
        <w:sdtContent>
          <w:p w14:paraId="32F6C759" w14:textId="77777777" w:rsidR="00797C58" w:rsidRPr="00643BFB" w:rsidRDefault="00797C58">
            <w:pPr>
              <w:pStyle w:val="Footer"/>
              <w:jc w:val="right"/>
              <w:rPr>
                <w:sz w:val="18"/>
              </w:rPr>
            </w:pPr>
            <w:r w:rsidRPr="00643BFB">
              <w:rPr>
                <w:sz w:val="18"/>
              </w:rPr>
              <w:t xml:space="preserve">Page </w:t>
            </w:r>
            <w:r w:rsidR="002E3BD9" w:rsidRPr="00643BFB">
              <w:rPr>
                <w:sz w:val="20"/>
                <w:szCs w:val="24"/>
              </w:rPr>
              <w:fldChar w:fldCharType="begin"/>
            </w:r>
            <w:r w:rsidRPr="00643BFB">
              <w:rPr>
                <w:sz w:val="18"/>
              </w:rPr>
              <w:instrText xml:space="preserve"> PAGE </w:instrText>
            </w:r>
            <w:r w:rsidR="002E3BD9" w:rsidRPr="00643BFB">
              <w:rPr>
                <w:sz w:val="20"/>
                <w:szCs w:val="24"/>
              </w:rPr>
              <w:fldChar w:fldCharType="separate"/>
            </w:r>
            <w:r w:rsidR="00B563A3">
              <w:rPr>
                <w:noProof/>
                <w:sz w:val="18"/>
              </w:rPr>
              <w:t>1</w:t>
            </w:r>
            <w:r w:rsidR="002E3BD9" w:rsidRPr="00643BFB">
              <w:rPr>
                <w:sz w:val="20"/>
                <w:szCs w:val="24"/>
              </w:rPr>
              <w:fldChar w:fldCharType="end"/>
            </w:r>
            <w:r w:rsidR="00BB284E">
              <w:rPr>
                <w:sz w:val="18"/>
              </w:rPr>
              <w:t xml:space="preserve"> of </w:t>
            </w:r>
            <w:r w:rsidR="00777DAC">
              <w:rPr>
                <w:sz w:val="18"/>
              </w:rPr>
              <w:t>8</w:t>
            </w:r>
          </w:p>
        </w:sdtContent>
      </w:sdt>
    </w:sdtContent>
  </w:sdt>
  <w:p w14:paraId="404A7B65" w14:textId="77777777" w:rsidR="00797C58" w:rsidRPr="00C712DF" w:rsidRDefault="00797C58" w:rsidP="00C712DF">
    <w:pPr>
      <w:pStyle w:val="Footer"/>
      <w:rPr>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0FF0AB1" w14:textId="77777777" w:rsidR="00797C58" w:rsidRDefault="00797C58" w:rsidP="00110607">
      <w:r>
        <w:separator/>
      </w:r>
    </w:p>
  </w:footnote>
  <w:footnote w:type="continuationSeparator" w:id="0">
    <w:p w14:paraId="7386F2B4" w14:textId="77777777" w:rsidR="00797C58" w:rsidRDefault="00797C58" w:rsidP="0011060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A2AF43" w14:textId="77777777" w:rsidR="00797C58" w:rsidRDefault="00797C58">
    <w:pPr>
      <w:pStyle w:val="Header"/>
    </w:pPr>
    <w:r>
      <w:rPr>
        <w:noProof/>
        <w:lang w:eastAsia="en-AU"/>
      </w:rPr>
      <w:drawing>
        <wp:anchor distT="0" distB="0" distL="114300" distR="114300" simplePos="0" relativeHeight="251658240" behindDoc="1" locked="0" layoutInCell="1" allowOverlap="1" wp14:anchorId="6704F411" wp14:editId="441417BA">
          <wp:simplePos x="0" y="0"/>
          <wp:positionH relativeFrom="column">
            <wp:posOffset>-471805</wp:posOffset>
          </wp:positionH>
          <wp:positionV relativeFrom="paragraph">
            <wp:posOffset>-7620</wp:posOffset>
          </wp:positionV>
          <wp:extent cx="3505200" cy="771525"/>
          <wp:effectExtent l="19050" t="0" r="0" b="0"/>
          <wp:wrapNone/>
          <wp:docPr id="1" name="Picture 1" descr="Ministry_2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inistry_2Colour"/>
                  <pic:cNvPicPr>
                    <a:picLocks noChangeAspect="1" noChangeArrowheads="1"/>
                  </pic:cNvPicPr>
                </pic:nvPicPr>
                <pic:blipFill>
                  <a:blip r:embed="rId1"/>
                  <a:srcRect/>
                  <a:stretch>
                    <a:fillRect/>
                  </a:stretch>
                </pic:blipFill>
                <pic:spPr bwMode="auto">
                  <a:xfrm>
                    <a:off x="0" y="0"/>
                    <a:ext cx="3505200" cy="771525"/>
                  </a:xfrm>
                  <a:prstGeom prst="rect">
                    <a:avLst/>
                  </a:prstGeom>
                  <a:noFill/>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A68D3A" w14:textId="77777777" w:rsidR="00797C58" w:rsidRDefault="00797C5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E23367"/>
    <w:multiLevelType w:val="hybridMultilevel"/>
    <w:tmpl w:val="60202472"/>
    <w:lvl w:ilvl="0" w:tplc="50BA8238">
      <w:start w:val="1"/>
      <w:numFmt w:val="bullet"/>
      <w:lvlText w:val=""/>
      <w:lvlJc w:val="left"/>
      <w:pPr>
        <w:ind w:left="411" w:hanging="360"/>
      </w:pPr>
      <w:rPr>
        <w:rFonts w:ascii="Symbol" w:hAnsi="Symbol" w:hint="default"/>
        <w:color w:val="auto"/>
      </w:rPr>
    </w:lvl>
    <w:lvl w:ilvl="1" w:tplc="0C090003">
      <w:start w:val="1"/>
      <w:numFmt w:val="bullet"/>
      <w:lvlText w:val="o"/>
      <w:lvlJc w:val="left"/>
      <w:pPr>
        <w:ind w:left="1131" w:hanging="360"/>
      </w:pPr>
      <w:rPr>
        <w:rFonts w:ascii="Courier New" w:hAnsi="Courier New" w:cs="Courier New" w:hint="default"/>
      </w:rPr>
    </w:lvl>
    <w:lvl w:ilvl="2" w:tplc="0C090005">
      <w:start w:val="1"/>
      <w:numFmt w:val="bullet"/>
      <w:lvlText w:val=""/>
      <w:lvlJc w:val="left"/>
      <w:pPr>
        <w:ind w:left="1851" w:hanging="360"/>
      </w:pPr>
      <w:rPr>
        <w:rFonts w:ascii="Wingdings" w:hAnsi="Wingdings" w:hint="default"/>
      </w:rPr>
    </w:lvl>
    <w:lvl w:ilvl="3" w:tplc="0C090001">
      <w:start w:val="1"/>
      <w:numFmt w:val="bullet"/>
      <w:lvlText w:val=""/>
      <w:lvlJc w:val="left"/>
      <w:pPr>
        <w:ind w:left="2571" w:hanging="360"/>
      </w:pPr>
      <w:rPr>
        <w:rFonts w:ascii="Symbol" w:hAnsi="Symbol" w:hint="default"/>
      </w:rPr>
    </w:lvl>
    <w:lvl w:ilvl="4" w:tplc="0C090003" w:tentative="1">
      <w:start w:val="1"/>
      <w:numFmt w:val="bullet"/>
      <w:lvlText w:val="o"/>
      <w:lvlJc w:val="left"/>
      <w:pPr>
        <w:ind w:left="3291" w:hanging="360"/>
      </w:pPr>
      <w:rPr>
        <w:rFonts w:ascii="Courier New" w:hAnsi="Courier New" w:cs="Courier New" w:hint="default"/>
      </w:rPr>
    </w:lvl>
    <w:lvl w:ilvl="5" w:tplc="0C090005" w:tentative="1">
      <w:start w:val="1"/>
      <w:numFmt w:val="bullet"/>
      <w:lvlText w:val=""/>
      <w:lvlJc w:val="left"/>
      <w:pPr>
        <w:ind w:left="4011" w:hanging="360"/>
      </w:pPr>
      <w:rPr>
        <w:rFonts w:ascii="Wingdings" w:hAnsi="Wingdings" w:hint="default"/>
      </w:rPr>
    </w:lvl>
    <w:lvl w:ilvl="6" w:tplc="0C090001" w:tentative="1">
      <w:start w:val="1"/>
      <w:numFmt w:val="bullet"/>
      <w:lvlText w:val=""/>
      <w:lvlJc w:val="left"/>
      <w:pPr>
        <w:ind w:left="4731" w:hanging="360"/>
      </w:pPr>
      <w:rPr>
        <w:rFonts w:ascii="Symbol" w:hAnsi="Symbol" w:hint="default"/>
      </w:rPr>
    </w:lvl>
    <w:lvl w:ilvl="7" w:tplc="0C090003" w:tentative="1">
      <w:start w:val="1"/>
      <w:numFmt w:val="bullet"/>
      <w:lvlText w:val="o"/>
      <w:lvlJc w:val="left"/>
      <w:pPr>
        <w:ind w:left="5451" w:hanging="360"/>
      </w:pPr>
      <w:rPr>
        <w:rFonts w:ascii="Courier New" w:hAnsi="Courier New" w:cs="Courier New" w:hint="default"/>
      </w:rPr>
    </w:lvl>
    <w:lvl w:ilvl="8" w:tplc="0C090005" w:tentative="1">
      <w:start w:val="1"/>
      <w:numFmt w:val="bullet"/>
      <w:lvlText w:val=""/>
      <w:lvlJc w:val="left"/>
      <w:pPr>
        <w:ind w:left="6171" w:hanging="360"/>
      </w:pPr>
      <w:rPr>
        <w:rFonts w:ascii="Wingdings" w:hAnsi="Wingdings" w:hint="default"/>
      </w:rPr>
    </w:lvl>
  </w:abstractNum>
  <w:abstractNum w:abstractNumId="1">
    <w:nsid w:val="10263860"/>
    <w:multiLevelType w:val="multilevel"/>
    <w:tmpl w:val="BFEE8B7A"/>
    <w:lvl w:ilvl="0">
      <w:start w:val="1"/>
      <w:numFmt w:val="bullet"/>
      <w:lvlText w:val=""/>
      <w:lvlJc w:val="left"/>
      <w:pPr>
        <w:tabs>
          <w:tab w:val="num" w:pos="369"/>
        </w:tabs>
        <w:ind w:left="369" w:hanging="369"/>
      </w:pPr>
      <w:rPr>
        <w:rFonts w:ascii="Wingdings 3" w:hAnsi="Wingdings 3" w:hint="default"/>
        <w:color w:val="595959" w:themeColor="text1" w:themeTint="A6"/>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nsid w:val="21642DA7"/>
    <w:multiLevelType w:val="hybridMultilevel"/>
    <w:tmpl w:val="191A735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nsid w:val="232A3955"/>
    <w:multiLevelType w:val="hybridMultilevel"/>
    <w:tmpl w:val="84D07F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243A6CAD"/>
    <w:multiLevelType w:val="hybridMultilevel"/>
    <w:tmpl w:val="01568238"/>
    <w:lvl w:ilvl="0" w:tplc="539CF836">
      <w:start w:val="1"/>
      <w:numFmt w:val="bullet"/>
      <w:lvlText w:val=""/>
      <w:lvlJc w:val="left"/>
      <w:pPr>
        <w:tabs>
          <w:tab w:val="num" w:pos="369"/>
        </w:tabs>
        <w:ind w:left="369" w:hanging="369"/>
      </w:pPr>
      <w:rPr>
        <w:rFonts w:ascii="Wingdings" w:hAnsi="Wingdings" w:hint="default"/>
        <w:color w:val="595959" w:themeColor="text1" w:themeTint="A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64F6FFE"/>
    <w:multiLevelType w:val="hybridMultilevel"/>
    <w:tmpl w:val="69BA606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nsid w:val="27D143B5"/>
    <w:multiLevelType w:val="hybridMultilevel"/>
    <w:tmpl w:val="48F2E94A"/>
    <w:lvl w:ilvl="0" w:tplc="989652DC">
      <w:start w:val="1"/>
      <w:numFmt w:val="bullet"/>
      <w:pStyle w:val="Listbulleted"/>
      <w:lvlText w:val=""/>
      <w:lvlJc w:val="left"/>
      <w:pPr>
        <w:tabs>
          <w:tab w:val="num" w:pos="369"/>
        </w:tabs>
        <w:ind w:left="369" w:hanging="369"/>
      </w:pPr>
      <w:rPr>
        <w:rFonts w:ascii="Symbol" w:hAnsi="Symbol" w:hint="default"/>
        <w:color w:val="365F91"/>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F896146"/>
    <w:multiLevelType w:val="hybridMultilevel"/>
    <w:tmpl w:val="5F4406B0"/>
    <w:lvl w:ilvl="0" w:tplc="E5C8ED9A">
      <w:start w:val="1"/>
      <w:numFmt w:val="decimal"/>
      <w:pStyle w:val="Listnumbered"/>
      <w:lvlText w:val="%1"/>
      <w:lvlJc w:val="left"/>
      <w:pPr>
        <w:tabs>
          <w:tab w:val="num" w:pos="369"/>
        </w:tabs>
        <w:ind w:left="369" w:hanging="369"/>
      </w:pPr>
      <w:rPr>
        <w:rFonts w:hint="default"/>
        <w:b/>
        <w:bCs/>
        <w:i w:val="0"/>
        <w:iCs w:val="0"/>
        <w:color w:val="A71930" w:themeColor="accent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729708D"/>
    <w:multiLevelType w:val="hybridMultilevel"/>
    <w:tmpl w:val="238282A0"/>
    <w:lvl w:ilvl="0" w:tplc="3F88C544">
      <w:start w:val="1"/>
      <w:numFmt w:val="bullet"/>
      <w:lvlText w:val=""/>
      <w:lvlJc w:val="left"/>
      <w:pPr>
        <w:tabs>
          <w:tab w:val="num" w:pos="369"/>
        </w:tabs>
        <w:ind w:left="369" w:hanging="369"/>
      </w:pPr>
      <w:rPr>
        <w:rFonts w:ascii="Wingdings" w:hAnsi="Wingdings" w:hint="default"/>
        <w:color w:val="595959" w:themeColor="text1" w:themeTint="A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C2B5347"/>
    <w:multiLevelType w:val="hybridMultilevel"/>
    <w:tmpl w:val="8B002072"/>
    <w:lvl w:ilvl="0" w:tplc="720CA4D2">
      <w:start w:val="1"/>
      <w:numFmt w:val="bullet"/>
      <w:lvlText w:val=""/>
      <w:lvlJc w:val="left"/>
      <w:pPr>
        <w:ind w:left="360" w:hanging="360"/>
      </w:pPr>
      <w:rPr>
        <w:rFonts w:ascii="Symbol" w:hAnsi="Symbol" w:hint="default"/>
        <w:sz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56571C2F"/>
    <w:multiLevelType w:val="multilevel"/>
    <w:tmpl w:val="01568238"/>
    <w:lvl w:ilvl="0">
      <w:start w:val="1"/>
      <w:numFmt w:val="bullet"/>
      <w:lvlText w:val=""/>
      <w:lvlJc w:val="left"/>
      <w:pPr>
        <w:tabs>
          <w:tab w:val="num" w:pos="369"/>
        </w:tabs>
        <w:ind w:left="369" w:hanging="369"/>
      </w:pPr>
      <w:rPr>
        <w:rFonts w:ascii="Wingdings" w:hAnsi="Wingdings" w:hint="default"/>
        <w:color w:val="595959" w:themeColor="text1" w:themeTint="A6"/>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
    <w:nsid w:val="578677E0"/>
    <w:multiLevelType w:val="hybridMultilevel"/>
    <w:tmpl w:val="A2AC3B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63FD2ED3"/>
    <w:multiLevelType w:val="hybridMultilevel"/>
    <w:tmpl w:val="BFEE8B7A"/>
    <w:lvl w:ilvl="0" w:tplc="56883AE0">
      <w:start w:val="1"/>
      <w:numFmt w:val="bullet"/>
      <w:lvlText w:val=""/>
      <w:lvlJc w:val="left"/>
      <w:pPr>
        <w:tabs>
          <w:tab w:val="num" w:pos="369"/>
        </w:tabs>
        <w:ind w:left="369" w:hanging="369"/>
      </w:pPr>
      <w:rPr>
        <w:rFonts w:ascii="Wingdings 3" w:hAnsi="Wingdings 3" w:hint="default"/>
        <w:color w:val="595959" w:themeColor="text1" w:themeTint="A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0942961"/>
    <w:multiLevelType w:val="multilevel"/>
    <w:tmpl w:val="238282A0"/>
    <w:lvl w:ilvl="0">
      <w:start w:val="1"/>
      <w:numFmt w:val="bullet"/>
      <w:lvlText w:val=""/>
      <w:lvlJc w:val="left"/>
      <w:pPr>
        <w:tabs>
          <w:tab w:val="num" w:pos="369"/>
        </w:tabs>
        <w:ind w:left="369" w:hanging="369"/>
      </w:pPr>
      <w:rPr>
        <w:rFonts w:ascii="Wingdings" w:hAnsi="Wingdings" w:hint="default"/>
        <w:color w:val="595959" w:themeColor="text1" w:themeTint="A6"/>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4">
    <w:nsid w:val="70942AE2"/>
    <w:multiLevelType w:val="multilevel"/>
    <w:tmpl w:val="5EC04D90"/>
    <w:lvl w:ilvl="0">
      <w:start w:val="1"/>
      <w:numFmt w:val="bullet"/>
      <w:lvlText w:val=""/>
      <w:lvlJc w:val="left"/>
      <w:pPr>
        <w:tabs>
          <w:tab w:val="num" w:pos="369"/>
        </w:tabs>
        <w:ind w:left="369" w:hanging="369"/>
      </w:pPr>
      <w:rPr>
        <w:rFonts w:ascii="Wingdings" w:hAnsi="Wingdings" w:hint="default"/>
        <w:color w:val="A71930" w:themeColor="accent2"/>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abstractNumId w:val="7"/>
  </w:num>
  <w:num w:numId="2">
    <w:abstractNumId w:val="8"/>
  </w:num>
  <w:num w:numId="3">
    <w:abstractNumId w:val="13"/>
  </w:num>
  <w:num w:numId="4">
    <w:abstractNumId w:val="4"/>
  </w:num>
  <w:num w:numId="5">
    <w:abstractNumId w:val="10"/>
  </w:num>
  <w:num w:numId="6">
    <w:abstractNumId w:val="12"/>
  </w:num>
  <w:num w:numId="7">
    <w:abstractNumId w:val="6"/>
  </w:num>
  <w:num w:numId="8">
    <w:abstractNumId w:val="1"/>
  </w:num>
  <w:num w:numId="9">
    <w:abstractNumId w:val="14"/>
  </w:num>
  <w:num w:numId="10">
    <w:abstractNumId w:val="9"/>
  </w:num>
  <w:num w:numId="11">
    <w:abstractNumId w:val="5"/>
  </w:num>
  <w:num w:numId="12">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8"/>
  <w:proofState w:spelling="clean" w:grammar="clean"/>
  <w:stylePaneSortMethod w:val="0000"/>
  <w:defaultTabStop w:val="720"/>
  <w:defaultTableStyle w:val="TableGrid"/>
  <w:drawingGridHorizontalSpacing w:val="110"/>
  <w:displayHorizontalDrawingGridEvery w:val="2"/>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5BE0"/>
    <w:rsid w:val="0001148A"/>
    <w:rsid w:val="00027BEF"/>
    <w:rsid w:val="000543A6"/>
    <w:rsid w:val="00062502"/>
    <w:rsid w:val="00080F30"/>
    <w:rsid w:val="000E2FB4"/>
    <w:rsid w:val="00102007"/>
    <w:rsid w:val="00110607"/>
    <w:rsid w:val="001202AD"/>
    <w:rsid w:val="001B1DC8"/>
    <w:rsid w:val="001B75AC"/>
    <w:rsid w:val="001F2BE9"/>
    <w:rsid w:val="001F42D0"/>
    <w:rsid w:val="00224203"/>
    <w:rsid w:val="002666FD"/>
    <w:rsid w:val="00273B61"/>
    <w:rsid w:val="002E3BD9"/>
    <w:rsid w:val="00300CE1"/>
    <w:rsid w:val="00346BCA"/>
    <w:rsid w:val="00354721"/>
    <w:rsid w:val="00355A73"/>
    <w:rsid w:val="004274A4"/>
    <w:rsid w:val="00443A4A"/>
    <w:rsid w:val="004B5918"/>
    <w:rsid w:val="004D7C46"/>
    <w:rsid w:val="004E03C0"/>
    <w:rsid w:val="004E6B1D"/>
    <w:rsid w:val="004F46E0"/>
    <w:rsid w:val="005403AC"/>
    <w:rsid w:val="005552B9"/>
    <w:rsid w:val="005B549E"/>
    <w:rsid w:val="005D7D2D"/>
    <w:rsid w:val="005E69EB"/>
    <w:rsid w:val="005F5598"/>
    <w:rsid w:val="0061241F"/>
    <w:rsid w:val="00631E09"/>
    <w:rsid w:val="00635AF5"/>
    <w:rsid w:val="00643BFB"/>
    <w:rsid w:val="00644270"/>
    <w:rsid w:val="00667603"/>
    <w:rsid w:val="006A586E"/>
    <w:rsid w:val="006C77D0"/>
    <w:rsid w:val="006E33C3"/>
    <w:rsid w:val="006E6D7B"/>
    <w:rsid w:val="007279B8"/>
    <w:rsid w:val="0073224F"/>
    <w:rsid w:val="00765BE0"/>
    <w:rsid w:val="007661D2"/>
    <w:rsid w:val="00777DAC"/>
    <w:rsid w:val="007808C5"/>
    <w:rsid w:val="00797C58"/>
    <w:rsid w:val="00852744"/>
    <w:rsid w:val="008A2722"/>
    <w:rsid w:val="008D7463"/>
    <w:rsid w:val="008F2541"/>
    <w:rsid w:val="008F69D5"/>
    <w:rsid w:val="009131CA"/>
    <w:rsid w:val="00925C03"/>
    <w:rsid w:val="009338AB"/>
    <w:rsid w:val="00996628"/>
    <w:rsid w:val="009A18D4"/>
    <w:rsid w:val="009A2CE9"/>
    <w:rsid w:val="009B77D6"/>
    <w:rsid w:val="009F69B5"/>
    <w:rsid w:val="00A05AD6"/>
    <w:rsid w:val="00A6578A"/>
    <w:rsid w:val="00A826BD"/>
    <w:rsid w:val="00A973F5"/>
    <w:rsid w:val="00AB6A61"/>
    <w:rsid w:val="00AF74A7"/>
    <w:rsid w:val="00B36043"/>
    <w:rsid w:val="00B532F6"/>
    <w:rsid w:val="00B563A3"/>
    <w:rsid w:val="00B8750E"/>
    <w:rsid w:val="00B94FDE"/>
    <w:rsid w:val="00BB284E"/>
    <w:rsid w:val="00C31D0B"/>
    <w:rsid w:val="00C712DF"/>
    <w:rsid w:val="00C81AE8"/>
    <w:rsid w:val="00D1785F"/>
    <w:rsid w:val="00D704FB"/>
    <w:rsid w:val="00DB1545"/>
    <w:rsid w:val="00DB15B8"/>
    <w:rsid w:val="00DB7AF0"/>
    <w:rsid w:val="00DD0797"/>
    <w:rsid w:val="00DD56EF"/>
    <w:rsid w:val="00DD7389"/>
    <w:rsid w:val="00DF1BC6"/>
    <w:rsid w:val="00DF7EB5"/>
    <w:rsid w:val="00E160F6"/>
    <w:rsid w:val="00E3276D"/>
    <w:rsid w:val="00E40B76"/>
    <w:rsid w:val="00E46DF8"/>
    <w:rsid w:val="00E52931"/>
    <w:rsid w:val="00E66529"/>
    <w:rsid w:val="00ED4F59"/>
    <w:rsid w:val="00EE44FE"/>
    <w:rsid w:val="00F3421B"/>
    <w:rsid w:val="00F443FB"/>
    <w:rsid w:val="00F60EBB"/>
    <w:rsid w:val="00FE7257"/>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289"/>
    <o:shapelayout v:ext="edit">
      <o:idmap v:ext="edit" data="1"/>
    </o:shapelayout>
  </w:shapeDefaults>
  <w:decimalSymbol w:val="."/>
  <w:listSeparator w:val=","/>
  <w14:docId w14:val="764710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qFormat="1"/>
    <w:lsdException w:name="Default Paragraph Font" w:uiPriority="1"/>
    <w:lsdException w:name="Body Text" w:uiPriority="0" w:qFormat="1"/>
    <w:lsdException w:name="Subtitle" w:uiPriority="11" w:qFormat="1"/>
    <w:lsdException w:name="Strong" w:uiPriority="22" w:qFormat="1"/>
    <w:lsdException w:name="Emphasis" w:uiPriority="20" w:qFormat="1"/>
    <w:lsdException w:name="Table Grid" w:semiHidden="0" w:uiPriority="59" w:unhideWhenUsed="0"/>
    <w:lsdException w:name="Placeholder Text"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qFormat="1"/>
    <w:lsdException w:name="Quote" w:uiPriority="29" w:qFormat="1"/>
    <w:lsdException w:name="Intense Quote" w:uiPriority="3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atentStyles>
  <w:style w:type="paragraph" w:default="1" w:styleId="Normal">
    <w:name w:val="Normal"/>
    <w:unhideWhenUsed/>
    <w:qFormat/>
    <w:rsid w:val="007808C5"/>
    <w:rPr>
      <w:rFonts w:asciiTheme="minorHAnsi" w:hAnsiTheme="minorHAnsi" w:cstheme="minorHAnsi"/>
      <w:sz w:val="22"/>
      <w:szCs w:val="22"/>
    </w:rPr>
  </w:style>
  <w:style w:type="paragraph" w:styleId="Heading1">
    <w:name w:val="heading 1"/>
    <w:aliases w:val="subject line"/>
    <w:basedOn w:val="BodyText1"/>
    <w:next w:val="Normal"/>
    <w:link w:val="Heading1Char"/>
    <w:qFormat/>
    <w:rsid w:val="00102007"/>
    <w:pPr>
      <w:spacing w:before="240" w:after="240"/>
      <w:outlineLvl w:val="0"/>
    </w:pPr>
    <w:rPr>
      <w:b/>
      <w:szCs w:val="24"/>
    </w:rPr>
  </w:style>
  <w:style w:type="paragraph" w:styleId="Heading2">
    <w:name w:val="heading 2"/>
    <w:basedOn w:val="BodyText1"/>
    <w:next w:val="Normal"/>
    <w:link w:val="Heading2Char"/>
    <w:qFormat/>
    <w:rsid w:val="001F42D0"/>
    <w:pPr>
      <w:spacing w:before="16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1">
    <w:name w:val="Body Text1"/>
    <w:basedOn w:val="Normal"/>
    <w:qFormat/>
    <w:rsid w:val="008F69D5"/>
    <w:pPr>
      <w:spacing w:before="120" w:line="260" w:lineRule="atLeast"/>
    </w:pPr>
    <w:rPr>
      <w:sz w:val="24"/>
    </w:rPr>
  </w:style>
  <w:style w:type="character" w:customStyle="1" w:styleId="Heading1Char">
    <w:name w:val="Heading 1 Char"/>
    <w:aliases w:val="subject line Char"/>
    <w:basedOn w:val="DefaultParagraphFont"/>
    <w:link w:val="Heading1"/>
    <w:rsid w:val="007808C5"/>
    <w:rPr>
      <w:rFonts w:asciiTheme="minorHAnsi" w:hAnsiTheme="minorHAnsi" w:cstheme="minorHAnsi"/>
      <w:b/>
      <w:sz w:val="24"/>
      <w:szCs w:val="24"/>
    </w:rPr>
  </w:style>
  <w:style w:type="character" w:customStyle="1" w:styleId="Heading2Char">
    <w:name w:val="Heading 2 Char"/>
    <w:basedOn w:val="DefaultParagraphFont"/>
    <w:link w:val="Heading2"/>
    <w:rsid w:val="007808C5"/>
    <w:rPr>
      <w:rFonts w:asciiTheme="minorHAnsi" w:hAnsiTheme="minorHAnsi" w:cstheme="minorHAnsi"/>
      <w:b/>
      <w:sz w:val="24"/>
      <w:szCs w:val="22"/>
    </w:rPr>
  </w:style>
  <w:style w:type="character" w:styleId="PageNumber">
    <w:name w:val="page number"/>
    <w:basedOn w:val="DefaultParagraphFont"/>
    <w:uiPriority w:val="99"/>
    <w:semiHidden/>
    <w:unhideWhenUsed/>
    <w:rsid w:val="00110607"/>
  </w:style>
  <w:style w:type="table" w:styleId="TableGrid">
    <w:name w:val="Table Grid"/>
    <w:basedOn w:val="TableNormal"/>
    <w:uiPriority w:val="59"/>
    <w:rsid w:val="005403AC"/>
    <w:rPr>
      <w:rFonts w:ascii="Arial" w:hAnsi="Arial"/>
    </w:rPr>
    <w:tblPr>
      <w:tblInd w:w="0" w:type="dxa"/>
      <w:tblBorders>
        <w:insideH w:val="single" w:sz="4" w:space="0" w:color="7F7F7F" w:themeColor="text1" w:themeTint="80"/>
        <w:insideV w:val="single" w:sz="4" w:space="0" w:color="7F7F7F" w:themeColor="text1" w:themeTint="80"/>
      </w:tblBorders>
      <w:tblCellMar>
        <w:top w:w="0" w:type="dxa"/>
        <w:left w:w="108" w:type="dxa"/>
        <w:bottom w:w="85" w:type="dxa"/>
        <w:right w:w="108" w:type="dxa"/>
      </w:tblCellMar>
    </w:tblPr>
    <w:tcPr>
      <w:shd w:val="clear" w:color="auto" w:fill="auto"/>
    </w:tcPr>
    <w:tblStylePr w:type="firstRow">
      <w:tblPr/>
      <w:tcPr>
        <w:shd w:val="clear" w:color="auto" w:fill="E5E5E5"/>
      </w:tcPr>
    </w:tblStylePr>
  </w:style>
  <w:style w:type="paragraph" w:customStyle="1" w:styleId="Listnumbered">
    <w:name w:val="List numbered"/>
    <w:qFormat/>
    <w:rsid w:val="001202AD"/>
    <w:pPr>
      <w:numPr>
        <w:numId w:val="1"/>
      </w:numPr>
      <w:spacing w:before="40"/>
    </w:pPr>
    <w:rPr>
      <w:rFonts w:asciiTheme="minorHAnsi" w:hAnsiTheme="minorHAnsi" w:cstheme="minorHAnsi"/>
      <w:sz w:val="22"/>
      <w:szCs w:val="22"/>
    </w:rPr>
  </w:style>
  <w:style w:type="paragraph" w:customStyle="1" w:styleId="Tabletext">
    <w:name w:val="Table text"/>
    <w:basedOn w:val="Normal"/>
    <w:qFormat/>
    <w:rsid w:val="00B94FDE"/>
    <w:pPr>
      <w:spacing w:before="60" w:line="240" w:lineRule="atLeast"/>
    </w:pPr>
    <w:rPr>
      <w:sz w:val="20"/>
      <w:szCs w:val="20"/>
    </w:rPr>
  </w:style>
  <w:style w:type="table" w:customStyle="1" w:styleId="Tableblank">
    <w:name w:val="Table blank"/>
    <w:basedOn w:val="TableNormal"/>
    <w:uiPriority w:val="99"/>
    <w:rsid w:val="00EE44FE"/>
    <w:tblPr>
      <w:tblInd w:w="0" w:type="dxa"/>
      <w:tblCellMar>
        <w:top w:w="0" w:type="dxa"/>
        <w:left w:w="108" w:type="dxa"/>
        <w:bottom w:w="0" w:type="dxa"/>
        <w:right w:w="108" w:type="dxa"/>
      </w:tblCellMar>
    </w:tblPr>
  </w:style>
  <w:style w:type="paragraph" w:customStyle="1" w:styleId="Listbulleted">
    <w:name w:val="List bulleted"/>
    <w:qFormat/>
    <w:rsid w:val="008F69D5"/>
    <w:pPr>
      <w:numPr>
        <w:numId w:val="7"/>
      </w:numPr>
      <w:spacing w:before="20"/>
    </w:pPr>
    <w:rPr>
      <w:rFonts w:asciiTheme="minorHAnsi" w:hAnsiTheme="minorHAnsi" w:cstheme="minorHAnsi"/>
      <w:sz w:val="24"/>
      <w:szCs w:val="22"/>
    </w:rPr>
  </w:style>
  <w:style w:type="paragraph" w:customStyle="1" w:styleId="Tableheading">
    <w:name w:val="Table heading"/>
    <w:qFormat/>
    <w:rsid w:val="00B94FDE"/>
    <w:pPr>
      <w:spacing w:before="60"/>
    </w:pPr>
    <w:rPr>
      <w:rFonts w:asciiTheme="minorHAnsi" w:hAnsiTheme="minorHAnsi" w:cstheme="minorHAnsi"/>
      <w:b/>
    </w:rPr>
  </w:style>
  <w:style w:type="paragraph" w:customStyle="1" w:styleId="Sign-off">
    <w:name w:val="Sign-off"/>
    <w:qFormat/>
    <w:rsid w:val="008F69D5"/>
    <w:pPr>
      <w:spacing w:before="960"/>
      <w:contextualSpacing/>
    </w:pPr>
    <w:rPr>
      <w:rFonts w:asciiTheme="minorHAnsi" w:hAnsiTheme="minorHAnsi" w:cstheme="minorHAnsi"/>
      <w:b/>
      <w:sz w:val="24"/>
      <w:szCs w:val="22"/>
    </w:rPr>
  </w:style>
  <w:style w:type="paragraph" w:customStyle="1" w:styleId="Reference">
    <w:name w:val="Reference"/>
    <w:basedOn w:val="BodyText1"/>
    <w:qFormat/>
    <w:rsid w:val="00027BEF"/>
    <w:pPr>
      <w:spacing w:before="1080"/>
      <w:jc w:val="right"/>
    </w:pPr>
    <w:rPr>
      <w:sz w:val="18"/>
      <w:szCs w:val="20"/>
    </w:rPr>
  </w:style>
  <w:style w:type="paragraph" w:customStyle="1" w:styleId="Addressee">
    <w:name w:val="Addressee"/>
    <w:basedOn w:val="BodyText1"/>
    <w:qFormat/>
    <w:rsid w:val="008F69D5"/>
    <w:pPr>
      <w:spacing w:before="240" w:after="240" w:line="280" w:lineRule="atLeast"/>
      <w:contextualSpacing/>
    </w:pPr>
  </w:style>
  <w:style w:type="paragraph" w:styleId="Header">
    <w:name w:val="header"/>
    <w:basedOn w:val="Normal"/>
    <w:link w:val="HeaderChar"/>
    <w:uiPriority w:val="99"/>
    <w:unhideWhenUsed/>
    <w:rsid w:val="005552B9"/>
    <w:pPr>
      <w:tabs>
        <w:tab w:val="center" w:pos="4513"/>
        <w:tab w:val="right" w:pos="9026"/>
      </w:tabs>
    </w:pPr>
  </w:style>
  <w:style w:type="character" w:customStyle="1" w:styleId="HeaderChar">
    <w:name w:val="Header Char"/>
    <w:basedOn w:val="DefaultParagraphFont"/>
    <w:link w:val="Header"/>
    <w:uiPriority w:val="99"/>
    <w:rsid w:val="005552B9"/>
    <w:rPr>
      <w:rFonts w:asciiTheme="minorHAnsi" w:hAnsiTheme="minorHAnsi" w:cstheme="minorHAnsi"/>
      <w:sz w:val="22"/>
      <w:szCs w:val="22"/>
    </w:rPr>
  </w:style>
  <w:style w:type="paragraph" w:styleId="Footer">
    <w:name w:val="footer"/>
    <w:basedOn w:val="Normal"/>
    <w:link w:val="FooterChar"/>
    <w:uiPriority w:val="99"/>
    <w:unhideWhenUsed/>
    <w:rsid w:val="005552B9"/>
    <w:pPr>
      <w:tabs>
        <w:tab w:val="center" w:pos="4513"/>
        <w:tab w:val="right" w:pos="9026"/>
      </w:tabs>
    </w:pPr>
  </w:style>
  <w:style w:type="character" w:customStyle="1" w:styleId="FooterChar">
    <w:name w:val="Footer Char"/>
    <w:basedOn w:val="DefaultParagraphFont"/>
    <w:link w:val="Footer"/>
    <w:uiPriority w:val="99"/>
    <w:rsid w:val="005552B9"/>
    <w:rPr>
      <w:rFonts w:asciiTheme="minorHAnsi" w:hAnsiTheme="minorHAnsi" w:cstheme="minorHAnsi"/>
      <w:sz w:val="22"/>
      <w:szCs w:val="22"/>
    </w:rPr>
  </w:style>
  <w:style w:type="paragraph" w:styleId="BodyText">
    <w:name w:val="Body Text"/>
    <w:link w:val="BodyTextChar"/>
    <w:qFormat/>
    <w:rsid w:val="00C712DF"/>
    <w:pPr>
      <w:spacing w:before="240" w:line="300" w:lineRule="atLeast"/>
      <w:jc w:val="both"/>
    </w:pPr>
    <w:rPr>
      <w:rFonts w:eastAsia="Times New Roman"/>
      <w:sz w:val="24"/>
      <w:lang w:eastAsia="en-AU"/>
    </w:rPr>
  </w:style>
  <w:style w:type="character" w:customStyle="1" w:styleId="BodyTextChar">
    <w:name w:val="Body Text Char"/>
    <w:basedOn w:val="DefaultParagraphFont"/>
    <w:link w:val="BodyText"/>
    <w:rsid w:val="00C712DF"/>
    <w:rPr>
      <w:rFonts w:eastAsia="Times New Roman"/>
      <w:sz w:val="24"/>
      <w:lang w:eastAsia="en-AU"/>
    </w:rPr>
  </w:style>
  <w:style w:type="paragraph" w:customStyle="1" w:styleId="InformationRequest">
    <w:name w:val="Information Request"/>
    <w:basedOn w:val="Normal"/>
    <w:next w:val="BodyText"/>
    <w:rsid w:val="00C712DF"/>
    <w:pPr>
      <w:keepLines/>
      <w:spacing w:before="120" w:line="280" w:lineRule="atLeast"/>
      <w:jc w:val="both"/>
    </w:pPr>
    <w:rPr>
      <w:rFonts w:ascii="Arial" w:eastAsia="Times New Roman" w:hAnsi="Arial" w:cs="Times New Roman"/>
      <w:i/>
      <w:szCs w:val="20"/>
      <w:lang w:eastAsia="en-AU"/>
    </w:rPr>
  </w:style>
  <w:style w:type="paragraph" w:customStyle="1" w:styleId="InformationRequestBullet">
    <w:name w:val="Information Request Bullet"/>
    <w:basedOn w:val="ListBullet"/>
    <w:next w:val="BodyText"/>
    <w:rsid w:val="00C712DF"/>
    <w:pPr>
      <w:spacing w:before="80" w:line="280" w:lineRule="atLeast"/>
      <w:ind w:left="357" w:hanging="357"/>
      <w:contextualSpacing w:val="0"/>
      <w:jc w:val="both"/>
    </w:pPr>
    <w:rPr>
      <w:rFonts w:ascii="Arial" w:eastAsia="Times New Roman" w:hAnsi="Arial" w:cs="Times New Roman"/>
      <w:i/>
      <w:szCs w:val="20"/>
      <w:lang w:eastAsia="en-AU"/>
    </w:rPr>
  </w:style>
  <w:style w:type="paragraph" w:customStyle="1" w:styleId="InformationRequestTitle">
    <w:name w:val="Information Request Title"/>
    <w:basedOn w:val="Normal"/>
    <w:next w:val="InformationRequest"/>
    <w:rsid w:val="00C712DF"/>
    <w:pPr>
      <w:keepNext/>
      <w:keepLines/>
      <w:spacing w:before="240" w:line="280" w:lineRule="atLeast"/>
      <w:jc w:val="both"/>
    </w:pPr>
    <w:rPr>
      <w:rFonts w:ascii="Arial" w:eastAsia="Times New Roman" w:hAnsi="Arial" w:cs="Times New Roman"/>
      <w:i/>
      <w:caps/>
      <w:sz w:val="18"/>
      <w:szCs w:val="20"/>
      <w:lang w:eastAsia="en-AU"/>
    </w:rPr>
  </w:style>
  <w:style w:type="paragraph" w:styleId="ListParagraph">
    <w:name w:val="List Paragraph"/>
    <w:basedOn w:val="Normal"/>
    <w:uiPriority w:val="34"/>
    <w:qFormat/>
    <w:rsid w:val="00C712DF"/>
    <w:pPr>
      <w:ind w:left="720"/>
      <w:contextualSpacing/>
    </w:pPr>
    <w:rPr>
      <w:rFonts w:ascii="Times New Roman" w:eastAsia="Times New Roman" w:hAnsi="Times New Roman" w:cs="Times New Roman"/>
      <w:sz w:val="24"/>
      <w:szCs w:val="24"/>
      <w:lang w:eastAsia="en-AU"/>
    </w:rPr>
  </w:style>
  <w:style w:type="character" w:styleId="Hyperlink">
    <w:name w:val="Hyperlink"/>
    <w:basedOn w:val="DefaultParagraphFont"/>
    <w:uiPriority w:val="99"/>
    <w:unhideWhenUsed/>
    <w:rsid w:val="00C712DF"/>
    <w:rPr>
      <w:color w:val="0000FF" w:themeColor="hyperlink"/>
      <w:u w:val="single"/>
    </w:rPr>
  </w:style>
  <w:style w:type="paragraph" w:styleId="ListBullet">
    <w:name w:val="List Bullet"/>
    <w:basedOn w:val="Normal"/>
    <w:uiPriority w:val="99"/>
    <w:semiHidden/>
    <w:unhideWhenUsed/>
    <w:rsid w:val="00C712DF"/>
    <w:pPr>
      <w:ind w:left="360" w:hanging="36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qFormat="1"/>
    <w:lsdException w:name="Default Paragraph Font" w:uiPriority="1"/>
    <w:lsdException w:name="Body Text" w:uiPriority="0" w:qFormat="1"/>
    <w:lsdException w:name="Subtitle" w:uiPriority="11" w:qFormat="1"/>
    <w:lsdException w:name="Strong" w:uiPriority="22" w:qFormat="1"/>
    <w:lsdException w:name="Emphasis" w:uiPriority="20" w:qFormat="1"/>
    <w:lsdException w:name="Table Grid" w:semiHidden="0" w:uiPriority="59" w:unhideWhenUsed="0"/>
    <w:lsdException w:name="Placeholder Text"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qFormat="1"/>
    <w:lsdException w:name="Quote" w:uiPriority="29" w:qFormat="1"/>
    <w:lsdException w:name="Intense Quote" w:uiPriority="3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atentStyles>
  <w:style w:type="paragraph" w:default="1" w:styleId="Normal">
    <w:name w:val="Normal"/>
    <w:unhideWhenUsed/>
    <w:qFormat/>
    <w:rsid w:val="007808C5"/>
    <w:rPr>
      <w:rFonts w:asciiTheme="minorHAnsi" w:hAnsiTheme="minorHAnsi" w:cstheme="minorHAnsi"/>
      <w:sz w:val="22"/>
      <w:szCs w:val="22"/>
    </w:rPr>
  </w:style>
  <w:style w:type="paragraph" w:styleId="Heading1">
    <w:name w:val="heading 1"/>
    <w:aliases w:val="subject line"/>
    <w:basedOn w:val="BodyText1"/>
    <w:next w:val="Normal"/>
    <w:link w:val="Heading1Char"/>
    <w:qFormat/>
    <w:rsid w:val="00102007"/>
    <w:pPr>
      <w:spacing w:before="240" w:after="240"/>
      <w:outlineLvl w:val="0"/>
    </w:pPr>
    <w:rPr>
      <w:b/>
      <w:szCs w:val="24"/>
    </w:rPr>
  </w:style>
  <w:style w:type="paragraph" w:styleId="Heading2">
    <w:name w:val="heading 2"/>
    <w:basedOn w:val="BodyText1"/>
    <w:next w:val="Normal"/>
    <w:link w:val="Heading2Char"/>
    <w:qFormat/>
    <w:rsid w:val="001F42D0"/>
    <w:pPr>
      <w:spacing w:before="16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1">
    <w:name w:val="Body Text1"/>
    <w:basedOn w:val="Normal"/>
    <w:qFormat/>
    <w:rsid w:val="008F69D5"/>
    <w:pPr>
      <w:spacing w:before="120" w:line="260" w:lineRule="atLeast"/>
    </w:pPr>
    <w:rPr>
      <w:sz w:val="24"/>
    </w:rPr>
  </w:style>
  <w:style w:type="character" w:customStyle="1" w:styleId="Heading1Char">
    <w:name w:val="Heading 1 Char"/>
    <w:aliases w:val="subject line Char"/>
    <w:basedOn w:val="DefaultParagraphFont"/>
    <w:link w:val="Heading1"/>
    <w:rsid w:val="007808C5"/>
    <w:rPr>
      <w:rFonts w:asciiTheme="minorHAnsi" w:hAnsiTheme="minorHAnsi" w:cstheme="minorHAnsi"/>
      <w:b/>
      <w:sz w:val="24"/>
      <w:szCs w:val="24"/>
    </w:rPr>
  </w:style>
  <w:style w:type="character" w:customStyle="1" w:styleId="Heading2Char">
    <w:name w:val="Heading 2 Char"/>
    <w:basedOn w:val="DefaultParagraphFont"/>
    <w:link w:val="Heading2"/>
    <w:rsid w:val="007808C5"/>
    <w:rPr>
      <w:rFonts w:asciiTheme="minorHAnsi" w:hAnsiTheme="minorHAnsi" w:cstheme="minorHAnsi"/>
      <w:b/>
      <w:sz w:val="24"/>
      <w:szCs w:val="22"/>
    </w:rPr>
  </w:style>
  <w:style w:type="character" w:styleId="PageNumber">
    <w:name w:val="page number"/>
    <w:basedOn w:val="DefaultParagraphFont"/>
    <w:uiPriority w:val="99"/>
    <w:semiHidden/>
    <w:unhideWhenUsed/>
    <w:rsid w:val="00110607"/>
  </w:style>
  <w:style w:type="table" w:styleId="TableGrid">
    <w:name w:val="Table Grid"/>
    <w:basedOn w:val="TableNormal"/>
    <w:uiPriority w:val="59"/>
    <w:rsid w:val="005403AC"/>
    <w:rPr>
      <w:rFonts w:ascii="Arial" w:hAnsi="Arial"/>
    </w:rPr>
    <w:tblPr>
      <w:tblInd w:w="0" w:type="dxa"/>
      <w:tblBorders>
        <w:insideH w:val="single" w:sz="4" w:space="0" w:color="7F7F7F" w:themeColor="text1" w:themeTint="80"/>
        <w:insideV w:val="single" w:sz="4" w:space="0" w:color="7F7F7F" w:themeColor="text1" w:themeTint="80"/>
      </w:tblBorders>
      <w:tblCellMar>
        <w:top w:w="0" w:type="dxa"/>
        <w:left w:w="108" w:type="dxa"/>
        <w:bottom w:w="85" w:type="dxa"/>
        <w:right w:w="108" w:type="dxa"/>
      </w:tblCellMar>
    </w:tblPr>
    <w:tcPr>
      <w:shd w:val="clear" w:color="auto" w:fill="auto"/>
    </w:tcPr>
    <w:tblStylePr w:type="firstRow">
      <w:tblPr/>
      <w:tcPr>
        <w:shd w:val="clear" w:color="auto" w:fill="E5E5E5"/>
      </w:tcPr>
    </w:tblStylePr>
  </w:style>
  <w:style w:type="paragraph" w:customStyle="1" w:styleId="Listnumbered">
    <w:name w:val="List numbered"/>
    <w:qFormat/>
    <w:rsid w:val="001202AD"/>
    <w:pPr>
      <w:numPr>
        <w:numId w:val="1"/>
      </w:numPr>
      <w:spacing w:before="40"/>
    </w:pPr>
    <w:rPr>
      <w:rFonts w:asciiTheme="minorHAnsi" w:hAnsiTheme="minorHAnsi" w:cstheme="minorHAnsi"/>
      <w:sz w:val="22"/>
      <w:szCs w:val="22"/>
    </w:rPr>
  </w:style>
  <w:style w:type="paragraph" w:customStyle="1" w:styleId="Tabletext">
    <w:name w:val="Table text"/>
    <w:basedOn w:val="Normal"/>
    <w:qFormat/>
    <w:rsid w:val="00B94FDE"/>
    <w:pPr>
      <w:spacing w:before="60" w:line="240" w:lineRule="atLeast"/>
    </w:pPr>
    <w:rPr>
      <w:sz w:val="20"/>
      <w:szCs w:val="20"/>
    </w:rPr>
  </w:style>
  <w:style w:type="table" w:customStyle="1" w:styleId="Tableblank">
    <w:name w:val="Table blank"/>
    <w:basedOn w:val="TableNormal"/>
    <w:uiPriority w:val="99"/>
    <w:rsid w:val="00EE44FE"/>
    <w:tblPr>
      <w:tblInd w:w="0" w:type="dxa"/>
      <w:tblCellMar>
        <w:top w:w="0" w:type="dxa"/>
        <w:left w:w="108" w:type="dxa"/>
        <w:bottom w:w="0" w:type="dxa"/>
        <w:right w:w="108" w:type="dxa"/>
      </w:tblCellMar>
    </w:tblPr>
  </w:style>
  <w:style w:type="paragraph" w:customStyle="1" w:styleId="Listbulleted">
    <w:name w:val="List bulleted"/>
    <w:qFormat/>
    <w:rsid w:val="008F69D5"/>
    <w:pPr>
      <w:numPr>
        <w:numId w:val="7"/>
      </w:numPr>
      <w:spacing w:before="20"/>
    </w:pPr>
    <w:rPr>
      <w:rFonts w:asciiTheme="minorHAnsi" w:hAnsiTheme="minorHAnsi" w:cstheme="minorHAnsi"/>
      <w:sz w:val="24"/>
      <w:szCs w:val="22"/>
    </w:rPr>
  </w:style>
  <w:style w:type="paragraph" w:customStyle="1" w:styleId="Tableheading">
    <w:name w:val="Table heading"/>
    <w:qFormat/>
    <w:rsid w:val="00B94FDE"/>
    <w:pPr>
      <w:spacing w:before="60"/>
    </w:pPr>
    <w:rPr>
      <w:rFonts w:asciiTheme="minorHAnsi" w:hAnsiTheme="minorHAnsi" w:cstheme="minorHAnsi"/>
      <w:b/>
    </w:rPr>
  </w:style>
  <w:style w:type="paragraph" w:customStyle="1" w:styleId="Sign-off">
    <w:name w:val="Sign-off"/>
    <w:qFormat/>
    <w:rsid w:val="008F69D5"/>
    <w:pPr>
      <w:spacing w:before="960"/>
      <w:contextualSpacing/>
    </w:pPr>
    <w:rPr>
      <w:rFonts w:asciiTheme="minorHAnsi" w:hAnsiTheme="minorHAnsi" w:cstheme="minorHAnsi"/>
      <w:b/>
      <w:sz w:val="24"/>
      <w:szCs w:val="22"/>
    </w:rPr>
  </w:style>
  <w:style w:type="paragraph" w:customStyle="1" w:styleId="Reference">
    <w:name w:val="Reference"/>
    <w:basedOn w:val="BodyText1"/>
    <w:qFormat/>
    <w:rsid w:val="00027BEF"/>
    <w:pPr>
      <w:spacing w:before="1080"/>
      <w:jc w:val="right"/>
    </w:pPr>
    <w:rPr>
      <w:sz w:val="18"/>
      <w:szCs w:val="20"/>
    </w:rPr>
  </w:style>
  <w:style w:type="paragraph" w:customStyle="1" w:styleId="Addressee">
    <w:name w:val="Addressee"/>
    <w:basedOn w:val="BodyText1"/>
    <w:qFormat/>
    <w:rsid w:val="008F69D5"/>
    <w:pPr>
      <w:spacing w:before="240" w:after="240" w:line="280" w:lineRule="atLeast"/>
      <w:contextualSpacing/>
    </w:pPr>
  </w:style>
  <w:style w:type="paragraph" w:styleId="Header">
    <w:name w:val="header"/>
    <w:basedOn w:val="Normal"/>
    <w:link w:val="HeaderChar"/>
    <w:uiPriority w:val="99"/>
    <w:unhideWhenUsed/>
    <w:rsid w:val="005552B9"/>
    <w:pPr>
      <w:tabs>
        <w:tab w:val="center" w:pos="4513"/>
        <w:tab w:val="right" w:pos="9026"/>
      </w:tabs>
    </w:pPr>
  </w:style>
  <w:style w:type="character" w:customStyle="1" w:styleId="HeaderChar">
    <w:name w:val="Header Char"/>
    <w:basedOn w:val="DefaultParagraphFont"/>
    <w:link w:val="Header"/>
    <w:uiPriority w:val="99"/>
    <w:rsid w:val="005552B9"/>
    <w:rPr>
      <w:rFonts w:asciiTheme="minorHAnsi" w:hAnsiTheme="minorHAnsi" w:cstheme="minorHAnsi"/>
      <w:sz w:val="22"/>
      <w:szCs w:val="22"/>
    </w:rPr>
  </w:style>
  <w:style w:type="paragraph" w:styleId="Footer">
    <w:name w:val="footer"/>
    <w:basedOn w:val="Normal"/>
    <w:link w:val="FooterChar"/>
    <w:uiPriority w:val="99"/>
    <w:unhideWhenUsed/>
    <w:rsid w:val="005552B9"/>
    <w:pPr>
      <w:tabs>
        <w:tab w:val="center" w:pos="4513"/>
        <w:tab w:val="right" w:pos="9026"/>
      </w:tabs>
    </w:pPr>
  </w:style>
  <w:style w:type="character" w:customStyle="1" w:styleId="FooterChar">
    <w:name w:val="Footer Char"/>
    <w:basedOn w:val="DefaultParagraphFont"/>
    <w:link w:val="Footer"/>
    <w:uiPriority w:val="99"/>
    <w:rsid w:val="005552B9"/>
    <w:rPr>
      <w:rFonts w:asciiTheme="minorHAnsi" w:hAnsiTheme="minorHAnsi" w:cstheme="minorHAnsi"/>
      <w:sz w:val="22"/>
      <w:szCs w:val="22"/>
    </w:rPr>
  </w:style>
  <w:style w:type="paragraph" w:styleId="BodyText">
    <w:name w:val="Body Text"/>
    <w:link w:val="BodyTextChar"/>
    <w:qFormat/>
    <w:rsid w:val="00C712DF"/>
    <w:pPr>
      <w:spacing w:before="240" w:line="300" w:lineRule="atLeast"/>
      <w:jc w:val="both"/>
    </w:pPr>
    <w:rPr>
      <w:rFonts w:eastAsia="Times New Roman"/>
      <w:sz w:val="24"/>
      <w:lang w:eastAsia="en-AU"/>
    </w:rPr>
  </w:style>
  <w:style w:type="character" w:customStyle="1" w:styleId="BodyTextChar">
    <w:name w:val="Body Text Char"/>
    <w:basedOn w:val="DefaultParagraphFont"/>
    <w:link w:val="BodyText"/>
    <w:rsid w:val="00C712DF"/>
    <w:rPr>
      <w:rFonts w:eastAsia="Times New Roman"/>
      <w:sz w:val="24"/>
      <w:lang w:eastAsia="en-AU"/>
    </w:rPr>
  </w:style>
  <w:style w:type="paragraph" w:customStyle="1" w:styleId="InformationRequest">
    <w:name w:val="Information Request"/>
    <w:basedOn w:val="Normal"/>
    <w:next w:val="BodyText"/>
    <w:rsid w:val="00C712DF"/>
    <w:pPr>
      <w:keepLines/>
      <w:spacing w:before="120" w:line="280" w:lineRule="atLeast"/>
      <w:jc w:val="both"/>
    </w:pPr>
    <w:rPr>
      <w:rFonts w:ascii="Arial" w:eastAsia="Times New Roman" w:hAnsi="Arial" w:cs="Times New Roman"/>
      <w:i/>
      <w:szCs w:val="20"/>
      <w:lang w:eastAsia="en-AU"/>
    </w:rPr>
  </w:style>
  <w:style w:type="paragraph" w:customStyle="1" w:styleId="InformationRequestBullet">
    <w:name w:val="Information Request Bullet"/>
    <w:basedOn w:val="ListBullet"/>
    <w:next w:val="BodyText"/>
    <w:rsid w:val="00C712DF"/>
    <w:pPr>
      <w:spacing w:before="80" w:line="280" w:lineRule="atLeast"/>
      <w:ind w:left="357" w:hanging="357"/>
      <w:contextualSpacing w:val="0"/>
      <w:jc w:val="both"/>
    </w:pPr>
    <w:rPr>
      <w:rFonts w:ascii="Arial" w:eastAsia="Times New Roman" w:hAnsi="Arial" w:cs="Times New Roman"/>
      <w:i/>
      <w:szCs w:val="20"/>
      <w:lang w:eastAsia="en-AU"/>
    </w:rPr>
  </w:style>
  <w:style w:type="paragraph" w:customStyle="1" w:styleId="InformationRequestTitle">
    <w:name w:val="Information Request Title"/>
    <w:basedOn w:val="Normal"/>
    <w:next w:val="InformationRequest"/>
    <w:rsid w:val="00C712DF"/>
    <w:pPr>
      <w:keepNext/>
      <w:keepLines/>
      <w:spacing w:before="240" w:line="280" w:lineRule="atLeast"/>
      <w:jc w:val="both"/>
    </w:pPr>
    <w:rPr>
      <w:rFonts w:ascii="Arial" w:eastAsia="Times New Roman" w:hAnsi="Arial" w:cs="Times New Roman"/>
      <w:i/>
      <w:caps/>
      <w:sz w:val="18"/>
      <w:szCs w:val="20"/>
      <w:lang w:eastAsia="en-AU"/>
    </w:rPr>
  </w:style>
  <w:style w:type="paragraph" w:styleId="ListParagraph">
    <w:name w:val="List Paragraph"/>
    <w:basedOn w:val="Normal"/>
    <w:uiPriority w:val="34"/>
    <w:qFormat/>
    <w:rsid w:val="00C712DF"/>
    <w:pPr>
      <w:ind w:left="720"/>
      <w:contextualSpacing/>
    </w:pPr>
    <w:rPr>
      <w:rFonts w:ascii="Times New Roman" w:eastAsia="Times New Roman" w:hAnsi="Times New Roman" w:cs="Times New Roman"/>
      <w:sz w:val="24"/>
      <w:szCs w:val="24"/>
      <w:lang w:eastAsia="en-AU"/>
    </w:rPr>
  </w:style>
  <w:style w:type="character" w:styleId="Hyperlink">
    <w:name w:val="Hyperlink"/>
    <w:basedOn w:val="DefaultParagraphFont"/>
    <w:uiPriority w:val="99"/>
    <w:unhideWhenUsed/>
    <w:rsid w:val="00C712DF"/>
    <w:rPr>
      <w:color w:val="0000FF" w:themeColor="hyperlink"/>
      <w:u w:val="single"/>
    </w:rPr>
  </w:style>
  <w:style w:type="paragraph" w:styleId="ListBullet">
    <w:name w:val="List Bullet"/>
    <w:basedOn w:val="Normal"/>
    <w:uiPriority w:val="99"/>
    <w:semiHidden/>
    <w:unhideWhenUsed/>
    <w:rsid w:val="00C712DF"/>
    <w:pPr>
      <w:ind w:left="360" w:hanging="36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yperlink" Target="http://www.olg.nsw.gov.au/councils/integrated-planning-and-reporting"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settings" Target="settings.xml"/><Relationship Id="rId19" Type="http://schemas.openxmlformats.org/officeDocument/2006/relationships/header" Target="header2.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footer" Target="footer1.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NSW Govt">
      <a:dk1>
        <a:sysClr val="windowText" lastClr="000000"/>
      </a:dk1>
      <a:lt1>
        <a:sysClr val="window" lastClr="FFFFFF"/>
      </a:lt1>
      <a:dk2>
        <a:srgbClr val="002664"/>
      </a:dk2>
      <a:lt2>
        <a:srgbClr val="EEECE1"/>
      </a:lt2>
      <a:accent1>
        <a:srgbClr val="002664"/>
      </a:accent1>
      <a:accent2>
        <a:srgbClr val="A71930"/>
      </a:accent2>
      <a:accent3>
        <a:srgbClr val="C60C30"/>
      </a:accent3>
      <a:accent4>
        <a:srgbClr val="002664"/>
      </a:accent4>
      <a:accent5>
        <a:srgbClr val="A71930"/>
      </a:accent5>
      <a:accent6>
        <a:srgbClr val="C60C30"/>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customXsn xmlns="http://schemas.microsoft.com/office/2006/metadata/customXsn">
  <xsnLocation/>
  <cached>True</cached>
  <openByDefault>False</openByDefault>
  <xsnScope/>
</customXsn>
</file>

<file path=customXml/item2.xml><?xml version="1.0" encoding="utf-8"?>
<?mso-contentType ?>
<spe:Receivers xmlns:spe="http://schemas.microsoft.com/sharepoint/events">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spe:Receivers>
</file>

<file path=customXml/item3.xml><?xml version="1.0" encoding="utf-8"?>
<ct:contentTypeSchema xmlns:ct="http://schemas.microsoft.com/office/2006/metadata/contentType" xmlns:ma="http://schemas.microsoft.com/office/2006/metadata/properties/metaAttributes" ct:_="" ma:_="" ma:contentTypeName="Submissions" ma:contentTypeID="0x01010066EDC8E18BFE9C418F00295EA55D44EA0015EE9FD84A134F42A8E78176E2093D4400FA055CF3113ACE489CC83C69505D2DFE" ma:contentTypeVersion="10" ma:contentTypeDescription="" ma:contentTypeScope="" ma:versionID="d089c9d5e52a23621f4460d79da6eba3">
  <xsd:schema xmlns:xsd="http://www.w3.org/2001/XMLSchema" xmlns:xs="http://www.w3.org/2001/XMLSchema" xmlns:p="http://schemas.microsoft.com/office/2006/metadata/properties" xmlns:ns2="http://schemas.microsoft.com/sharepoint/v4" targetNamespace="http://schemas.microsoft.com/office/2006/metadata/properties" ma:root="true" ma:fieldsID="56744cf7dae5f007ba57270149f9373e" ns2:_="">
    <xsd:import namespace="http://schemas.microsoft.com/sharepoint/v4"/>
    <xsd:element name="properties">
      <xsd:complexType>
        <xsd:sequence>
          <xsd:element name="documentManagement">
            <xsd:complexType>
              <xsd:all>
                <xsd:element ref="ns2: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9F5FE4-DE84-4282-93A2-2BEF459A1D59}">
  <ds:schemaRefs>
    <ds:schemaRef ds:uri="http://schemas.microsoft.com/office/2006/metadata/customXsn"/>
  </ds:schemaRefs>
</ds:datastoreItem>
</file>

<file path=customXml/itemProps2.xml><?xml version="1.0" encoding="utf-8"?>
<ds:datastoreItem xmlns:ds="http://schemas.openxmlformats.org/officeDocument/2006/customXml" ds:itemID="{D10026CF-0462-47F4-92B9-8A138FE38B3D}">
  <ds:schemaRefs>
    <ds:schemaRef ds:uri="http://schemas.microsoft.com/sharepoint/events"/>
  </ds:schemaRefs>
</ds:datastoreItem>
</file>

<file path=customXml/itemProps3.xml><?xml version="1.0" encoding="utf-8"?>
<ds:datastoreItem xmlns:ds="http://schemas.openxmlformats.org/officeDocument/2006/customXml" ds:itemID="{FE5723E9-47CB-416C-A192-7A203FDAB1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1572B8A-391E-453C-9A37-3BCC3B07FDFE}">
  <ds:schemaRefs>
    <ds:schemaRef ds:uri="http://purl.org/dc/terms/"/>
    <ds:schemaRef ds:uri="http://schemas.microsoft.com/sharepoint/v4"/>
    <ds:schemaRef ds:uri="http://schemas.microsoft.com/office/2006/metadata/properties"/>
    <ds:schemaRef ds:uri="http://schemas.microsoft.com/office/2006/documentManagement/types"/>
    <ds:schemaRef ds:uri="http://purl.org/dc/elements/1.1/"/>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customXml/itemProps5.xml><?xml version="1.0" encoding="utf-8"?>
<ds:datastoreItem xmlns:ds="http://schemas.openxmlformats.org/officeDocument/2006/customXml" ds:itemID="{E020D28F-A10D-4E88-8550-BC7FCEC99E54}">
  <ds:schemaRefs>
    <ds:schemaRef ds:uri="http://schemas.microsoft.com/sharepoint/v3/contenttype/forms"/>
  </ds:schemaRefs>
</ds:datastoreItem>
</file>

<file path=customXml/itemProps6.xml><?xml version="1.0" encoding="utf-8"?>
<ds:datastoreItem xmlns:ds="http://schemas.openxmlformats.org/officeDocument/2006/customXml" ds:itemID="{3F61158E-5F14-46E2-AC03-59717F4E5D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3073</Words>
  <Characters>17520</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Submission DR217 - Attachment - NSW Government - Natural Disaster Funding - Public inquiry</vt:lpstr>
    </vt:vector>
  </TitlesOfParts>
  <Company/>
  <LinksUpToDate>false</LinksUpToDate>
  <CharactersWithSpaces>20552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DR217 - Attachment - NSW Government - Natural Disaster Funding - Public inquiry</dc:title>
  <dc:creator>NSW Government</dc:creator>
  <cp:lastModifiedBy>Mark Pimperl</cp:lastModifiedBy>
  <cp:revision>4</cp:revision>
  <cp:lastPrinted>2014-10-21T01:38:00Z</cp:lastPrinted>
  <dcterms:created xsi:type="dcterms:W3CDTF">2014-11-09T23:34:00Z</dcterms:created>
  <dcterms:modified xsi:type="dcterms:W3CDTF">2014-11-11T22:35:00Z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0x01010066EDC8E18BFE9C418F00295EA55D44EA0015EE9FD84A134F42A8E78176E2093D4400FA055CF3113ACE489CC83C69505D2DFE</vt:lpwstr>
  </property>
  <property fmtid="{D5CDD505-2E9C-101B-9397-08002B2CF9AE}" pid="3" name="RecordPoint_SubmissionDate">
    <vt:lpwstr/>
  </property>
  <property fmtid="{D5CDD505-2E9C-101B-9397-08002B2CF9AE}" pid="4" name="RecordPoint_RecordNumberSubmitted">
    <vt:lpwstr>R0000001979</vt:lpwstr>
  </property>
  <property fmtid="{D5CDD505-2E9C-101B-9397-08002B2CF9AE}" pid="5" name="RecordPoint_ActiveItemSiteId">
    <vt:lpwstr>{5750d626-0aa0-474c-a55f-8063909d4906}</vt:lpwstr>
  </property>
  <property fmtid="{D5CDD505-2E9C-101B-9397-08002B2CF9AE}" pid="6" name="RecordPoint_ActiveItemListId">
    <vt:lpwstr>{5ddcf88e-8444-4ec5-9e6b-ef3ebb4e4a49}</vt:lpwstr>
  </property>
  <property fmtid="{D5CDD505-2E9C-101B-9397-08002B2CF9AE}" pid="7" name="RecordPoint_ActiveItemMoved">
    <vt:lpwstr/>
  </property>
  <property fmtid="{D5CDD505-2E9C-101B-9397-08002B2CF9AE}" pid="8" name="RecordPoint_RecordFormat">
    <vt:lpwstr/>
  </property>
  <property fmtid="{D5CDD505-2E9C-101B-9397-08002B2CF9AE}" pid="9" name="RecordPoint_SubmissionCompleted">
    <vt:lpwstr>2014-11-10T10:34:10.5718021+11:00</vt:lpwstr>
  </property>
  <property fmtid="{D5CDD505-2E9C-101B-9397-08002B2CF9AE}" pid="10" name="RecordPoint_ActiveItemUniqueId">
    <vt:lpwstr>{0c1fc944-8c2a-436d-bd0f-9846fa2a22be}</vt:lpwstr>
  </property>
  <property fmtid="{D5CDD505-2E9C-101B-9397-08002B2CF9AE}" pid="11" name="RecordPoint_ActiveItemWebId">
    <vt:lpwstr>{2159b2f9-a7b8-4f1e-afd4-3e549d486baf}</vt:lpwstr>
  </property>
  <property fmtid="{D5CDD505-2E9C-101B-9397-08002B2CF9AE}" pid="12" name="RecordPoint_WorkflowType">
    <vt:lpwstr>ActiveSubmitStub</vt:lpwstr>
  </property>
</Properties>
</file>