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86015627"/>
    <w:bookmarkStart w:id="1" w:name="_Toc386806709"/>
    <w:bookmarkStart w:id="2" w:name="_GoBack"/>
    <w:bookmarkEnd w:id="2"/>
    <w:p w:rsidR="0024196A" w:rsidRPr="004F05D4" w:rsidRDefault="00B516EB" w:rsidP="004F05D4">
      <w:pPr>
        <w:jc w:val="center"/>
        <w:rPr>
          <w:rFonts w:asciiTheme="minorHAnsi" w:hAnsiTheme="minorHAnsi" w:cstheme="minorHAnsi"/>
          <w:b/>
          <w:sz w:val="72"/>
          <w:szCs w:val="72"/>
        </w:rPr>
      </w:pPr>
      <w:r w:rsidRPr="004F05D4">
        <w:rPr>
          <w:rFonts w:asciiTheme="minorHAnsi" w:hAnsiTheme="minorHAnsi" w:cstheme="minorHAnsi"/>
          <w:b/>
          <w:noProof/>
          <w:sz w:val="72"/>
          <w:szCs w:val="72"/>
          <w:lang w:eastAsia="en-AU"/>
        </w:rPr>
        <mc:AlternateContent>
          <mc:Choice Requires="wps">
            <w:drawing>
              <wp:anchor distT="0" distB="0" distL="114300" distR="114300" simplePos="0" relativeHeight="251655680" behindDoc="0" locked="0" layoutInCell="1" allowOverlap="1" wp14:anchorId="07965CA3" wp14:editId="111DF64A">
                <wp:simplePos x="0" y="0"/>
                <wp:positionH relativeFrom="column">
                  <wp:posOffset>3678555</wp:posOffset>
                </wp:positionH>
                <wp:positionV relativeFrom="paragraph">
                  <wp:posOffset>-3152775</wp:posOffset>
                </wp:positionV>
                <wp:extent cx="2398395" cy="325755"/>
                <wp:effectExtent l="190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839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E63" w:rsidRPr="005908CC" w:rsidRDefault="00C478D0" w:rsidP="0012362F">
                            <w:pPr>
                              <w:jc w:val="right"/>
                            </w:pPr>
                            <w:r>
                              <w:t>November</w:t>
                            </w:r>
                            <w:r w:rsidR="00D23956">
                              <w:t xml:space="preserve"> </w:t>
                            </w:r>
                            <w:r w:rsidR="00573E63">
                              <w:t>2014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9.65pt;margin-top:-248.25pt;width:188.85pt;height:25.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HgItAIAALk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" filled="f" stroked="f">
                <v:textbox>
                  <w:txbxContent>
                    <w:p w:rsidR="00573E63" w:rsidRPr="005908CC" w:rsidRDefault="00C478D0" w:rsidP="0012362F">
                      <w:pPr>
                        <w:jc w:val="right"/>
                      </w:pPr>
                      <w:r>
                        <w:t>November</w:t>
                      </w:r>
                      <w:bookmarkStart w:id="3" w:name="_GoBack"/>
                      <w:bookmarkEnd w:id="3"/>
                      <w:r w:rsidR="00D23956">
                        <w:t xml:space="preserve"> </w:t>
                      </w:r>
                      <w:r w:rsidR="00573E63">
                        <w:t>2014</w:t>
                      </w:r>
                    </w:p>
                  </w:txbxContent>
                </v:textbox>
              </v:shape>
            </w:pict>
          </mc:Fallback>
        </mc:AlternateContent>
      </w:r>
      <w:r w:rsidR="0012362F" w:rsidRPr="004F05D4">
        <w:rPr>
          <w:rFonts w:asciiTheme="minorHAnsi" w:hAnsiTheme="minorHAnsi" w:cstheme="minorHAnsi"/>
          <w:b/>
          <w:sz w:val="72"/>
          <w:szCs w:val="72"/>
        </w:rPr>
        <w:t xml:space="preserve">Attorney-General’s Department </w:t>
      </w:r>
      <w:r w:rsidR="008037BC">
        <w:rPr>
          <w:rFonts w:asciiTheme="minorHAnsi" w:hAnsiTheme="minorHAnsi" w:cstheme="minorHAnsi"/>
          <w:b/>
          <w:sz w:val="72"/>
          <w:szCs w:val="72"/>
        </w:rPr>
        <w:t xml:space="preserve">Supplementary </w:t>
      </w:r>
      <w:r w:rsidR="0012362F" w:rsidRPr="004F05D4">
        <w:rPr>
          <w:rFonts w:asciiTheme="minorHAnsi" w:hAnsiTheme="minorHAnsi" w:cstheme="minorHAnsi"/>
          <w:b/>
          <w:sz w:val="72"/>
          <w:szCs w:val="72"/>
        </w:rPr>
        <w:t>Submission</w:t>
      </w:r>
      <w:bookmarkEnd w:id="0"/>
      <w:bookmarkEnd w:id="1"/>
    </w:p>
    <w:p w:rsidR="007A41C3" w:rsidRPr="00942427" w:rsidRDefault="0012362F" w:rsidP="00942427">
      <w:pPr>
        <w:pStyle w:val="Subtitle"/>
        <w:sectPr w:rsidR="007A41C3" w:rsidRPr="00942427" w:rsidSect="008037BC">
          <w:headerReference w:type="first" r:id="rId15"/>
          <w:pgSz w:w="11906" w:h="16838"/>
          <w:pgMar w:top="6804" w:right="1134" w:bottom="1440" w:left="1134" w:header="709" w:footer="709" w:gutter="0"/>
          <w:cols w:space="708"/>
          <w:titlePg/>
          <w:docGrid w:linePitch="360"/>
        </w:sectPr>
      </w:pPr>
      <w:bookmarkStart w:id="3" w:name="_Toc386015628"/>
      <w:bookmarkStart w:id="4" w:name="_Toc386806710"/>
      <w:r w:rsidRPr="005E10F7">
        <w:t>Productivity Commission inquiry into natural disaster funding arrangements</w:t>
      </w:r>
      <w:bookmarkEnd w:id="3"/>
      <w:bookmarkEnd w:id="4"/>
    </w:p>
    <w:p w:rsidR="00FE2FAD" w:rsidRPr="004F05D4" w:rsidRDefault="00B516EB" w:rsidP="004F05D4">
      <w:pPr>
        <w:rPr>
          <w:rFonts w:asciiTheme="minorHAnsi" w:hAnsiTheme="minorHAnsi" w:cstheme="minorHAnsi"/>
          <w:b/>
          <w:color w:val="404040"/>
          <w:sz w:val="40"/>
          <w:szCs w:val="40"/>
        </w:rPr>
      </w:pPr>
      <w:bookmarkStart w:id="5" w:name="_Toc386015629"/>
      <w:bookmarkStart w:id="6" w:name="_Toc386806711"/>
      <w:r w:rsidRPr="005C1563">
        <w:rPr>
          <w:noProof/>
          <w:lang w:eastAsia="en-AU"/>
        </w:rPr>
        <w:lastRenderedPageBreak/>
        <w:drawing>
          <wp:anchor distT="0" distB="0" distL="114300" distR="114300" simplePos="0" relativeHeight="251661824" behindDoc="1" locked="0" layoutInCell="1" allowOverlap="1" wp14:anchorId="71CFAEBA" wp14:editId="62160721">
            <wp:simplePos x="0" y="0"/>
            <wp:positionH relativeFrom="column">
              <wp:posOffset>-937895</wp:posOffset>
            </wp:positionH>
            <wp:positionV relativeFrom="paragraph">
              <wp:posOffset>8925560</wp:posOffset>
            </wp:positionV>
            <wp:extent cx="7604760" cy="878205"/>
            <wp:effectExtent l="0" t="0" r="0" b="0"/>
            <wp:wrapNone/>
            <wp:docPr id="9" name="Picture 9" descr="3-5 National Circuit, Barton ACT 2600 - Telephone (02) 6141 6666 - Fax (02) 6141 5900 - www.ag.gov.au - ABN 92 661 124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3-5 National Circuit, Barton ACT 2600 - Telephone (02) 6141 6666 - Fax (02) 6141 5900 - www.ag.gov.au - ABN 92 661 124 43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04760" cy="878205"/>
                    </a:xfrm>
                    <a:prstGeom prst="rect">
                      <a:avLst/>
                    </a:prstGeom>
                    <a:noFill/>
                  </pic:spPr>
                </pic:pic>
              </a:graphicData>
            </a:graphic>
            <wp14:sizeRelH relativeFrom="page">
              <wp14:pctWidth>0</wp14:pctWidth>
            </wp14:sizeRelH>
            <wp14:sizeRelV relativeFrom="page">
              <wp14:pctHeight>0</wp14:pctHeight>
            </wp14:sizeRelV>
          </wp:anchor>
        </w:drawing>
      </w:r>
      <w:bookmarkStart w:id="7" w:name="_Toc386806712"/>
      <w:bookmarkEnd w:id="5"/>
      <w:bookmarkEnd w:id="6"/>
      <w:r w:rsidR="00FE2FAD" w:rsidRPr="004F05D4">
        <w:rPr>
          <w:rFonts w:asciiTheme="minorHAnsi" w:hAnsiTheme="minorHAnsi" w:cstheme="minorHAnsi"/>
          <w:b/>
          <w:color w:val="404040"/>
          <w:sz w:val="40"/>
          <w:szCs w:val="40"/>
        </w:rPr>
        <w:t>Contents</w:t>
      </w:r>
    </w:p>
    <w:p w:rsidR="00BA1015" w:rsidRDefault="004F05D4">
      <w:pPr>
        <w:pStyle w:val="TOC1"/>
        <w:tabs>
          <w:tab w:val="left" w:pos="440"/>
        </w:tabs>
        <w:rPr>
          <w:rFonts w:asciiTheme="minorHAnsi" w:eastAsiaTheme="minorEastAsia" w:hAnsiTheme="minorHAnsi" w:cstheme="minorBidi"/>
          <w:b w:val="0"/>
          <w:kern w:val="0"/>
          <w:lang w:eastAsia="en-AU"/>
        </w:rPr>
      </w:pPr>
      <w:r>
        <w:fldChar w:fldCharType="begin"/>
      </w:r>
      <w:r>
        <w:instrText xml:space="preserve"> TOC \o "1-1" \h \z \u </w:instrText>
      </w:r>
      <w:r>
        <w:fldChar w:fldCharType="separate"/>
      </w:r>
      <w:hyperlink w:anchor="_Toc401848137" w:history="1">
        <w:r w:rsidR="00BA1015" w:rsidRPr="00152653">
          <w:rPr>
            <w:rStyle w:val="Hyperlink"/>
          </w:rPr>
          <w:t>1.</w:t>
        </w:r>
        <w:r w:rsidR="00BA1015">
          <w:rPr>
            <w:rFonts w:asciiTheme="minorHAnsi" w:eastAsiaTheme="minorEastAsia" w:hAnsiTheme="minorHAnsi" w:cstheme="minorBidi"/>
            <w:b w:val="0"/>
            <w:kern w:val="0"/>
            <w:lang w:eastAsia="en-AU"/>
          </w:rPr>
          <w:tab/>
        </w:r>
        <w:r w:rsidR="00BA1015" w:rsidRPr="00152653">
          <w:rPr>
            <w:rStyle w:val="Hyperlink"/>
          </w:rPr>
          <w:t>Introduction</w:t>
        </w:r>
        <w:r w:rsidR="00BA1015">
          <w:rPr>
            <w:webHidden/>
          </w:rPr>
          <w:tab/>
        </w:r>
        <w:r w:rsidR="00BA1015">
          <w:rPr>
            <w:webHidden/>
          </w:rPr>
          <w:fldChar w:fldCharType="begin"/>
        </w:r>
        <w:r w:rsidR="00BA1015">
          <w:rPr>
            <w:webHidden/>
          </w:rPr>
          <w:instrText xml:space="preserve"> PAGEREF _Toc401848137 \h </w:instrText>
        </w:r>
        <w:r w:rsidR="00BA1015">
          <w:rPr>
            <w:webHidden/>
          </w:rPr>
        </w:r>
        <w:r w:rsidR="00BA1015">
          <w:rPr>
            <w:webHidden/>
          </w:rPr>
          <w:fldChar w:fldCharType="separate"/>
        </w:r>
        <w:r w:rsidR="00BA1015">
          <w:rPr>
            <w:webHidden/>
          </w:rPr>
          <w:t>3</w:t>
        </w:r>
        <w:r w:rsidR="00BA1015">
          <w:rPr>
            <w:webHidden/>
          </w:rPr>
          <w:fldChar w:fldCharType="end"/>
        </w:r>
      </w:hyperlink>
    </w:p>
    <w:p w:rsidR="00BA1015" w:rsidRDefault="00894A4E">
      <w:pPr>
        <w:pStyle w:val="TOC1"/>
        <w:tabs>
          <w:tab w:val="left" w:pos="440"/>
        </w:tabs>
        <w:rPr>
          <w:rFonts w:asciiTheme="minorHAnsi" w:eastAsiaTheme="minorEastAsia" w:hAnsiTheme="minorHAnsi" w:cstheme="minorBidi"/>
          <w:b w:val="0"/>
          <w:kern w:val="0"/>
          <w:lang w:eastAsia="en-AU"/>
        </w:rPr>
      </w:pPr>
      <w:hyperlink w:anchor="_Toc401848138" w:history="1">
        <w:r w:rsidR="00BA1015" w:rsidRPr="00152653">
          <w:rPr>
            <w:rStyle w:val="Hyperlink"/>
          </w:rPr>
          <w:t>2.</w:t>
        </w:r>
        <w:r w:rsidR="00BA1015">
          <w:rPr>
            <w:rFonts w:asciiTheme="minorHAnsi" w:eastAsiaTheme="minorEastAsia" w:hAnsiTheme="minorHAnsi" w:cstheme="minorBidi"/>
            <w:b w:val="0"/>
            <w:kern w:val="0"/>
            <w:lang w:eastAsia="en-AU"/>
          </w:rPr>
          <w:tab/>
        </w:r>
        <w:r w:rsidR="00BA1015" w:rsidRPr="00152653">
          <w:rPr>
            <w:rStyle w:val="Hyperlink"/>
          </w:rPr>
          <w:t>Disaster mitigation funding arrangements</w:t>
        </w:r>
        <w:r w:rsidR="00BA1015">
          <w:rPr>
            <w:webHidden/>
          </w:rPr>
          <w:tab/>
        </w:r>
        <w:r w:rsidR="00BA1015">
          <w:rPr>
            <w:webHidden/>
          </w:rPr>
          <w:fldChar w:fldCharType="begin"/>
        </w:r>
        <w:r w:rsidR="00BA1015">
          <w:rPr>
            <w:webHidden/>
          </w:rPr>
          <w:instrText xml:space="preserve"> PAGEREF _Toc401848138 \h </w:instrText>
        </w:r>
        <w:r w:rsidR="00BA1015">
          <w:rPr>
            <w:webHidden/>
          </w:rPr>
        </w:r>
        <w:r w:rsidR="00BA1015">
          <w:rPr>
            <w:webHidden/>
          </w:rPr>
          <w:fldChar w:fldCharType="separate"/>
        </w:r>
        <w:r w:rsidR="00BA1015">
          <w:rPr>
            <w:webHidden/>
          </w:rPr>
          <w:t>4</w:t>
        </w:r>
        <w:r w:rsidR="00BA1015">
          <w:rPr>
            <w:webHidden/>
          </w:rPr>
          <w:fldChar w:fldCharType="end"/>
        </w:r>
      </w:hyperlink>
    </w:p>
    <w:p w:rsidR="00BA1015" w:rsidRDefault="00894A4E">
      <w:pPr>
        <w:pStyle w:val="TOC1"/>
        <w:tabs>
          <w:tab w:val="left" w:pos="440"/>
        </w:tabs>
        <w:rPr>
          <w:rFonts w:asciiTheme="minorHAnsi" w:eastAsiaTheme="minorEastAsia" w:hAnsiTheme="minorHAnsi" w:cstheme="minorBidi"/>
          <w:b w:val="0"/>
          <w:kern w:val="0"/>
          <w:lang w:eastAsia="en-AU"/>
        </w:rPr>
      </w:pPr>
      <w:hyperlink w:anchor="_Toc401848139" w:history="1">
        <w:r w:rsidR="00BA1015" w:rsidRPr="00152653">
          <w:rPr>
            <w:rStyle w:val="Hyperlink"/>
          </w:rPr>
          <w:t>3.</w:t>
        </w:r>
        <w:r w:rsidR="00BA1015">
          <w:rPr>
            <w:rFonts w:asciiTheme="minorHAnsi" w:eastAsiaTheme="minorEastAsia" w:hAnsiTheme="minorHAnsi" w:cstheme="minorBidi"/>
            <w:b w:val="0"/>
            <w:kern w:val="0"/>
            <w:lang w:eastAsia="en-AU"/>
          </w:rPr>
          <w:tab/>
        </w:r>
        <w:r w:rsidR="00BA1015" w:rsidRPr="00152653">
          <w:rPr>
            <w:rStyle w:val="Hyperlink"/>
          </w:rPr>
          <w:t>Disaster recovery funding arrangements</w:t>
        </w:r>
        <w:r w:rsidR="00BA1015">
          <w:rPr>
            <w:webHidden/>
          </w:rPr>
          <w:tab/>
        </w:r>
        <w:r w:rsidR="00BA1015">
          <w:rPr>
            <w:webHidden/>
          </w:rPr>
          <w:fldChar w:fldCharType="begin"/>
        </w:r>
        <w:r w:rsidR="00BA1015">
          <w:rPr>
            <w:webHidden/>
          </w:rPr>
          <w:instrText xml:space="preserve"> PAGEREF _Toc401848139 \h </w:instrText>
        </w:r>
        <w:r w:rsidR="00BA1015">
          <w:rPr>
            <w:webHidden/>
          </w:rPr>
        </w:r>
        <w:r w:rsidR="00BA1015">
          <w:rPr>
            <w:webHidden/>
          </w:rPr>
          <w:fldChar w:fldCharType="separate"/>
        </w:r>
        <w:r w:rsidR="00BA1015">
          <w:rPr>
            <w:webHidden/>
          </w:rPr>
          <w:t>8</w:t>
        </w:r>
        <w:r w:rsidR="00BA1015">
          <w:rPr>
            <w:webHidden/>
          </w:rPr>
          <w:fldChar w:fldCharType="end"/>
        </w:r>
      </w:hyperlink>
    </w:p>
    <w:p w:rsidR="00FE2FAD" w:rsidRPr="00FE2FAD" w:rsidRDefault="004F05D4" w:rsidP="00FE2FAD">
      <w:r>
        <w:fldChar w:fldCharType="end"/>
      </w:r>
    </w:p>
    <w:p w:rsidR="00874B25" w:rsidRDefault="000E7B6E" w:rsidP="00874B25">
      <w:pPr>
        <w:pStyle w:val="Heading1"/>
      </w:pPr>
      <w:r>
        <w:br w:type="page"/>
      </w:r>
    </w:p>
    <w:p w:rsidR="00A37B8B" w:rsidRDefault="00874B25" w:rsidP="000C20BC">
      <w:pPr>
        <w:pStyle w:val="Heading1"/>
        <w:numPr>
          <w:ilvl w:val="0"/>
          <w:numId w:val="25"/>
        </w:numPr>
        <w:ind w:left="426"/>
      </w:pPr>
      <w:bookmarkStart w:id="8" w:name="_Toc401848137"/>
      <w:r>
        <w:lastRenderedPageBreak/>
        <w:t>Introduction</w:t>
      </w:r>
      <w:bookmarkEnd w:id="8"/>
    </w:p>
    <w:p w:rsidR="007064F5" w:rsidRDefault="00B46837" w:rsidP="007064F5">
      <w:r>
        <w:t>The Attorney-General’s Department (the Department) welcomes the opportunity to make this supplementary submission in response to findings and recommendations included in the Productivit</w:t>
      </w:r>
      <w:r w:rsidR="00467CFC">
        <w:t>y Commission’s (the Commission</w:t>
      </w:r>
      <w:r>
        <w:t>) draft report on natural disaster funding arrangements.</w:t>
      </w:r>
      <w:r w:rsidR="007064F5">
        <w:t xml:space="preserve"> This submission should be read in conjunction with the Department’s original submission and the Commission’s draft report. </w:t>
      </w:r>
    </w:p>
    <w:p w:rsidR="00D1722D" w:rsidRDefault="00B46837" w:rsidP="00051C3A">
      <w:pPr>
        <w:spacing w:after="100"/>
      </w:pPr>
      <w:r>
        <w:t xml:space="preserve">The Department’s original submission provided an overview of current disaster funding arrangements and explored the potential for reformed arrangements to improve Australia’s resilience to natural disasters. </w:t>
      </w:r>
      <w:r w:rsidR="00021B22">
        <w:t xml:space="preserve"> </w:t>
      </w:r>
      <w:r>
        <w:t xml:space="preserve">This supplementary submission </w:t>
      </w:r>
      <w:r w:rsidR="00D1722D">
        <w:t xml:space="preserve">provides additional </w:t>
      </w:r>
      <w:r w:rsidR="00A35AF8">
        <w:t xml:space="preserve">material </w:t>
      </w:r>
      <w:r w:rsidR="00D1722D">
        <w:t>relevant to</w:t>
      </w:r>
      <w:r>
        <w:t xml:space="preserve"> the Commission’s draft findings</w:t>
      </w:r>
      <w:r w:rsidR="00467CFC">
        <w:t>,</w:t>
      </w:r>
      <w:r>
        <w:t xml:space="preserve"> recommendations</w:t>
      </w:r>
      <w:r w:rsidR="00467CFC">
        <w:t xml:space="preserve"> and </w:t>
      </w:r>
      <w:r w:rsidR="00C823E3">
        <w:t xml:space="preserve">information </w:t>
      </w:r>
      <w:r w:rsidR="00467CFC">
        <w:t>requests</w:t>
      </w:r>
      <w:r w:rsidR="00D1722D">
        <w:t>, including information on:</w:t>
      </w:r>
    </w:p>
    <w:p w:rsidR="00CB2A9D" w:rsidRDefault="00E80BC0" w:rsidP="00A83767">
      <w:pPr>
        <w:pStyle w:val="ListParagraph"/>
        <w:numPr>
          <w:ilvl w:val="0"/>
          <w:numId w:val="24"/>
        </w:numPr>
        <w:ind w:left="714" w:hanging="357"/>
        <w:contextualSpacing w:val="0"/>
        <w:rPr>
          <w:rFonts w:ascii="Arial" w:hAnsi="Arial" w:cs="Arial"/>
        </w:rPr>
      </w:pPr>
      <w:r>
        <w:rPr>
          <w:rFonts w:ascii="Arial" w:hAnsi="Arial" w:cs="Arial"/>
        </w:rPr>
        <w:t xml:space="preserve">the benefits and provisioning of </w:t>
      </w:r>
      <w:r w:rsidR="00CB2A9D" w:rsidRPr="00A83767">
        <w:rPr>
          <w:rFonts w:ascii="Arial" w:hAnsi="Arial" w:cs="Arial"/>
        </w:rPr>
        <w:t>nationally coordinated mitigation strategies</w:t>
      </w:r>
    </w:p>
    <w:p w:rsidR="00E17752" w:rsidRPr="00A83767" w:rsidRDefault="00E17752" w:rsidP="00A83767">
      <w:pPr>
        <w:pStyle w:val="ListParagraph"/>
        <w:numPr>
          <w:ilvl w:val="0"/>
          <w:numId w:val="24"/>
        </w:numPr>
        <w:ind w:left="714" w:hanging="357"/>
        <w:contextualSpacing w:val="0"/>
        <w:rPr>
          <w:rFonts w:ascii="Arial" w:hAnsi="Arial" w:cs="Arial"/>
        </w:rPr>
      </w:pPr>
      <w:r>
        <w:rPr>
          <w:rFonts w:ascii="Arial" w:hAnsi="Arial" w:cs="Arial"/>
        </w:rPr>
        <w:t>the coordination of hazard mapping and modelling</w:t>
      </w:r>
    </w:p>
    <w:p w:rsidR="00E80BC0" w:rsidRDefault="00E80BC0" w:rsidP="00E80BC0">
      <w:pPr>
        <w:pStyle w:val="ListParagraph"/>
        <w:numPr>
          <w:ilvl w:val="0"/>
          <w:numId w:val="24"/>
        </w:numPr>
        <w:ind w:left="714" w:hanging="357"/>
        <w:contextualSpacing w:val="0"/>
        <w:rPr>
          <w:rFonts w:ascii="Arial" w:hAnsi="Arial" w:cs="Arial"/>
        </w:rPr>
      </w:pPr>
      <w:r>
        <w:rPr>
          <w:rFonts w:ascii="Arial" w:hAnsi="Arial" w:cs="Arial"/>
        </w:rPr>
        <w:t>aspects of the proposed recovery funding arrangements, and</w:t>
      </w:r>
      <w:r w:rsidRPr="00A83767">
        <w:rPr>
          <w:rFonts w:ascii="Arial" w:hAnsi="Arial" w:cs="Arial"/>
        </w:rPr>
        <w:t xml:space="preserve"> </w:t>
      </w:r>
    </w:p>
    <w:p w:rsidR="00D1722D" w:rsidRDefault="00E80BC0" w:rsidP="00A83767">
      <w:pPr>
        <w:pStyle w:val="ListParagraph"/>
        <w:numPr>
          <w:ilvl w:val="0"/>
          <w:numId w:val="24"/>
        </w:numPr>
        <w:rPr>
          <w:rFonts w:ascii="Arial" w:hAnsi="Arial" w:cs="Arial"/>
        </w:rPr>
      </w:pPr>
      <w:r>
        <w:rPr>
          <w:rFonts w:ascii="Arial" w:hAnsi="Arial" w:cs="Arial"/>
        </w:rPr>
        <w:t>provisioning for the development and implementation of</w:t>
      </w:r>
      <w:r w:rsidR="00CB2A9D" w:rsidRPr="00A83767">
        <w:rPr>
          <w:rFonts w:ascii="Arial" w:hAnsi="Arial" w:cs="Arial"/>
        </w:rPr>
        <w:t xml:space="preserve"> enabling capabilit</w:t>
      </w:r>
      <w:r w:rsidR="00893BB0">
        <w:rPr>
          <w:rFonts w:ascii="Arial" w:hAnsi="Arial" w:cs="Arial"/>
        </w:rPr>
        <w:t>ies</w:t>
      </w:r>
      <w:r w:rsidR="00CB2A9D" w:rsidRPr="00A83767">
        <w:rPr>
          <w:rFonts w:ascii="Arial" w:hAnsi="Arial" w:cs="Arial"/>
        </w:rPr>
        <w:t>, such as the proposed benchmarking of public infrastructure costs and impact assessment</w:t>
      </w:r>
      <w:r w:rsidR="00D23956">
        <w:rPr>
          <w:rStyle w:val="FootnoteReference"/>
          <w:rFonts w:ascii="Arial" w:hAnsi="Arial" w:cs="Arial"/>
        </w:rPr>
        <w:footnoteReference w:id="1"/>
      </w:r>
      <w:r w:rsidR="00CB2A9D" w:rsidRPr="00A83767">
        <w:rPr>
          <w:rFonts w:ascii="Arial" w:hAnsi="Arial" w:cs="Arial"/>
        </w:rPr>
        <w:t xml:space="preserve"> </w:t>
      </w:r>
    </w:p>
    <w:p w:rsidR="00FD7A62" w:rsidRPr="00FD7A62" w:rsidRDefault="00FD7A62" w:rsidP="00FD7A62">
      <w:r>
        <w:t>The Department looks forward to the Commission’s further consideration of these matters in the development of its final report.</w:t>
      </w:r>
    </w:p>
    <w:p w:rsidR="00893BB0" w:rsidRDefault="00704A93" w:rsidP="000C20BC">
      <w:pPr>
        <w:pStyle w:val="Heading1"/>
        <w:numPr>
          <w:ilvl w:val="0"/>
          <w:numId w:val="25"/>
        </w:numPr>
        <w:ind w:left="426"/>
      </w:pPr>
      <w:bookmarkStart w:id="9" w:name="_Toc401848138"/>
      <w:r>
        <w:lastRenderedPageBreak/>
        <w:t>Disaster m</w:t>
      </w:r>
      <w:r w:rsidR="00D45928">
        <w:t>itigation funding arrangements</w:t>
      </w:r>
      <w:bookmarkEnd w:id="9"/>
    </w:p>
    <w:p w:rsidR="00893BB0" w:rsidRDefault="00893BB0" w:rsidP="00893BB0">
      <w:r>
        <w:rPr>
          <w:noProof/>
          <w:lang w:eastAsia="en-AU"/>
        </w:rPr>
        <mc:AlternateContent>
          <mc:Choice Requires="wps">
            <w:drawing>
              <wp:inline distT="0" distB="0" distL="0" distR="0" wp14:anchorId="2A83554D" wp14:editId="0B6C3D53">
                <wp:extent cx="5759450" cy="5297170"/>
                <wp:effectExtent l="19050" t="19050" r="12700" b="10160"/>
                <wp:docPr id="4" name="Text Box 4"/>
                <wp:cNvGraphicFramePr/>
                <a:graphic xmlns:a="http://schemas.openxmlformats.org/drawingml/2006/main">
                  <a:graphicData uri="http://schemas.microsoft.com/office/word/2010/wordprocessingShape">
                    <wps:wsp>
                      <wps:cNvSpPr txBox="1"/>
                      <wps:spPr>
                        <a:xfrm>
                          <a:off x="0" y="0"/>
                          <a:ext cx="5759450" cy="5297170"/>
                        </a:xfrm>
                        <a:prstGeom prst="rect">
                          <a:avLst/>
                        </a:prstGeom>
                        <a:solidFill>
                          <a:schemeClr val="bg2">
                            <a:lumMod val="75000"/>
                          </a:schemeClr>
                        </a:solidFill>
                        <a:ln w="31750" cap="sq" cmpd="sng">
                          <a:solidFill>
                            <a:srgbClr val="B08D36"/>
                          </a:solidFill>
                        </a:ln>
                        <a:effectLst/>
                      </wps:spPr>
                      <wps:style>
                        <a:lnRef idx="0">
                          <a:schemeClr val="accent1"/>
                        </a:lnRef>
                        <a:fillRef idx="0">
                          <a:schemeClr val="accent1"/>
                        </a:fillRef>
                        <a:effectRef idx="0">
                          <a:schemeClr val="accent1"/>
                        </a:effectRef>
                        <a:fontRef idx="minor">
                          <a:schemeClr val="dk1"/>
                        </a:fontRef>
                      </wps:style>
                      <wps:txbx>
                        <w:txbxContent>
                          <w:p w:rsidR="00893BB0" w:rsidRDefault="00893BB0" w:rsidP="00893BB0">
                            <w:pPr>
                              <w:rPr>
                                <w:b/>
                                <w:i/>
                              </w:rPr>
                            </w:pPr>
                            <w:r w:rsidRPr="0045285D">
                              <w:rPr>
                                <w:b/>
                                <w:i/>
                              </w:rPr>
                              <w:t>I</w:t>
                            </w:r>
                            <w:r>
                              <w:rPr>
                                <w:b/>
                                <w:i/>
                              </w:rPr>
                              <w:t>n draft recommendation 3.2</w:t>
                            </w:r>
                            <w:r w:rsidRPr="0045285D">
                              <w:rPr>
                                <w:b/>
                                <w:i/>
                              </w:rPr>
                              <w:t>, the Commission recommends</w:t>
                            </w:r>
                            <w:r>
                              <w:rPr>
                                <w:b/>
                                <w:i/>
                              </w:rPr>
                              <w:t xml:space="preserve"> that,</w:t>
                            </w:r>
                          </w:p>
                          <w:p w:rsidR="00893BB0" w:rsidRDefault="00893BB0" w:rsidP="00893BB0">
                            <w:pPr>
                              <w:pStyle w:val="ListParagraph"/>
                              <w:ind w:left="360"/>
                              <w:contextualSpacing w:val="0"/>
                              <w:rPr>
                                <w:b/>
                                <w:i/>
                              </w:rPr>
                            </w:pPr>
                            <w:r>
                              <w:rPr>
                                <w:b/>
                                <w:i/>
                              </w:rPr>
                              <w:t xml:space="preserve">If the Australian Government reduces the relief and recovery funding it provides to state and territory governments, it should increase annual mitigation expenditure gradually to $200 million, distributed to the states and territories on a per capita basis. </w:t>
                            </w:r>
                            <w:r w:rsidR="000F5FC7">
                              <w:rPr>
                                <w:b/>
                                <w:i/>
                              </w:rPr>
                              <w:t xml:space="preserve"> </w:t>
                            </w:r>
                            <w:r>
                              <w:rPr>
                                <w:b/>
                                <w:i/>
                              </w:rPr>
                              <w:t>The amount of mitigation spending could be adjusted over time to reflect the imputed ‘savings’ from reduced relief and recovery funding.</w:t>
                            </w:r>
                          </w:p>
                          <w:p w:rsidR="00893BB0" w:rsidRPr="00871CE9" w:rsidRDefault="00893BB0" w:rsidP="00893BB0">
                            <w:pPr>
                              <w:pStyle w:val="ListParagraph"/>
                              <w:ind w:left="360"/>
                              <w:contextualSpacing w:val="0"/>
                              <w:rPr>
                                <w:b/>
                                <w:i/>
                              </w:rPr>
                            </w:pPr>
                            <w:r w:rsidRPr="00871CE9">
                              <w:rPr>
                                <w:b/>
                                <w:i/>
                              </w:rPr>
                              <w:t xml:space="preserve">Increased mitigation funding should be conditional on matched funding contributions from the states and territories and best-practice institutional and governance arrangements for identifying and selecting mitigation projects. </w:t>
                            </w:r>
                            <w:r w:rsidR="000F5FC7">
                              <w:rPr>
                                <w:b/>
                                <w:i/>
                              </w:rPr>
                              <w:t xml:space="preserve"> </w:t>
                            </w:r>
                            <w:r w:rsidRPr="00871CE9">
                              <w:rPr>
                                <w:b/>
                                <w:i/>
                              </w:rPr>
                              <w:t xml:space="preserve">These would include: </w:t>
                            </w:r>
                          </w:p>
                          <w:p w:rsidR="00893BB0" w:rsidRDefault="00893BB0" w:rsidP="00893BB0">
                            <w:pPr>
                              <w:pStyle w:val="ListParagraph"/>
                              <w:numPr>
                                <w:ilvl w:val="0"/>
                                <w:numId w:val="12"/>
                              </w:numPr>
                              <w:contextualSpacing w:val="0"/>
                              <w:rPr>
                                <w:b/>
                                <w:i/>
                              </w:rPr>
                            </w:pPr>
                            <w:r>
                              <w:rPr>
                                <w:b/>
                                <w:i/>
                              </w:rPr>
                              <w:t>Project proposals that are supported by robust and transparent evaluations (including cost-benefit analysis and assessment of non-quantifiable impacts), consistent with National Emergency Risk Assessment Guidelines risk assessments and long-term asset management plans, and subject to public consultation and public disclosure of analysis and decisions</w:t>
                            </w:r>
                          </w:p>
                          <w:p w:rsidR="00893BB0" w:rsidRDefault="00893BB0" w:rsidP="00893BB0">
                            <w:pPr>
                              <w:pStyle w:val="ListParagraph"/>
                              <w:numPr>
                                <w:ilvl w:val="0"/>
                                <w:numId w:val="12"/>
                              </w:numPr>
                              <w:contextualSpacing w:val="0"/>
                              <w:rPr>
                                <w:b/>
                                <w:i/>
                              </w:rPr>
                            </w:pPr>
                            <w:r>
                              <w:rPr>
                                <w:b/>
                                <w:i/>
                              </w:rPr>
                              <w:t>Considering all alternative or complimentary mitigation options (including both structural and non-structural measures)</w:t>
                            </w:r>
                          </w:p>
                          <w:p w:rsidR="00893BB0" w:rsidRPr="003D74A5" w:rsidRDefault="00893BB0" w:rsidP="00893BB0">
                            <w:pPr>
                              <w:pStyle w:val="ListParagraph"/>
                              <w:numPr>
                                <w:ilvl w:val="0"/>
                                <w:numId w:val="12"/>
                              </w:numPr>
                              <w:contextualSpacing w:val="0"/>
                              <w:rPr>
                                <w:b/>
                                <w:i/>
                              </w:rPr>
                            </w:pPr>
                            <w:r>
                              <w:rPr>
                                <w:b/>
                                <w:i/>
                              </w:rPr>
                              <w:t>U</w:t>
                            </w:r>
                            <w:r w:rsidRPr="003D74A5">
                              <w:rPr>
                                <w:b/>
                                <w:i/>
                              </w:rPr>
                              <w:t>sing private funding sources where it is feasible and efficient to do so (including charging beneficiaries)</w:t>
                            </w:r>
                          </w:p>
                          <w:p w:rsidR="00893BB0" w:rsidRPr="0045285D" w:rsidRDefault="00893BB0" w:rsidP="00893BB0">
                            <w:pPr>
                              <w:pStyle w:val="ListParagraph"/>
                              <w:numPr>
                                <w:ilvl w:val="0"/>
                                <w:numId w:val="12"/>
                              </w:numPr>
                              <w:contextualSpacing w:val="0"/>
                              <w:rPr>
                                <w:b/>
                                <w:i/>
                              </w:rPr>
                            </w:pPr>
                            <w:r>
                              <w:rPr>
                                <w:b/>
                                <w:i/>
                              </w:rPr>
                              <w:t>P</w:t>
                            </w:r>
                            <w:r w:rsidRPr="003D74A5">
                              <w:rPr>
                                <w:b/>
                                <w:i/>
                              </w:rPr>
                              <w:t>artnering with insurers</w:t>
                            </w:r>
                            <w:r>
                              <w:rPr>
                                <w:b/>
                                <w:i/>
                              </w:rPr>
                              <w:t xml:space="preserve"> to encourage take-up of adequate private insurance and private mitigation through measures such as improved information sharing and reduced premiums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id="Text Box 4" o:spid="_x0000_s1027" type="#_x0000_t202" style="width:453.5pt;height:4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" fillcolor="#c4bc96 [2414]" strokecolor="#b08d36" strokeweight="2.5pt">
                <v:stroke endcap="square"/>
                <v:textbox style="mso-fit-shape-to-text:t">
                  <w:txbxContent>
                    <w:p w:rsidR="00893BB0" w:rsidRDefault="00893BB0" w:rsidP="00893BB0">
                      <w:pPr>
                        <w:rPr>
                          <w:b/>
                          <w:i/>
                        </w:rPr>
                      </w:pPr>
                      <w:r w:rsidRPr="0045285D">
                        <w:rPr>
                          <w:b/>
                          <w:i/>
                        </w:rPr>
                        <w:t>I</w:t>
                      </w:r>
                      <w:r>
                        <w:rPr>
                          <w:b/>
                          <w:i/>
                        </w:rPr>
                        <w:t>n draft recommendation 3.2</w:t>
                      </w:r>
                      <w:r w:rsidRPr="0045285D">
                        <w:rPr>
                          <w:b/>
                          <w:i/>
                        </w:rPr>
                        <w:t>, the Commission recommends</w:t>
                      </w:r>
                      <w:r>
                        <w:rPr>
                          <w:b/>
                          <w:i/>
                        </w:rPr>
                        <w:t xml:space="preserve"> that,</w:t>
                      </w:r>
                    </w:p>
                    <w:p w:rsidR="00893BB0" w:rsidRDefault="00893BB0" w:rsidP="00893BB0">
                      <w:pPr>
                        <w:pStyle w:val="ListParagraph"/>
                        <w:ind w:left="360"/>
                        <w:contextualSpacing w:val="0"/>
                        <w:rPr>
                          <w:b/>
                          <w:i/>
                        </w:rPr>
                      </w:pPr>
                      <w:r>
                        <w:rPr>
                          <w:b/>
                          <w:i/>
                        </w:rPr>
                        <w:t xml:space="preserve">If the Australian Government reduces the relief and recovery funding it provides to state and territory governments, it should increase annual mitigation expenditure gradually to $200 million, distributed to the states and territories on a per capita basis. </w:t>
                      </w:r>
                      <w:r w:rsidR="000F5FC7">
                        <w:rPr>
                          <w:b/>
                          <w:i/>
                        </w:rPr>
                        <w:t xml:space="preserve"> </w:t>
                      </w:r>
                      <w:r>
                        <w:rPr>
                          <w:b/>
                          <w:i/>
                        </w:rPr>
                        <w:t>The amount of mitigation spending could be adjusted over time to reflect the imputed ‘savings’ from reduced relief and recovery funding.</w:t>
                      </w:r>
                    </w:p>
                    <w:p w:rsidR="00893BB0" w:rsidRPr="00871CE9" w:rsidRDefault="00893BB0" w:rsidP="00893BB0">
                      <w:pPr>
                        <w:pStyle w:val="ListParagraph"/>
                        <w:ind w:left="360"/>
                        <w:contextualSpacing w:val="0"/>
                        <w:rPr>
                          <w:b/>
                          <w:i/>
                        </w:rPr>
                      </w:pPr>
                      <w:r w:rsidRPr="00871CE9">
                        <w:rPr>
                          <w:b/>
                          <w:i/>
                        </w:rPr>
                        <w:t xml:space="preserve">Increased mitigation funding should be conditional on matched funding contributions from the states and territories and best-practice institutional and governance arrangements for identifying and selecting mitigation projects. </w:t>
                      </w:r>
                      <w:r w:rsidR="000F5FC7">
                        <w:rPr>
                          <w:b/>
                          <w:i/>
                        </w:rPr>
                        <w:t xml:space="preserve"> </w:t>
                      </w:r>
                      <w:r w:rsidRPr="00871CE9">
                        <w:rPr>
                          <w:b/>
                          <w:i/>
                        </w:rPr>
                        <w:t xml:space="preserve">These would include: </w:t>
                      </w:r>
                    </w:p>
                    <w:p w:rsidR="00893BB0" w:rsidRDefault="00893BB0" w:rsidP="00893BB0">
                      <w:pPr>
                        <w:pStyle w:val="ListParagraph"/>
                        <w:numPr>
                          <w:ilvl w:val="0"/>
                          <w:numId w:val="12"/>
                        </w:numPr>
                        <w:contextualSpacing w:val="0"/>
                        <w:rPr>
                          <w:b/>
                          <w:i/>
                        </w:rPr>
                      </w:pPr>
                      <w:r>
                        <w:rPr>
                          <w:b/>
                          <w:i/>
                        </w:rPr>
                        <w:t>Project proposals that are supported by robust and transparent evaluations (including cost-benefit analysis and assessment of non-quantifiable impacts), consistent with National Emergency Risk Assessment Guidelines risk assessments and long-term asset management plans, and subject to public consultation and public disclosure of analysis and decisions</w:t>
                      </w:r>
                    </w:p>
                    <w:p w:rsidR="00893BB0" w:rsidRDefault="00893BB0" w:rsidP="00893BB0">
                      <w:pPr>
                        <w:pStyle w:val="ListParagraph"/>
                        <w:numPr>
                          <w:ilvl w:val="0"/>
                          <w:numId w:val="12"/>
                        </w:numPr>
                        <w:contextualSpacing w:val="0"/>
                        <w:rPr>
                          <w:b/>
                          <w:i/>
                        </w:rPr>
                      </w:pPr>
                      <w:r>
                        <w:rPr>
                          <w:b/>
                          <w:i/>
                        </w:rPr>
                        <w:t>Considering all alternative or complimentary mitigation options (including both structural and non-structural measures)</w:t>
                      </w:r>
                    </w:p>
                    <w:p w:rsidR="00893BB0" w:rsidRPr="003D74A5" w:rsidRDefault="00893BB0" w:rsidP="00893BB0">
                      <w:pPr>
                        <w:pStyle w:val="ListParagraph"/>
                        <w:numPr>
                          <w:ilvl w:val="0"/>
                          <w:numId w:val="12"/>
                        </w:numPr>
                        <w:contextualSpacing w:val="0"/>
                        <w:rPr>
                          <w:b/>
                          <w:i/>
                        </w:rPr>
                      </w:pPr>
                      <w:r>
                        <w:rPr>
                          <w:b/>
                          <w:i/>
                        </w:rPr>
                        <w:t>U</w:t>
                      </w:r>
                      <w:r w:rsidRPr="003D74A5">
                        <w:rPr>
                          <w:b/>
                          <w:i/>
                        </w:rPr>
                        <w:t>sing private funding sources where it is feasible and efficient to do so (including charging beneficiaries)</w:t>
                      </w:r>
                    </w:p>
                    <w:p w:rsidR="00893BB0" w:rsidRPr="0045285D" w:rsidRDefault="00893BB0" w:rsidP="00893BB0">
                      <w:pPr>
                        <w:pStyle w:val="ListParagraph"/>
                        <w:numPr>
                          <w:ilvl w:val="0"/>
                          <w:numId w:val="12"/>
                        </w:numPr>
                        <w:contextualSpacing w:val="0"/>
                        <w:rPr>
                          <w:b/>
                          <w:i/>
                        </w:rPr>
                      </w:pPr>
                      <w:r>
                        <w:rPr>
                          <w:b/>
                          <w:i/>
                        </w:rPr>
                        <w:t>P</w:t>
                      </w:r>
                      <w:r w:rsidRPr="003D74A5">
                        <w:rPr>
                          <w:b/>
                          <w:i/>
                        </w:rPr>
                        <w:t>artnering with insurers</w:t>
                      </w:r>
                      <w:r>
                        <w:rPr>
                          <w:b/>
                          <w:i/>
                        </w:rPr>
                        <w:t xml:space="preserve"> to encourage take-up of adequate private insurance and private mitigation through measures such as improved information sharing and reduced premiums</w:t>
                      </w:r>
                    </w:p>
                  </w:txbxContent>
                </v:textbox>
                <w10:anchorlock/>
              </v:shape>
            </w:pict>
          </mc:Fallback>
        </mc:AlternateContent>
      </w:r>
    </w:p>
    <w:p w:rsidR="004F05F1" w:rsidRPr="00723E6E" w:rsidRDefault="000C20BC" w:rsidP="004F05F1">
      <w:pPr>
        <w:pStyle w:val="Heading2"/>
        <w:spacing w:before="0"/>
        <w:rPr>
          <w:sz w:val="33"/>
          <w:szCs w:val="33"/>
        </w:rPr>
      </w:pPr>
      <w:r>
        <w:rPr>
          <w:sz w:val="33"/>
          <w:szCs w:val="33"/>
        </w:rPr>
        <w:t xml:space="preserve">2.1 </w:t>
      </w:r>
      <w:r>
        <w:rPr>
          <w:sz w:val="33"/>
          <w:szCs w:val="33"/>
        </w:rPr>
        <w:tab/>
      </w:r>
      <w:r w:rsidR="004F05F1" w:rsidRPr="00723E6E">
        <w:rPr>
          <w:sz w:val="33"/>
          <w:szCs w:val="33"/>
        </w:rPr>
        <w:t>National programmes supporting disaster resilience</w:t>
      </w:r>
    </w:p>
    <w:p w:rsidR="007F7BBE" w:rsidRDefault="00E80BC0" w:rsidP="004F05F1">
      <w:r>
        <w:t>In recent years,</w:t>
      </w:r>
      <w:r w:rsidR="004F05F1">
        <w:t xml:space="preserve"> state and local governments </w:t>
      </w:r>
      <w:r>
        <w:t xml:space="preserve">have undertaken </w:t>
      </w:r>
      <w:r w:rsidR="004F05F1">
        <w:t xml:space="preserve">a diverse range of </w:t>
      </w:r>
      <w:r w:rsidR="000F6DB3">
        <w:t xml:space="preserve">important </w:t>
      </w:r>
      <w:r w:rsidR="004F05F1">
        <w:t xml:space="preserve">disaster mitigation activities </w:t>
      </w:r>
      <w:r>
        <w:t xml:space="preserve">specifically </w:t>
      </w:r>
      <w:r w:rsidR="00E31164">
        <w:t>targeted</w:t>
      </w:r>
      <w:r>
        <w:t xml:space="preserve"> </w:t>
      </w:r>
      <w:r w:rsidR="00511AA0">
        <w:t>at</w:t>
      </w:r>
      <w:r w:rsidR="00E31164">
        <w:t xml:space="preserve"> </w:t>
      </w:r>
      <w:r w:rsidR="00511AA0">
        <w:t xml:space="preserve">their </w:t>
      </w:r>
      <w:r w:rsidR="00E31164">
        <w:t>local risk</w:t>
      </w:r>
      <w:r w:rsidR="00511AA0">
        <w:t>s</w:t>
      </w:r>
      <w:r w:rsidR="00E31164">
        <w:t xml:space="preserve"> and </w:t>
      </w:r>
      <w:r w:rsidR="00511AA0">
        <w:t>capability gaps</w:t>
      </w:r>
      <w:r w:rsidR="004F05F1">
        <w:t xml:space="preserve">. </w:t>
      </w:r>
      <w:r w:rsidR="00723F5B">
        <w:t xml:space="preserve">For example, Victoria </w:t>
      </w:r>
      <w:r w:rsidR="004F05F1">
        <w:t xml:space="preserve">has </w:t>
      </w:r>
      <w:r w:rsidR="004C6569">
        <w:t>funded the removal of fuel lo</w:t>
      </w:r>
      <w:r w:rsidR="00960D80">
        <w:t>ads in the Indigo Shire Council;</w:t>
      </w:r>
      <w:r w:rsidR="004C6569">
        <w:t xml:space="preserve"> the development of a state-</w:t>
      </w:r>
      <w:r w:rsidR="00960D80">
        <w:t>wide earthquake risk map;</w:t>
      </w:r>
      <w:r w:rsidR="004C6569">
        <w:t xml:space="preserve"> flood mod</w:t>
      </w:r>
      <w:r w:rsidR="00960D80">
        <w:t>elling for the town of Warragul;</w:t>
      </w:r>
      <w:r w:rsidR="004C6569">
        <w:t xml:space="preserve"> and the construction of levees in</w:t>
      </w:r>
      <w:r w:rsidR="00FE4748">
        <w:t xml:space="preserve"> Kerang</w:t>
      </w:r>
      <w:r w:rsidR="004F05F1">
        <w:t xml:space="preserve">. </w:t>
      </w:r>
      <w:r w:rsidR="000F5FC7">
        <w:t xml:space="preserve"> </w:t>
      </w:r>
      <w:r w:rsidR="004F05F1">
        <w:t>Queensland has construct</w:t>
      </w:r>
      <w:r w:rsidR="004C6569">
        <w:t>ed fire</w:t>
      </w:r>
      <w:r w:rsidR="00A565A1">
        <w:t>-</w:t>
      </w:r>
      <w:r w:rsidR="00960D80">
        <w:t xml:space="preserve">trails </w:t>
      </w:r>
      <w:r w:rsidR="0058186D">
        <w:t xml:space="preserve">at </w:t>
      </w:r>
      <w:r w:rsidR="00960D80">
        <w:t>Noosa;</w:t>
      </w:r>
      <w:r w:rsidR="004C6569">
        <w:t xml:space="preserve"> improved</w:t>
      </w:r>
      <w:r w:rsidR="004F05F1">
        <w:t xml:space="preserve"> levees </w:t>
      </w:r>
      <w:r w:rsidR="006B790C">
        <w:t xml:space="preserve">at </w:t>
      </w:r>
      <w:r w:rsidR="00960D80">
        <w:t>Thallon;</w:t>
      </w:r>
      <w:r w:rsidR="004C6569">
        <w:t xml:space="preserve"> </w:t>
      </w:r>
      <w:r w:rsidR="004F05F1">
        <w:t>and install</w:t>
      </w:r>
      <w:r>
        <w:t>ed</w:t>
      </w:r>
      <w:r w:rsidR="004F05F1">
        <w:t xml:space="preserve"> river gauges to enhance flood predictions</w:t>
      </w:r>
      <w:r w:rsidR="004C6569" w:rsidRPr="004C6569">
        <w:t xml:space="preserve"> </w:t>
      </w:r>
      <w:r w:rsidR="004C6569">
        <w:t>in the Comet River near Rolleston</w:t>
      </w:r>
      <w:r w:rsidR="004F05F1">
        <w:t>.</w:t>
      </w:r>
      <w:r w:rsidR="00E31164">
        <w:t xml:space="preserve">  </w:t>
      </w:r>
    </w:p>
    <w:p w:rsidR="007F7BBE" w:rsidRPr="007F7BBE" w:rsidRDefault="006B790C" w:rsidP="0022544D">
      <w:r>
        <w:t xml:space="preserve">The Commonwealth provides financial </w:t>
      </w:r>
      <w:r w:rsidR="00E31164">
        <w:t xml:space="preserve">support </w:t>
      </w:r>
      <w:r w:rsidR="00723F5B">
        <w:t xml:space="preserve">to such initiatives </w:t>
      </w:r>
      <w:r w:rsidR="00E31164">
        <w:t xml:space="preserve">through </w:t>
      </w:r>
      <w:r w:rsidR="004C6569">
        <w:t>the</w:t>
      </w:r>
      <w:r w:rsidR="00E31164">
        <w:t xml:space="preserve"> cost-shar</w:t>
      </w:r>
      <w:r w:rsidR="004C6569">
        <w:t>ed</w:t>
      </w:r>
      <w:r w:rsidR="00E31164">
        <w:t xml:space="preserve"> Natural Disaster Resilience Programme (NDRP)</w:t>
      </w:r>
      <w:r w:rsidR="00871F4E">
        <w:t xml:space="preserve"> and the National Bushfire Mitigation </w:t>
      </w:r>
      <w:r w:rsidR="00871F4E">
        <w:lastRenderedPageBreak/>
        <w:t>Programme (NBMP).</w:t>
      </w:r>
      <w:r w:rsidR="00A74A70" w:rsidRPr="00A74A70">
        <w:rPr>
          <w:rStyle w:val="FootnoteReference"/>
        </w:rPr>
        <w:t xml:space="preserve"> </w:t>
      </w:r>
      <w:r w:rsidR="00A74A70">
        <w:rPr>
          <w:rStyle w:val="FootnoteReference"/>
        </w:rPr>
        <w:footnoteReference w:id="2"/>
      </w:r>
      <w:r w:rsidR="00871F4E">
        <w:t xml:space="preserve">  Funding for the NDRP is</w:t>
      </w:r>
      <w:r w:rsidR="00E31164">
        <w:t xml:space="preserve"> distributed </w:t>
      </w:r>
      <w:r w:rsidR="00511AA0">
        <w:t xml:space="preserve">to the states </w:t>
      </w:r>
      <w:r w:rsidR="00871F4E">
        <w:t xml:space="preserve">based </w:t>
      </w:r>
      <w:r w:rsidR="00E31164">
        <w:t xml:space="preserve">on </w:t>
      </w:r>
      <w:r w:rsidR="00871F4E">
        <w:t>population, cost of disasters and relative disadvantage</w:t>
      </w:r>
      <w:r w:rsidR="00511AA0">
        <w:t xml:space="preserve">, </w:t>
      </w:r>
      <w:r w:rsidR="00871F4E">
        <w:t xml:space="preserve">and </w:t>
      </w:r>
      <w:r w:rsidR="00E31164">
        <w:t>adjusted to support the smaller states</w:t>
      </w:r>
      <w:r w:rsidR="007F7BBE">
        <w:t xml:space="preserve">. </w:t>
      </w:r>
      <w:r w:rsidR="00A74A70">
        <w:t xml:space="preserve"> </w:t>
      </w:r>
      <w:r w:rsidR="0022544D">
        <w:t>F</w:t>
      </w:r>
      <w:r w:rsidR="007F7BBE">
        <w:t xml:space="preserve">unding </w:t>
      </w:r>
      <w:r w:rsidR="007F7BBE" w:rsidRPr="00286231">
        <w:t xml:space="preserve">allocations </w:t>
      </w:r>
      <w:r w:rsidR="0022544D">
        <w:t>for the NBMP reflect</w:t>
      </w:r>
      <w:r w:rsidR="007F7BBE" w:rsidRPr="00286231">
        <w:t xml:space="preserve"> each state</w:t>
      </w:r>
      <w:r w:rsidR="0022544D">
        <w:t xml:space="preserve">’s bushfire risk and population, drawing on a range of sources, including </w:t>
      </w:r>
      <w:r w:rsidR="007F7BBE" w:rsidRPr="00286231">
        <w:t xml:space="preserve">Australian Demographic Statistics published by the </w:t>
      </w:r>
      <w:r w:rsidR="0022544D">
        <w:t xml:space="preserve">Australian Bureau of Statistics, and </w:t>
      </w:r>
      <w:r w:rsidR="007F7BBE" w:rsidRPr="00286231">
        <w:t xml:space="preserve">the </w:t>
      </w:r>
      <w:proofErr w:type="spellStart"/>
      <w:r w:rsidR="007F7BBE" w:rsidRPr="00286231">
        <w:t>PerilAus</w:t>
      </w:r>
      <w:proofErr w:type="spellEnd"/>
      <w:r w:rsidR="007F7BBE" w:rsidRPr="00286231">
        <w:t xml:space="preserve"> Database published by Risk Frontiers research centre at Macquarie University, New South Wales.</w:t>
      </w:r>
      <w:r w:rsidR="0022544D">
        <w:t xml:space="preserve"> There may be merit in the Commission considering the potential for a </w:t>
      </w:r>
      <w:r w:rsidR="00A74A70">
        <w:t xml:space="preserve">disaster mitigation </w:t>
      </w:r>
      <w:r w:rsidR="0022544D">
        <w:t xml:space="preserve">funding model that </w:t>
      </w:r>
      <w:r w:rsidR="00C80615">
        <w:t>also considers</w:t>
      </w:r>
      <w:r w:rsidR="0022544D">
        <w:t xml:space="preserve"> state risk profiles, </w:t>
      </w:r>
      <w:r w:rsidR="00A74A70">
        <w:t xml:space="preserve">rather </w:t>
      </w:r>
      <w:r w:rsidR="0022544D">
        <w:t>than one based purely on a per-capita basis.</w:t>
      </w:r>
    </w:p>
    <w:p w:rsidR="004F05F1" w:rsidRDefault="0022544D" w:rsidP="004F05F1">
      <w:r>
        <w:t>I</w:t>
      </w:r>
      <w:r w:rsidR="00E31164">
        <w:t>nitiatives</w:t>
      </w:r>
      <w:r>
        <w:t xml:space="preserve"> such as those described above,</w:t>
      </w:r>
      <w:r w:rsidR="00E31164">
        <w:t xml:space="preserve"> are critical to </w:t>
      </w:r>
      <w:r>
        <w:t xml:space="preserve">risk </w:t>
      </w:r>
      <w:r w:rsidR="00E31164">
        <w:t>prevention a</w:t>
      </w:r>
      <w:r w:rsidR="000F6DB3">
        <w:t>nd preparation at a local level</w:t>
      </w:r>
      <w:r>
        <w:t xml:space="preserve">. </w:t>
      </w:r>
      <w:r w:rsidR="00051C3A">
        <w:t xml:space="preserve"> </w:t>
      </w:r>
      <w:r>
        <w:t>However, the</w:t>
      </w:r>
      <w:r w:rsidR="000F6DB3">
        <w:t xml:space="preserve"> best</w:t>
      </w:r>
      <w:r w:rsidR="00701AA4">
        <w:t>-</w:t>
      </w:r>
      <w:r w:rsidR="000F6DB3">
        <w:t>practice</w:t>
      </w:r>
      <w:r w:rsidR="006C6E93">
        <w:t xml:space="preserve"> </w:t>
      </w:r>
      <w:r w:rsidR="00723F5B">
        <w:t xml:space="preserve">guidance </w:t>
      </w:r>
      <w:r w:rsidR="006C6E93">
        <w:t xml:space="preserve">that underpins </w:t>
      </w:r>
      <w:r w:rsidR="00723F5B">
        <w:t xml:space="preserve">local activity </w:t>
      </w:r>
      <w:r w:rsidR="000F6DB3">
        <w:t xml:space="preserve">and </w:t>
      </w:r>
      <w:r>
        <w:t>drives sustained transformation</w:t>
      </w:r>
      <w:r w:rsidR="000F6DB3">
        <w:t xml:space="preserve"> is often only </w:t>
      </w:r>
      <w:r w:rsidR="00723F5B">
        <w:t>developed</w:t>
      </w:r>
      <w:r w:rsidR="000F6DB3">
        <w:t xml:space="preserve"> </w:t>
      </w:r>
      <w:r>
        <w:t xml:space="preserve">and implemented </w:t>
      </w:r>
      <w:r w:rsidR="00A432FC">
        <w:t>on a national scale</w:t>
      </w:r>
      <w:r w:rsidR="000F6DB3">
        <w:t>.</w:t>
      </w:r>
      <w:r w:rsidR="000F5FC7">
        <w:t xml:space="preserve"> </w:t>
      </w:r>
    </w:p>
    <w:p w:rsidR="00002CD6" w:rsidRDefault="004F05F1" w:rsidP="004F05F1">
      <w:r>
        <w:t xml:space="preserve">The Commission has recognised several </w:t>
      </w:r>
      <w:r w:rsidR="00543A9A">
        <w:t xml:space="preserve">examples </w:t>
      </w:r>
      <w:r>
        <w:t>of these national initiatives in its draft report, including the National Emergency Risk Assessment Guidelines (NERAG), the National Impact Assessment Model</w:t>
      </w:r>
      <w:r w:rsidR="00543A9A">
        <w:t xml:space="preserve"> (NIAM)</w:t>
      </w:r>
      <w:r>
        <w:t xml:space="preserve">, and the </w:t>
      </w:r>
      <w:r w:rsidRPr="001032A0">
        <w:t>Enhancing Disaster Resilience in the Built Environment</w:t>
      </w:r>
      <w:r>
        <w:t xml:space="preserve"> Roadmap.</w:t>
      </w:r>
      <w:r w:rsidR="000F5FC7">
        <w:t xml:space="preserve"> </w:t>
      </w:r>
      <w:r>
        <w:t xml:space="preserve"> Other </w:t>
      </w:r>
      <w:r w:rsidR="00543A9A">
        <w:t xml:space="preserve">important </w:t>
      </w:r>
      <w:r>
        <w:t xml:space="preserve">national initiatives include </w:t>
      </w:r>
      <w:r w:rsidR="00E37FCF">
        <w:t xml:space="preserve">for example, </w:t>
      </w:r>
      <w:r>
        <w:t>the Australian Emergency Management Knowledge Hub</w:t>
      </w:r>
      <w:r w:rsidR="004C6569">
        <w:t xml:space="preserve"> </w:t>
      </w:r>
      <w:r>
        <w:t>and the development of best-practice guidelines for flood risk management</w:t>
      </w:r>
      <w:r w:rsidRPr="00E37FCF">
        <w:t>.</w:t>
      </w:r>
      <w:r w:rsidR="00002CD6">
        <w:t xml:space="preserve"> </w:t>
      </w:r>
    </w:p>
    <w:p w:rsidR="004F05F1" w:rsidRDefault="00002CD6" w:rsidP="004F05F1">
      <w:r>
        <w:t xml:space="preserve">The benefits associated with national initiatives often only accrue across multiple jurisdictions, and after a high level of development and experimentation. It is unlikely that states would prioritise the provision of national projects when faced with the opportunity cost of reduced funding for more local strategies. </w:t>
      </w:r>
    </w:p>
    <w:p w:rsidR="004F05F1" w:rsidRDefault="004F05F1" w:rsidP="004F05F1">
      <w:r>
        <w:t xml:space="preserve">The Department currently funds </w:t>
      </w:r>
      <w:r w:rsidR="000B42A4">
        <w:t>nationally significant activities</w:t>
      </w:r>
      <w:r w:rsidR="00F765DF">
        <w:t>, such as those listed above,</w:t>
      </w:r>
      <w:r w:rsidR="000B42A4">
        <w:t xml:space="preserve"> through the</w:t>
      </w:r>
      <w:r>
        <w:t xml:space="preserve"> National Emergency Management Projects (NEMP) grants programme</w:t>
      </w:r>
      <w:r w:rsidR="00F765DF">
        <w:t>.</w:t>
      </w:r>
      <w:r w:rsidR="009E3E2D">
        <w:t xml:space="preserve"> </w:t>
      </w:r>
      <w:r w:rsidR="00F765DF">
        <w:t xml:space="preserve"> S</w:t>
      </w:r>
      <w:r w:rsidR="006C6E93">
        <w:t xml:space="preserve">tates </w:t>
      </w:r>
      <w:r w:rsidR="00F765DF">
        <w:t>play</w:t>
      </w:r>
      <w:r w:rsidR="006C6E93">
        <w:t xml:space="preserve"> a</w:t>
      </w:r>
      <w:r w:rsidR="00F765DF">
        <w:t>n important</w:t>
      </w:r>
      <w:r w:rsidR="006C6E93">
        <w:t xml:space="preserve"> role in setting </w:t>
      </w:r>
      <w:r w:rsidR="00F765DF">
        <w:t xml:space="preserve">the </w:t>
      </w:r>
      <w:r w:rsidR="006C6E93">
        <w:t>national funding priorities</w:t>
      </w:r>
      <w:r w:rsidR="00F765DF">
        <w:t xml:space="preserve"> for the programme</w:t>
      </w:r>
      <w:r w:rsidR="006C6E93">
        <w:t xml:space="preserve"> and assessing applications</w:t>
      </w:r>
      <w:r w:rsidR="00F765DF">
        <w:t>, in collaboration with the Commonwealth</w:t>
      </w:r>
      <w:r>
        <w:t xml:space="preserve">. </w:t>
      </w:r>
      <w:r w:rsidR="009E3E2D">
        <w:t xml:space="preserve"> </w:t>
      </w:r>
      <w:r>
        <w:t xml:space="preserve">However funding under the NEMP is limited and funding rounds are </w:t>
      </w:r>
      <w:r w:rsidR="00543A9A">
        <w:t>consistently</w:t>
      </w:r>
      <w:r>
        <w:t xml:space="preserve"> oversubscribed. For example, in</w:t>
      </w:r>
      <w:r w:rsidR="00051C3A">
        <w:t xml:space="preserve"> </w:t>
      </w:r>
      <w:r>
        <w:t>2012</w:t>
      </w:r>
      <w:r w:rsidR="000C0F56">
        <w:t>–</w:t>
      </w:r>
      <w:r>
        <w:t xml:space="preserve">13 the Department received proposals totalling $10.7 million, compared to </w:t>
      </w:r>
      <w:r w:rsidR="006C6E93">
        <w:t xml:space="preserve">the </w:t>
      </w:r>
      <w:r>
        <w:t>$2.9 million</w:t>
      </w:r>
      <w:r w:rsidR="006C6E93">
        <w:t xml:space="preserve"> allocated to the programme</w:t>
      </w:r>
      <w:r>
        <w:t>.</w:t>
      </w:r>
      <w:r w:rsidR="009E3E2D">
        <w:t xml:space="preserve"> </w:t>
      </w:r>
      <w:r>
        <w:t xml:space="preserve"> In 2013</w:t>
      </w:r>
      <w:r w:rsidR="000C0F56">
        <w:t>–</w:t>
      </w:r>
      <w:r>
        <w:t>14, submissions totalling $12.8 million were received against $3.7 million</w:t>
      </w:r>
      <w:r w:rsidR="006C6E93">
        <w:t xml:space="preserve"> of available funding</w:t>
      </w:r>
      <w:r>
        <w:t xml:space="preserve">. </w:t>
      </w:r>
    </w:p>
    <w:p w:rsidR="00F765DF" w:rsidRDefault="000B42A4" w:rsidP="00F765DF">
      <w:r>
        <w:t xml:space="preserve">The </w:t>
      </w:r>
      <w:r w:rsidR="006C6E93">
        <w:t>lack of funding</w:t>
      </w:r>
      <w:r>
        <w:t xml:space="preserve"> </w:t>
      </w:r>
      <w:r w:rsidR="00F765DF">
        <w:t xml:space="preserve">also </w:t>
      </w:r>
      <w:r w:rsidR="006C6E93">
        <w:t xml:space="preserve">limits the potential to </w:t>
      </w:r>
      <w:r>
        <w:t>support multi-year</w:t>
      </w:r>
      <w:r w:rsidR="00866C32">
        <w:t xml:space="preserve"> projects</w:t>
      </w:r>
      <w:r>
        <w:t xml:space="preserve"> </w:t>
      </w:r>
      <w:r w:rsidR="006C6E93">
        <w:t>or</w:t>
      </w:r>
      <w:r>
        <w:t xml:space="preserve"> ongoing implementation</w:t>
      </w:r>
      <w:r w:rsidR="006C6E93">
        <w:t xml:space="preserve"> of initiatives</w:t>
      </w:r>
      <w:r w:rsidR="00F765DF">
        <w:t xml:space="preserve">, which has a significant impact on timely implementation, as </w:t>
      </w:r>
      <w:r w:rsidR="00F765DF">
        <w:lastRenderedPageBreak/>
        <w:t xml:space="preserve">evidenced </w:t>
      </w:r>
      <w:r w:rsidR="00FE4748">
        <w:t>by</w:t>
      </w:r>
      <w:r w:rsidR="00F765DF">
        <w:t xml:space="preserve"> the slow progress implementing the </w:t>
      </w:r>
      <w:r w:rsidR="00FE4748">
        <w:t>Enhancing Disaster Resilience in the Built Environment Roadmap</w:t>
      </w:r>
      <w:r w:rsidR="00F765DF">
        <w:t>, for example</w:t>
      </w:r>
      <w:r>
        <w:t>.</w:t>
      </w:r>
      <w:r w:rsidR="00E20862" w:rsidRPr="00E20862">
        <w:t xml:space="preserve"> </w:t>
      </w:r>
      <w:r w:rsidR="00C07AA2">
        <w:t xml:space="preserve"> </w:t>
      </w:r>
    </w:p>
    <w:p w:rsidR="007F7BBE" w:rsidRPr="007F7BBE" w:rsidRDefault="00002CD6" w:rsidP="007F7BBE">
      <w:r w:rsidRPr="00C07AA2">
        <w:t>T</w:t>
      </w:r>
      <w:r w:rsidR="004F05F1" w:rsidRPr="00C07AA2">
        <w:t xml:space="preserve">he </w:t>
      </w:r>
      <w:r w:rsidR="00290D49" w:rsidRPr="00C07AA2">
        <w:t>D</w:t>
      </w:r>
      <w:r w:rsidR="00A565A1" w:rsidRPr="00C07AA2">
        <w:t xml:space="preserve">epartment </w:t>
      </w:r>
      <w:r w:rsidR="00F765DF" w:rsidRPr="00C07AA2">
        <w:t>welcome</w:t>
      </w:r>
      <w:r w:rsidR="00F40DE1">
        <w:t>s</w:t>
      </w:r>
      <w:r w:rsidR="00F765DF" w:rsidRPr="00C07AA2">
        <w:t xml:space="preserve"> the Commission’s consideration of a </w:t>
      </w:r>
      <w:r w:rsidR="00F00960" w:rsidRPr="00C07AA2">
        <w:t xml:space="preserve">mitigation </w:t>
      </w:r>
      <w:r w:rsidR="00A565A1" w:rsidRPr="00C07AA2">
        <w:t xml:space="preserve">funding </w:t>
      </w:r>
      <w:r w:rsidRPr="00C07AA2">
        <w:t xml:space="preserve">model that </w:t>
      </w:r>
      <w:r w:rsidR="00C80615">
        <w:t>also considers</w:t>
      </w:r>
      <w:r w:rsidR="004400C2">
        <w:t xml:space="preserve"> state disaster risk profiles, and </w:t>
      </w:r>
      <w:r w:rsidRPr="00C07AA2">
        <w:t>makes provision for natio</w:t>
      </w:r>
      <w:r w:rsidR="00B940DD" w:rsidRPr="00C07AA2">
        <w:t>nally significant projects.</w:t>
      </w:r>
    </w:p>
    <w:p w:rsidR="004F05F1" w:rsidRPr="000C20BC" w:rsidRDefault="000C20BC" w:rsidP="000C20BC">
      <w:pPr>
        <w:pStyle w:val="Heading2"/>
        <w:spacing w:before="0"/>
        <w:rPr>
          <w:sz w:val="33"/>
          <w:szCs w:val="33"/>
        </w:rPr>
      </w:pPr>
      <w:r>
        <w:rPr>
          <w:sz w:val="33"/>
          <w:szCs w:val="33"/>
        </w:rPr>
        <w:t xml:space="preserve">2.3 </w:t>
      </w:r>
      <w:r>
        <w:rPr>
          <w:sz w:val="33"/>
          <w:szCs w:val="33"/>
        </w:rPr>
        <w:tab/>
      </w:r>
      <w:r w:rsidR="004F05F1" w:rsidRPr="000C20BC">
        <w:rPr>
          <w:sz w:val="33"/>
          <w:szCs w:val="33"/>
        </w:rPr>
        <w:t>Guidelines for the collection and dissemination of hazard mapping and modelling</w:t>
      </w:r>
    </w:p>
    <w:p w:rsidR="004F05F1" w:rsidRDefault="004F05F1" w:rsidP="004F05F1">
      <w:r w:rsidRPr="004F05F1">
        <w:rPr>
          <w:b/>
          <w:i/>
        </w:rPr>
        <w:t>The Commission has sought information as to who would be best placed to develop</w:t>
      </w:r>
      <w:r>
        <w:t xml:space="preserve"> </w:t>
      </w:r>
      <w:r>
        <w:rPr>
          <w:b/>
          <w:i/>
        </w:rPr>
        <w:t xml:space="preserve">guidelines for the collection and dissemination of hazard mapping and modelling, what hazards the guidelines would cover, and how they could be prioritised for development. </w:t>
      </w:r>
    </w:p>
    <w:p w:rsidR="0089626A" w:rsidRDefault="009C7E72" w:rsidP="004F05F1">
      <w:r>
        <w:t>T</w:t>
      </w:r>
      <w:r w:rsidR="004F05F1">
        <w:t xml:space="preserve">he Australian Government </w:t>
      </w:r>
      <w:r w:rsidR="0089626A">
        <w:t xml:space="preserve">supports </w:t>
      </w:r>
      <w:r w:rsidR="004F05F1">
        <w:t>the development of guidelines for the collection and dissemination of hazard mapping and modelling</w:t>
      </w:r>
      <w:r w:rsidR="0089626A">
        <w:t xml:space="preserve">, </w:t>
      </w:r>
      <w:r w:rsidR="00A74A70">
        <w:t xml:space="preserve">including </w:t>
      </w:r>
      <w:r w:rsidR="0089626A">
        <w:t xml:space="preserve">through the NEMP grants programme. Recent examples include </w:t>
      </w:r>
      <w:r w:rsidR="004F05F1">
        <w:t xml:space="preserve">the </w:t>
      </w:r>
      <w:r w:rsidR="004F05F1" w:rsidRPr="00051C3A">
        <w:rPr>
          <w:i/>
        </w:rPr>
        <w:t>Landslide Risk Management Guidelines</w:t>
      </w:r>
      <w:r w:rsidR="00B87226">
        <w:t xml:space="preserve"> and </w:t>
      </w:r>
      <w:r w:rsidR="00FE4748" w:rsidRPr="00051C3A">
        <w:rPr>
          <w:i/>
        </w:rPr>
        <w:t>Managing the Floodplain: A guide to best practice in flood risk management in Australia</w:t>
      </w:r>
      <w:r w:rsidR="00FE4748">
        <w:t>.</w:t>
      </w:r>
      <w:r w:rsidR="004F05F1">
        <w:t xml:space="preserve"> </w:t>
      </w:r>
      <w:r w:rsidR="009E3E2D">
        <w:t xml:space="preserve"> </w:t>
      </w:r>
    </w:p>
    <w:p w:rsidR="00D20C9C" w:rsidRDefault="004F05F1" w:rsidP="004F05F1">
      <w:r>
        <w:t>While the Australian Government provides a</w:t>
      </w:r>
      <w:r w:rsidR="009C7E72">
        <w:t>n important</w:t>
      </w:r>
      <w:r>
        <w:t xml:space="preserve"> leadership </w:t>
      </w:r>
      <w:r w:rsidR="009C7E72">
        <w:t xml:space="preserve">and coordination </w:t>
      </w:r>
      <w:r>
        <w:t xml:space="preserve">role, the </w:t>
      </w:r>
      <w:r w:rsidR="009C7E72">
        <w:t xml:space="preserve">development </w:t>
      </w:r>
      <w:r w:rsidR="00AF55A1">
        <w:t xml:space="preserve">of effective guidelines </w:t>
      </w:r>
      <w:r w:rsidR="009C7E72">
        <w:t>is reliant on a</w:t>
      </w:r>
      <w:r>
        <w:t xml:space="preserve"> collaborative engagement model. </w:t>
      </w:r>
      <w:r w:rsidR="009E3E2D">
        <w:t xml:space="preserve"> </w:t>
      </w:r>
      <w:r>
        <w:t>The support and expertise of the states, as well as the private sector and academic institutions such as the B</w:t>
      </w:r>
      <w:r w:rsidR="008A7F25">
        <w:t xml:space="preserve">ushfire and </w:t>
      </w:r>
      <w:r>
        <w:t>N</w:t>
      </w:r>
      <w:r w:rsidR="008A7F25">
        <w:t xml:space="preserve">atural </w:t>
      </w:r>
      <w:r>
        <w:t>H</w:t>
      </w:r>
      <w:r w:rsidR="008A7F25">
        <w:t xml:space="preserve">azards </w:t>
      </w:r>
      <w:r>
        <w:t>C</w:t>
      </w:r>
      <w:r w:rsidR="008A7F25">
        <w:t xml:space="preserve">ooperative </w:t>
      </w:r>
      <w:r>
        <w:t>R</w:t>
      </w:r>
      <w:r w:rsidR="008A7F25">
        <w:t xml:space="preserve">esearch </w:t>
      </w:r>
      <w:r>
        <w:t>C</w:t>
      </w:r>
      <w:r w:rsidR="008A7F25">
        <w:t>entre</w:t>
      </w:r>
      <w:r>
        <w:t xml:space="preserve"> is essential </w:t>
      </w:r>
      <w:r w:rsidR="009C7E72">
        <w:t xml:space="preserve">to </w:t>
      </w:r>
      <w:r>
        <w:t xml:space="preserve">developing </w:t>
      </w:r>
      <w:r w:rsidR="00AF55A1">
        <w:t xml:space="preserve">nationally-agreed </w:t>
      </w:r>
      <w:r w:rsidR="009C7E72">
        <w:t>best-practice</w:t>
      </w:r>
      <w:r>
        <w:t xml:space="preserve"> that </w:t>
      </w:r>
      <w:r w:rsidR="009C7E72">
        <w:t xml:space="preserve">is </w:t>
      </w:r>
      <w:r>
        <w:t xml:space="preserve">widely adopted. </w:t>
      </w:r>
      <w:r w:rsidR="009E3E2D">
        <w:t xml:space="preserve"> </w:t>
      </w:r>
      <w:r w:rsidR="0089626A">
        <w:t>In addition to specific project funding, s</w:t>
      </w:r>
      <w:r>
        <w:t xml:space="preserve">pecialist Australian Government </w:t>
      </w:r>
      <w:r w:rsidR="00D20C9C">
        <w:t xml:space="preserve">agencies </w:t>
      </w:r>
      <w:r>
        <w:t>such as the Bureau</w:t>
      </w:r>
      <w:r w:rsidR="00D20C9C">
        <w:t xml:space="preserve"> of Meteorology</w:t>
      </w:r>
      <w:r w:rsidR="00AB72CE">
        <w:t xml:space="preserve"> (the Bureau)</w:t>
      </w:r>
      <w:r>
        <w:t>, CSIRO and G</w:t>
      </w:r>
      <w:r w:rsidR="00D20C9C">
        <w:t xml:space="preserve">eoscience </w:t>
      </w:r>
      <w:r>
        <w:t>A</w:t>
      </w:r>
      <w:r w:rsidR="00D20C9C">
        <w:t>ustralia</w:t>
      </w:r>
      <w:r>
        <w:t xml:space="preserve"> </w:t>
      </w:r>
      <w:r w:rsidR="009C7E72">
        <w:t xml:space="preserve">make a highly valued </w:t>
      </w:r>
      <w:r w:rsidR="0089626A">
        <w:t xml:space="preserve">in-kind </w:t>
      </w:r>
      <w:r>
        <w:t>contribut</w:t>
      </w:r>
      <w:r w:rsidR="009C7E72">
        <w:t>ion</w:t>
      </w:r>
      <w:r>
        <w:t xml:space="preserve"> to </w:t>
      </w:r>
      <w:r w:rsidR="009C7E72">
        <w:t>such guidelines, consistent with their organisations’ core roles and responsibilities</w:t>
      </w:r>
      <w:r>
        <w:t xml:space="preserve">. </w:t>
      </w:r>
      <w:r w:rsidR="009E3E2D">
        <w:t xml:space="preserve"> </w:t>
      </w:r>
      <w:r w:rsidR="009C7E72">
        <w:t xml:space="preserve">For example, </w:t>
      </w:r>
      <w:r w:rsidR="000C0F56">
        <w:t xml:space="preserve">the Australian Government has contributed funding towards Engineers Australia’s </w:t>
      </w:r>
      <w:r w:rsidR="009C7E72">
        <w:t>revision of the Australian Rainfall and Runoff (ARR) to update techniques and approaches to flood management</w:t>
      </w:r>
      <w:r w:rsidR="000C0F56">
        <w:t>.  In addition,</w:t>
      </w:r>
      <w:r w:rsidR="009C7E72">
        <w:t xml:space="preserve"> the Bureau, Geoscience Australia and the Department</w:t>
      </w:r>
      <w:r w:rsidR="000C0F56">
        <w:t xml:space="preserve"> have provided in-kind support for the project</w:t>
      </w:r>
      <w:r w:rsidR="009C7E72">
        <w:t>.</w:t>
      </w:r>
    </w:p>
    <w:p w:rsidR="00E17752" w:rsidRDefault="009C7E72" w:rsidP="004F05F1">
      <w:r>
        <w:t>T</w:t>
      </w:r>
      <w:r w:rsidR="004F05F1">
        <w:t xml:space="preserve">he Australian Government </w:t>
      </w:r>
      <w:r>
        <w:t xml:space="preserve">also </w:t>
      </w:r>
      <w:r w:rsidR="004F05F1">
        <w:t>plays an important role in collecting information</w:t>
      </w:r>
      <w:r>
        <w:t xml:space="preserve"> in relation to some natural hazards</w:t>
      </w:r>
      <w:r w:rsidR="004F05F1">
        <w:t xml:space="preserve">. </w:t>
      </w:r>
      <w:r w:rsidR="009E3E2D">
        <w:t xml:space="preserve"> </w:t>
      </w:r>
      <w:r>
        <w:t>Where the Commonwealth collects data and can attest to its quality, it makes it widely available to stakeholders and the general public.</w:t>
      </w:r>
      <w:r w:rsidR="00E17752">
        <w:t xml:space="preserve"> </w:t>
      </w:r>
      <w:r w:rsidR="009E3E2D">
        <w:t xml:space="preserve"> </w:t>
      </w:r>
      <w:r w:rsidR="00E17752">
        <w:t xml:space="preserve">For example, the Bureau </w:t>
      </w:r>
      <w:r w:rsidR="00E17752" w:rsidRPr="004B19E9">
        <w:t xml:space="preserve">has numerous data streams and expertise related to </w:t>
      </w:r>
      <w:r w:rsidR="00E17752">
        <w:t>t</w:t>
      </w:r>
      <w:r w:rsidR="00E17752" w:rsidRPr="004B19E9">
        <w:t>ropical cyclones, severe weather, fire, flood and tsunami</w:t>
      </w:r>
      <w:r w:rsidR="00E17752">
        <w:t>.</w:t>
      </w:r>
    </w:p>
    <w:p w:rsidR="00FE4748" w:rsidRDefault="00FE4748" w:rsidP="00FE4748">
      <w:r>
        <w:lastRenderedPageBreak/>
        <w:t xml:space="preserve">The agencies and organisations that collect hazard information are best placed to determine and warrant its accuracy and make decisions about how the information can be made publicly available.  The Australian Government’s open data policy </w:t>
      </w:r>
      <w:r w:rsidRPr="00857900">
        <w:t>encourages public access to</w:t>
      </w:r>
      <w:r w:rsidR="00857900">
        <w:t>,</w:t>
      </w:r>
      <w:r w:rsidRPr="00857900">
        <w:t xml:space="preserve"> and reuse of</w:t>
      </w:r>
      <w:r w:rsidR="00857900">
        <w:t>,</w:t>
      </w:r>
      <w:r w:rsidRPr="00857900">
        <w:t xml:space="preserve"> government data by providing it in useful formats and under open licences.  In accordance with the open data policy, t</w:t>
      </w:r>
      <w:r>
        <w:t xml:space="preserve">he Australian Government supports the public release of hazard information.  The Australian Government has also developed </w:t>
      </w:r>
      <w:proofErr w:type="spellStart"/>
      <w:r>
        <w:t>NationalMap</w:t>
      </w:r>
      <w:proofErr w:type="spellEnd"/>
      <w:r>
        <w:t xml:space="preserve">, an open data initiative giving users access to a single platform for </w:t>
      </w:r>
      <w:r w:rsidR="00857900">
        <w:t xml:space="preserve">Australian </w:t>
      </w:r>
      <w:r>
        <w:t xml:space="preserve">Government geospatial datasets, including those from the Bureau, </w:t>
      </w:r>
      <w:r w:rsidR="00857900">
        <w:t xml:space="preserve">the </w:t>
      </w:r>
      <w:r>
        <w:t xml:space="preserve">Australian Bureau of Statistics and data.gov.au. </w:t>
      </w:r>
      <w:r w:rsidR="00857900">
        <w:t xml:space="preserve"> </w:t>
      </w:r>
      <w:r>
        <w:t xml:space="preserve">Through these initiatives and others such as the </w:t>
      </w:r>
      <w:r w:rsidR="00BB2F07">
        <w:t>Australian</w:t>
      </w:r>
      <w:r>
        <w:t xml:space="preserve"> Flood Risk Information Portal, the Australian Government </w:t>
      </w:r>
      <w:r w:rsidR="0089626A">
        <w:t>facilitates</w:t>
      </w:r>
      <w:r>
        <w:t xml:space="preserve"> the aggregation of hazard information </w:t>
      </w:r>
      <w:r w:rsidR="00B84D23">
        <w:t xml:space="preserve">from a wide range of </w:t>
      </w:r>
      <w:r>
        <w:t>sources</w:t>
      </w:r>
      <w:r w:rsidR="00B84D23">
        <w:t>,</w:t>
      </w:r>
      <w:r>
        <w:t xml:space="preserve"> in a way that makes the information accessible to the public.</w:t>
      </w:r>
    </w:p>
    <w:p w:rsidR="005424C8" w:rsidRDefault="00713B5F" w:rsidP="005424C8">
      <w:pPr>
        <w:rPr>
          <w:i/>
          <w:iCs/>
        </w:rPr>
      </w:pPr>
      <w:r>
        <w:t xml:space="preserve">The </w:t>
      </w:r>
      <w:r w:rsidR="009C7E72">
        <w:t>Australia</w:t>
      </w:r>
      <w:r w:rsidR="004329BB">
        <w:t>-</w:t>
      </w:r>
      <w:r w:rsidR="009C7E72">
        <w:t>New Zealand Emergency Management Committee</w:t>
      </w:r>
      <w:r w:rsidR="00C70AD2">
        <w:t xml:space="preserve"> (ANZEMC)</w:t>
      </w:r>
      <w:r w:rsidR="009C7E72">
        <w:t xml:space="preserve"> </w:t>
      </w:r>
      <w:r w:rsidR="005D113B">
        <w:t>brings together</w:t>
      </w:r>
      <w:r w:rsidR="009C7E72">
        <w:t xml:space="preserve"> all levels of government to consider emergency management policy and funding priorities</w:t>
      </w:r>
      <w:r w:rsidR="005D113B">
        <w:t xml:space="preserve">. The committee </w:t>
      </w:r>
      <w:r w:rsidR="009C7E72">
        <w:t>is</w:t>
      </w:r>
      <w:r w:rsidR="004F05F1">
        <w:t xml:space="preserve"> </w:t>
      </w:r>
      <w:r w:rsidR="00AB72CE">
        <w:t>well-</w:t>
      </w:r>
      <w:r w:rsidR="004F05F1" w:rsidRPr="0073149A">
        <w:t xml:space="preserve">placed to </w:t>
      </w:r>
      <w:r w:rsidR="005D113B">
        <w:t>consider advice from jurisdictions and non-government specialists on</w:t>
      </w:r>
      <w:r w:rsidR="009C7E72">
        <w:t xml:space="preserve"> </w:t>
      </w:r>
      <w:r w:rsidR="00150EAD">
        <w:t xml:space="preserve">national </w:t>
      </w:r>
      <w:r w:rsidR="00061976">
        <w:t xml:space="preserve">hazard and risk information </w:t>
      </w:r>
      <w:r w:rsidR="009C7E72">
        <w:t>gaps</w:t>
      </w:r>
      <w:r w:rsidR="00433A7B">
        <w:t xml:space="preserve"> and policy issues that may inhibit open access</w:t>
      </w:r>
      <w:r w:rsidR="00696D81">
        <w:t>, and prioritise actions to address those gaps.</w:t>
      </w:r>
      <w:r w:rsidR="005424C8">
        <w:t xml:space="preserve"> </w:t>
      </w:r>
      <w:r w:rsidR="00C70AD2" w:rsidRPr="00C70AD2">
        <w:t xml:space="preserve"> However </w:t>
      </w:r>
      <w:r w:rsidR="00C70AD2">
        <w:t xml:space="preserve">it is noted that </w:t>
      </w:r>
      <w:r w:rsidR="005424C8" w:rsidRPr="00C70AD2">
        <w:t>many of the opportunities to building our collective und</w:t>
      </w:r>
      <w:r w:rsidR="00C70AD2" w:rsidRPr="00C70AD2">
        <w:t>erstanding of disaster risk sit</w:t>
      </w:r>
      <w:r w:rsidR="005424C8" w:rsidRPr="00C70AD2">
        <w:t xml:space="preserve"> outside the emergency management sector.</w:t>
      </w:r>
      <w:r w:rsidR="00C70AD2" w:rsidRPr="00C70AD2">
        <w:t xml:space="preserve">  </w:t>
      </w:r>
      <w:r w:rsidR="00C70AD2">
        <w:t>S</w:t>
      </w:r>
      <w:r w:rsidR="005424C8" w:rsidRPr="00C70AD2">
        <w:t>uccessfully addressing these challenges often requires the commitment of those responsible for broader state, territory and local government economic and social policies (such as residential planning, community housing, floodplain management), as well as the private sector and the academic and not-for-profit communities.</w:t>
      </w:r>
    </w:p>
    <w:p w:rsidR="004F2F27" w:rsidRDefault="004F2F27" w:rsidP="004F2F27"/>
    <w:p w:rsidR="004F2F27" w:rsidRDefault="004F2F27">
      <w:pPr>
        <w:spacing w:after="0" w:line="240" w:lineRule="auto"/>
        <w:rPr>
          <w:rFonts w:ascii="Arial Narrow" w:hAnsi="Arial Narrow" w:cs="Times New Roman"/>
          <w:kern w:val="0"/>
          <w:sz w:val="24"/>
        </w:rPr>
      </w:pPr>
      <w:r>
        <w:br w:type="page"/>
      </w:r>
    </w:p>
    <w:p w:rsidR="006D29A3" w:rsidRDefault="00704A93" w:rsidP="000C20BC">
      <w:pPr>
        <w:pStyle w:val="Heading1"/>
        <w:numPr>
          <w:ilvl w:val="0"/>
          <w:numId w:val="25"/>
        </w:numPr>
        <w:ind w:left="426"/>
      </w:pPr>
      <w:bookmarkStart w:id="10" w:name="_Toc401848139"/>
      <w:r>
        <w:lastRenderedPageBreak/>
        <w:t>Disaster recovery funding arrangements</w:t>
      </w:r>
      <w:bookmarkEnd w:id="10"/>
    </w:p>
    <w:p w:rsidR="00CC6D80" w:rsidRPr="00CC6D80" w:rsidRDefault="00CC6D80" w:rsidP="00CC6D80">
      <w:r>
        <w:rPr>
          <w:noProof/>
          <w:lang w:eastAsia="en-AU"/>
        </w:rPr>
        <mc:AlternateContent>
          <mc:Choice Requires="wps">
            <w:drawing>
              <wp:inline distT="0" distB="0" distL="0" distR="0" wp14:anchorId="76A1587F" wp14:editId="7AACF7B6">
                <wp:extent cx="5941060" cy="4215324"/>
                <wp:effectExtent l="19050" t="19050" r="21590" b="16510"/>
                <wp:docPr id="3" name="Text Box 3"/>
                <wp:cNvGraphicFramePr/>
                <a:graphic xmlns:a="http://schemas.openxmlformats.org/drawingml/2006/main">
                  <a:graphicData uri="http://schemas.microsoft.com/office/word/2010/wordprocessingShape">
                    <wps:wsp>
                      <wps:cNvSpPr txBox="1"/>
                      <wps:spPr>
                        <a:xfrm>
                          <a:off x="0" y="0"/>
                          <a:ext cx="5941060" cy="4215324"/>
                        </a:xfrm>
                        <a:prstGeom prst="rect">
                          <a:avLst/>
                        </a:prstGeom>
                        <a:solidFill>
                          <a:schemeClr val="bg2">
                            <a:lumMod val="75000"/>
                          </a:schemeClr>
                        </a:solidFill>
                        <a:ln w="31750" cap="sq" cmpd="sng">
                          <a:solidFill>
                            <a:srgbClr val="B08D36"/>
                          </a:solidFill>
                        </a:ln>
                        <a:effectLst/>
                      </wps:spPr>
                      <wps:style>
                        <a:lnRef idx="0">
                          <a:schemeClr val="accent1"/>
                        </a:lnRef>
                        <a:fillRef idx="0">
                          <a:schemeClr val="accent1"/>
                        </a:fillRef>
                        <a:effectRef idx="0">
                          <a:schemeClr val="accent1"/>
                        </a:effectRef>
                        <a:fontRef idx="minor">
                          <a:schemeClr val="dk1"/>
                        </a:fontRef>
                      </wps:style>
                      <wps:txbx>
                        <w:txbxContent>
                          <w:p w:rsidR="00CC6D80" w:rsidRPr="0045285D" w:rsidRDefault="00CC6D80" w:rsidP="00CC6D80">
                            <w:pPr>
                              <w:rPr>
                                <w:b/>
                                <w:i/>
                              </w:rPr>
                            </w:pPr>
                            <w:r w:rsidRPr="0045285D">
                              <w:rPr>
                                <w:b/>
                                <w:i/>
                              </w:rPr>
                              <w:t>In draft recommendation 3.1, the Commission recommends the Australian Government should:</w:t>
                            </w:r>
                          </w:p>
                          <w:p w:rsidR="00CC6D80" w:rsidRPr="0045285D" w:rsidRDefault="00CC6D80" w:rsidP="00CC6D80">
                            <w:pPr>
                              <w:pStyle w:val="ListParagraph"/>
                              <w:numPr>
                                <w:ilvl w:val="0"/>
                                <w:numId w:val="12"/>
                              </w:numPr>
                              <w:rPr>
                                <w:b/>
                                <w:i/>
                              </w:rPr>
                            </w:pPr>
                            <w:r w:rsidRPr="0045285D">
                              <w:rPr>
                                <w:b/>
                                <w:i/>
                              </w:rPr>
                              <w:t>Reduce its marginal cost sharing contribution rate to disaster recovery outlays to 50 per cent under the Natural Disaster Relief and Recovery Arrangements</w:t>
                            </w:r>
                          </w:p>
                          <w:p w:rsidR="00CC6D80" w:rsidRPr="0045285D" w:rsidRDefault="00CC6D80" w:rsidP="00CC6D80">
                            <w:pPr>
                              <w:pStyle w:val="ListParagraph"/>
                              <w:numPr>
                                <w:ilvl w:val="0"/>
                                <w:numId w:val="12"/>
                              </w:numPr>
                              <w:ind w:left="714" w:hanging="357"/>
                              <w:rPr>
                                <w:b/>
                                <w:i/>
                              </w:rPr>
                            </w:pPr>
                            <w:r w:rsidRPr="0045285D">
                              <w:rPr>
                                <w:b/>
                                <w:i/>
                              </w:rPr>
                              <w:t>Increase the triggers for Australian Government assistance (small disaster criterion and annual expenditure threshold).</w:t>
                            </w:r>
                          </w:p>
                          <w:p w:rsidR="00CC6D80" w:rsidRPr="0045285D" w:rsidRDefault="00CC6D80" w:rsidP="00CC6D80">
                            <w:pPr>
                              <w:spacing w:line="276" w:lineRule="auto"/>
                              <w:ind w:left="426"/>
                              <w:contextualSpacing/>
                              <w:rPr>
                                <w:rFonts w:ascii="Calibri" w:hAnsi="Calibri" w:cs="Calibri"/>
                                <w:b/>
                                <w:i/>
                              </w:rPr>
                            </w:pPr>
                            <w:r w:rsidRPr="0045285D">
                              <w:rPr>
                                <w:rFonts w:ascii="Calibri" w:hAnsi="Calibri" w:cs="Calibri"/>
                                <w:b/>
                                <w:i/>
                              </w:rPr>
                              <w:t>In conjunction with this reduction in funding assistance, the Australian Government should provide state and territory governments with increased autonomy to manage relief and recovery expenditure in a way that reflects the preferences and characteristics of their communities.</w:t>
                            </w:r>
                          </w:p>
                          <w:p w:rsidR="00CC6D80" w:rsidRPr="0045285D" w:rsidRDefault="00CC6D80" w:rsidP="00CC6D80">
                            <w:pPr>
                              <w:spacing w:before="360"/>
                              <w:rPr>
                                <w:b/>
                                <w:i/>
                              </w:rPr>
                            </w:pPr>
                            <w:r w:rsidRPr="0045285D">
                              <w:rPr>
                                <w:b/>
                                <w:i/>
                              </w:rPr>
                              <w:t>The Commission’s draft report proposes three possible reform options across the range of available relief and recovery funding mechanisms to the Australian Government:</w:t>
                            </w:r>
                          </w:p>
                          <w:p w:rsidR="00CC6D80" w:rsidRPr="0045285D" w:rsidRDefault="00CC6D80" w:rsidP="00CC6D80">
                            <w:pPr>
                              <w:pStyle w:val="ListParagraph"/>
                              <w:numPr>
                                <w:ilvl w:val="0"/>
                                <w:numId w:val="12"/>
                              </w:numPr>
                              <w:rPr>
                                <w:b/>
                                <w:i/>
                              </w:rPr>
                            </w:pPr>
                            <w:r w:rsidRPr="0045285D">
                              <w:rPr>
                                <w:b/>
                                <w:i/>
                              </w:rPr>
                              <w:t>Option 1 – reformed Natural Disaster Relief and Recovery Arrangements that utilise reimbursement for relief and recovery payments based on assessed damages and benchmark prices for reconstruction of essential public assets</w:t>
                            </w:r>
                          </w:p>
                          <w:p w:rsidR="00CC6D80" w:rsidRPr="0045285D" w:rsidRDefault="00CC6D80" w:rsidP="00CC6D80">
                            <w:pPr>
                              <w:pStyle w:val="ListParagraph"/>
                              <w:numPr>
                                <w:ilvl w:val="0"/>
                                <w:numId w:val="12"/>
                              </w:numPr>
                              <w:rPr>
                                <w:b/>
                                <w:i/>
                              </w:rPr>
                            </w:pPr>
                            <w:r w:rsidRPr="0045285D">
                              <w:rPr>
                                <w:b/>
                                <w:i/>
                              </w:rPr>
                              <w:t>Option 2 – an insurance ‘add-on’ option where states can purchase additional levels of cover for eligible expenditure from the Australian Government</w:t>
                            </w:r>
                          </w:p>
                          <w:p w:rsidR="00CC6D80" w:rsidRPr="0045285D" w:rsidRDefault="00CC6D80" w:rsidP="00CC6D80">
                            <w:pPr>
                              <w:pStyle w:val="ListParagraph"/>
                              <w:numPr>
                                <w:ilvl w:val="0"/>
                                <w:numId w:val="12"/>
                              </w:numPr>
                              <w:rPr>
                                <w:b/>
                                <w:i/>
                              </w:rPr>
                            </w:pPr>
                            <w:r w:rsidRPr="0045285D">
                              <w:rPr>
                                <w:b/>
                                <w:i/>
                              </w:rPr>
                              <w:t>Option 3 – upfront block grants assessed straight after an eligible natural disaster event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id="Text Box 3" o:spid="_x0000_s1028" type="#_x0000_t202" style="width:467.8pt;height:33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" fillcolor="#c4bc96 [2414]" strokecolor="#b08d36" strokeweight="2.5pt">
                <v:stroke endcap="square"/>
                <v:textbox style="mso-fit-shape-to-text:t">
                  <w:txbxContent>
                    <w:p w:rsidR="00CC6D80" w:rsidRPr="0045285D" w:rsidRDefault="00CC6D80" w:rsidP="00CC6D80">
                      <w:pPr>
                        <w:rPr>
                          <w:b/>
                          <w:i/>
                        </w:rPr>
                      </w:pPr>
                      <w:r w:rsidRPr="0045285D">
                        <w:rPr>
                          <w:b/>
                          <w:i/>
                        </w:rPr>
                        <w:t>In draft recommendation 3.1, the Commission recommends the Australian Government should:</w:t>
                      </w:r>
                    </w:p>
                    <w:p w:rsidR="00CC6D80" w:rsidRPr="0045285D" w:rsidRDefault="00CC6D80" w:rsidP="00CC6D80">
                      <w:pPr>
                        <w:pStyle w:val="ListParagraph"/>
                        <w:numPr>
                          <w:ilvl w:val="0"/>
                          <w:numId w:val="12"/>
                        </w:numPr>
                        <w:rPr>
                          <w:b/>
                          <w:i/>
                        </w:rPr>
                      </w:pPr>
                      <w:r w:rsidRPr="0045285D">
                        <w:rPr>
                          <w:b/>
                          <w:i/>
                        </w:rPr>
                        <w:t>Reduce its marginal cost sharing contribution rate to disaster recovery outlays to 50 per cent under the Natural Disaster Relief and Recovery Arrangements</w:t>
                      </w:r>
                    </w:p>
                    <w:p w:rsidR="00CC6D80" w:rsidRPr="0045285D" w:rsidRDefault="00CC6D80" w:rsidP="00CC6D80">
                      <w:pPr>
                        <w:pStyle w:val="ListParagraph"/>
                        <w:numPr>
                          <w:ilvl w:val="0"/>
                          <w:numId w:val="12"/>
                        </w:numPr>
                        <w:ind w:left="714" w:hanging="357"/>
                        <w:rPr>
                          <w:b/>
                          <w:i/>
                        </w:rPr>
                      </w:pPr>
                      <w:r w:rsidRPr="0045285D">
                        <w:rPr>
                          <w:b/>
                          <w:i/>
                        </w:rPr>
                        <w:t>Increase the triggers for Australian Government assistance (small disaster criterion and annual expenditure threshold).</w:t>
                      </w:r>
                    </w:p>
                    <w:p w:rsidR="00CC6D80" w:rsidRPr="0045285D" w:rsidRDefault="00CC6D80" w:rsidP="00CC6D80">
                      <w:pPr>
                        <w:spacing w:line="276" w:lineRule="auto"/>
                        <w:ind w:left="426"/>
                        <w:contextualSpacing/>
                        <w:rPr>
                          <w:rFonts w:ascii="Calibri" w:hAnsi="Calibri" w:cs="Calibri"/>
                          <w:b/>
                          <w:i/>
                        </w:rPr>
                      </w:pPr>
                      <w:r w:rsidRPr="0045285D">
                        <w:rPr>
                          <w:rFonts w:ascii="Calibri" w:hAnsi="Calibri" w:cs="Calibri"/>
                          <w:b/>
                          <w:i/>
                        </w:rPr>
                        <w:t>In conjunction with this reduction in funding assistance, the Australian Government should provide state and territory governments with increased autonomy to manage relief and recovery expenditure in a way that reflects the preferences and characteristics of their communities.</w:t>
                      </w:r>
                    </w:p>
                    <w:p w:rsidR="00CC6D80" w:rsidRPr="0045285D" w:rsidRDefault="00CC6D80" w:rsidP="00CC6D80">
                      <w:pPr>
                        <w:spacing w:before="360"/>
                        <w:rPr>
                          <w:b/>
                          <w:i/>
                        </w:rPr>
                      </w:pPr>
                      <w:r w:rsidRPr="0045285D">
                        <w:rPr>
                          <w:b/>
                          <w:i/>
                        </w:rPr>
                        <w:t>The Commission’s draft report proposes three possible reform options across the range of available relief and recovery funding mechanisms to the Australian Government:</w:t>
                      </w:r>
                    </w:p>
                    <w:p w:rsidR="00CC6D80" w:rsidRPr="0045285D" w:rsidRDefault="00CC6D80" w:rsidP="00CC6D80">
                      <w:pPr>
                        <w:pStyle w:val="ListParagraph"/>
                        <w:numPr>
                          <w:ilvl w:val="0"/>
                          <w:numId w:val="12"/>
                        </w:numPr>
                        <w:rPr>
                          <w:b/>
                          <w:i/>
                        </w:rPr>
                      </w:pPr>
                      <w:r w:rsidRPr="0045285D">
                        <w:rPr>
                          <w:b/>
                          <w:i/>
                        </w:rPr>
                        <w:t>Option 1 – reformed Natural Disaster Relief and Recovery Arrangements that utilise reimbursement for relief and recovery payments based on assessed damages and benchmark prices for reconstruction of essential public assets</w:t>
                      </w:r>
                    </w:p>
                    <w:p w:rsidR="00CC6D80" w:rsidRPr="0045285D" w:rsidRDefault="00CC6D80" w:rsidP="00CC6D80">
                      <w:pPr>
                        <w:pStyle w:val="ListParagraph"/>
                        <w:numPr>
                          <w:ilvl w:val="0"/>
                          <w:numId w:val="12"/>
                        </w:numPr>
                        <w:rPr>
                          <w:b/>
                          <w:i/>
                        </w:rPr>
                      </w:pPr>
                      <w:r w:rsidRPr="0045285D">
                        <w:rPr>
                          <w:b/>
                          <w:i/>
                        </w:rPr>
                        <w:t>Option 2 – an insurance ‘add-on’ option where states can purchase additional levels of cover for eligible expenditure from the Australian Government</w:t>
                      </w:r>
                    </w:p>
                    <w:p w:rsidR="00CC6D80" w:rsidRPr="0045285D" w:rsidRDefault="00CC6D80" w:rsidP="00CC6D80">
                      <w:pPr>
                        <w:pStyle w:val="ListParagraph"/>
                        <w:numPr>
                          <w:ilvl w:val="0"/>
                          <w:numId w:val="12"/>
                        </w:numPr>
                        <w:rPr>
                          <w:b/>
                          <w:i/>
                        </w:rPr>
                      </w:pPr>
                      <w:r w:rsidRPr="0045285D">
                        <w:rPr>
                          <w:b/>
                          <w:i/>
                        </w:rPr>
                        <w:t>Option 3 – upfront block grants assessed straight after an eligible natural disaster event</w:t>
                      </w:r>
                    </w:p>
                  </w:txbxContent>
                </v:textbox>
                <w10:anchorlock/>
              </v:shape>
            </w:pict>
          </mc:Fallback>
        </mc:AlternateContent>
      </w:r>
    </w:p>
    <w:p w:rsidR="00704A93" w:rsidRDefault="000C20BC" w:rsidP="00704A93">
      <w:pPr>
        <w:pStyle w:val="Heading2"/>
        <w:spacing w:before="0"/>
        <w:rPr>
          <w:sz w:val="33"/>
          <w:szCs w:val="33"/>
        </w:rPr>
      </w:pPr>
      <w:r>
        <w:rPr>
          <w:sz w:val="33"/>
          <w:szCs w:val="33"/>
        </w:rPr>
        <w:t xml:space="preserve">3.1 </w:t>
      </w:r>
      <w:r>
        <w:rPr>
          <w:sz w:val="33"/>
          <w:szCs w:val="33"/>
        </w:rPr>
        <w:tab/>
      </w:r>
      <w:r w:rsidR="00704A93" w:rsidRPr="00704A93">
        <w:rPr>
          <w:sz w:val="33"/>
          <w:szCs w:val="33"/>
        </w:rPr>
        <w:t>Recovery funding models based on reimbursement of eligible expenditure</w:t>
      </w:r>
    </w:p>
    <w:p w:rsidR="00186422" w:rsidRDefault="00186422" w:rsidP="005424C8">
      <w:r>
        <w:t xml:space="preserve">There will always be a level of residual disaster risk that cannot be anticipated, or that may not be effectively or efficiently mitigated in advance. Under the Natural Disaster Relief and Recovery Arrangements, the Australian Government reimburses eligible state and territory recovery costs when certain thresholds are met. </w:t>
      </w:r>
    </w:p>
    <w:p w:rsidR="003C0A44" w:rsidRDefault="003C0A44" w:rsidP="005424C8">
      <w:r>
        <w:t xml:space="preserve">The Commission recommends that Commonwealth support for community recovery initiatives </w:t>
      </w:r>
      <w:r w:rsidR="00B54B18">
        <w:t>and counter disaster operations</w:t>
      </w:r>
      <w:r w:rsidR="00D3275E">
        <w:t xml:space="preserve"> </w:t>
      </w:r>
      <w:r>
        <w:t xml:space="preserve">be streamlined and that the quantum of support continue to be based on an assessment of eligible costs. </w:t>
      </w:r>
    </w:p>
    <w:p w:rsidR="00DB54B5" w:rsidRPr="00DB54B5" w:rsidRDefault="00DB54B5" w:rsidP="00117455">
      <w:pPr>
        <w:pStyle w:val="CommentText"/>
      </w:pPr>
      <w:r>
        <w:rPr>
          <w:sz w:val="22"/>
          <w:szCs w:val="22"/>
        </w:rPr>
        <w:t xml:space="preserve">There are benefits associated with a model involving an upfront assessment of </w:t>
      </w:r>
      <w:r w:rsidRPr="00117455">
        <w:rPr>
          <w:sz w:val="22"/>
          <w:szCs w:val="22"/>
        </w:rPr>
        <w:t>the impact of a disaster</w:t>
      </w:r>
      <w:r>
        <w:rPr>
          <w:sz w:val="22"/>
          <w:szCs w:val="22"/>
        </w:rPr>
        <w:t xml:space="preserve"> and greater state autonomy to prioritise recovery assistance, </w:t>
      </w:r>
      <w:r w:rsidRPr="00117455">
        <w:rPr>
          <w:sz w:val="22"/>
          <w:szCs w:val="22"/>
        </w:rPr>
        <w:t>including for</w:t>
      </w:r>
      <w:r>
        <w:rPr>
          <w:sz w:val="22"/>
          <w:szCs w:val="22"/>
        </w:rPr>
        <w:t xml:space="preserve"> community recovery and counter-disaster expenditure.  This could encourage innovation in </w:t>
      </w:r>
      <w:r>
        <w:rPr>
          <w:sz w:val="22"/>
          <w:szCs w:val="22"/>
        </w:rPr>
        <w:lastRenderedPageBreak/>
        <w:t xml:space="preserve">recovery practices, and remove existing difficulties administering and acquitting eligible expenses in accordance with the </w:t>
      </w:r>
      <w:r w:rsidRPr="008C4319">
        <w:rPr>
          <w:i/>
          <w:sz w:val="22"/>
          <w:szCs w:val="22"/>
        </w:rPr>
        <w:t>Public Governance, Performance and Accountability Act 2013</w:t>
      </w:r>
      <w:r>
        <w:rPr>
          <w:sz w:val="22"/>
          <w:szCs w:val="22"/>
        </w:rPr>
        <w:t xml:space="preserve">. </w:t>
      </w:r>
    </w:p>
    <w:p w:rsidR="001231A2" w:rsidRDefault="001A70FA" w:rsidP="001A70FA">
      <w:pPr>
        <w:pStyle w:val="CommentText"/>
        <w:rPr>
          <w:sz w:val="22"/>
          <w:szCs w:val="22"/>
        </w:rPr>
      </w:pPr>
      <w:r>
        <w:rPr>
          <w:sz w:val="22"/>
          <w:szCs w:val="22"/>
        </w:rPr>
        <w:t xml:space="preserve">Innovation in the community recovery field is particularly important, and no best-practice model is well tried and tested. </w:t>
      </w:r>
      <w:r w:rsidR="00570B75">
        <w:rPr>
          <w:sz w:val="22"/>
          <w:szCs w:val="22"/>
        </w:rPr>
        <w:t xml:space="preserve">While a number of jurisdictions domestically and internationally are developing community recovery frameworks, </w:t>
      </w:r>
      <w:r w:rsidR="002A7E24">
        <w:rPr>
          <w:sz w:val="22"/>
          <w:szCs w:val="22"/>
        </w:rPr>
        <w:t>the long term nature of community recovery makes evaluation of interventions particularly challenging.</w:t>
      </w:r>
    </w:p>
    <w:p w:rsidR="00D643CE" w:rsidRPr="00187BFD" w:rsidRDefault="002A7E24" w:rsidP="00893BB0">
      <w:pPr>
        <w:pStyle w:val="CommentText"/>
        <w:rPr>
          <w:sz w:val="22"/>
          <w:szCs w:val="22"/>
        </w:rPr>
      </w:pPr>
      <w:r>
        <w:rPr>
          <w:sz w:val="22"/>
          <w:szCs w:val="22"/>
        </w:rPr>
        <w:t>U</w:t>
      </w:r>
      <w:r w:rsidR="00D643CE" w:rsidRPr="00187BFD">
        <w:rPr>
          <w:sz w:val="22"/>
          <w:szCs w:val="22"/>
        </w:rPr>
        <w:t>nderstand</w:t>
      </w:r>
      <w:r>
        <w:rPr>
          <w:sz w:val="22"/>
          <w:szCs w:val="22"/>
        </w:rPr>
        <w:t>ing</w:t>
      </w:r>
      <w:r w:rsidR="00D643CE" w:rsidRPr="00187BFD">
        <w:rPr>
          <w:sz w:val="22"/>
          <w:szCs w:val="22"/>
        </w:rPr>
        <w:t xml:space="preserve"> the </w:t>
      </w:r>
      <w:r>
        <w:rPr>
          <w:sz w:val="22"/>
          <w:szCs w:val="22"/>
        </w:rPr>
        <w:t>extent</w:t>
      </w:r>
      <w:r w:rsidRPr="00187BFD">
        <w:rPr>
          <w:sz w:val="22"/>
          <w:szCs w:val="22"/>
        </w:rPr>
        <w:t xml:space="preserve"> </w:t>
      </w:r>
      <w:r w:rsidR="00D643CE" w:rsidRPr="00187BFD">
        <w:rPr>
          <w:sz w:val="22"/>
          <w:szCs w:val="22"/>
        </w:rPr>
        <w:t xml:space="preserve">of </w:t>
      </w:r>
      <w:r>
        <w:rPr>
          <w:sz w:val="22"/>
          <w:szCs w:val="22"/>
        </w:rPr>
        <w:t xml:space="preserve">a disaster’s </w:t>
      </w:r>
      <w:r w:rsidR="00B54B18">
        <w:rPr>
          <w:sz w:val="22"/>
          <w:szCs w:val="22"/>
        </w:rPr>
        <w:t>impact on a community</w:t>
      </w:r>
      <w:r>
        <w:rPr>
          <w:sz w:val="22"/>
          <w:szCs w:val="22"/>
        </w:rPr>
        <w:t xml:space="preserve"> is also challenging. I</w:t>
      </w:r>
      <w:r w:rsidR="00D643CE" w:rsidRPr="00187BFD">
        <w:rPr>
          <w:sz w:val="22"/>
          <w:szCs w:val="22"/>
        </w:rPr>
        <w:t>t generally requires at least 3</w:t>
      </w:r>
      <w:r w:rsidR="000C0F56">
        <w:rPr>
          <w:sz w:val="22"/>
          <w:szCs w:val="22"/>
        </w:rPr>
        <w:t>–</w:t>
      </w:r>
      <w:r w:rsidR="00D643CE" w:rsidRPr="00187BFD">
        <w:rPr>
          <w:sz w:val="22"/>
          <w:szCs w:val="22"/>
        </w:rPr>
        <w:t>6 mon</w:t>
      </w:r>
      <w:r w:rsidR="00D643CE" w:rsidRPr="002B4D7A">
        <w:rPr>
          <w:sz w:val="22"/>
          <w:szCs w:val="22"/>
        </w:rPr>
        <w:t>ths to undertake a</w:t>
      </w:r>
      <w:r w:rsidR="00D643CE">
        <w:rPr>
          <w:sz w:val="22"/>
          <w:szCs w:val="22"/>
        </w:rPr>
        <w:t xml:space="preserve"> comprehensive</w:t>
      </w:r>
      <w:r w:rsidR="00D643CE" w:rsidRPr="00187BFD">
        <w:rPr>
          <w:sz w:val="22"/>
          <w:szCs w:val="22"/>
        </w:rPr>
        <w:t xml:space="preserve"> assessment</w:t>
      </w:r>
      <w:r w:rsidR="00D643CE">
        <w:rPr>
          <w:sz w:val="22"/>
          <w:szCs w:val="22"/>
        </w:rPr>
        <w:t xml:space="preserve"> of direct and indirect impacts across the social, environmental, economic, and built environments</w:t>
      </w:r>
      <w:r w:rsidR="00D643CE" w:rsidRPr="00187BFD">
        <w:rPr>
          <w:sz w:val="22"/>
          <w:szCs w:val="22"/>
        </w:rPr>
        <w:t>.</w:t>
      </w:r>
      <w:r w:rsidR="009E3E2D">
        <w:rPr>
          <w:sz w:val="22"/>
          <w:szCs w:val="22"/>
        </w:rPr>
        <w:t xml:space="preserve"> </w:t>
      </w:r>
      <w:r w:rsidR="00D643CE" w:rsidRPr="00187BFD">
        <w:rPr>
          <w:sz w:val="22"/>
          <w:szCs w:val="22"/>
        </w:rPr>
        <w:t xml:space="preserve"> </w:t>
      </w:r>
      <w:r w:rsidR="00D643CE">
        <w:rPr>
          <w:sz w:val="22"/>
          <w:szCs w:val="22"/>
        </w:rPr>
        <w:t xml:space="preserve">Demographic, vulnerability and capability analysis are also important considerations. </w:t>
      </w:r>
      <w:r w:rsidR="009E3E2D">
        <w:rPr>
          <w:sz w:val="22"/>
          <w:szCs w:val="22"/>
        </w:rPr>
        <w:t xml:space="preserve"> </w:t>
      </w:r>
      <w:r w:rsidR="00D643CE" w:rsidRPr="002B4D7A">
        <w:rPr>
          <w:sz w:val="22"/>
          <w:szCs w:val="22"/>
        </w:rPr>
        <w:t>Fo</w:t>
      </w:r>
      <w:r w:rsidR="00D643CE">
        <w:rPr>
          <w:sz w:val="22"/>
          <w:szCs w:val="22"/>
        </w:rPr>
        <w:t>llowing the</w:t>
      </w:r>
      <w:r w:rsidR="00D643CE" w:rsidRPr="00187BFD">
        <w:rPr>
          <w:sz w:val="22"/>
          <w:szCs w:val="22"/>
        </w:rPr>
        <w:t xml:space="preserve"> </w:t>
      </w:r>
      <w:r w:rsidR="00D643CE" w:rsidRPr="00AD6840">
        <w:rPr>
          <w:sz w:val="22"/>
          <w:szCs w:val="22"/>
        </w:rPr>
        <w:t xml:space="preserve">Blue Mountains </w:t>
      </w:r>
      <w:r w:rsidR="00D643CE">
        <w:rPr>
          <w:sz w:val="22"/>
          <w:szCs w:val="22"/>
        </w:rPr>
        <w:t>fires</w:t>
      </w:r>
      <w:r w:rsidR="00BB2F07">
        <w:rPr>
          <w:sz w:val="22"/>
          <w:szCs w:val="22"/>
        </w:rPr>
        <w:t xml:space="preserve"> in October 2013</w:t>
      </w:r>
      <w:r w:rsidR="00D643CE">
        <w:rPr>
          <w:sz w:val="22"/>
          <w:szCs w:val="22"/>
        </w:rPr>
        <w:t xml:space="preserve">, for </w:t>
      </w:r>
      <w:r w:rsidR="00BB2F07">
        <w:rPr>
          <w:sz w:val="22"/>
          <w:szCs w:val="22"/>
        </w:rPr>
        <w:t xml:space="preserve">example, it took approximately </w:t>
      </w:r>
      <w:r w:rsidR="005115C5">
        <w:rPr>
          <w:sz w:val="22"/>
          <w:szCs w:val="22"/>
        </w:rPr>
        <w:t>four</w:t>
      </w:r>
      <w:r w:rsidR="005115C5" w:rsidRPr="00187BFD">
        <w:rPr>
          <w:sz w:val="22"/>
          <w:szCs w:val="22"/>
        </w:rPr>
        <w:t xml:space="preserve"> </w:t>
      </w:r>
      <w:r w:rsidR="00D643CE" w:rsidRPr="00187BFD">
        <w:rPr>
          <w:sz w:val="22"/>
          <w:szCs w:val="22"/>
        </w:rPr>
        <w:t xml:space="preserve">months to access and compile information to support </w:t>
      </w:r>
      <w:r w:rsidR="00D643CE">
        <w:rPr>
          <w:sz w:val="22"/>
          <w:szCs w:val="22"/>
        </w:rPr>
        <w:t xml:space="preserve">a </w:t>
      </w:r>
      <w:r w:rsidR="00D643CE" w:rsidRPr="00187BFD">
        <w:rPr>
          <w:sz w:val="22"/>
          <w:szCs w:val="22"/>
        </w:rPr>
        <w:t>Category C Community Recovery Fund and identify recovery interventions for the affected community.</w:t>
      </w:r>
    </w:p>
    <w:p w:rsidR="00314141" w:rsidRDefault="00314141" w:rsidP="00893BB0">
      <w:pPr>
        <w:pStyle w:val="CommentText"/>
        <w:rPr>
          <w:sz w:val="22"/>
          <w:szCs w:val="22"/>
        </w:rPr>
      </w:pPr>
      <w:r w:rsidRPr="00187BFD">
        <w:rPr>
          <w:sz w:val="22"/>
          <w:szCs w:val="22"/>
        </w:rPr>
        <w:t>In addition, current data on community recovery funds under t</w:t>
      </w:r>
      <w:r w:rsidR="001E12E0">
        <w:rPr>
          <w:sz w:val="22"/>
          <w:szCs w:val="22"/>
        </w:rPr>
        <w:t>he NDRRA demonstrate</w:t>
      </w:r>
      <w:r w:rsidRPr="00187BFD">
        <w:rPr>
          <w:sz w:val="22"/>
          <w:szCs w:val="22"/>
        </w:rPr>
        <w:t xml:space="preserve"> wide variability in the type of assistance measures provided, based on the specific needs of each individual community. </w:t>
      </w:r>
    </w:p>
    <w:p w:rsidR="00314141" w:rsidRDefault="002C174C" w:rsidP="00893BB0">
      <w:pPr>
        <w:pStyle w:val="CommentText"/>
        <w:rPr>
          <w:sz w:val="22"/>
          <w:szCs w:val="22"/>
        </w:rPr>
      </w:pPr>
      <w:r>
        <w:rPr>
          <w:sz w:val="22"/>
          <w:szCs w:val="22"/>
        </w:rPr>
        <w:t xml:space="preserve">The </w:t>
      </w:r>
      <w:r w:rsidR="0032141C">
        <w:rPr>
          <w:sz w:val="22"/>
          <w:szCs w:val="22"/>
        </w:rPr>
        <w:t>D</w:t>
      </w:r>
      <w:r>
        <w:rPr>
          <w:sz w:val="22"/>
          <w:szCs w:val="22"/>
        </w:rPr>
        <w:t>epartment welcomes the Commission</w:t>
      </w:r>
      <w:r w:rsidR="0032141C">
        <w:rPr>
          <w:sz w:val="22"/>
          <w:szCs w:val="22"/>
        </w:rPr>
        <w:t>’</w:t>
      </w:r>
      <w:r>
        <w:rPr>
          <w:sz w:val="22"/>
          <w:szCs w:val="22"/>
        </w:rPr>
        <w:t xml:space="preserve">s consideration of an alternative model to determine </w:t>
      </w:r>
      <w:r w:rsidR="00812CC5">
        <w:rPr>
          <w:sz w:val="22"/>
          <w:szCs w:val="22"/>
        </w:rPr>
        <w:t>the</w:t>
      </w:r>
      <w:r>
        <w:rPr>
          <w:sz w:val="22"/>
          <w:szCs w:val="22"/>
        </w:rPr>
        <w:t xml:space="preserve"> appropriate level of Commonwealth support for state and territory community recovery, based on an understanding of impact</w:t>
      </w:r>
      <w:r w:rsidR="004225D7">
        <w:rPr>
          <w:sz w:val="22"/>
          <w:szCs w:val="22"/>
        </w:rPr>
        <w:t xml:space="preserve"> on the affected </w:t>
      </w:r>
      <w:r w:rsidR="0032141C">
        <w:rPr>
          <w:sz w:val="22"/>
          <w:szCs w:val="22"/>
        </w:rPr>
        <w:t>c</w:t>
      </w:r>
      <w:r w:rsidR="004225D7">
        <w:rPr>
          <w:sz w:val="22"/>
          <w:szCs w:val="22"/>
        </w:rPr>
        <w:t>ommunity</w:t>
      </w:r>
      <w:r>
        <w:rPr>
          <w:sz w:val="22"/>
          <w:szCs w:val="22"/>
        </w:rPr>
        <w:t>.</w:t>
      </w:r>
    </w:p>
    <w:p w:rsidR="00893BB0" w:rsidRPr="001E314B" w:rsidRDefault="001E314B" w:rsidP="001E314B">
      <w:pPr>
        <w:rPr>
          <w:b/>
          <w:i/>
        </w:rPr>
      </w:pPr>
      <w:r w:rsidRPr="001E314B">
        <w:rPr>
          <w:b/>
          <w:i/>
        </w:rPr>
        <w:t>The Commission has requested information as to whether there should be a more explicit definition of counter-disaster operations</w:t>
      </w:r>
      <w:r>
        <w:rPr>
          <w:b/>
          <w:i/>
        </w:rPr>
        <w:t xml:space="preserve"> (CDO)</w:t>
      </w:r>
      <w:r w:rsidR="004748E3">
        <w:rPr>
          <w:b/>
          <w:i/>
        </w:rPr>
        <w:t xml:space="preserve">; </w:t>
      </w:r>
      <w:r w:rsidRPr="001E314B">
        <w:rPr>
          <w:b/>
          <w:i/>
        </w:rPr>
        <w:t xml:space="preserve">to what extent extraordinary </w:t>
      </w:r>
      <w:r>
        <w:rPr>
          <w:b/>
          <w:i/>
        </w:rPr>
        <w:t>CDO</w:t>
      </w:r>
      <w:r w:rsidRPr="001E314B">
        <w:rPr>
          <w:b/>
          <w:i/>
        </w:rPr>
        <w:t xml:space="preserve"> are subject to separate Australian Gover</w:t>
      </w:r>
      <w:r w:rsidR="004748E3">
        <w:rPr>
          <w:b/>
          <w:i/>
        </w:rPr>
        <w:t>nment cost-sharing arrangements;</w:t>
      </w:r>
      <w:r w:rsidRPr="001E314B">
        <w:rPr>
          <w:b/>
          <w:i/>
        </w:rPr>
        <w:t xml:space="preserve"> to what </w:t>
      </w:r>
      <w:r>
        <w:rPr>
          <w:b/>
          <w:i/>
        </w:rPr>
        <w:t>extent activities that are normal responsibilities of states are included as eligible expenditure</w:t>
      </w:r>
      <w:r w:rsidR="004748E3">
        <w:rPr>
          <w:b/>
          <w:i/>
        </w:rPr>
        <w:t>;</w:t>
      </w:r>
      <w:r>
        <w:rPr>
          <w:b/>
          <w:i/>
        </w:rPr>
        <w:t xml:space="preserve"> and to what extent councils utilise </w:t>
      </w:r>
      <w:r w:rsidR="002E2AE3">
        <w:rPr>
          <w:b/>
          <w:i/>
        </w:rPr>
        <w:t xml:space="preserve">day labour and own equipment for community recovery activities, such as CDO. </w:t>
      </w:r>
    </w:p>
    <w:p w:rsidR="00F959E5" w:rsidRDefault="00F959E5" w:rsidP="00F959E5">
      <w:r>
        <w:t>CDO</w:t>
      </w:r>
      <w:r w:rsidRPr="00823E4D">
        <w:t xml:space="preserve"> was first agreed for inclusion under the </w:t>
      </w:r>
      <w:r>
        <w:t xml:space="preserve">Natural Disaster Relief Arrangements </w:t>
      </w:r>
      <w:r w:rsidRPr="00823E4D">
        <w:t>in 1986 by the Australian Government Department of Finance.</w:t>
      </w:r>
      <w:r>
        <w:t xml:space="preserve"> </w:t>
      </w:r>
      <w:r w:rsidRPr="00823E4D">
        <w:t xml:space="preserve"> CDO was intended to capture ‘state ex</w:t>
      </w:r>
      <w:r>
        <w:t>penditure on personal hardship’, in recognition of costs incurred by states to deliver</w:t>
      </w:r>
      <w:r w:rsidRPr="00823E4D">
        <w:t xml:space="preserve"> personal hardship</w:t>
      </w:r>
      <w:r>
        <w:t xml:space="preserve"> and distress (PHD) measures</w:t>
      </w:r>
      <w:r w:rsidRPr="00823E4D">
        <w:t xml:space="preserve">. </w:t>
      </w:r>
      <w:r>
        <w:t xml:space="preserve"> The inclusion of CDO under the NDRRA in 2007 was intended to provide reimbursement to a state or local government for the </w:t>
      </w:r>
      <w:r w:rsidRPr="00481AD9">
        <w:t>extraordinary</w:t>
      </w:r>
      <w:r>
        <w:t xml:space="preserve"> costs associated with protecting individuals and the general public.  </w:t>
      </w:r>
    </w:p>
    <w:p w:rsidR="00F959E5" w:rsidRDefault="00F959E5" w:rsidP="00A823C8">
      <w:pPr>
        <w:spacing w:after="100"/>
      </w:pPr>
      <w:r>
        <w:t xml:space="preserve">CDO assistance under the NDRRA is intended to fund only a limited number/type of activities which are intended to reduce personal hardship and distress and result in </w:t>
      </w:r>
      <w:proofErr w:type="gramStart"/>
      <w:r>
        <w:t>less Category</w:t>
      </w:r>
      <w:proofErr w:type="gramEnd"/>
      <w:r>
        <w:t xml:space="preserve"> A </w:t>
      </w:r>
      <w:r>
        <w:lastRenderedPageBreak/>
        <w:t xml:space="preserve">assistance being required.  Subject to the extraordinary nature of the event/s being demonstrated by the state, certain activities may be considered eligible </w:t>
      </w:r>
      <w:r w:rsidR="000F44E0">
        <w:t>CDO</w:t>
      </w:r>
      <w:r>
        <w:t>. Examples of such extraordinary activities include:</w:t>
      </w:r>
    </w:p>
    <w:p w:rsidR="00F959E5" w:rsidRPr="00A823C8" w:rsidRDefault="00F959E5" w:rsidP="00A823C8">
      <w:pPr>
        <w:pStyle w:val="Default"/>
        <w:numPr>
          <w:ilvl w:val="0"/>
          <w:numId w:val="26"/>
        </w:numPr>
        <w:spacing w:line="360" w:lineRule="auto"/>
        <w:rPr>
          <w:rFonts w:ascii="Arial" w:hAnsi="Arial" w:cs="Arial"/>
        </w:rPr>
      </w:pPr>
      <w:r w:rsidRPr="00A823C8">
        <w:rPr>
          <w:rFonts w:ascii="Arial" w:hAnsi="Arial" w:cs="Arial"/>
          <w:sz w:val="22"/>
          <w:szCs w:val="22"/>
        </w:rPr>
        <w:t xml:space="preserve">activities to render damaged or threatened houses safe and habitable (such activities may include </w:t>
      </w:r>
      <w:proofErr w:type="spellStart"/>
      <w:r w:rsidRPr="00A823C8">
        <w:rPr>
          <w:rFonts w:ascii="Arial" w:hAnsi="Arial" w:cs="Arial"/>
          <w:sz w:val="22"/>
          <w:szCs w:val="22"/>
        </w:rPr>
        <w:t>tarping</w:t>
      </w:r>
      <w:proofErr w:type="spellEnd"/>
      <w:r w:rsidRPr="00A823C8">
        <w:rPr>
          <w:rFonts w:ascii="Arial" w:hAnsi="Arial" w:cs="Arial"/>
          <w:sz w:val="22"/>
          <w:szCs w:val="22"/>
        </w:rPr>
        <w:t xml:space="preserve"> damaged roofs, tree bracing, and structural integrity assessments on residential properties)</w:t>
      </w:r>
    </w:p>
    <w:p w:rsidR="00F959E5" w:rsidRPr="00A823C8" w:rsidRDefault="00F959E5" w:rsidP="00A823C8">
      <w:pPr>
        <w:pStyle w:val="Default"/>
        <w:numPr>
          <w:ilvl w:val="0"/>
          <w:numId w:val="26"/>
        </w:numPr>
        <w:spacing w:line="360" w:lineRule="auto"/>
        <w:rPr>
          <w:rFonts w:ascii="Arial" w:hAnsi="Arial" w:cs="Arial"/>
        </w:rPr>
      </w:pPr>
      <w:r w:rsidRPr="00A823C8">
        <w:rPr>
          <w:rFonts w:ascii="Arial" w:hAnsi="Arial" w:cs="Arial"/>
          <w:sz w:val="22"/>
          <w:szCs w:val="22"/>
        </w:rPr>
        <w:t>sandbagging and construction of temporary levees to prevent inundation of residential properties</w:t>
      </w:r>
    </w:p>
    <w:p w:rsidR="00F959E5" w:rsidRPr="00A823C8" w:rsidRDefault="00F959E5" w:rsidP="00A823C8">
      <w:pPr>
        <w:pStyle w:val="Default"/>
        <w:numPr>
          <w:ilvl w:val="0"/>
          <w:numId w:val="26"/>
        </w:numPr>
        <w:spacing w:line="360" w:lineRule="auto"/>
        <w:rPr>
          <w:rFonts w:ascii="Arial" w:hAnsi="Arial" w:cs="Arial"/>
        </w:rPr>
      </w:pPr>
      <w:r w:rsidRPr="00A823C8">
        <w:rPr>
          <w:rFonts w:ascii="Arial" w:hAnsi="Arial" w:cs="Arial"/>
          <w:sz w:val="22"/>
          <w:szCs w:val="22"/>
        </w:rPr>
        <w:t>establishment of bushfire control lines to protect residential properties from threatening bushfires</w:t>
      </w:r>
    </w:p>
    <w:p w:rsidR="00F959E5" w:rsidRPr="00A823C8" w:rsidRDefault="00F959E5" w:rsidP="00A823C8">
      <w:pPr>
        <w:pStyle w:val="Default"/>
        <w:numPr>
          <w:ilvl w:val="0"/>
          <w:numId w:val="26"/>
        </w:numPr>
        <w:spacing w:line="360" w:lineRule="auto"/>
        <w:rPr>
          <w:rFonts w:ascii="Arial" w:hAnsi="Arial" w:cs="Arial"/>
        </w:rPr>
      </w:pPr>
      <w:r w:rsidRPr="00A823C8">
        <w:rPr>
          <w:rFonts w:ascii="Arial" w:hAnsi="Arial" w:cs="Arial"/>
          <w:sz w:val="22"/>
          <w:szCs w:val="22"/>
        </w:rPr>
        <w:t>establishment of temporary access routes required for disaster relief operations and to allow individuals and families to return home</w:t>
      </w:r>
    </w:p>
    <w:p w:rsidR="00F959E5" w:rsidRPr="00A823C8" w:rsidRDefault="00F959E5" w:rsidP="00A823C8">
      <w:pPr>
        <w:pStyle w:val="Default"/>
        <w:numPr>
          <w:ilvl w:val="0"/>
          <w:numId w:val="26"/>
        </w:numPr>
        <w:spacing w:after="200" w:line="360" w:lineRule="auto"/>
        <w:ind w:left="714" w:hanging="357"/>
        <w:rPr>
          <w:rFonts w:ascii="Arial" w:hAnsi="Arial" w:cs="Arial"/>
        </w:rPr>
      </w:pPr>
      <w:proofErr w:type="gramStart"/>
      <w:r w:rsidRPr="00A823C8">
        <w:rPr>
          <w:rFonts w:ascii="Arial" w:hAnsi="Arial" w:cs="Arial"/>
          <w:sz w:val="22"/>
          <w:szCs w:val="22"/>
        </w:rPr>
        <w:t>cleaning</w:t>
      </w:r>
      <w:proofErr w:type="gramEnd"/>
      <w:r w:rsidRPr="00A823C8">
        <w:rPr>
          <w:rFonts w:ascii="Arial" w:hAnsi="Arial" w:cs="Arial"/>
          <w:sz w:val="22"/>
          <w:szCs w:val="22"/>
        </w:rPr>
        <w:t xml:space="preserve"> and refilling residential potable water and septic tanks to ensure that residential properties are safe and habitable.</w:t>
      </w:r>
    </w:p>
    <w:p w:rsidR="00F959E5" w:rsidRDefault="00F959E5" w:rsidP="00A823C8">
      <w:pPr>
        <w:spacing w:after="100"/>
      </w:pPr>
      <w:r>
        <w:t xml:space="preserve">Some costs directly associated with undertaking an eligible </w:t>
      </w:r>
      <w:r w:rsidR="000F44E0">
        <w:t>CDO</w:t>
      </w:r>
      <w:r>
        <w:t xml:space="preserve"> activity (as per above) may also be eligible for reimbursement. Examples of such extraordinary costs include:</w:t>
      </w:r>
    </w:p>
    <w:p w:rsidR="00F959E5" w:rsidRPr="00A823C8" w:rsidRDefault="00F959E5" w:rsidP="00A823C8">
      <w:pPr>
        <w:pStyle w:val="Default"/>
        <w:numPr>
          <w:ilvl w:val="0"/>
          <w:numId w:val="26"/>
        </w:numPr>
        <w:spacing w:line="360" w:lineRule="auto"/>
        <w:rPr>
          <w:rFonts w:ascii="Arial" w:hAnsi="Arial" w:cs="Arial"/>
        </w:rPr>
      </w:pPr>
      <w:r w:rsidRPr="00A823C8">
        <w:rPr>
          <w:rFonts w:ascii="Arial" w:hAnsi="Arial" w:cs="Arial"/>
          <w:sz w:val="22"/>
          <w:szCs w:val="22"/>
        </w:rPr>
        <w:t xml:space="preserve">non-capital expenses incurred whilst undertaking eligible </w:t>
      </w:r>
      <w:r w:rsidR="000F44E0" w:rsidRPr="00A823C8">
        <w:rPr>
          <w:rFonts w:ascii="Arial" w:hAnsi="Arial" w:cs="Arial"/>
          <w:sz w:val="22"/>
          <w:szCs w:val="22"/>
        </w:rPr>
        <w:t>CDO</w:t>
      </w:r>
      <w:r w:rsidRPr="00A823C8">
        <w:rPr>
          <w:rFonts w:ascii="Arial" w:hAnsi="Arial" w:cs="Arial"/>
          <w:sz w:val="22"/>
          <w:szCs w:val="22"/>
        </w:rPr>
        <w:t xml:space="preserve"> activities including tarpaulins, ropes, chainsaw chains and fuel</w:t>
      </w:r>
    </w:p>
    <w:p w:rsidR="00F959E5" w:rsidRPr="00A823C8" w:rsidRDefault="00F959E5" w:rsidP="00A823C8">
      <w:pPr>
        <w:pStyle w:val="Default"/>
        <w:numPr>
          <w:ilvl w:val="0"/>
          <w:numId w:val="26"/>
        </w:numPr>
        <w:spacing w:line="360" w:lineRule="auto"/>
        <w:rPr>
          <w:rFonts w:ascii="Arial" w:hAnsi="Arial" w:cs="Arial"/>
        </w:rPr>
      </w:pPr>
      <w:r w:rsidRPr="00A823C8">
        <w:rPr>
          <w:rFonts w:ascii="Arial" w:hAnsi="Arial" w:cs="Arial"/>
          <w:sz w:val="22"/>
          <w:szCs w:val="22"/>
        </w:rPr>
        <w:t xml:space="preserve">transportation of labour, equipment and materials to perform eligible </w:t>
      </w:r>
      <w:r w:rsidR="000F44E0" w:rsidRPr="00A823C8">
        <w:rPr>
          <w:rFonts w:ascii="Arial" w:hAnsi="Arial" w:cs="Arial"/>
          <w:sz w:val="22"/>
          <w:szCs w:val="22"/>
        </w:rPr>
        <w:t>CDO</w:t>
      </w:r>
      <w:r w:rsidR="00050FAC" w:rsidRPr="00A823C8">
        <w:rPr>
          <w:rFonts w:ascii="Arial" w:hAnsi="Arial" w:cs="Arial"/>
          <w:sz w:val="22"/>
          <w:szCs w:val="22"/>
        </w:rPr>
        <w:t xml:space="preserve"> activities</w:t>
      </w:r>
    </w:p>
    <w:p w:rsidR="00F959E5" w:rsidRPr="00A823C8" w:rsidRDefault="00F959E5" w:rsidP="00A823C8">
      <w:pPr>
        <w:pStyle w:val="Default"/>
        <w:numPr>
          <w:ilvl w:val="0"/>
          <w:numId w:val="26"/>
        </w:numPr>
        <w:spacing w:line="360" w:lineRule="auto"/>
        <w:rPr>
          <w:rFonts w:ascii="Arial" w:hAnsi="Arial" w:cs="Arial"/>
        </w:rPr>
      </w:pPr>
      <w:r w:rsidRPr="00A823C8">
        <w:rPr>
          <w:rFonts w:ascii="Arial" w:hAnsi="Arial" w:cs="Arial"/>
          <w:sz w:val="22"/>
          <w:szCs w:val="22"/>
        </w:rPr>
        <w:t>hire of additional plant and equipment</w:t>
      </w:r>
    </w:p>
    <w:p w:rsidR="00F959E5" w:rsidRPr="00A823C8" w:rsidRDefault="00F959E5" w:rsidP="00A823C8">
      <w:pPr>
        <w:pStyle w:val="Default"/>
        <w:numPr>
          <w:ilvl w:val="0"/>
          <w:numId w:val="26"/>
        </w:numPr>
        <w:spacing w:line="360" w:lineRule="auto"/>
        <w:rPr>
          <w:rFonts w:ascii="Arial" w:hAnsi="Arial" w:cs="Arial"/>
        </w:rPr>
      </w:pPr>
      <w:r w:rsidRPr="00A823C8">
        <w:rPr>
          <w:rFonts w:ascii="Arial" w:hAnsi="Arial" w:cs="Arial"/>
          <w:sz w:val="22"/>
          <w:szCs w:val="22"/>
        </w:rPr>
        <w:t xml:space="preserve">vehicle or equipment repairs and additional servicing required as a direct consequence of an eligible </w:t>
      </w:r>
      <w:r w:rsidR="00050FAC" w:rsidRPr="00A823C8">
        <w:rPr>
          <w:rFonts w:ascii="Arial" w:hAnsi="Arial" w:cs="Arial"/>
          <w:sz w:val="22"/>
          <w:szCs w:val="22"/>
        </w:rPr>
        <w:t>CDO</w:t>
      </w:r>
      <w:r w:rsidRPr="00A823C8">
        <w:rPr>
          <w:rFonts w:ascii="Arial" w:hAnsi="Arial" w:cs="Arial"/>
          <w:sz w:val="22"/>
          <w:szCs w:val="22"/>
        </w:rPr>
        <w:t xml:space="preserve"> activity</w:t>
      </w:r>
    </w:p>
    <w:p w:rsidR="00F959E5" w:rsidRPr="00A823C8" w:rsidRDefault="00F959E5" w:rsidP="00A823C8">
      <w:pPr>
        <w:pStyle w:val="Default"/>
        <w:numPr>
          <w:ilvl w:val="0"/>
          <w:numId w:val="26"/>
        </w:numPr>
        <w:spacing w:line="360" w:lineRule="auto"/>
        <w:rPr>
          <w:rFonts w:ascii="Arial" w:hAnsi="Arial" w:cs="Arial"/>
        </w:rPr>
      </w:pPr>
      <w:r w:rsidRPr="00A823C8">
        <w:rPr>
          <w:rFonts w:ascii="Arial" w:hAnsi="Arial" w:cs="Arial"/>
          <w:sz w:val="22"/>
          <w:szCs w:val="22"/>
        </w:rPr>
        <w:t>eligible staffing costs</w:t>
      </w:r>
    </w:p>
    <w:p w:rsidR="00F959E5" w:rsidRPr="00A823C8" w:rsidRDefault="00F959E5" w:rsidP="00A823C8">
      <w:pPr>
        <w:pStyle w:val="Default"/>
        <w:numPr>
          <w:ilvl w:val="0"/>
          <w:numId w:val="26"/>
        </w:numPr>
        <w:spacing w:line="360" w:lineRule="auto"/>
        <w:rPr>
          <w:rFonts w:ascii="Arial" w:hAnsi="Arial" w:cs="Arial"/>
        </w:rPr>
      </w:pPr>
      <w:r w:rsidRPr="00A823C8">
        <w:rPr>
          <w:rFonts w:ascii="Arial" w:hAnsi="Arial" w:cs="Arial"/>
          <w:sz w:val="22"/>
          <w:szCs w:val="22"/>
        </w:rPr>
        <w:t xml:space="preserve">restoring assets directly damaged during eligible </w:t>
      </w:r>
      <w:r w:rsidR="000F44E0" w:rsidRPr="00A823C8">
        <w:rPr>
          <w:rFonts w:ascii="Arial" w:hAnsi="Arial" w:cs="Arial"/>
          <w:sz w:val="22"/>
          <w:szCs w:val="22"/>
        </w:rPr>
        <w:t>CDO</w:t>
      </w:r>
      <w:r w:rsidR="00050FAC" w:rsidRPr="00A823C8">
        <w:rPr>
          <w:rFonts w:ascii="Arial" w:hAnsi="Arial" w:cs="Arial"/>
          <w:sz w:val="22"/>
          <w:szCs w:val="22"/>
        </w:rPr>
        <w:t xml:space="preserve"> activities</w:t>
      </w:r>
      <w:r w:rsidRPr="00A823C8">
        <w:rPr>
          <w:rFonts w:ascii="Arial" w:hAnsi="Arial" w:cs="Arial"/>
          <w:sz w:val="22"/>
          <w:szCs w:val="22"/>
        </w:rPr>
        <w:t>, for example repairing fencing that was damaged when establishing bushfire containment lines</w:t>
      </w:r>
    </w:p>
    <w:p w:rsidR="00F959E5" w:rsidRPr="00A823C8" w:rsidRDefault="00F959E5" w:rsidP="00A823C8">
      <w:pPr>
        <w:pStyle w:val="Default"/>
        <w:numPr>
          <w:ilvl w:val="0"/>
          <w:numId w:val="26"/>
        </w:numPr>
        <w:spacing w:after="200" w:line="360" w:lineRule="auto"/>
        <w:ind w:left="714" w:hanging="357"/>
        <w:rPr>
          <w:rFonts w:ascii="Arial" w:hAnsi="Arial" w:cs="Arial"/>
        </w:rPr>
      </w:pPr>
      <w:proofErr w:type="gramStart"/>
      <w:r w:rsidRPr="00A823C8">
        <w:rPr>
          <w:rFonts w:ascii="Arial" w:hAnsi="Arial" w:cs="Arial"/>
          <w:sz w:val="22"/>
          <w:szCs w:val="22"/>
        </w:rPr>
        <w:t>cleaning-up</w:t>
      </w:r>
      <w:proofErr w:type="gramEnd"/>
      <w:r w:rsidRPr="00A823C8">
        <w:rPr>
          <w:rFonts w:ascii="Arial" w:hAnsi="Arial" w:cs="Arial"/>
          <w:sz w:val="22"/>
          <w:szCs w:val="22"/>
        </w:rPr>
        <w:t xml:space="preserve"> debris which resulted from an eligible </w:t>
      </w:r>
      <w:r w:rsidR="000F44E0" w:rsidRPr="00A823C8">
        <w:rPr>
          <w:rFonts w:ascii="Arial" w:hAnsi="Arial" w:cs="Arial"/>
          <w:sz w:val="22"/>
          <w:szCs w:val="22"/>
        </w:rPr>
        <w:t>CDO</w:t>
      </w:r>
      <w:r w:rsidRPr="00A823C8">
        <w:rPr>
          <w:rFonts w:ascii="Arial" w:hAnsi="Arial" w:cs="Arial"/>
          <w:sz w:val="22"/>
          <w:szCs w:val="22"/>
        </w:rPr>
        <w:t xml:space="preserve"> activity.</w:t>
      </w:r>
    </w:p>
    <w:p w:rsidR="00F959E5" w:rsidRDefault="00686828" w:rsidP="00A823C8">
      <w:pPr>
        <w:spacing w:after="100"/>
      </w:pPr>
      <w:r>
        <w:t>State and local gove</w:t>
      </w:r>
      <w:r w:rsidRPr="002611FA">
        <w:t>r</w:t>
      </w:r>
      <w:r>
        <w:t>n</w:t>
      </w:r>
      <w:r w:rsidRPr="002611FA">
        <w:t>ments are also able to claim salaries and wages</w:t>
      </w:r>
      <w:r>
        <w:t>,</w:t>
      </w:r>
      <w:r w:rsidRPr="002611FA">
        <w:t xml:space="preserve"> </w:t>
      </w:r>
      <w:r>
        <w:t>over and above standard day labour costs, for</w:t>
      </w:r>
      <w:r w:rsidRPr="002611FA">
        <w:t xml:space="preserve"> personnel undertaking CDO</w:t>
      </w:r>
      <w:r>
        <w:t xml:space="preserve"> </w:t>
      </w:r>
      <w:r w:rsidR="00050FAC">
        <w:t xml:space="preserve">activities </w:t>
      </w:r>
      <w:r w:rsidRPr="00E43E7E">
        <w:t>including</w:t>
      </w:r>
      <w:r w:rsidR="00F959E5">
        <w:t xml:space="preserve">: </w:t>
      </w:r>
    </w:p>
    <w:p w:rsidR="00F959E5" w:rsidRDefault="00F959E5" w:rsidP="00F959E5">
      <w:pPr>
        <w:pStyle w:val="Default"/>
        <w:numPr>
          <w:ilvl w:val="0"/>
          <w:numId w:val="26"/>
        </w:numPr>
        <w:spacing w:line="360" w:lineRule="auto"/>
        <w:rPr>
          <w:rFonts w:ascii="Arial" w:hAnsi="Arial" w:cs="Arial"/>
          <w:sz w:val="22"/>
          <w:szCs w:val="22"/>
        </w:rPr>
      </w:pPr>
      <w:r>
        <w:rPr>
          <w:rFonts w:ascii="Arial" w:hAnsi="Arial" w:cs="Arial"/>
          <w:sz w:val="22"/>
          <w:szCs w:val="22"/>
        </w:rPr>
        <w:t>Overtime for staff, outside of normal working hours</w:t>
      </w:r>
    </w:p>
    <w:p w:rsidR="00F959E5" w:rsidRDefault="00F959E5" w:rsidP="00F959E5">
      <w:pPr>
        <w:pStyle w:val="Default"/>
        <w:numPr>
          <w:ilvl w:val="0"/>
          <w:numId w:val="26"/>
        </w:numPr>
        <w:spacing w:line="360" w:lineRule="auto"/>
        <w:rPr>
          <w:rFonts w:ascii="Arial" w:hAnsi="Arial" w:cs="Arial"/>
          <w:sz w:val="22"/>
          <w:szCs w:val="22"/>
        </w:rPr>
      </w:pPr>
      <w:r>
        <w:rPr>
          <w:rFonts w:ascii="Arial" w:hAnsi="Arial" w:cs="Arial"/>
          <w:sz w:val="22"/>
          <w:szCs w:val="22"/>
        </w:rPr>
        <w:t>Employment costs for temporary (fixed-term) staff</w:t>
      </w:r>
    </w:p>
    <w:p w:rsidR="00F959E5" w:rsidRDefault="00F959E5" w:rsidP="00F959E5">
      <w:pPr>
        <w:pStyle w:val="Default"/>
        <w:numPr>
          <w:ilvl w:val="0"/>
          <w:numId w:val="26"/>
        </w:numPr>
        <w:spacing w:line="360" w:lineRule="auto"/>
        <w:rPr>
          <w:rFonts w:ascii="Arial" w:hAnsi="Arial" w:cs="Arial"/>
          <w:sz w:val="22"/>
          <w:szCs w:val="22"/>
        </w:rPr>
      </w:pPr>
      <w:r>
        <w:rPr>
          <w:rFonts w:ascii="Arial" w:hAnsi="Arial" w:cs="Arial"/>
          <w:sz w:val="22"/>
          <w:szCs w:val="22"/>
        </w:rPr>
        <w:t>Employment of contractors</w:t>
      </w:r>
    </w:p>
    <w:p w:rsidR="00F959E5" w:rsidRDefault="00F959E5" w:rsidP="00F959E5">
      <w:pPr>
        <w:pStyle w:val="Default"/>
        <w:numPr>
          <w:ilvl w:val="0"/>
          <w:numId w:val="26"/>
        </w:numPr>
        <w:spacing w:line="360" w:lineRule="auto"/>
        <w:rPr>
          <w:rFonts w:ascii="Arial" w:hAnsi="Arial" w:cs="Arial"/>
          <w:sz w:val="22"/>
          <w:szCs w:val="22"/>
        </w:rPr>
      </w:pPr>
      <w:r>
        <w:rPr>
          <w:rFonts w:ascii="Arial" w:hAnsi="Arial" w:cs="Arial"/>
          <w:sz w:val="22"/>
          <w:szCs w:val="22"/>
        </w:rPr>
        <w:t>Costs of backfilling staff who have been seconded to assist with CDO activities</w:t>
      </w:r>
    </w:p>
    <w:p w:rsidR="00F959E5" w:rsidRDefault="00F959E5" w:rsidP="00F959E5">
      <w:pPr>
        <w:pStyle w:val="Default"/>
        <w:numPr>
          <w:ilvl w:val="0"/>
          <w:numId w:val="26"/>
        </w:numPr>
        <w:spacing w:line="360" w:lineRule="auto"/>
        <w:rPr>
          <w:rFonts w:ascii="Arial" w:hAnsi="Arial" w:cs="Arial"/>
          <w:sz w:val="22"/>
          <w:szCs w:val="22"/>
        </w:rPr>
      </w:pPr>
      <w:r>
        <w:rPr>
          <w:rFonts w:ascii="Arial" w:hAnsi="Arial" w:cs="Arial"/>
          <w:sz w:val="22"/>
          <w:szCs w:val="22"/>
        </w:rPr>
        <w:lastRenderedPageBreak/>
        <w:t>For permanently employed staff diverted from their normal duties to perform eligible NDRRA activities, states may claim costs associated with travel expenses, allowances and accommodation</w:t>
      </w:r>
    </w:p>
    <w:p w:rsidR="00F959E5" w:rsidRPr="00F959E5" w:rsidRDefault="00F959E5" w:rsidP="00F959E5">
      <w:pPr>
        <w:pStyle w:val="Default"/>
        <w:numPr>
          <w:ilvl w:val="0"/>
          <w:numId w:val="26"/>
        </w:numPr>
        <w:spacing w:line="360" w:lineRule="auto"/>
        <w:rPr>
          <w:rFonts w:ascii="Arial" w:hAnsi="Arial" w:cs="Arial"/>
          <w:sz w:val="22"/>
          <w:szCs w:val="22"/>
        </w:rPr>
      </w:pPr>
      <w:r>
        <w:rPr>
          <w:rFonts w:ascii="Arial" w:hAnsi="Arial" w:cs="Arial"/>
          <w:sz w:val="22"/>
          <w:szCs w:val="22"/>
        </w:rPr>
        <w:t>For contractors or staff employed on a temporary (fixed-term) basis, the state may claim costs associated with travel expenses, allowances, accommodation, and associated on-costs such as superannuation entitlements, workers compensation premiums and payroll tax.</w:t>
      </w:r>
    </w:p>
    <w:p w:rsidR="00F959E5" w:rsidRDefault="00F959E5" w:rsidP="002A7E24">
      <w:pPr>
        <w:spacing w:before="240"/>
      </w:pPr>
      <w:r>
        <w:t xml:space="preserve">There are inherent difficulties associated with identifying eligible and ineligible CDO activities.  This is largely due to the unique nature of rapidly evolving emergency responses, which make it impractical to prescribe a full range of eligible CDO activities potentially required for any one event.  </w:t>
      </w:r>
    </w:p>
    <w:p w:rsidR="00F959E5" w:rsidRPr="002611FA" w:rsidRDefault="00F959E5" w:rsidP="00F959E5">
      <w:r w:rsidRPr="00AB03E3">
        <w:t xml:space="preserve">Further, defining ‘extraordinary’ for CDO measures </w:t>
      </w:r>
      <w:r>
        <w:t>is</w:t>
      </w:r>
      <w:r w:rsidRPr="00AB03E3">
        <w:t xml:space="preserve"> </w:t>
      </w:r>
      <w:r w:rsidRPr="00C97375">
        <w:t>difficult as all states structure, budget and resource disaster response and recovery activities differently.</w:t>
      </w:r>
      <w:r>
        <w:t xml:space="preserve"> </w:t>
      </w:r>
      <w:r w:rsidRPr="00C97375">
        <w:t xml:space="preserve"> Currently</w:t>
      </w:r>
      <w:r w:rsidRPr="00A216E4">
        <w:t>, ‘extraordinary costs’ are defined as those exceed</w:t>
      </w:r>
      <w:r>
        <w:t>ing</w:t>
      </w:r>
      <w:r w:rsidRPr="00A216E4">
        <w:t xml:space="preserve"> what a state could reasonably be expected to incur </w:t>
      </w:r>
      <w:r w:rsidRPr="00511F36">
        <w:t xml:space="preserve">to undertake response and recovery activities, including </w:t>
      </w:r>
      <w:r>
        <w:t>CDO</w:t>
      </w:r>
      <w:r w:rsidRPr="00511F36">
        <w:t>.</w:t>
      </w:r>
      <w:r w:rsidRPr="002611FA">
        <w:t xml:space="preserve"> </w:t>
      </w:r>
    </w:p>
    <w:p w:rsidR="00E37FCF" w:rsidRDefault="00F959E5" w:rsidP="00F959E5">
      <w:r>
        <w:t xml:space="preserve">Finally, with regard to aerial firefighting, the Department notes that associated costs are also </w:t>
      </w:r>
      <w:r w:rsidRPr="0006468A">
        <w:t>subject to separate Australian Gover</w:t>
      </w:r>
      <w:r>
        <w:t xml:space="preserve">nment cost-sharing arrangements through the </w:t>
      </w:r>
      <w:r w:rsidRPr="0006468A">
        <w:t>National Aerial Firefighting Arrangements</w:t>
      </w:r>
      <w:r>
        <w:t xml:space="preserve"> (NAFFA).</w:t>
      </w:r>
      <w:r w:rsidRPr="0006468A">
        <w:t xml:space="preserve"> </w:t>
      </w:r>
      <w:r>
        <w:t xml:space="preserve"> The </w:t>
      </w:r>
      <w:r w:rsidRPr="0006468A">
        <w:t>Au</w:t>
      </w:r>
      <w:r>
        <w:t xml:space="preserve">stralian Government contributed </w:t>
      </w:r>
      <w:r w:rsidRPr="0006468A">
        <w:t>$14.5 million</w:t>
      </w:r>
      <w:r>
        <w:t xml:space="preserve"> in 2013</w:t>
      </w:r>
      <w:r w:rsidR="000C0F56">
        <w:t>–</w:t>
      </w:r>
      <w:r>
        <w:t>14 through the NAFFA.</w:t>
      </w:r>
      <w:r w:rsidRPr="0006468A">
        <w:t xml:space="preserve"> </w:t>
      </w:r>
    </w:p>
    <w:p w:rsidR="00F959E5" w:rsidRDefault="00F959E5" w:rsidP="00F959E5">
      <w:r w:rsidRPr="00E91F7D">
        <w:t xml:space="preserve">The Department welcomes the Commission’s consideration of an alternative model to determine the appropriate level of Commonwealth support for state and territory </w:t>
      </w:r>
      <w:r w:rsidR="000F44E0">
        <w:t>CDO</w:t>
      </w:r>
      <w:r w:rsidR="00050FAC">
        <w:t xml:space="preserve"> activities</w:t>
      </w:r>
      <w:r w:rsidRPr="00E91F7D">
        <w:t>, based on an understanding of the event’s impact.</w:t>
      </w:r>
    </w:p>
    <w:p w:rsidR="00437482" w:rsidRDefault="00F959E5" w:rsidP="00F959E5">
      <w:pPr>
        <w:pStyle w:val="CommentText"/>
        <w:rPr>
          <w:sz w:val="22"/>
          <w:szCs w:val="22"/>
        </w:rPr>
      </w:pPr>
      <w:r w:rsidRPr="00D03977">
        <w:rPr>
          <w:sz w:val="22"/>
          <w:szCs w:val="22"/>
        </w:rPr>
        <w:t xml:space="preserve">The Department </w:t>
      </w:r>
      <w:r>
        <w:rPr>
          <w:sz w:val="22"/>
          <w:szCs w:val="22"/>
        </w:rPr>
        <w:t>would welcome</w:t>
      </w:r>
      <w:r w:rsidRPr="00D03977">
        <w:rPr>
          <w:sz w:val="22"/>
          <w:szCs w:val="22"/>
        </w:rPr>
        <w:t xml:space="preserve"> the Commission’s views on how to identify</w:t>
      </w:r>
      <w:r>
        <w:rPr>
          <w:sz w:val="22"/>
          <w:szCs w:val="22"/>
        </w:rPr>
        <w:t xml:space="preserve"> and define</w:t>
      </w:r>
      <w:r w:rsidRPr="00D03977">
        <w:rPr>
          <w:sz w:val="22"/>
          <w:szCs w:val="22"/>
        </w:rPr>
        <w:t xml:space="preserve"> extraordinary costs associated with relief and recovery activities</w:t>
      </w:r>
      <w:r>
        <w:rPr>
          <w:sz w:val="22"/>
          <w:szCs w:val="22"/>
        </w:rPr>
        <w:t>,</w:t>
      </w:r>
      <w:r w:rsidRPr="00D03977">
        <w:rPr>
          <w:sz w:val="22"/>
          <w:szCs w:val="22"/>
        </w:rPr>
        <w:t xml:space="preserve"> which go beyond the responsibilities of the state or local government</w:t>
      </w:r>
      <w:r>
        <w:rPr>
          <w:sz w:val="22"/>
          <w:szCs w:val="22"/>
        </w:rPr>
        <w:t>.</w:t>
      </w:r>
    </w:p>
    <w:p w:rsidR="00437482" w:rsidRDefault="00437482" w:rsidP="00437482">
      <w:pPr>
        <w:pStyle w:val="NoSpacing"/>
      </w:pPr>
      <w:r>
        <w:br w:type="page"/>
      </w:r>
    </w:p>
    <w:p w:rsidR="00DA77F6" w:rsidRPr="000237AD" w:rsidRDefault="00B54B18" w:rsidP="00573E63">
      <w:pPr>
        <w:pStyle w:val="Heading2"/>
        <w:spacing w:before="0"/>
        <w:rPr>
          <w:sz w:val="33"/>
          <w:szCs w:val="33"/>
        </w:rPr>
      </w:pPr>
      <w:r>
        <w:rPr>
          <w:sz w:val="33"/>
          <w:szCs w:val="33"/>
        </w:rPr>
        <w:lastRenderedPageBreak/>
        <w:t>3.2</w:t>
      </w:r>
      <w:r w:rsidR="000C20BC">
        <w:rPr>
          <w:sz w:val="33"/>
          <w:szCs w:val="33"/>
        </w:rPr>
        <w:t xml:space="preserve"> </w:t>
      </w:r>
      <w:r w:rsidR="000C20BC">
        <w:rPr>
          <w:sz w:val="33"/>
          <w:szCs w:val="33"/>
        </w:rPr>
        <w:tab/>
      </w:r>
      <w:r w:rsidR="00893BB0">
        <w:rPr>
          <w:sz w:val="33"/>
          <w:szCs w:val="33"/>
        </w:rPr>
        <w:t>Resourcing implications to deliver enabling capabilities</w:t>
      </w:r>
    </w:p>
    <w:p w:rsidR="00704A93" w:rsidRPr="004F05F1" w:rsidRDefault="00704A93" w:rsidP="00704A93">
      <w:pPr>
        <w:rPr>
          <w:b/>
          <w:i/>
        </w:rPr>
      </w:pPr>
      <w:r w:rsidRPr="004F05F1">
        <w:rPr>
          <w:b/>
          <w:i/>
        </w:rPr>
        <w:t xml:space="preserve">The Commission has </w:t>
      </w:r>
      <w:r w:rsidR="00FF5A8A" w:rsidRPr="004F05F1">
        <w:rPr>
          <w:b/>
          <w:i/>
        </w:rPr>
        <w:t>specifically sought</w:t>
      </w:r>
      <w:r w:rsidRPr="004F05F1">
        <w:rPr>
          <w:b/>
          <w:i/>
        </w:rPr>
        <w:t xml:space="preserve"> information regarding to what extent currently available estimation methods, such as the National Impact Assessment Model, could inform the estimation of benchmark costs; whether additional assessment tools would need to be developed; who should be responsible for their development; and what timeframes would be appropriate.</w:t>
      </w:r>
    </w:p>
    <w:p w:rsidR="000C4475" w:rsidRDefault="000C4475" w:rsidP="00B7033E">
      <w:r>
        <w:t xml:space="preserve">The Commission’s proposed relief and recovery options would rely upon a robust, defensible methodology for assessing damages promptly after an event occurs, and benchmarking the potential cost of public infrastructure reconstruction. </w:t>
      </w:r>
      <w:r w:rsidR="004C6569">
        <w:t xml:space="preserve"> </w:t>
      </w:r>
      <w:r>
        <w:t>The Commission acknowledges that the establishment of such capability would require significant time and resources (Draft report, p</w:t>
      </w:r>
      <w:r w:rsidR="00D3275E">
        <w:t> </w:t>
      </w:r>
      <w:r>
        <w:t xml:space="preserve">149).  While some tools for collecting impact data and estimating damage already exist, they are limited in their application and would require significant work to support the proposed upfront payment method. </w:t>
      </w:r>
    </w:p>
    <w:p w:rsidR="00B7033E" w:rsidRPr="00B7033E" w:rsidRDefault="009D59EC" w:rsidP="00B7033E">
      <w:r w:rsidRPr="009D59EC">
        <w:t xml:space="preserve">The </w:t>
      </w:r>
      <w:r w:rsidR="00951CD5">
        <w:t>National Impact Assessment Model (</w:t>
      </w:r>
      <w:r>
        <w:t>NIAM</w:t>
      </w:r>
      <w:r w:rsidR="00704A93">
        <w:t>)</w:t>
      </w:r>
      <w:r w:rsidRPr="009D59EC">
        <w:t xml:space="preserve"> has been designed to provide national consistency for impact assessment to inform relief and recovery interventions. </w:t>
      </w:r>
      <w:r>
        <w:t xml:space="preserve"> </w:t>
      </w:r>
      <w:r w:rsidR="00951CD5">
        <w:t>It</w:t>
      </w:r>
      <w:r w:rsidRPr="009D59EC">
        <w:t xml:space="preserve"> focuses on the collection of impact data to inform recovery needs (</w:t>
      </w:r>
      <w:r>
        <w:t>for instance,</w:t>
      </w:r>
      <w:r w:rsidRPr="009D59EC">
        <w:t xml:space="preserve"> </w:t>
      </w:r>
      <w:r>
        <w:t>the number of</w:t>
      </w:r>
      <w:r w:rsidRPr="009D59EC">
        <w:t xml:space="preserve"> residential properties damaged may indicate </w:t>
      </w:r>
      <w:r>
        <w:t>a</w:t>
      </w:r>
      <w:r w:rsidRPr="009D59EC">
        <w:t xml:space="preserve"> need for temporary accommodation assistance). </w:t>
      </w:r>
      <w:r>
        <w:t xml:space="preserve"> </w:t>
      </w:r>
      <w:r w:rsidR="00951CD5">
        <w:t>It</w:t>
      </w:r>
      <w:r w:rsidR="00951CD5" w:rsidRPr="009D59EC">
        <w:t xml:space="preserve"> will also provide agreed national impact measures and definitions for recovery, including what constitutes a ‘</w:t>
      </w:r>
      <w:r w:rsidR="00951CD5">
        <w:t xml:space="preserve">severe event’.  </w:t>
      </w:r>
      <w:r>
        <w:t>The NIAM</w:t>
      </w:r>
      <w:r w:rsidRPr="009D59EC">
        <w:t xml:space="preserve"> has not been designed </w:t>
      </w:r>
      <w:r w:rsidR="00B7033E" w:rsidRPr="002F0EDC">
        <w:t xml:space="preserve">to estimate costs or inform benchmark costs of natural disasters. </w:t>
      </w:r>
      <w:r w:rsidR="004C6569">
        <w:t xml:space="preserve"> </w:t>
      </w:r>
      <w:r w:rsidR="00B7033E">
        <w:t xml:space="preserve">It </w:t>
      </w:r>
      <w:r w:rsidR="00B7033E" w:rsidRPr="00B7033E">
        <w:t>may however provide some data that could be useful in informing the estimation of post-disaster costs</w:t>
      </w:r>
      <w:r w:rsidR="002F0EDC">
        <w:t xml:space="preserve">, despite not being an estimation tool in and of </w:t>
      </w:r>
      <w:proofErr w:type="gramStart"/>
      <w:r w:rsidR="002F0EDC">
        <w:t>itself</w:t>
      </w:r>
      <w:proofErr w:type="gramEnd"/>
      <w:r w:rsidR="00B7033E" w:rsidRPr="00B7033E">
        <w:t>.</w:t>
      </w:r>
      <w:r w:rsidR="00B7033E">
        <w:t xml:space="preserve"> </w:t>
      </w:r>
    </w:p>
    <w:p w:rsidR="00FF5A8A" w:rsidRDefault="00F64711" w:rsidP="00FF5A8A">
      <w:r>
        <w:t xml:space="preserve">The Department notes that </w:t>
      </w:r>
      <w:r w:rsidR="00FF5A8A">
        <w:t xml:space="preserve">other estimation tools, such as Queensland’s Damage Assessment and Reconstruction Monitoring System do exist, </w:t>
      </w:r>
      <w:r>
        <w:t xml:space="preserve">however they </w:t>
      </w:r>
      <w:r w:rsidR="00FF5A8A">
        <w:t>are not currently applied in a nationally consistent manner</w:t>
      </w:r>
      <w:r>
        <w:t xml:space="preserve"> and are limited in their application.</w:t>
      </w:r>
      <w:r w:rsidR="00FF5A8A">
        <w:t xml:space="preserve"> </w:t>
      </w:r>
      <w:r w:rsidR="004C6569">
        <w:t xml:space="preserve"> </w:t>
      </w:r>
      <w:r w:rsidR="00FA4E87">
        <w:t xml:space="preserve">It is also noted that the Bureau of Infrastructure, Transport and Regional Economics is currently undertaking work in relation to benchmarking on road infrastructure projects.  </w:t>
      </w:r>
    </w:p>
    <w:p w:rsidR="002F0EDC" w:rsidRDefault="00FF5A8A" w:rsidP="002F0EDC">
      <w:r>
        <w:t>If the Commission’s proposed reforms to funding reconstruction of essential public assets were to be adopted, additional</w:t>
      </w:r>
      <w:r w:rsidRPr="009D59EC">
        <w:t xml:space="preserve"> tools would need to be developed</w:t>
      </w:r>
      <w:r w:rsidRPr="00BE1F0C">
        <w:t xml:space="preserve"> </w:t>
      </w:r>
      <w:r>
        <w:t>to benchmark the value o</w:t>
      </w:r>
      <w:r w:rsidR="00F64711">
        <w:t>f essential public assets</w:t>
      </w:r>
      <w:r>
        <w:t xml:space="preserve"> and </w:t>
      </w:r>
      <w:r w:rsidR="00F64711">
        <w:t xml:space="preserve">to </w:t>
      </w:r>
      <w:r w:rsidR="00270278">
        <w:t>support</w:t>
      </w:r>
      <w:r>
        <w:t xml:space="preserve"> robust damage assessment</w:t>
      </w:r>
      <w:r w:rsidR="00270278">
        <w:t>s.</w:t>
      </w:r>
      <w:r w:rsidR="002F0EDC">
        <w:t xml:space="preserve"> </w:t>
      </w:r>
    </w:p>
    <w:p w:rsidR="00AD2CAC" w:rsidRPr="00F6309E" w:rsidRDefault="002F0EDC" w:rsidP="00AD2CAC">
      <w:r w:rsidRPr="00BD0C29">
        <w:t xml:space="preserve">Implementation </w:t>
      </w:r>
      <w:r w:rsidR="00AD2CAC" w:rsidRPr="00BD0C29">
        <w:t xml:space="preserve">of this funding approach </w:t>
      </w:r>
      <w:r w:rsidRPr="00BD0C29">
        <w:t xml:space="preserve">would further require </w:t>
      </w:r>
      <w:r w:rsidR="0003035C" w:rsidRPr="00BD0C29">
        <w:t>a si</w:t>
      </w:r>
      <w:r w:rsidR="00AD2CAC" w:rsidRPr="00BD0C29">
        <w:t xml:space="preserve">gnificant </w:t>
      </w:r>
      <w:r w:rsidR="0003035C" w:rsidRPr="00BD0C29">
        <w:t>time and resource commitment from all levels of government</w:t>
      </w:r>
      <w:r w:rsidR="00AD2CAC" w:rsidRPr="00BD0C29">
        <w:t xml:space="preserve"> to establish necessary capability a</w:t>
      </w:r>
      <w:r w:rsidR="0003035C" w:rsidRPr="00BD0C29">
        <w:t xml:space="preserve">nd governance arrangements, supporting policies and guidelines, compile, publish and maintain detailed </w:t>
      </w:r>
      <w:r w:rsidR="0003035C" w:rsidRPr="00BD0C29">
        <w:lastRenderedPageBreak/>
        <w:t>registers of essential public assets to support benchmarked values, and to develop an integrated roa</w:t>
      </w:r>
      <w:r w:rsidR="00270278">
        <w:t xml:space="preserve">dmap and programme for change. </w:t>
      </w:r>
    </w:p>
    <w:p w:rsidR="0006468A" w:rsidRPr="00A0401D" w:rsidRDefault="009D59EC" w:rsidP="00270278">
      <w:r w:rsidRPr="009D59EC">
        <w:t xml:space="preserve">The </w:t>
      </w:r>
      <w:r w:rsidR="00BE1F0C">
        <w:t>Department expect</w:t>
      </w:r>
      <w:r w:rsidR="000C4475">
        <w:t>s</w:t>
      </w:r>
      <w:r w:rsidR="00BE1F0C">
        <w:t xml:space="preserve"> that </w:t>
      </w:r>
      <w:r w:rsidRPr="009D59EC">
        <w:t xml:space="preserve">development </w:t>
      </w:r>
      <w:r w:rsidR="0003035C">
        <w:t>and implementation of</w:t>
      </w:r>
      <w:r w:rsidRPr="009D59EC">
        <w:t xml:space="preserve"> </w:t>
      </w:r>
      <w:r w:rsidR="00BE1F0C">
        <w:t xml:space="preserve">an </w:t>
      </w:r>
      <w:r w:rsidRPr="009D59EC">
        <w:t>assessment methodology</w:t>
      </w:r>
      <w:r w:rsidR="00BE1F0C">
        <w:t xml:space="preserve"> </w:t>
      </w:r>
      <w:r w:rsidRPr="009D59EC">
        <w:t>would reasona</w:t>
      </w:r>
      <w:r w:rsidR="00BE1F0C">
        <w:t>bly take</w:t>
      </w:r>
      <w:r w:rsidR="0003035C">
        <w:t xml:space="preserve"> at least </w:t>
      </w:r>
      <w:r w:rsidR="00BE1F0C">
        <w:t>12</w:t>
      </w:r>
      <w:r w:rsidR="000C0F56">
        <w:t>–</w:t>
      </w:r>
      <w:r w:rsidR="00BE1F0C">
        <w:t>18 months</w:t>
      </w:r>
      <w:r w:rsidRPr="009D59EC">
        <w:t>.</w:t>
      </w:r>
      <w:r w:rsidR="001A09C7">
        <w:t xml:space="preserve">  </w:t>
      </w:r>
      <w:r w:rsidRPr="009D59EC">
        <w:t>It is</w:t>
      </w:r>
      <w:r w:rsidR="00C84705">
        <w:t xml:space="preserve"> also</w:t>
      </w:r>
      <w:r w:rsidRPr="009D59EC">
        <w:t xml:space="preserve"> likely that an ongoing Commonwealth resource would be required to deliver th</w:t>
      </w:r>
      <w:r w:rsidR="00C84705">
        <w:t xml:space="preserve">is assessment capability within states, following a disaster.  </w:t>
      </w:r>
      <w:r w:rsidR="00317D64">
        <w:t xml:space="preserve">The Department notes </w:t>
      </w:r>
      <w:r w:rsidR="0003035C">
        <w:t xml:space="preserve">that the Commission’s draft report does not </w:t>
      </w:r>
      <w:r w:rsidR="008A7F25">
        <w:t xml:space="preserve">explicitly recognise the need </w:t>
      </w:r>
      <w:r w:rsidR="002A1843">
        <w:t>for the development of these new capabilities</w:t>
      </w:r>
      <w:r w:rsidR="00317D64">
        <w:t xml:space="preserve">. </w:t>
      </w:r>
    </w:p>
    <w:p w:rsidR="000C4475" w:rsidRDefault="000C4475" w:rsidP="000C4475">
      <w:r w:rsidRPr="00BD0C29">
        <w:t xml:space="preserve">An upfront Australian Government contribution to community recovery costs (as proposed under option 3) would have additional resourcing requirements to develop and implement a community impact assessment model and benchmark prices.  While the Interim Framework developed in 2012 provides some guidance to states on estimating community impact, it would require significant redevelopment to ensure a robust community impact assessment model for upfront community recovery funding.  </w:t>
      </w:r>
      <w:r>
        <w:t>As noted previously, the Department welcomes the Commission’s advice on an alternative model to assess an appropriate level of community recovery</w:t>
      </w:r>
      <w:r w:rsidR="002A1843">
        <w:t xml:space="preserve"> support</w:t>
      </w:r>
      <w:r>
        <w:t>.</w:t>
      </w:r>
    </w:p>
    <w:p w:rsidR="004C6569" w:rsidRDefault="004C6569" w:rsidP="004C6569">
      <w:pPr>
        <w:pStyle w:val="Heading2"/>
        <w:spacing w:before="0"/>
        <w:rPr>
          <w:sz w:val="33"/>
          <w:szCs w:val="33"/>
        </w:rPr>
      </w:pPr>
      <w:r>
        <w:rPr>
          <w:noProof/>
          <w:lang w:eastAsia="en-AU"/>
        </w:rPr>
        <mc:AlternateContent>
          <mc:Choice Requires="wps">
            <w:drawing>
              <wp:inline distT="0" distB="0" distL="0" distR="0" wp14:anchorId="1257D4E9" wp14:editId="5410B0D7">
                <wp:extent cx="5759450" cy="2900680"/>
                <wp:effectExtent l="19050" t="19050" r="12700" b="13970"/>
                <wp:docPr id="5" name="Text Box 5"/>
                <wp:cNvGraphicFramePr/>
                <a:graphic xmlns:a="http://schemas.openxmlformats.org/drawingml/2006/main">
                  <a:graphicData uri="http://schemas.microsoft.com/office/word/2010/wordprocessingShape">
                    <wps:wsp>
                      <wps:cNvSpPr txBox="1"/>
                      <wps:spPr>
                        <a:xfrm>
                          <a:off x="0" y="0"/>
                          <a:ext cx="5759450" cy="2900680"/>
                        </a:xfrm>
                        <a:prstGeom prst="rect">
                          <a:avLst/>
                        </a:prstGeom>
                        <a:solidFill>
                          <a:schemeClr val="bg2">
                            <a:lumMod val="75000"/>
                          </a:schemeClr>
                        </a:solidFill>
                        <a:ln w="31750" cap="sq" cmpd="sng">
                          <a:solidFill>
                            <a:srgbClr val="B08D36"/>
                          </a:solidFill>
                        </a:ln>
                        <a:effectLst/>
                      </wps:spPr>
                      <wps:style>
                        <a:lnRef idx="0">
                          <a:schemeClr val="accent1"/>
                        </a:lnRef>
                        <a:fillRef idx="0">
                          <a:schemeClr val="accent1"/>
                        </a:fillRef>
                        <a:effectRef idx="0">
                          <a:schemeClr val="accent1"/>
                        </a:effectRef>
                        <a:fontRef idx="minor">
                          <a:schemeClr val="dk1"/>
                        </a:fontRef>
                      </wps:style>
                      <wps:txbx>
                        <w:txbxContent>
                          <w:p w:rsidR="004C6569" w:rsidRPr="0045285D" w:rsidRDefault="004C6569" w:rsidP="004C6569">
                            <w:pPr>
                              <w:rPr>
                                <w:b/>
                                <w:i/>
                              </w:rPr>
                            </w:pPr>
                            <w:r>
                              <w:rPr>
                                <w:b/>
                                <w:i/>
                              </w:rPr>
                              <w:t>In draft recommendation 3.5</w:t>
                            </w:r>
                            <w:r w:rsidRPr="0045285D">
                              <w:rPr>
                                <w:b/>
                                <w:i/>
                              </w:rPr>
                              <w:t>, the Commission recommends the Australian Government should:</w:t>
                            </w:r>
                          </w:p>
                          <w:p w:rsidR="004C6569" w:rsidRPr="0045285D" w:rsidRDefault="004C6569" w:rsidP="004C6569">
                            <w:pPr>
                              <w:pStyle w:val="ListParagraph"/>
                              <w:numPr>
                                <w:ilvl w:val="0"/>
                                <w:numId w:val="12"/>
                              </w:numPr>
                              <w:ind w:left="360"/>
                              <w:contextualSpacing w:val="0"/>
                              <w:rPr>
                                <w:b/>
                                <w:i/>
                              </w:rPr>
                            </w:pPr>
                            <w:r w:rsidRPr="0045285D">
                              <w:rPr>
                                <w:b/>
                                <w:i/>
                              </w:rPr>
                              <w:t>cease reimbursement to state and territory governments under the Natural Disaster Relief and Recovery Arrangements for relief payments for emergency food, clothing, or temporary accommodation and assistance to businesses and primary producers (including concessional loans, subsidies, grants and clean-up and recovery grants)</w:t>
                            </w:r>
                          </w:p>
                          <w:p w:rsidR="004C6569" w:rsidRPr="0045285D" w:rsidRDefault="004C6569" w:rsidP="004C6569">
                            <w:pPr>
                              <w:pStyle w:val="ListParagraph"/>
                              <w:numPr>
                                <w:ilvl w:val="0"/>
                                <w:numId w:val="12"/>
                              </w:numPr>
                              <w:ind w:left="360"/>
                              <w:contextualSpacing w:val="0"/>
                              <w:rPr>
                                <w:b/>
                                <w:i/>
                              </w:rPr>
                            </w:pPr>
                            <w:proofErr w:type="gramStart"/>
                            <w:r w:rsidRPr="0045285D">
                              <w:rPr>
                                <w:b/>
                                <w:i/>
                              </w:rPr>
                              <w:t>reduce</w:t>
                            </w:r>
                            <w:proofErr w:type="gramEnd"/>
                            <w:r w:rsidRPr="0045285D">
                              <w:rPr>
                                <w:b/>
                                <w:i/>
                              </w:rPr>
                              <w:t xml:space="preserve"> the amount provided under the Australian Government Disaster Recovery payment (AGDRP). The Australian Government Crisis Payment may provide a reasonable benchmark in this regard</w:t>
                            </w:r>
                          </w:p>
                          <w:p w:rsidR="004C6569" w:rsidRPr="0045285D" w:rsidRDefault="004C6569" w:rsidP="004C6569">
                            <w:pPr>
                              <w:pStyle w:val="ListParagraph"/>
                              <w:numPr>
                                <w:ilvl w:val="0"/>
                                <w:numId w:val="12"/>
                              </w:numPr>
                              <w:ind w:left="360"/>
                              <w:contextualSpacing w:val="0"/>
                              <w:rPr>
                                <w:b/>
                                <w:i/>
                              </w:rPr>
                            </w:pPr>
                            <w:proofErr w:type="gramStart"/>
                            <w:r w:rsidRPr="0045285D">
                              <w:rPr>
                                <w:b/>
                                <w:i/>
                              </w:rPr>
                              <w:t>legislate</w:t>
                            </w:r>
                            <w:proofErr w:type="gramEnd"/>
                            <w:r w:rsidRPr="0045285D">
                              <w:rPr>
                                <w:b/>
                                <w:i/>
                              </w:rPr>
                              <w:t xml:space="preserve"> the eligibility criteria for the AGDRP and the Disaster Recovery Allowance and make these not subject to Ministerial discretion.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id="Text Box 5" o:spid="_x0000_s1029" type="#_x0000_t202" style="width:453.5pt;height:2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" fillcolor="#c4bc96 [2414]" strokecolor="#b08d36" strokeweight="2.5pt">
                <v:stroke endcap="square"/>
                <v:textbox style="mso-fit-shape-to-text:t">
                  <w:txbxContent>
                    <w:p w:rsidR="004C6569" w:rsidRPr="0045285D" w:rsidRDefault="004C6569" w:rsidP="004C6569">
                      <w:pPr>
                        <w:rPr>
                          <w:b/>
                          <w:i/>
                        </w:rPr>
                      </w:pPr>
                      <w:r>
                        <w:rPr>
                          <w:b/>
                          <w:i/>
                        </w:rPr>
                        <w:t>In draft recommendation 3.5</w:t>
                      </w:r>
                      <w:r w:rsidRPr="0045285D">
                        <w:rPr>
                          <w:b/>
                          <w:i/>
                        </w:rPr>
                        <w:t>, the Commission recommends the Australian Government should:</w:t>
                      </w:r>
                    </w:p>
                    <w:p w:rsidR="004C6569" w:rsidRPr="0045285D" w:rsidRDefault="004C6569" w:rsidP="004C6569">
                      <w:pPr>
                        <w:pStyle w:val="ListParagraph"/>
                        <w:numPr>
                          <w:ilvl w:val="0"/>
                          <w:numId w:val="12"/>
                        </w:numPr>
                        <w:ind w:left="360"/>
                        <w:contextualSpacing w:val="0"/>
                        <w:rPr>
                          <w:b/>
                          <w:i/>
                        </w:rPr>
                      </w:pPr>
                      <w:r w:rsidRPr="0045285D">
                        <w:rPr>
                          <w:b/>
                          <w:i/>
                        </w:rPr>
                        <w:t>cease reimbursement to state and territory governments under the Natural Disaster Relief and Recovery Arrangements for relief payments for emergency food, clothing, or temporary accommodation and assistance to businesses and primary producers (including concessional loans, subsidies, grants and clean-up and recovery grants)</w:t>
                      </w:r>
                    </w:p>
                    <w:p w:rsidR="004C6569" w:rsidRPr="0045285D" w:rsidRDefault="004C6569" w:rsidP="004C6569">
                      <w:pPr>
                        <w:pStyle w:val="ListParagraph"/>
                        <w:numPr>
                          <w:ilvl w:val="0"/>
                          <w:numId w:val="12"/>
                        </w:numPr>
                        <w:ind w:left="360"/>
                        <w:contextualSpacing w:val="0"/>
                        <w:rPr>
                          <w:b/>
                          <w:i/>
                        </w:rPr>
                      </w:pPr>
                      <w:proofErr w:type="gramStart"/>
                      <w:r w:rsidRPr="0045285D">
                        <w:rPr>
                          <w:b/>
                          <w:i/>
                        </w:rPr>
                        <w:t>reduce</w:t>
                      </w:r>
                      <w:proofErr w:type="gramEnd"/>
                      <w:r w:rsidRPr="0045285D">
                        <w:rPr>
                          <w:b/>
                          <w:i/>
                        </w:rPr>
                        <w:t xml:space="preserve"> the amount provided under the Australian Government Disaster Recovery payment (AGDRP). The Australian Government Crisis Payment may provide a reasonable benchmark in this regard</w:t>
                      </w:r>
                    </w:p>
                    <w:p w:rsidR="004C6569" w:rsidRPr="0045285D" w:rsidRDefault="004C6569" w:rsidP="004C6569">
                      <w:pPr>
                        <w:pStyle w:val="ListParagraph"/>
                        <w:numPr>
                          <w:ilvl w:val="0"/>
                          <w:numId w:val="12"/>
                        </w:numPr>
                        <w:ind w:left="360"/>
                        <w:contextualSpacing w:val="0"/>
                        <w:rPr>
                          <w:b/>
                          <w:i/>
                        </w:rPr>
                      </w:pPr>
                      <w:proofErr w:type="gramStart"/>
                      <w:r w:rsidRPr="0045285D">
                        <w:rPr>
                          <w:b/>
                          <w:i/>
                        </w:rPr>
                        <w:t>legislate</w:t>
                      </w:r>
                      <w:proofErr w:type="gramEnd"/>
                      <w:r w:rsidRPr="0045285D">
                        <w:rPr>
                          <w:b/>
                          <w:i/>
                        </w:rPr>
                        <w:t xml:space="preserve"> the eligibility criteria for the AGDRP and the Disaster Recovery Allowance and make these not subject to Ministerial discretion.</w:t>
                      </w:r>
                    </w:p>
                  </w:txbxContent>
                </v:textbox>
                <w10:anchorlock/>
              </v:shape>
            </w:pict>
          </mc:Fallback>
        </mc:AlternateContent>
      </w:r>
    </w:p>
    <w:p w:rsidR="004C6569" w:rsidRPr="00EF36EC" w:rsidRDefault="00B54B18" w:rsidP="004C6569">
      <w:pPr>
        <w:pStyle w:val="Heading2"/>
        <w:spacing w:before="0"/>
        <w:rPr>
          <w:sz w:val="33"/>
          <w:szCs w:val="33"/>
        </w:rPr>
      </w:pPr>
      <w:r>
        <w:rPr>
          <w:sz w:val="33"/>
          <w:szCs w:val="33"/>
        </w:rPr>
        <w:t>3.3</w:t>
      </w:r>
      <w:r w:rsidR="004C6569" w:rsidRPr="00EF36EC">
        <w:rPr>
          <w:sz w:val="33"/>
          <w:szCs w:val="33"/>
        </w:rPr>
        <w:t xml:space="preserve"> </w:t>
      </w:r>
      <w:r w:rsidR="004C6569">
        <w:rPr>
          <w:sz w:val="33"/>
          <w:szCs w:val="33"/>
        </w:rPr>
        <w:t>Assistance to individuals</w:t>
      </w:r>
    </w:p>
    <w:p w:rsidR="0068058F" w:rsidRPr="00EF36EC" w:rsidRDefault="004C6569" w:rsidP="00723E6E">
      <w:r w:rsidRPr="00EF36EC">
        <w:t>The Department seeks the Commission’s clarification on whether ref</w:t>
      </w:r>
      <w:r>
        <w:t>erences to the Crisis Payment w</w:t>
      </w:r>
      <w:r w:rsidRPr="00EF36EC">
        <w:t xml:space="preserve">ere intended </w:t>
      </w:r>
      <w:r w:rsidR="00A565A1">
        <w:t xml:space="preserve">only </w:t>
      </w:r>
      <w:r w:rsidRPr="00EF36EC">
        <w:t>in relation to the amount of support</w:t>
      </w:r>
      <w:r w:rsidR="00A565A1">
        <w:t xml:space="preserve"> provided</w:t>
      </w:r>
      <w:r>
        <w:t>,</w:t>
      </w:r>
      <w:r w:rsidRPr="00EF36EC">
        <w:t xml:space="preserve"> or </w:t>
      </w:r>
      <w:r w:rsidR="00A565A1">
        <w:t xml:space="preserve">in relation to </w:t>
      </w:r>
      <w:r w:rsidRPr="00EF36EC">
        <w:t>all of the associated eligibility criteria</w:t>
      </w:r>
      <w:r w:rsidR="00A565A1">
        <w:t xml:space="preserve"> (such as </w:t>
      </w:r>
      <w:r w:rsidR="00583F93">
        <w:t>having to be in receipt of an income support payment, and in severe financial hardship on the day on which the claim for the Crisis Payment is made</w:t>
      </w:r>
      <w:r w:rsidR="00A565A1">
        <w:t>)</w:t>
      </w:r>
      <w:r w:rsidRPr="00EF36EC">
        <w:t>.</w:t>
      </w:r>
      <w:bookmarkEnd w:id="7"/>
    </w:p>
    <w:sectPr w:rsidR="0068058F" w:rsidRPr="00EF36EC" w:rsidSect="00D36733">
      <w:headerReference w:type="even" r:id="rId17"/>
      <w:headerReference w:type="default" r:id="rId18"/>
      <w:footerReference w:type="default" r:id="rId19"/>
      <w:headerReference w:type="first" r:id="rId20"/>
      <w:pgSz w:w="11906" w:h="16838"/>
      <w:pgMar w:top="1304" w:right="1418" w:bottom="1304" w:left="1418" w:header="709" w:footer="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007FBE" w15:done="0"/>
  <w15:commentEx w15:paraId="648CE294" w15:done="0"/>
  <w15:commentEx w15:paraId="30EA70E7" w15:done="0"/>
  <w15:commentEx w15:paraId="028F38D1" w15:done="0"/>
  <w15:commentEx w15:paraId="18276045" w15:done="0"/>
  <w15:commentEx w15:paraId="20DBA236" w15:done="0"/>
  <w15:commentEx w15:paraId="7EEFDA08" w15:done="0"/>
  <w15:commentEx w15:paraId="0BE1B461" w15:done="0"/>
  <w15:commentEx w15:paraId="45D1A9D7" w15:done="0"/>
  <w15:commentEx w15:paraId="64F27DBC" w15:done="0"/>
  <w15:commentEx w15:paraId="56AA9282" w15:done="0"/>
  <w15:commentEx w15:paraId="0FA42A02" w15:done="0"/>
  <w15:commentEx w15:paraId="1DBE51D1" w15:done="0"/>
  <w15:commentEx w15:paraId="220324C0" w15:done="0"/>
  <w15:commentEx w15:paraId="6ADFD93C" w15:done="0"/>
  <w15:commentEx w15:paraId="1985636C" w15:done="0"/>
  <w15:commentEx w15:paraId="68D7E4ED" w15:done="0"/>
  <w15:commentEx w15:paraId="3D764797" w15:done="0"/>
  <w15:commentEx w15:paraId="4A0D7CB6" w15:done="0"/>
  <w15:commentEx w15:paraId="4D3F8F14" w15:done="0"/>
  <w15:commentEx w15:paraId="31D4EE42" w15:done="0"/>
  <w15:commentEx w15:paraId="3E4A4CA0" w15:done="0"/>
  <w15:commentEx w15:paraId="719A73D5" w15:done="0"/>
  <w15:commentEx w15:paraId="4D5AB38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A52" w:rsidRDefault="009B3A52" w:rsidP="00A04C41">
      <w:r>
        <w:separator/>
      </w:r>
    </w:p>
  </w:endnote>
  <w:endnote w:type="continuationSeparator" w:id="0">
    <w:p w:rsidR="009B3A52" w:rsidRDefault="009B3A52" w:rsidP="00A04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E63" w:rsidRDefault="00573E63" w:rsidP="003D74A5">
    <w:pPr>
      <w:pStyle w:val="Footer"/>
      <w:jc w:val="right"/>
    </w:pPr>
    <w:r>
      <w:fldChar w:fldCharType="begin"/>
    </w:r>
    <w:r>
      <w:instrText xml:space="preserve"> PAGE   \* MERGEFORMAT </w:instrText>
    </w:r>
    <w:r>
      <w:fldChar w:fldCharType="separate"/>
    </w:r>
    <w:r w:rsidR="00894A4E">
      <w:rPr>
        <w:noProof/>
      </w:rPr>
      <w:t>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A52" w:rsidRDefault="009B3A52" w:rsidP="00A04C41">
      <w:r>
        <w:separator/>
      </w:r>
    </w:p>
  </w:footnote>
  <w:footnote w:type="continuationSeparator" w:id="0">
    <w:p w:rsidR="009B3A52" w:rsidRDefault="009B3A52" w:rsidP="00A04C41">
      <w:r>
        <w:continuationSeparator/>
      </w:r>
    </w:p>
  </w:footnote>
  <w:footnote w:id="1">
    <w:p w:rsidR="00D23956" w:rsidRDefault="00D23956">
      <w:pPr>
        <w:pStyle w:val="FootnoteText"/>
      </w:pPr>
      <w:r>
        <w:rPr>
          <w:rStyle w:val="FootnoteReference"/>
        </w:rPr>
        <w:footnoteRef/>
      </w:r>
      <w:r>
        <w:t xml:space="preserve"> </w:t>
      </w:r>
      <w:r w:rsidRPr="00D852A6">
        <w:rPr>
          <w:sz w:val="16"/>
          <w:szCs w:val="16"/>
        </w:rPr>
        <w:t>Impact assessment is used in this submission to refer to the appraisal of broad impacts of natural disasters on a community, including – but not limited to – damage to public infrastructure (commonly referred to as a damage assessment).</w:t>
      </w:r>
    </w:p>
  </w:footnote>
  <w:footnote w:id="2">
    <w:p w:rsidR="00A74A70" w:rsidRDefault="00A74A70" w:rsidP="00A74A70">
      <w:pPr>
        <w:pStyle w:val="FootnoteText"/>
      </w:pPr>
      <w:r>
        <w:rPr>
          <w:rStyle w:val="FootnoteReference"/>
        </w:rPr>
        <w:footnoteRef/>
      </w:r>
      <w:r>
        <w:t xml:space="preserve"> The NDRP and NBMP are outlined in Attorney-General’s Department, Sub. 90, pp</w:t>
      </w:r>
      <w:r w:rsidR="000C0F56">
        <w:t xml:space="preserve"> 29–</w:t>
      </w:r>
      <w:r>
        <w:t xml:space="preserve">30.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E63" w:rsidRDefault="00573E63" w:rsidP="00A04C41">
    <w:pPr>
      <w:pStyle w:val="Header"/>
    </w:pPr>
    <w:r>
      <w:rPr>
        <w:noProof/>
        <w:lang w:eastAsia="en-AU"/>
      </w:rPr>
      <w:drawing>
        <wp:anchor distT="0" distB="0" distL="114300" distR="114300" simplePos="0" relativeHeight="251659264" behindDoc="1" locked="0" layoutInCell="1" allowOverlap="1" wp14:anchorId="07965CAB" wp14:editId="029401F0">
          <wp:simplePos x="0" y="0"/>
          <wp:positionH relativeFrom="column">
            <wp:posOffset>-914400</wp:posOffset>
          </wp:positionH>
          <wp:positionV relativeFrom="paragraph">
            <wp:posOffset>-501015</wp:posOffset>
          </wp:positionV>
          <wp:extent cx="7562850" cy="10695940"/>
          <wp:effectExtent l="0" t="0" r="0" b="0"/>
          <wp:wrapNone/>
          <wp:docPr id="8" name="Picture 8" descr="Header: Australian Government Crest. Footer: Achieving a just and secure society - www.ag.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ader: Australian Government Crest. Footer: Achieving a just and secure society - www.ag.gov.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5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E63" w:rsidRDefault="00573E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E63" w:rsidRPr="003D74A5" w:rsidRDefault="00573E63" w:rsidP="003D74A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E63" w:rsidRDefault="00573E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7C82FCA"/>
    <w:lvl w:ilvl="0">
      <w:start w:val="1"/>
      <w:numFmt w:val="bullet"/>
      <w:pStyle w:val="ListBullet2"/>
      <w:lvlText w:val=""/>
      <w:lvlJc w:val="left"/>
      <w:pPr>
        <w:tabs>
          <w:tab w:val="num" w:pos="643"/>
        </w:tabs>
        <w:ind w:left="643" w:hanging="360"/>
      </w:pPr>
      <w:rPr>
        <w:rFonts w:ascii="Symbol" w:hAnsi="Symbol" w:hint="default"/>
        <w:color w:val="5C5C5C"/>
      </w:rPr>
    </w:lvl>
  </w:abstractNum>
  <w:abstractNum w:abstractNumId="1">
    <w:nsid w:val="08833065"/>
    <w:multiLevelType w:val="hybridMultilevel"/>
    <w:tmpl w:val="6B680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F1D7B82"/>
    <w:multiLevelType w:val="hybridMultilevel"/>
    <w:tmpl w:val="0B3C5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4801EAF"/>
    <w:multiLevelType w:val="hybridMultilevel"/>
    <w:tmpl w:val="98660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5FA5490"/>
    <w:multiLevelType w:val="hybridMultilevel"/>
    <w:tmpl w:val="D58609C2"/>
    <w:lvl w:ilvl="0" w:tplc="0C090017">
      <w:start w:val="1"/>
      <w:numFmt w:val="bullet"/>
      <w:lvlText w:val=""/>
      <w:lvlJc w:val="left"/>
      <w:pPr>
        <w:ind w:left="720" w:hanging="360"/>
      </w:pPr>
      <w:rPr>
        <w:rFonts w:ascii="Symbol" w:hAnsi="Symbol" w:hint="default"/>
        <w:color w:val="000000"/>
      </w:rPr>
    </w:lvl>
    <w:lvl w:ilvl="1" w:tplc="0C09001B">
      <w:start w:val="1"/>
      <w:numFmt w:val="lowerRoman"/>
      <w:lvlText w:val="%2."/>
      <w:lvlJc w:val="right"/>
      <w:pPr>
        <w:ind w:left="1440" w:hanging="360"/>
      </w:p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161C684B"/>
    <w:multiLevelType w:val="hybridMultilevel"/>
    <w:tmpl w:val="E2A67F6C"/>
    <w:lvl w:ilvl="0" w:tplc="D3D06B54">
      <w:start w:val="1"/>
      <w:numFmt w:val="bullet"/>
      <w:pStyle w:val="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nsid w:val="195C16B5"/>
    <w:multiLevelType w:val="hybridMultilevel"/>
    <w:tmpl w:val="A686F4B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E735A14"/>
    <w:multiLevelType w:val="hybridMultilevel"/>
    <w:tmpl w:val="EAFC5A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0EE0177"/>
    <w:multiLevelType w:val="hybridMultilevel"/>
    <w:tmpl w:val="E9D8BCDA"/>
    <w:lvl w:ilvl="0" w:tplc="C7BC3040">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1B">
      <w:start w:val="1"/>
      <w:numFmt w:val="lowerRoman"/>
      <w:lvlText w:val="%3."/>
      <w:lvlJc w:val="right"/>
      <w:pPr>
        <w:ind w:left="2160" w:hanging="180"/>
      </w:pPr>
    </w:lvl>
    <w:lvl w:ilvl="3" w:tplc="0C09000B">
      <w:start w:val="1"/>
      <w:numFmt w:val="bullet"/>
      <w:lvlText w:val=""/>
      <w:lvlJc w:val="left"/>
      <w:pPr>
        <w:ind w:left="2880" w:hanging="360"/>
      </w:pPr>
      <w:rPr>
        <w:rFonts w:ascii="Wingdings" w:hAnsi="Wingding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58924E1"/>
    <w:multiLevelType w:val="hybridMultilevel"/>
    <w:tmpl w:val="1D06E1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99F788B"/>
    <w:multiLevelType w:val="hybridMultilevel"/>
    <w:tmpl w:val="647087E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8C65195"/>
    <w:multiLevelType w:val="hybridMultilevel"/>
    <w:tmpl w:val="1F06A1EE"/>
    <w:lvl w:ilvl="0" w:tplc="2382757E">
      <w:start w:val="1"/>
      <w:numFmt w:val="decimal"/>
      <w:lvlText w:val="%1."/>
      <w:lvlJc w:val="left"/>
      <w:pPr>
        <w:ind w:left="570" w:hanging="57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2">
    <w:nsid w:val="3A520A9D"/>
    <w:multiLevelType w:val="hybridMultilevel"/>
    <w:tmpl w:val="B6CC5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7C8076E"/>
    <w:multiLevelType w:val="hybridMultilevel"/>
    <w:tmpl w:val="650E26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4E2E0478"/>
    <w:multiLevelType w:val="singleLevel"/>
    <w:tmpl w:val="EA6E1C66"/>
    <w:lvl w:ilvl="0">
      <w:start w:val="2"/>
      <w:numFmt w:val="decimal"/>
      <w:pStyle w:val="Paragraphnumbered"/>
      <w:lvlText w:val="%1."/>
      <w:legacy w:legacy="1" w:legacySpace="0" w:legacyIndent="567"/>
      <w:lvlJc w:val="left"/>
      <w:pPr>
        <w:ind w:left="567" w:hanging="567"/>
      </w:pPr>
    </w:lvl>
  </w:abstractNum>
  <w:abstractNum w:abstractNumId="15">
    <w:nsid w:val="51AB49A1"/>
    <w:multiLevelType w:val="hybridMultilevel"/>
    <w:tmpl w:val="DC30DCBA"/>
    <w:lvl w:ilvl="0" w:tplc="D7322854">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1C06A9D"/>
    <w:multiLevelType w:val="hybridMultilevel"/>
    <w:tmpl w:val="B2283C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A0C3F9F"/>
    <w:multiLevelType w:val="hybridMultilevel"/>
    <w:tmpl w:val="F3C43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C6A24F0"/>
    <w:multiLevelType w:val="hybridMultilevel"/>
    <w:tmpl w:val="82B85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1210626"/>
    <w:multiLevelType w:val="hybridMultilevel"/>
    <w:tmpl w:val="46267FA8"/>
    <w:lvl w:ilvl="0" w:tplc="83803164">
      <w:start w:val="1"/>
      <w:numFmt w:val="bullet"/>
      <w:pStyle w:val="Bullet"/>
      <w:lvlText w:val=""/>
      <w:lvlJc w:val="left"/>
      <w:pPr>
        <w:ind w:left="360" w:hanging="360"/>
      </w:pPr>
      <w:rPr>
        <w:rFonts w:ascii="Symbol" w:hAnsi="Symbol" w:hint="default"/>
        <w:color w:val="auto"/>
        <w:position w:val="0"/>
        <w:sz w:val="22"/>
      </w:rPr>
    </w:lvl>
    <w:lvl w:ilvl="1" w:tplc="81C4A82A">
      <w:start w:val="1"/>
      <w:numFmt w:val="bullet"/>
      <w:pStyle w:val="Dash"/>
      <w:lvlText w:val="–"/>
      <w:lvlJc w:val="left"/>
      <w:pPr>
        <w:tabs>
          <w:tab w:val="num" w:pos="720"/>
        </w:tabs>
        <w:ind w:left="720" w:hanging="360"/>
      </w:pPr>
      <w:rPr>
        <w:rFonts w:ascii="Palatino" w:hAnsi="Palatino" w:hint="default"/>
        <w:b w:val="0"/>
        <w:i w:val="0"/>
        <w:color w:val="auto"/>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6330621F"/>
    <w:multiLevelType w:val="hybridMultilevel"/>
    <w:tmpl w:val="FAE00E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698C6D15"/>
    <w:multiLevelType w:val="hybridMultilevel"/>
    <w:tmpl w:val="15723A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nsid w:val="6ECE1D22"/>
    <w:multiLevelType w:val="hybridMultilevel"/>
    <w:tmpl w:val="AC78E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F527133"/>
    <w:multiLevelType w:val="hybridMultilevel"/>
    <w:tmpl w:val="1DCEF3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nsid w:val="7B523D0B"/>
    <w:multiLevelType w:val="hybridMultilevel"/>
    <w:tmpl w:val="0180F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C2F6CDF"/>
    <w:multiLevelType w:val="hybridMultilevel"/>
    <w:tmpl w:val="19902B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4"/>
    <w:lvlOverride w:ilvl="0">
      <w:startOverride w:val="2"/>
    </w:lvlOverride>
  </w:num>
  <w:num w:numId="3">
    <w:abstractNumId w:val="17"/>
  </w:num>
  <w:num w:numId="4">
    <w:abstractNumId w:val="16"/>
  </w:num>
  <w:num w:numId="5">
    <w:abstractNumId w:val="16"/>
  </w:num>
  <w:num w:numId="6">
    <w:abstractNumId w:val="12"/>
  </w:num>
  <w:num w:numId="7">
    <w:abstractNumId w:val="13"/>
  </w:num>
  <w:num w:numId="8">
    <w:abstractNumId w:val="24"/>
  </w:num>
  <w:num w:numId="9">
    <w:abstractNumId w:val="25"/>
  </w:num>
  <w:num w:numId="10">
    <w:abstractNumId w:val="7"/>
  </w:num>
  <w:num w:numId="11">
    <w:abstractNumId w:val="8"/>
  </w:num>
  <w:num w:numId="12">
    <w:abstractNumId w:val="9"/>
  </w:num>
  <w:num w:numId="13">
    <w:abstractNumId w:val="18"/>
  </w:num>
  <w:num w:numId="14">
    <w:abstractNumId w:val="6"/>
  </w:num>
  <w:num w:numId="15">
    <w:abstractNumId w:val="5"/>
  </w:num>
  <w:num w:numId="16">
    <w:abstractNumId w:val="19"/>
  </w:num>
  <w:num w:numId="17">
    <w:abstractNumId w:val="1"/>
  </w:num>
  <w:num w:numId="18">
    <w:abstractNumId w:val="20"/>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23"/>
  </w:num>
  <w:num w:numId="21">
    <w:abstractNumId w:val="21"/>
  </w:num>
  <w:num w:numId="22">
    <w:abstractNumId w:val="4"/>
  </w:num>
  <w:num w:numId="23">
    <w:abstractNumId w:val="22"/>
  </w:num>
  <w:num w:numId="24">
    <w:abstractNumId w:val="3"/>
  </w:num>
  <w:num w:numId="25">
    <w:abstractNumId w:val="10"/>
  </w:num>
  <w:num w:numId="26">
    <w:abstractNumId w:val="2"/>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
    <w15:presenceInfo w15:providerId="None" w15:userId="S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attachedTemplate r:id="rId1"/>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EFC"/>
    <w:rsid w:val="00001907"/>
    <w:rsid w:val="00001C4B"/>
    <w:rsid w:val="00002CD6"/>
    <w:rsid w:val="00002DF8"/>
    <w:rsid w:val="00010998"/>
    <w:rsid w:val="000120A5"/>
    <w:rsid w:val="00016020"/>
    <w:rsid w:val="00016BF0"/>
    <w:rsid w:val="00017198"/>
    <w:rsid w:val="000208D6"/>
    <w:rsid w:val="00021B22"/>
    <w:rsid w:val="00021C76"/>
    <w:rsid w:val="000226CB"/>
    <w:rsid w:val="000237AD"/>
    <w:rsid w:val="00023B87"/>
    <w:rsid w:val="00025340"/>
    <w:rsid w:val="000302A0"/>
    <w:rsid w:val="0003035C"/>
    <w:rsid w:val="00031255"/>
    <w:rsid w:val="00034FFB"/>
    <w:rsid w:val="0003729A"/>
    <w:rsid w:val="00037354"/>
    <w:rsid w:val="0003793E"/>
    <w:rsid w:val="00041439"/>
    <w:rsid w:val="000419E3"/>
    <w:rsid w:val="00043A68"/>
    <w:rsid w:val="0004467D"/>
    <w:rsid w:val="00044CBC"/>
    <w:rsid w:val="00050FAC"/>
    <w:rsid w:val="00051C3A"/>
    <w:rsid w:val="000528E4"/>
    <w:rsid w:val="000550ED"/>
    <w:rsid w:val="00056A1F"/>
    <w:rsid w:val="0006079C"/>
    <w:rsid w:val="00061976"/>
    <w:rsid w:val="00061B11"/>
    <w:rsid w:val="0006257A"/>
    <w:rsid w:val="00062E7C"/>
    <w:rsid w:val="00063587"/>
    <w:rsid w:val="00063C66"/>
    <w:rsid w:val="0006468A"/>
    <w:rsid w:val="00065C4A"/>
    <w:rsid w:val="00065F35"/>
    <w:rsid w:val="000662BE"/>
    <w:rsid w:val="000670A4"/>
    <w:rsid w:val="0007394E"/>
    <w:rsid w:val="00074C7B"/>
    <w:rsid w:val="00076DC2"/>
    <w:rsid w:val="000828D8"/>
    <w:rsid w:val="0008742B"/>
    <w:rsid w:val="00087619"/>
    <w:rsid w:val="000879AD"/>
    <w:rsid w:val="0009027F"/>
    <w:rsid w:val="00092171"/>
    <w:rsid w:val="00092DA0"/>
    <w:rsid w:val="00094B56"/>
    <w:rsid w:val="0009526F"/>
    <w:rsid w:val="00095313"/>
    <w:rsid w:val="00096576"/>
    <w:rsid w:val="00097B7C"/>
    <w:rsid w:val="00097BDF"/>
    <w:rsid w:val="000A02C9"/>
    <w:rsid w:val="000A4A74"/>
    <w:rsid w:val="000A554D"/>
    <w:rsid w:val="000A637B"/>
    <w:rsid w:val="000B0928"/>
    <w:rsid w:val="000B0F36"/>
    <w:rsid w:val="000B42A4"/>
    <w:rsid w:val="000B4489"/>
    <w:rsid w:val="000B449A"/>
    <w:rsid w:val="000C09A5"/>
    <w:rsid w:val="000C0F56"/>
    <w:rsid w:val="000C1996"/>
    <w:rsid w:val="000C20BC"/>
    <w:rsid w:val="000C4475"/>
    <w:rsid w:val="000C5C59"/>
    <w:rsid w:val="000C5E76"/>
    <w:rsid w:val="000C69FA"/>
    <w:rsid w:val="000C6E76"/>
    <w:rsid w:val="000C7E04"/>
    <w:rsid w:val="000D005A"/>
    <w:rsid w:val="000D18B7"/>
    <w:rsid w:val="000D28FB"/>
    <w:rsid w:val="000D2EF0"/>
    <w:rsid w:val="000D3855"/>
    <w:rsid w:val="000D3EC7"/>
    <w:rsid w:val="000D4D1D"/>
    <w:rsid w:val="000D5A1E"/>
    <w:rsid w:val="000D665B"/>
    <w:rsid w:val="000E067A"/>
    <w:rsid w:val="000E0D3B"/>
    <w:rsid w:val="000E49AD"/>
    <w:rsid w:val="000E4D2D"/>
    <w:rsid w:val="000E5355"/>
    <w:rsid w:val="000E7B6E"/>
    <w:rsid w:val="000F0EAB"/>
    <w:rsid w:val="000F1822"/>
    <w:rsid w:val="000F44E0"/>
    <w:rsid w:val="000F5FC7"/>
    <w:rsid w:val="000F6DB3"/>
    <w:rsid w:val="000F721D"/>
    <w:rsid w:val="000F7BC6"/>
    <w:rsid w:val="00102350"/>
    <w:rsid w:val="00115C05"/>
    <w:rsid w:val="00117455"/>
    <w:rsid w:val="00122673"/>
    <w:rsid w:val="00122C3F"/>
    <w:rsid w:val="001231A2"/>
    <w:rsid w:val="0012362F"/>
    <w:rsid w:val="00123CFB"/>
    <w:rsid w:val="00124025"/>
    <w:rsid w:val="001254F7"/>
    <w:rsid w:val="00125833"/>
    <w:rsid w:val="001311B1"/>
    <w:rsid w:val="00131ACA"/>
    <w:rsid w:val="001322BE"/>
    <w:rsid w:val="00133E3D"/>
    <w:rsid w:val="00136C67"/>
    <w:rsid w:val="0013778A"/>
    <w:rsid w:val="0013787D"/>
    <w:rsid w:val="001460B9"/>
    <w:rsid w:val="00147860"/>
    <w:rsid w:val="00150113"/>
    <w:rsid w:val="00150EAD"/>
    <w:rsid w:val="001518A2"/>
    <w:rsid w:val="001573AA"/>
    <w:rsid w:val="00157E54"/>
    <w:rsid w:val="00160883"/>
    <w:rsid w:val="00161003"/>
    <w:rsid w:val="00163121"/>
    <w:rsid w:val="001635AC"/>
    <w:rsid w:val="00164A29"/>
    <w:rsid w:val="00170225"/>
    <w:rsid w:val="00177A6B"/>
    <w:rsid w:val="00177FBA"/>
    <w:rsid w:val="00180A44"/>
    <w:rsid w:val="00182288"/>
    <w:rsid w:val="0018340D"/>
    <w:rsid w:val="00184347"/>
    <w:rsid w:val="0018444B"/>
    <w:rsid w:val="00185CB1"/>
    <w:rsid w:val="00186422"/>
    <w:rsid w:val="00186BBC"/>
    <w:rsid w:val="0018738F"/>
    <w:rsid w:val="00187BFD"/>
    <w:rsid w:val="00192C90"/>
    <w:rsid w:val="00192F71"/>
    <w:rsid w:val="00193055"/>
    <w:rsid w:val="00194A5A"/>
    <w:rsid w:val="00194D4F"/>
    <w:rsid w:val="00195DBE"/>
    <w:rsid w:val="00196D15"/>
    <w:rsid w:val="001973E9"/>
    <w:rsid w:val="00197673"/>
    <w:rsid w:val="001A010A"/>
    <w:rsid w:val="001A04D5"/>
    <w:rsid w:val="001A09C7"/>
    <w:rsid w:val="001A1EC4"/>
    <w:rsid w:val="001A2DF8"/>
    <w:rsid w:val="001A4C7A"/>
    <w:rsid w:val="001A547D"/>
    <w:rsid w:val="001A70FA"/>
    <w:rsid w:val="001A7546"/>
    <w:rsid w:val="001B0E1D"/>
    <w:rsid w:val="001B1279"/>
    <w:rsid w:val="001B46EF"/>
    <w:rsid w:val="001B66D6"/>
    <w:rsid w:val="001B6831"/>
    <w:rsid w:val="001C04A0"/>
    <w:rsid w:val="001C05B4"/>
    <w:rsid w:val="001C1EC4"/>
    <w:rsid w:val="001C2B19"/>
    <w:rsid w:val="001C2DF7"/>
    <w:rsid w:val="001C353F"/>
    <w:rsid w:val="001C62BB"/>
    <w:rsid w:val="001C75EC"/>
    <w:rsid w:val="001C7ACD"/>
    <w:rsid w:val="001D0CAD"/>
    <w:rsid w:val="001D278A"/>
    <w:rsid w:val="001D4CCD"/>
    <w:rsid w:val="001D5F03"/>
    <w:rsid w:val="001D70AF"/>
    <w:rsid w:val="001E12E0"/>
    <w:rsid w:val="001E314B"/>
    <w:rsid w:val="001E4BDC"/>
    <w:rsid w:val="001E6C08"/>
    <w:rsid w:val="001E7B3C"/>
    <w:rsid w:val="001F082A"/>
    <w:rsid w:val="001F0E87"/>
    <w:rsid w:val="001F1C40"/>
    <w:rsid w:val="001F2167"/>
    <w:rsid w:val="001F2511"/>
    <w:rsid w:val="001F5413"/>
    <w:rsid w:val="001F5C6C"/>
    <w:rsid w:val="002017C1"/>
    <w:rsid w:val="002034D2"/>
    <w:rsid w:val="0020378B"/>
    <w:rsid w:val="002045FF"/>
    <w:rsid w:val="002046C6"/>
    <w:rsid w:val="00204F52"/>
    <w:rsid w:val="00206FF1"/>
    <w:rsid w:val="00212857"/>
    <w:rsid w:val="00212EEA"/>
    <w:rsid w:val="00213E7F"/>
    <w:rsid w:val="00214E42"/>
    <w:rsid w:val="00215CFB"/>
    <w:rsid w:val="00215DAA"/>
    <w:rsid w:val="002161A6"/>
    <w:rsid w:val="00217DE4"/>
    <w:rsid w:val="00217E9C"/>
    <w:rsid w:val="00222CF9"/>
    <w:rsid w:val="00222F59"/>
    <w:rsid w:val="00223C65"/>
    <w:rsid w:val="002241BD"/>
    <w:rsid w:val="0022443B"/>
    <w:rsid w:val="0022492A"/>
    <w:rsid w:val="0022544D"/>
    <w:rsid w:val="00225AAA"/>
    <w:rsid w:val="00225CF5"/>
    <w:rsid w:val="002317BB"/>
    <w:rsid w:val="00236A89"/>
    <w:rsid w:val="00240E7F"/>
    <w:rsid w:val="0024196A"/>
    <w:rsid w:val="00244E5C"/>
    <w:rsid w:val="002452E9"/>
    <w:rsid w:val="002462CB"/>
    <w:rsid w:val="002472BB"/>
    <w:rsid w:val="0025137F"/>
    <w:rsid w:val="0025201B"/>
    <w:rsid w:val="00254178"/>
    <w:rsid w:val="0025567D"/>
    <w:rsid w:val="002558A1"/>
    <w:rsid w:val="002574F6"/>
    <w:rsid w:val="00257D39"/>
    <w:rsid w:val="00257FC3"/>
    <w:rsid w:val="002611FA"/>
    <w:rsid w:val="00261314"/>
    <w:rsid w:val="002617FF"/>
    <w:rsid w:val="00261E09"/>
    <w:rsid w:val="00261EF5"/>
    <w:rsid w:val="00262EAA"/>
    <w:rsid w:val="00263224"/>
    <w:rsid w:val="00263310"/>
    <w:rsid w:val="00263B36"/>
    <w:rsid w:val="0026426A"/>
    <w:rsid w:val="00264F6B"/>
    <w:rsid w:val="00265311"/>
    <w:rsid w:val="00267DC9"/>
    <w:rsid w:val="00270278"/>
    <w:rsid w:val="002708E2"/>
    <w:rsid w:val="002713D1"/>
    <w:rsid w:val="00280048"/>
    <w:rsid w:val="0028018F"/>
    <w:rsid w:val="00280BE5"/>
    <w:rsid w:val="002823F9"/>
    <w:rsid w:val="00283C7C"/>
    <w:rsid w:val="00283CC5"/>
    <w:rsid w:val="00284EB9"/>
    <w:rsid w:val="00287456"/>
    <w:rsid w:val="00287DBA"/>
    <w:rsid w:val="002906C3"/>
    <w:rsid w:val="00290A4E"/>
    <w:rsid w:val="00290D49"/>
    <w:rsid w:val="002932AD"/>
    <w:rsid w:val="002A1843"/>
    <w:rsid w:val="002A217C"/>
    <w:rsid w:val="002A24CB"/>
    <w:rsid w:val="002A3411"/>
    <w:rsid w:val="002A4663"/>
    <w:rsid w:val="002A5C14"/>
    <w:rsid w:val="002A6588"/>
    <w:rsid w:val="002A7E24"/>
    <w:rsid w:val="002B0541"/>
    <w:rsid w:val="002B0BBD"/>
    <w:rsid w:val="002B28F3"/>
    <w:rsid w:val="002B4D7A"/>
    <w:rsid w:val="002B5109"/>
    <w:rsid w:val="002B5C00"/>
    <w:rsid w:val="002B6649"/>
    <w:rsid w:val="002B70DA"/>
    <w:rsid w:val="002C02CC"/>
    <w:rsid w:val="002C174C"/>
    <w:rsid w:val="002C33B6"/>
    <w:rsid w:val="002C3E96"/>
    <w:rsid w:val="002C603A"/>
    <w:rsid w:val="002D168E"/>
    <w:rsid w:val="002D1A52"/>
    <w:rsid w:val="002D1D6E"/>
    <w:rsid w:val="002D56F2"/>
    <w:rsid w:val="002D75D2"/>
    <w:rsid w:val="002E2AE3"/>
    <w:rsid w:val="002E2B4C"/>
    <w:rsid w:val="002E388A"/>
    <w:rsid w:val="002E406A"/>
    <w:rsid w:val="002F0236"/>
    <w:rsid w:val="002F04AB"/>
    <w:rsid w:val="002F0EDC"/>
    <w:rsid w:val="002F1686"/>
    <w:rsid w:val="002F2115"/>
    <w:rsid w:val="002F2F1D"/>
    <w:rsid w:val="002F3373"/>
    <w:rsid w:val="002F39EA"/>
    <w:rsid w:val="002F4A89"/>
    <w:rsid w:val="002F50AE"/>
    <w:rsid w:val="002F522A"/>
    <w:rsid w:val="002F52E6"/>
    <w:rsid w:val="002F5C5D"/>
    <w:rsid w:val="002F6472"/>
    <w:rsid w:val="002F677A"/>
    <w:rsid w:val="003001FF"/>
    <w:rsid w:val="003032F0"/>
    <w:rsid w:val="003042DA"/>
    <w:rsid w:val="003044DB"/>
    <w:rsid w:val="003054D1"/>
    <w:rsid w:val="003069E0"/>
    <w:rsid w:val="00310316"/>
    <w:rsid w:val="00312013"/>
    <w:rsid w:val="003125CB"/>
    <w:rsid w:val="00313F63"/>
    <w:rsid w:val="00314141"/>
    <w:rsid w:val="0031570E"/>
    <w:rsid w:val="00316889"/>
    <w:rsid w:val="00316A80"/>
    <w:rsid w:val="00317D64"/>
    <w:rsid w:val="0032100B"/>
    <w:rsid w:val="0032141C"/>
    <w:rsid w:val="00321827"/>
    <w:rsid w:val="00321D11"/>
    <w:rsid w:val="00322091"/>
    <w:rsid w:val="00323D08"/>
    <w:rsid w:val="00324CB9"/>
    <w:rsid w:val="00324E4E"/>
    <w:rsid w:val="00325748"/>
    <w:rsid w:val="00327BC1"/>
    <w:rsid w:val="00327E0A"/>
    <w:rsid w:val="003304C1"/>
    <w:rsid w:val="00334A38"/>
    <w:rsid w:val="0034159A"/>
    <w:rsid w:val="00342EEF"/>
    <w:rsid w:val="0034362C"/>
    <w:rsid w:val="00343821"/>
    <w:rsid w:val="0035210B"/>
    <w:rsid w:val="00353280"/>
    <w:rsid w:val="0035348B"/>
    <w:rsid w:val="003558CC"/>
    <w:rsid w:val="0035598E"/>
    <w:rsid w:val="00356F5E"/>
    <w:rsid w:val="00357450"/>
    <w:rsid w:val="003575CD"/>
    <w:rsid w:val="0036198A"/>
    <w:rsid w:val="0036235C"/>
    <w:rsid w:val="003628F0"/>
    <w:rsid w:val="00363814"/>
    <w:rsid w:val="00366478"/>
    <w:rsid w:val="00371F8F"/>
    <w:rsid w:val="00373963"/>
    <w:rsid w:val="0037697A"/>
    <w:rsid w:val="00377077"/>
    <w:rsid w:val="0038064C"/>
    <w:rsid w:val="00380C72"/>
    <w:rsid w:val="00380EDD"/>
    <w:rsid w:val="00381230"/>
    <w:rsid w:val="003818B2"/>
    <w:rsid w:val="00382641"/>
    <w:rsid w:val="00386C35"/>
    <w:rsid w:val="003964B2"/>
    <w:rsid w:val="003A0582"/>
    <w:rsid w:val="003A0835"/>
    <w:rsid w:val="003A1DFD"/>
    <w:rsid w:val="003A21D3"/>
    <w:rsid w:val="003A22BD"/>
    <w:rsid w:val="003A2E6B"/>
    <w:rsid w:val="003A40CF"/>
    <w:rsid w:val="003A4E96"/>
    <w:rsid w:val="003A5AF7"/>
    <w:rsid w:val="003B289E"/>
    <w:rsid w:val="003B2AF9"/>
    <w:rsid w:val="003B4B4F"/>
    <w:rsid w:val="003B59EE"/>
    <w:rsid w:val="003C0A44"/>
    <w:rsid w:val="003C3AA3"/>
    <w:rsid w:val="003C43FC"/>
    <w:rsid w:val="003C48A4"/>
    <w:rsid w:val="003C7D21"/>
    <w:rsid w:val="003D060C"/>
    <w:rsid w:val="003D266A"/>
    <w:rsid w:val="003D585D"/>
    <w:rsid w:val="003D74A5"/>
    <w:rsid w:val="003E308F"/>
    <w:rsid w:val="003E5A8E"/>
    <w:rsid w:val="003E5DB3"/>
    <w:rsid w:val="003E7348"/>
    <w:rsid w:val="003E7B39"/>
    <w:rsid w:val="003F0228"/>
    <w:rsid w:val="003F1C2E"/>
    <w:rsid w:val="003F7049"/>
    <w:rsid w:val="003F7DB1"/>
    <w:rsid w:val="0040191F"/>
    <w:rsid w:val="0040306D"/>
    <w:rsid w:val="00403648"/>
    <w:rsid w:val="00403CFE"/>
    <w:rsid w:val="004045CA"/>
    <w:rsid w:val="0040691F"/>
    <w:rsid w:val="00410DD1"/>
    <w:rsid w:val="00415983"/>
    <w:rsid w:val="00416848"/>
    <w:rsid w:val="00420350"/>
    <w:rsid w:val="004213ED"/>
    <w:rsid w:val="00421ABD"/>
    <w:rsid w:val="00422091"/>
    <w:rsid w:val="004225D7"/>
    <w:rsid w:val="0042298D"/>
    <w:rsid w:val="0042310D"/>
    <w:rsid w:val="00425559"/>
    <w:rsid w:val="0042575B"/>
    <w:rsid w:val="00426158"/>
    <w:rsid w:val="00426728"/>
    <w:rsid w:val="00430031"/>
    <w:rsid w:val="0043096B"/>
    <w:rsid w:val="00432768"/>
    <w:rsid w:val="004329BB"/>
    <w:rsid w:val="00433A7B"/>
    <w:rsid w:val="00434F36"/>
    <w:rsid w:val="00435B8F"/>
    <w:rsid w:val="00435EB1"/>
    <w:rsid w:val="00437323"/>
    <w:rsid w:val="004373E2"/>
    <w:rsid w:val="00437482"/>
    <w:rsid w:val="00437775"/>
    <w:rsid w:val="004378F4"/>
    <w:rsid w:val="004400C2"/>
    <w:rsid w:val="0044263C"/>
    <w:rsid w:val="00446BA6"/>
    <w:rsid w:val="004478CC"/>
    <w:rsid w:val="004500E4"/>
    <w:rsid w:val="004519BE"/>
    <w:rsid w:val="00452011"/>
    <w:rsid w:val="0045285D"/>
    <w:rsid w:val="0046044C"/>
    <w:rsid w:val="00460B4B"/>
    <w:rsid w:val="00460E55"/>
    <w:rsid w:val="00461A89"/>
    <w:rsid w:val="00462DA1"/>
    <w:rsid w:val="004647CD"/>
    <w:rsid w:val="0046522E"/>
    <w:rsid w:val="0046561D"/>
    <w:rsid w:val="004667C4"/>
    <w:rsid w:val="004673B0"/>
    <w:rsid w:val="004676E5"/>
    <w:rsid w:val="00467CFC"/>
    <w:rsid w:val="0047089E"/>
    <w:rsid w:val="00471748"/>
    <w:rsid w:val="004725B9"/>
    <w:rsid w:val="004748E3"/>
    <w:rsid w:val="00476431"/>
    <w:rsid w:val="00477A86"/>
    <w:rsid w:val="004802C7"/>
    <w:rsid w:val="00483A1A"/>
    <w:rsid w:val="0048452B"/>
    <w:rsid w:val="00484955"/>
    <w:rsid w:val="00484E5E"/>
    <w:rsid w:val="004865ED"/>
    <w:rsid w:val="00492B7B"/>
    <w:rsid w:val="00493206"/>
    <w:rsid w:val="00493596"/>
    <w:rsid w:val="00494FC0"/>
    <w:rsid w:val="00495038"/>
    <w:rsid w:val="00495E6C"/>
    <w:rsid w:val="0049790F"/>
    <w:rsid w:val="004A0582"/>
    <w:rsid w:val="004A2C2D"/>
    <w:rsid w:val="004A562D"/>
    <w:rsid w:val="004A673B"/>
    <w:rsid w:val="004B3519"/>
    <w:rsid w:val="004B45B5"/>
    <w:rsid w:val="004B52F7"/>
    <w:rsid w:val="004C4C59"/>
    <w:rsid w:val="004C6569"/>
    <w:rsid w:val="004C69A2"/>
    <w:rsid w:val="004C6B3F"/>
    <w:rsid w:val="004C6DEC"/>
    <w:rsid w:val="004C7894"/>
    <w:rsid w:val="004C7E0D"/>
    <w:rsid w:val="004D0EED"/>
    <w:rsid w:val="004D22CF"/>
    <w:rsid w:val="004D2590"/>
    <w:rsid w:val="004D2645"/>
    <w:rsid w:val="004D294B"/>
    <w:rsid w:val="004D3386"/>
    <w:rsid w:val="004D4D55"/>
    <w:rsid w:val="004D62B1"/>
    <w:rsid w:val="004D73C2"/>
    <w:rsid w:val="004D7A4C"/>
    <w:rsid w:val="004E1402"/>
    <w:rsid w:val="004E1962"/>
    <w:rsid w:val="004E3760"/>
    <w:rsid w:val="004E5C27"/>
    <w:rsid w:val="004E6EED"/>
    <w:rsid w:val="004E74D8"/>
    <w:rsid w:val="004F05D4"/>
    <w:rsid w:val="004F05F1"/>
    <w:rsid w:val="004F2D18"/>
    <w:rsid w:val="004F2F27"/>
    <w:rsid w:val="004F49C9"/>
    <w:rsid w:val="004F5A31"/>
    <w:rsid w:val="004F5FBD"/>
    <w:rsid w:val="004F67AC"/>
    <w:rsid w:val="005017CC"/>
    <w:rsid w:val="00506F44"/>
    <w:rsid w:val="00506FF7"/>
    <w:rsid w:val="005115C5"/>
    <w:rsid w:val="00511AA0"/>
    <w:rsid w:val="00511CB7"/>
    <w:rsid w:val="00511F36"/>
    <w:rsid w:val="005128FE"/>
    <w:rsid w:val="00513D13"/>
    <w:rsid w:val="00515E6F"/>
    <w:rsid w:val="0052014D"/>
    <w:rsid w:val="005207CE"/>
    <w:rsid w:val="005216F8"/>
    <w:rsid w:val="00522CA7"/>
    <w:rsid w:val="00523365"/>
    <w:rsid w:val="005269FB"/>
    <w:rsid w:val="00526FF7"/>
    <w:rsid w:val="00527217"/>
    <w:rsid w:val="00531971"/>
    <w:rsid w:val="00531F6A"/>
    <w:rsid w:val="0053464E"/>
    <w:rsid w:val="005370A3"/>
    <w:rsid w:val="0054012D"/>
    <w:rsid w:val="00540DD9"/>
    <w:rsid w:val="00541ADE"/>
    <w:rsid w:val="005424C8"/>
    <w:rsid w:val="005429AE"/>
    <w:rsid w:val="00543A9A"/>
    <w:rsid w:val="00544072"/>
    <w:rsid w:val="00544B64"/>
    <w:rsid w:val="00544D70"/>
    <w:rsid w:val="00545B67"/>
    <w:rsid w:val="00550DB3"/>
    <w:rsid w:val="00550EED"/>
    <w:rsid w:val="00551CC6"/>
    <w:rsid w:val="00556AD3"/>
    <w:rsid w:val="005608C0"/>
    <w:rsid w:val="00563817"/>
    <w:rsid w:val="00564C3E"/>
    <w:rsid w:val="0056501C"/>
    <w:rsid w:val="005668CC"/>
    <w:rsid w:val="005669D1"/>
    <w:rsid w:val="00567146"/>
    <w:rsid w:val="0057080E"/>
    <w:rsid w:val="00570B75"/>
    <w:rsid w:val="0057192C"/>
    <w:rsid w:val="0057380F"/>
    <w:rsid w:val="00573877"/>
    <w:rsid w:val="00573E63"/>
    <w:rsid w:val="00574A0C"/>
    <w:rsid w:val="00576A9B"/>
    <w:rsid w:val="0057738A"/>
    <w:rsid w:val="00580A61"/>
    <w:rsid w:val="005810F6"/>
    <w:rsid w:val="0058186D"/>
    <w:rsid w:val="0058319E"/>
    <w:rsid w:val="005835CA"/>
    <w:rsid w:val="00583960"/>
    <w:rsid w:val="00583CE8"/>
    <w:rsid w:val="00583F93"/>
    <w:rsid w:val="005865BF"/>
    <w:rsid w:val="005874E0"/>
    <w:rsid w:val="005908CC"/>
    <w:rsid w:val="00591D57"/>
    <w:rsid w:val="005944F1"/>
    <w:rsid w:val="005965AB"/>
    <w:rsid w:val="00597578"/>
    <w:rsid w:val="005A5240"/>
    <w:rsid w:val="005A65B8"/>
    <w:rsid w:val="005B0B10"/>
    <w:rsid w:val="005B1A4E"/>
    <w:rsid w:val="005B3CB5"/>
    <w:rsid w:val="005B46FC"/>
    <w:rsid w:val="005B637D"/>
    <w:rsid w:val="005C1563"/>
    <w:rsid w:val="005C2184"/>
    <w:rsid w:val="005C6C29"/>
    <w:rsid w:val="005C7FE5"/>
    <w:rsid w:val="005D113B"/>
    <w:rsid w:val="005D4037"/>
    <w:rsid w:val="005D57B5"/>
    <w:rsid w:val="005D5EE2"/>
    <w:rsid w:val="005D6F54"/>
    <w:rsid w:val="005D71F2"/>
    <w:rsid w:val="005E10E1"/>
    <w:rsid w:val="005E10F7"/>
    <w:rsid w:val="005E1A88"/>
    <w:rsid w:val="005E564E"/>
    <w:rsid w:val="005E6A02"/>
    <w:rsid w:val="005F0213"/>
    <w:rsid w:val="005F63C6"/>
    <w:rsid w:val="005F78EF"/>
    <w:rsid w:val="005F7CA4"/>
    <w:rsid w:val="00600ED2"/>
    <w:rsid w:val="00603F42"/>
    <w:rsid w:val="006045FA"/>
    <w:rsid w:val="00606CAA"/>
    <w:rsid w:val="006112EA"/>
    <w:rsid w:val="006126AA"/>
    <w:rsid w:val="00613451"/>
    <w:rsid w:val="00613643"/>
    <w:rsid w:val="00615D01"/>
    <w:rsid w:val="0061678C"/>
    <w:rsid w:val="00624AD2"/>
    <w:rsid w:val="00625743"/>
    <w:rsid w:val="00626FE8"/>
    <w:rsid w:val="0062737C"/>
    <w:rsid w:val="0063226E"/>
    <w:rsid w:val="00634D8A"/>
    <w:rsid w:val="00635109"/>
    <w:rsid w:val="0063629C"/>
    <w:rsid w:val="00637203"/>
    <w:rsid w:val="00637D49"/>
    <w:rsid w:val="006403EC"/>
    <w:rsid w:val="00640E23"/>
    <w:rsid w:val="0064424F"/>
    <w:rsid w:val="00646357"/>
    <w:rsid w:val="0064784C"/>
    <w:rsid w:val="00647EAE"/>
    <w:rsid w:val="0065203F"/>
    <w:rsid w:val="006548DF"/>
    <w:rsid w:val="00655B81"/>
    <w:rsid w:val="00661189"/>
    <w:rsid w:val="00663DDF"/>
    <w:rsid w:val="00664896"/>
    <w:rsid w:val="00664E7A"/>
    <w:rsid w:val="00665373"/>
    <w:rsid w:val="006656AF"/>
    <w:rsid w:val="00667261"/>
    <w:rsid w:val="00670FB8"/>
    <w:rsid w:val="00674221"/>
    <w:rsid w:val="00676FB3"/>
    <w:rsid w:val="00676FE9"/>
    <w:rsid w:val="0067796E"/>
    <w:rsid w:val="00677A7C"/>
    <w:rsid w:val="00677AEC"/>
    <w:rsid w:val="0068058F"/>
    <w:rsid w:val="00680730"/>
    <w:rsid w:val="00681EDC"/>
    <w:rsid w:val="0068249F"/>
    <w:rsid w:val="0068673E"/>
    <w:rsid w:val="00686828"/>
    <w:rsid w:val="0069327E"/>
    <w:rsid w:val="006949AB"/>
    <w:rsid w:val="00695433"/>
    <w:rsid w:val="00696307"/>
    <w:rsid w:val="0069683F"/>
    <w:rsid w:val="00696D81"/>
    <w:rsid w:val="00697953"/>
    <w:rsid w:val="006A2436"/>
    <w:rsid w:val="006A3376"/>
    <w:rsid w:val="006A58AB"/>
    <w:rsid w:val="006A6AD4"/>
    <w:rsid w:val="006A7896"/>
    <w:rsid w:val="006B13C1"/>
    <w:rsid w:val="006B179A"/>
    <w:rsid w:val="006B1F7E"/>
    <w:rsid w:val="006B27D8"/>
    <w:rsid w:val="006B5000"/>
    <w:rsid w:val="006B7573"/>
    <w:rsid w:val="006B790C"/>
    <w:rsid w:val="006C176C"/>
    <w:rsid w:val="006C21E6"/>
    <w:rsid w:val="006C2F4D"/>
    <w:rsid w:val="006C314E"/>
    <w:rsid w:val="006C379E"/>
    <w:rsid w:val="006C54F7"/>
    <w:rsid w:val="006C6CEF"/>
    <w:rsid w:val="006C6E93"/>
    <w:rsid w:val="006C6E99"/>
    <w:rsid w:val="006C7100"/>
    <w:rsid w:val="006C74FA"/>
    <w:rsid w:val="006D00B2"/>
    <w:rsid w:val="006D1A79"/>
    <w:rsid w:val="006D29A3"/>
    <w:rsid w:val="006D4E13"/>
    <w:rsid w:val="006D6656"/>
    <w:rsid w:val="006D707F"/>
    <w:rsid w:val="006E0B75"/>
    <w:rsid w:val="006E4115"/>
    <w:rsid w:val="006F09D3"/>
    <w:rsid w:val="006F1DBE"/>
    <w:rsid w:val="0070141E"/>
    <w:rsid w:val="00701714"/>
    <w:rsid w:val="00701AA4"/>
    <w:rsid w:val="00704A93"/>
    <w:rsid w:val="00705953"/>
    <w:rsid w:val="00705FE8"/>
    <w:rsid w:val="00706410"/>
    <w:rsid w:val="007064F5"/>
    <w:rsid w:val="007101D9"/>
    <w:rsid w:val="0071050F"/>
    <w:rsid w:val="007121E5"/>
    <w:rsid w:val="00712A0E"/>
    <w:rsid w:val="00713B5F"/>
    <w:rsid w:val="007141DA"/>
    <w:rsid w:val="007172B6"/>
    <w:rsid w:val="00721319"/>
    <w:rsid w:val="007214A6"/>
    <w:rsid w:val="00721E92"/>
    <w:rsid w:val="007233CF"/>
    <w:rsid w:val="00723E6E"/>
    <w:rsid w:val="00723F5B"/>
    <w:rsid w:val="00724DC0"/>
    <w:rsid w:val="007269F3"/>
    <w:rsid w:val="00726B7B"/>
    <w:rsid w:val="00727B07"/>
    <w:rsid w:val="007307CF"/>
    <w:rsid w:val="00730AD6"/>
    <w:rsid w:val="007327DB"/>
    <w:rsid w:val="00735340"/>
    <w:rsid w:val="00740E98"/>
    <w:rsid w:val="00741CC6"/>
    <w:rsid w:val="007430D6"/>
    <w:rsid w:val="00743612"/>
    <w:rsid w:val="00744A6A"/>
    <w:rsid w:val="00745417"/>
    <w:rsid w:val="00746599"/>
    <w:rsid w:val="0075002A"/>
    <w:rsid w:val="0075007B"/>
    <w:rsid w:val="0075073C"/>
    <w:rsid w:val="007516AC"/>
    <w:rsid w:val="00752389"/>
    <w:rsid w:val="0075391D"/>
    <w:rsid w:val="00755845"/>
    <w:rsid w:val="00755CD1"/>
    <w:rsid w:val="00761811"/>
    <w:rsid w:val="007631E2"/>
    <w:rsid w:val="007642BD"/>
    <w:rsid w:val="00764BAC"/>
    <w:rsid w:val="00766285"/>
    <w:rsid w:val="007668B4"/>
    <w:rsid w:val="00766E12"/>
    <w:rsid w:val="00770C5A"/>
    <w:rsid w:val="00772796"/>
    <w:rsid w:val="00772A3B"/>
    <w:rsid w:val="0077379C"/>
    <w:rsid w:val="007763BC"/>
    <w:rsid w:val="00784297"/>
    <w:rsid w:val="00784DA2"/>
    <w:rsid w:val="00784F63"/>
    <w:rsid w:val="007859C6"/>
    <w:rsid w:val="007861E3"/>
    <w:rsid w:val="0078709F"/>
    <w:rsid w:val="00787E75"/>
    <w:rsid w:val="00791579"/>
    <w:rsid w:val="00791A3B"/>
    <w:rsid w:val="0079320B"/>
    <w:rsid w:val="00793D62"/>
    <w:rsid w:val="00795917"/>
    <w:rsid w:val="00795EF0"/>
    <w:rsid w:val="00797C46"/>
    <w:rsid w:val="007A14F6"/>
    <w:rsid w:val="007A41C3"/>
    <w:rsid w:val="007A4760"/>
    <w:rsid w:val="007A5964"/>
    <w:rsid w:val="007B04D9"/>
    <w:rsid w:val="007B1292"/>
    <w:rsid w:val="007B24E2"/>
    <w:rsid w:val="007B3A32"/>
    <w:rsid w:val="007B3CED"/>
    <w:rsid w:val="007B48A2"/>
    <w:rsid w:val="007B4D77"/>
    <w:rsid w:val="007C1BD7"/>
    <w:rsid w:val="007C3C11"/>
    <w:rsid w:val="007C5ED2"/>
    <w:rsid w:val="007D1186"/>
    <w:rsid w:val="007D25A1"/>
    <w:rsid w:val="007D3A21"/>
    <w:rsid w:val="007D3CD6"/>
    <w:rsid w:val="007D646A"/>
    <w:rsid w:val="007D7ED0"/>
    <w:rsid w:val="007E0E53"/>
    <w:rsid w:val="007E0EA1"/>
    <w:rsid w:val="007E29DD"/>
    <w:rsid w:val="007E47EB"/>
    <w:rsid w:val="007E5CEC"/>
    <w:rsid w:val="007E6E3A"/>
    <w:rsid w:val="007E72F9"/>
    <w:rsid w:val="007F1069"/>
    <w:rsid w:val="007F66B4"/>
    <w:rsid w:val="007F6D9A"/>
    <w:rsid w:val="007F6DEA"/>
    <w:rsid w:val="007F7A7A"/>
    <w:rsid w:val="007F7BBE"/>
    <w:rsid w:val="00800905"/>
    <w:rsid w:val="008010C9"/>
    <w:rsid w:val="008016CA"/>
    <w:rsid w:val="008024A3"/>
    <w:rsid w:val="00803211"/>
    <w:rsid w:val="008037BC"/>
    <w:rsid w:val="00803E91"/>
    <w:rsid w:val="00804057"/>
    <w:rsid w:val="00804E7F"/>
    <w:rsid w:val="008063DA"/>
    <w:rsid w:val="00807E48"/>
    <w:rsid w:val="00807EB7"/>
    <w:rsid w:val="00807F52"/>
    <w:rsid w:val="00812964"/>
    <w:rsid w:val="00812CC5"/>
    <w:rsid w:val="0081637A"/>
    <w:rsid w:val="00817E7B"/>
    <w:rsid w:val="00822EF5"/>
    <w:rsid w:val="00824C7B"/>
    <w:rsid w:val="00825EB4"/>
    <w:rsid w:val="00825F2C"/>
    <w:rsid w:val="00831D6A"/>
    <w:rsid w:val="008326E0"/>
    <w:rsid w:val="00832784"/>
    <w:rsid w:val="008366EC"/>
    <w:rsid w:val="00836A42"/>
    <w:rsid w:val="00836EFE"/>
    <w:rsid w:val="00841C04"/>
    <w:rsid w:val="00841C74"/>
    <w:rsid w:val="00842BF0"/>
    <w:rsid w:val="00844054"/>
    <w:rsid w:val="00845543"/>
    <w:rsid w:val="00845699"/>
    <w:rsid w:val="0084747F"/>
    <w:rsid w:val="00850DF1"/>
    <w:rsid w:val="00851577"/>
    <w:rsid w:val="0085160F"/>
    <w:rsid w:val="008525EC"/>
    <w:rsid w:val="00853FD1"/>
    <w:rsid w:val="0085449B"/>
    <w:rsid w:val="00855D07"/>
    <w:rsid w:val="00857900"/>
    <w:rsid w:val="0086175D"/>
    <w:rsid w:val="00861D05"/>
    <w:rsid w:val="008622D8"/>
    <w:rsid w:val="0086340A"/>
    <w:rsid w:val="0086617B"/>
    <w:rsid w:val="00866C32"/>
    <w:rsid w:val="00870209"/>
    <w:rsid w:val="00870909"/>
    <w:rsid w:val="00871CE9"/>
    <w:rsid w:val="00871F4E"/>
    <w:rsid w:val="008734DD"/>
    <w:rsid w:val="00873C74"/>
    <w:rsid w:val="008742C1"/>
    <w:rsid w:val="00874B25"/>
    <w:rsid w:val="0087580C"/>
    <w:rsid w:val="008759EA"/>
    <w:rsid w:val="008762CD"/>
    <w:rsid w:val="008806A7"/>
    <w:rsid w:val="00882297"/>
    <w:rsid w:val="00882A14"/>
    <w:rsid w:val="008908F5"/>
    <w:rsid w:val="008918BE"/>
    <w:rsid w:val="00891A44"/>
    <w:rsid w:val="00893794"/>
    <w:rsid w:val="00893BB0"/>
    <w:rsid w:val="00893D07"/>
    <w:rsid w:val="00893E42"/>
    <w:rsid w:val="00894A4E"/>
    <w:rsid w:val="00894B1B"/>
    <w:rsid w:val="0089626A"/>
    <w:rsid w:val="008A3806"/>
    <w:rsid w:val="008A48E6"/>
    <w:rsid w:val="008A5E11"/>
    <w:rsid w:val="008A6341"/>
    <w:rsid w:val="008A76D7"/>
    <w:rsid w:val="008A7F25"/>
    <w:rsid w:val="008B1099"/>
    <w:rsid w:val="008B149B"/>
    <w:rsid w:val="008B3E41"/>
    <w:rsid w:val="008B59CB"/>
    <w:rsid w:val="008C130A"/>
    <w:rsid w:val="008C1423"/>
    <w:rsid w:val="008C30A3"/>
    <w:rsid w:val="008C4319"/>
    <w:rsid w:val="008C4376"/>
    <w:rsid w:val="008C5F1F"/>
    <w:rsid w:val="008C61D2"/>
    <w:rsid w:val="008C64DA"/>
    <w:rsid w:val="008C7645"/>
    <w:rsid w:val="008D0CB0"/>
    <w:rsid w:val="008D1410"/>
    <w:rsid w:val="008D1A9B"/>
    <w:rsid w:val="008D2544"/>
    <w:rsid w:val="008D32C7"/>
    <w:rsid w:val="008D3581"/>
    <w:rsid w:val="008D6188"/>
    <w:rsid w:val="008D6EF6"/>
    <w:rsid w:val="008E0CD9"/>
    <w:rsid w:val="008E0E3A"/>
    <w:rsid w:val="008E2880"/>
    <w:rsid w:val="008E2943"/>
    <w:rsid w:val="008E4E95"/>
    <w:rsid w:val="008E5855"/>
    <w:rsid w:val="008F0B6C"/>
    <w:rsid w:val="008F5C92"/>
    <w:rsid w:val="008F5CEE"/>
    <w:rsid w:val="008F7120"/>
    <w:rsid w:val="00902807"/>
    <w:rsid w:val="009029F1"/>
    <w:rsid w:val="00904234"/>
    <w:rsid w:val="00905DDB"/>
    <w:rsid w:val="0090720F"/>
    <w:rsid w:val="00911DF1"/>
    <w:rsid w:val="00914DC6"/>
    <w:rsid w:val="00922D27"/>
    <w:rsid w:val="00924210"/>
    <w:rsid w:val="00925406"/>
    <w:rsid w:val="00927853"/>
    <w:rsid w:val="009317A4"/>
    <w:rsid w:val="00931DD1"/>
    <w:rsid w:val="00932053"/>
    <w:rsid w:val="009324EF"/>
    <w:rsid w:val="00934998"/>
    <w:rsid w:val="009354AE"/>
    <w:rsid w:val="00936738"/>
    <w:rsid w:val="009422B6"/>
    <w:rsid w:val="00942427"/>
    <w:rsid w:val="009443D5"/>
    <w:rsid w:val="0094754A"/>
    <w:rsid w:val="00947556"/>
    <w:rsid w:val="009504EE"/>
    <w:rsid w:val="00951CD5"/>
    <w:rsid w:val="00952AC4"/>
    <w:rsid w:val="0095485B"/>
    <w:rsid w:val="00955272"/>
    <w:rsid w:val="009558FF"/>
    <w:rsid w:val="00955B60"/>
    <w:rsid w:val="00957D19"/>
    <w:rsid w:val="0096001D"/>
    <w:rsid w:val="00960D80"/>
    <w:rsid w:val="00961DB7"/>
    <w:rsid w:val="00962F87"/>
    <w:rsid w:val="0096352E"/>
    <w:rsid w:val="0096482B"/>
    <w:rsid w:val="00967C0D"/>
    <w:rsid w:val="00971549"/>
    <w:rsid w:val="0097165F"/>
    <w:rsid w:val="0097597D"/>
    <w:rsid w:val="00976291"/>
    <w:rsid w:val="0097719C"/>
    <w:rsid w:val="00981266"/>
    <w:rsid w:val="009864AF"/>
    <w:rsid w:val="00987703"/>
    <w:rsid w:val="00987AFC"/>
    <w:rsid w:val="0099001A"/>
    <w:rsid w:val="00997EF0"/>
    <w:rsid w:val="009A0548"/>
    <w:rsid w:val="009A0D6E"/>
    <w:rsid w:val="009A255C"/>
    <w:rsid w:val="009A2B29"/>
    <w:rsid w:val="009A4475"/>
    <w:rsid w:val="009A4C80"/>
    <w:rsid w:val="009A57F8"/>
    <w:rsid w:val="009A6972"/>
    <w:rsid w:val="009A7095"/>
    <w:rsid w:val="009A7ABF"/>
    <w:rsid w:val="009B0D08"/>
    <w:rsid w:val="009B0F29"/>
    <w:rsid w:val="009B1D23"/>
    <w:rsid w:val="009B2370"/>
    <w:rsid w:val="009B3A52"/>
    <w:rsid w:val="009B4335"/>
    <w:rsid w:val="009B7119"/>
    <w:rsid w:val="009B7BA4"/>
    <w:rsid w:val="009C2388"/>
    <w:rsid w:val="009C4FB0"/>
    <w:rsid w:val="009C7E72"/>
    <w:rsid w:val="009D24E7"/>
    <w:rsid w:val="009D55A0"/>
    <w:rsid w:val="009D59EC"/>
    <w:rsid w:val="009D68FF"/>
    <w:rsid w:val="009D787B"/>
    <w:rsid w:val="009E2457"/>
    <w:rsid w:val="009E296B"/>
    <w:rsid w:val="009E3D48"/>
    <w:rsid w:val="009E3E2D"/>
    <w:rsid w:val="009E4ACD"/>
    <w:rsid w:val="009E6BE5"/>
    <w:rsid w:val="009F0AE3"/>
    <w:rsid w:val="009F49C9"/>
    <w:rsid w:val="009F597A"/>
    <w:rsid w:val="009F6FC4"/>
    <w:rsid w:val="009F7E62"/>
    <w:rsid w:val="00A00520"/>
    <w:rsid w:val="00A02538"/>
    <w:rsid w:val="00A03A12"/>
    <w:rsid w:val="00A0401D"/>
    <w:rsid w:val="00A04C41"/>
    <w:rsid w:val="00A05758"/>
    <w:rsid w:val="00A058F9"/>
    <w:rsid w:val="00A073B2"/>
    <w:rsid w:val="00A10B4B"/>
    <w:rsid w:val="00A10BFA"/>
    <w:rsid w:val="00A10D67"/>
    <w:rsid w:val="00A13CBD"/>
    <w:rsid w:val="00A142C1"/>
    <w:rsid w:val="00A15C18"/>
    <w:rsid w:val="00A17BEC"/>
    <w:rsid w:val="00A20679"/>
    <w:rsid w:val="00A209E0"/>
    <w:rsid w:val="00A211A6"/>
    <w:rsid w:val="00A216E4"/>
    <w:rsid w:val="00A24B64"/>
    <w:rsid w:val="00A2516E"/>
    <w:rsid w:val="00A25845"/>
    <w:rsid w:val="00A25AF9"/>
    <w:rsid w:val="00A26444"/>
    <w:rsid w:val="00A267CB"/>
    <w:rsid w:val="00A31443"/>
    <w:rsid w:val="00A3184C"/>
    <w:rsid w:val="00A3283F"/>
    <w:rsid w:val="00A33F65"/>
    <w:rsid w:val="00A344FF"/>
    <w:rsid w:val="00A35AF8"/>
    <w:rsid w:val="00A37B8B"/>
    <w:rsid w:val="00A432FC"/>
    <w:rsid w:val="00A44225"/>
    <w:rsid w:val="00A44C59"/>
    <w:rsid w:val="00A5017C"/>
    <w:rsid w:val="00A513C1"/>
    <w:rsid w:val="00A51449"/>
    <w:rsid w:val="00A54C4A"/>
    <w:rsid w:val="00A565A1"/>
    <w:rsid w:val="00A569F0"/>
    <w:rsid w:val="00A57E5C"/>
    <w:rsid w:val="00A60657"/>
    <w:rsid w:val="00A621F9"/>
    <w:rsid w:val="00A64744"/>
    <w:rsid w:val="00A64A85"/>
    <w:rsid w:val="00A65073"/>
    <w:rsid w:val="00A669DA"/>
    <w:rsid w:val="00A70F24"/>
    <w:rsid w:val="00A716A4"/>
    <w:rsid w:val="00A74822"/>
    <w:rsid w:val="00A74A70"/>
    <w:rsid w:val="00A823C8"/>
    <w:rsid w:val="00A82C12"/>
    <w:rsid w:val="00A82FF1"/>
    <w:rsid w:val="00A83767"/>
    <w:rsid w:val="00A8461E"/>
    <w:rsid w:val="00A86D7F"/>
    <w:rsid w:val="00A87BF3"/>
    <w:rsid w:val="00A9016D"/>
    <w:rsid w:val="00A91364"/>
    <w:rsid w:val="00A93739"/>
    <w:rsid w:val="00A96546"/>
    <w:rsid w:val="00A97D6B"/>
    <w:rsid w:val="00AA1A62"/>
    <w:rsid w:val="00AA21C1"/>
    <w:rsid w:val="00AA69E0"/>
    <w:rsid w:val="00AA7CEE"/>
    <w:rsid w:val="00AB03E3"/>
    <w:rsid w:val="00AB0546"/>
    <w:rsid w:val="00AB069B"/>
    <w:rsid w:val="00AB12E0"/>
    <w:rsid w:val="00AB360E"/>
    <w:rsid w:val="00AB367A"/>
    <w:rsid w:val="00AB42A8"/>
    <w:rsid w:val="00AB4892"/>
    <w:rsid w:val="00AB5F55"/>
    <w:rsid w:val="00AB72CE"/>
    <w:rsid w:val="00AC01AF"/>
    <w:rsid w:val="00AC3151"/>
    <w:rsid w:val="00AC34DF"/>
    <w:rsid w:val="00AC503E"/>
    <w:rsid w:val="00AC5347"/>
    <w:rsid w:val="00AD01F3"/>
    <w:rsid w:val="00AD046F"/>
    <w:rsid w:val="00AD24B2"/>
    <w:rsid w:val="00AD2CAC"/>
    <w:rsid w:val="00AD33C8"/>
    <w:rsid w:val="00AD3D79"/>
    <w:rsid w:val="00AD45AC"/>
    <w:rsid w:val="00AD48A6"/>
    <w:rsid w:val="00AD6AA0"/>
    <w:rsid w:val="00AD6B10"/>
    <w:rsid w:val="00AE2C47"/>
    <w:rsid w:val="00AE2E06"/>
    <w:rsid w:val="00AE4AB3"/>
    <w:rsid w:val="00AE4FD4"/>
    <w:rsid w:val="00AE4FEB"/>
    <w:rsid w:val="00AE5101"/>
    <w:rsid w:val="00AE7BAF"/>
    <w:rsid w:val="00AF0A77"/>
    <w:rsid w:val="00AF1414"/>
    <w:rsid w:val="00AF44FA"/>
    <w:rsid w:val="00AF4CC9"/>
    <w:rsid w:val="00AF55A1"/>
    <w:rsid w:val="00AF6EBD"/>
    <w:rsid w:val="00AF6EC6"/>
    <w:rsid w:val="00B00F31"/>
    <w:rsid w:val="00B020C3"/>
    <w:rsid w:val="00B03927"/>
    <w:rsid w:val="00B06CF8"/>
    <w:rsid w:val="00B10E22"/>
    <w:rsid w:val="00B11740"/>
    <w:rsid w:val="00B11CC8"/>
    <w:rsid w:val="00B1222B"/>
    <w:rsid w:val="00B13F8D"/>
    <w:rsid w:val="00B140FF"/>
    <w:rsid w:val="00B16178"/>
    <w:rsid w:val="00B209CC"/>
    <w:rsid w:val="00B2170F"/>
    <w:rsid w:val="00B2358C"/>
    <w:rsid w:val="00B26D34"/>
    <w:rsid w:val="00B2760B"/>
    <w:rsid w:val="00B31519"/>
    <w:rsid w:val="00B32FFB"/>
    <w:rsid w:val="00B340F5"/>
    <w:rsid w:val="00B36EA9"/>
    <w:rsid w:val="00B40685"/>
    <w:rsid w:val="00B41670"/>
    <w:rsid w:val="00B41C92"/>
    <w:rsid w:val="00B43212"/>
    <w:rsid w:val="00B45780"/>
    <w:rsid w:val="00B4651A"/>
    <w:rsid w:val="00B46837"/>
    <w:rsid w:val="00B516EB"/>
    <w:rsid w:val="00B51C73"/>
    <w:rsid w:val="00B53411"/>
    <w:rsid w:val="00B547C7"/>
    <w:rsid w:val="00B54B18"/>
    <w:rsid w:val="00B55ACA"/>
    <w:rsid w:val="00B616A7"/>
    <w:rsid w:val="00B64DCF"/>
    <w:rsid w:val="00B65CF0"/>
    <w:rsid w:val="00B66677"/>
    <w:rsid w:val="00B7033E"/>
    <w:rsid w:val="00B754E9"/>
    <w:rsid w:val="00B837B2"/>
    <w:rsid w:val="00B8383B"/>
    <w:rsid w:val="00B84D23"/>
    <w:rsid w:val="00B87226"/>
    <w:rsid w:val="00B90127"/>
    <w:rsid w:val="00B90E40"/>
    <w:rsid w:val="00B913AB"/>
    <w:rsid w:val="00B9215D"/>
    <w:rsid w:val="00B93046"/>
    <w:rsid w:val="00B93C23"/>
    <w:rsid w:val="00B940DD"/>
    <w:rsid w:val="00B95176"/>
    <w:rsid w:val="00B95EEA"/>
    <w:rsid w:val="00B97F25"/>
    <w:rsid w:val="00BA02AE"/>
    <w:rsid w:val="00BA0CCD"/>
    <w:rsid w:val="00BA1015"/>
    <w:rsid w:val="00BA2905"/>
    <w:rsid w:val="00BA4157"/>
    <w:rsid w:val="00BA4FC2"/>
    <w:rsid w:val="00BA539C"/>
    <w:rsid w:val="00BA762C"/>
    <w:rsid w:val="00BA7D56"/>
    <w:rsid w:val="00BB2F07"/>
    <w:rsid w:val="00BB4695"/>
    <w:rsid w:val="00BC08FF"/>
    <w:rsid w:val="00BC247B"/>
    <w:rsid w:val="00BC4E0F"/>
    <w:rsid w:val="00BD095F"/>
    <w:rsid w:val="00BD0C29"/>
    <w:rsid w:val="00BD0D04"/>
    <w:rsid w:val="00BD1AE6"/>
    <w:rsid w:val="00BD23F5"/>
    <w:rsid w:val="00BD26F5"/>
    <w:rsid w:val="00BE068D"/>
    <w:rsid w:val="00BE1F0C"/>
    <w:rsid w:val="00BE2315"/>
    <w:rsid w:val="00BF39CE"/>
    <w:rsid w:val="00C00E29"/>
    <w:rsid w:val="00C02F82"/>
    <w:rsid w:val="00C0459D"/>
    <w:rsid w:val="00C054D8"/>
    <w:rsid w:val="00C056BB"/>
    <w:rsid w:val="00C07AA2"/>
    <w:rsid w:val="00C101B2"/>
    <w:rsid w:val="00C112E5"/>
    <w:rsid w:val="00C15DA4"/>
    <w:rsid w:val="00C21497"/>
    <w:rsid w:val="00C232B7"/>
    <w:rsid w:val="00C24D7B"/>
    <w:rsid w:val="00C25579"/>
    <w:rsid w:val="00C26BB5"/>
    <w:rsid w:val="00C31A51"/>
    <w:rsid w:val="00C36B86"/>
    <w:rsid w:val="00C36CEE"/>
    <w:rsid w:val="00C42652"/>
    <w:rsid w:val="00C429F0"/>
    <w:rsid w:val="00C46BF2"/>
    <w:rsid w:val="00C478D0"/>
    <w:rsid w:val="00C556C8"/>
    <w:rsid w:val="00C56EFC"/>
    <w:rsid w:val="00C5758D"/>
    <w:rsid w:val="00C638A8"/>
    <w:rsid w:val="00C646CE"/>
    <w:rsid w:val="00C65554"/>
    <w:rsid w:val="00C65857"/>
    <w:rsid w:val="00C65B7E"/>
    <w:rsid w:val="00C70AD2"/>
    <w:rsid w:val="00C70AF4"/>
    <w:rsid w:val="00C71817"/>
    <w:rsid w:val="00C71D79"/>
    <w:rsid w:val="00C7260B"/>
    <w:rsid w:val="00C72C1B"/>
    <w:rsid w:val="00C73FED"/>
    <w:rsid w:val="00C75501"/>
    <w:rsid w:val="00C7799A"/>
    <w:rsid w:val="00C77CE8"/>
    <w:rsid w:val="00C80615"/>
    <w:rsid w:val="00C80897"/>
    <w:rsid w:val="00C815BA"/>
    <w:rsid w:val="00C823E3"/>
    <w:rsid w:val="00C835CB"/>
    <w:rsid w:val="00C83F5D"/>
    <w:rsid w:val="00C84705"/>
    <w:rsid w:val="00C84FD2"/>
    <w:rsid w:val="00C86F99"/>
    <w:rsid w:val="00C8799B"/>
    <w:rsid w:val="00C90927"/>
    <w:rsid w:val="00C90D27"/>
    <w:rsid w:val="00C93845"/>
    <w:rsid w:val="00C93F0D"/>
    <w:rsid w:val="00C940CE"/>
    <w:rsid w:val="00C96199"/>
    <w:rsid w:val="00C96E9D"/>
    <w:rsid w:val="00C97375"/>
    <w:rsid w:val="00C97D2E"/>
    <w:rsid w:val="00C97E63"/>
    <w:rsid w:val="00CA060D"/>
    <w:rsid w:val="00CA1EC1"/>
    <w:rsid w:val="00CA31A9"/>
    <w:rsid w:val="00CA4715"/>
    <w:rsid w:val="00CA4F44"/>
    <w:rsid w:val="00CB0862"/>
    <w:rsid w:val="00CB0DDA"/>
    <w:rsid w:val="00CB2156"/>
    <w:rsid w:val="00CB2A9D"/>
    <w:rsid w:val="00CB5074"/>
    <w:rsid w:val="00CB5D2C"/>
    <w:rsid w:val="00CB682C"/>
    <w:rsid w:val="00CC0605"/>
    <w:rsid w:val="00CC0860"/>
    <w:rsid w:val="00CC0E25"/>
    <w:rsid w:val="00CC2006"/>
    <w:rsid w:val="00CC4EDD"/>
    <w:rsid w:val="00CC6A1D"/>
    <w:rsid w:val="00CC6D80"/>
    <w:rsid w:val="00CC7A34"/>
    <w:rsid w:val="00CC7CFD"/>
    <w:rsid w:val="00CD053A"/>
    <w:rsid w:val="00CD1777"/>
    <w:rsid w:val="00CD3B9E"/>
    <w:rsid w:val="00CD41BD"/>
    <w:rsid w:val="00CD471D"/>
    <w:rsid w:val="00CD643C"/>
    <w:rsid w:val="00CD6A72"/>
    <w:rsid w:val="00CD789F"/>
    <w:rsid w:val="00CE0D66"/>
    <w:rsid w:val="00CE0D91"/>
    <w:rsid w:val="00CE28FB"/>
    <w:rsid w:val="00CE36A8"/>
    <w:rsid w:val="00CE3759"/>
    <w:rsid w:val="00CE3B72"/>
    <w:rsid w:val="00CE7460"/>
    <w:rsid w:val="00CF0075"/>
    <w:rsid w:val="00CF2620"/>
    <w:rsid w:val="00CF3217"/>
    <w:rsid w:val="00CF35CA"/>
    <w:rsid w:val="00CF4B75"/>
    <w:rsid w:val="00CF5171"/>
    <w:rsid w:val="00CF56FF"/>
    <w:rsid w:val="00D00015"/>
    <w:rsid w:val="00D00881"/>
    <w:rsid w:val="00D01647"/>
    <w:rsid w:val="00D04847"/>
    <w:rsid w:val="00D06508"/>
    <w:rsid w:val="00D06B92"/>
    <w:rsid w:val="00D100C1"/>
    <w:rsid w:val="00D11833"/>
    <w:rsid w:val="00D11876"/>
    <w:rsid w:val="00D12F05"/>
    <w:rsid w:val="00D1373C"/>
    <w:rsid w:val="00D15FA2"/>
    <w:rsid w:val="00D165D9"/>
    <w:rsid w:val="00D1722D"/>
    <w:rsid w:val="00D20871"/>
    <w:rsid w:val="00D20C9C"/>
    <w:rsid w:val="00D23956"/>
    <w:rsid w:val="00D26195"/>
    <w:rsid w:val="00D26380"/>
    <w:rsid w:val="00D26E69"/>
    <w:rsid w:val="00D27706"/>
    <w:rsid w:val="00D27FCC"/>
    <w:rsid w:val="00D31970"/>
    <w:rsid w:val="00D3275E"/>
    <w:rsid w:val="00D360E8"/>
    <w:rsid w:val="00D36733"/>
    <w:rsid w:val="00D371F2"/>
    <w:rsid w:val="00D3772D"/>
    <w:rsid w:val="00D40947"/>
    <w:rsid w:val="00D41CE9"/>
    <w:rsid w:val="00D42AB4"/>
    <w:rsid w:val="00D43742"/>
    <w:rsid w:val="00D4426A"/>
    <w:rsid w:val="00D4442D"/>
    <w:rsid w:val="00D4488D"/>
    <w:rsid w:val="00D45928"/>
    <w:rsid w:val="00D506FA"/>
    <w:rsid w:val="00D50716"/>
    <w:rsid w:val="00D50E06"/>
    <w:rsid w:val="00D53B39"/>
    <w:rsid w:val="00D53FE5"/>
    <w:rsid w:val="00D57DA1"/>
    <w:rsid w:val="00D617A7"/>
    <w:rsid w:val="00D643CE"/>
    <w:rsid w:val="00D64666"/>
    <w:rsid w:val="00D64E9B"/>
    <w:rsid w:val="00D64F74"/>
    <w:rsid w:val="00D678F1"/>
    <w:rsid w:val="00D71EAB"/>
    <w:rsid w:val="00D7325D"/>
    <w:rsid w:val="00D741DC"/>
    <w:rsid w:val="00D761E2"/>
    <w:rsid w:val="00D76FEB"/>
    <w:rsid w:val="00D80E26"/>
    <w:rsid w:val="00D846DE"/>
    <w:rsid w:val="00D852A6"/>
    <w:rsid w:val="00D92460"/>
    <w:rsid w:val="00D927BB"/>
    <w:rsid w:val="00D93866"/>
    <w:rsid w:val="00D94395"/>
    <w:rsid w:val="00D94999"/>
    <w:rsid w:val="00D954F7"/>
    <w:rsid w:val="00D961B6"/>
    <w:rsid w:val="00DA1D35"/>
    <w:rsid w:val="00DA291C"/>
    <w:rsid w:val="00DA2C73"/>
    <w:rsid w:val="00DA50E2"/>
    <w:rsid w:val="00DA77F6"/>
    <w:rsid w:val="00DB54B5"/>
    <w:rsid w:val="00DC25F5"/>
    <w:rsid w:val="00DC34DE"/>
    <w:rsid w:val="00DC6307"/>
    <w:rsid w:val="00DD0F42"/>
    <w:rsid w:val="00DD62AC"/>
    <w:rsid w:val="00DD7783"/>
    <w:rsid w:val="00DD7F24"/>
    <w:rsid w:val="00DE12D3"/>
    <w:rsid w:val="00DE1F41"/>
    <w:rsid w:val="00DE3C8D"/>
    <w:rsid w:val="00DE5E99"/>
    <w:rsid w:val="00DE68D5"/>
    <w:rsid w:val="00DE6A5E"/>
    <w:rsid w:val="00DF1008"/>
    <w:rsid w:val="00DF3B40"/>
    <w:rsid w:val="00DF475B"/>
    <w:rsid w:val="00DF4771"/>
    <w:rsid w:val="00DF4D3F"/>
    <w:rsid w:val="00DF6634"/>
    <w:rsid w:val="00DF6AE5"/>
    <w:rsid w:val="00DF6F0D"/>
    <w:rsid w:val="00E008B2"/>
    <w:rsid w:val="00E026F6"/>
    <w:rsid w:val="00E041B7"/>
    <w:rsid w:val="00E0757A"/>
    <w:rsid w:val="00E07BAD"/>
    <w:rsid w:val="00E11938"/>
    <w:rsid w:val="00E1523E"/>
    <w:rsid w:val="00E160AF"/>
    <w:rsid w:val="00E163D0"/>
    <w:rsid w:val="00E1765C"/>
    <w:rsid w:val="00E17752"/>
    <w:rsid w:val="00E20862"/>
    <w:rsid w:val="00E21B32"/>
    <w:rsid w:val="00E2507A"/>
    <w:rsid w:val="00E25C72"/>
    <w:rsid w:val="00E3059B"/>
    <w:rsid w:val="00E30C25"/>
    <w:rsid w:val="00E31164"/>
    <w:rsid w:val="00E363D3"/>
    <w:rsid w:val="00E37EC3"/>
    <w:rsid w:val="00E37FCF"/>
    <w:rsid w:val="00E41134"/>
    <w:rsid w:val="00E43E7E"/>
    <w:rsid w:val="00E4463E"/>
    <w:rsid w:val="00E4724F"/>
    <w:rsid w:val="00E5011F"/>
    <w:rsid w:val="00E5098F"/>
    <w:rsid w:val="00E511B0"/>
    <w:rsid w:val="00E5394B"/>
    <w:rsid w:val="00E54A5D"/>
    <w:rsid w:val="00E577FE"/>
    <w:rsid w:val="00E60350"/>
    <w:rsid w:val="00E606FE"/>
    <w:rsid w:val="00E61F13"/>
    <w:rsid w:val="00E62016"/>
    <w:rsid w:val="00E64E0C"/>
    <w:rsid w:val="00E65C22"/>
    <w:rsid w:val="00E66860"/>
    <w:rsid w:val="00E67087"/>
    <w:rsid w:val="00E671F5"/>
    <w:rsid w:val="00E6784A"/>
    <w:rsid w:val="00E7079E"/>
    <w:rsid w:val="00E70C2B"/>
    <w:rsid w:val="00E71656"/>
    <w:rsid w:val="00E7252C"/>
    <w:rsid w:val="00E74A76"/>
    <w:rsid w:val="00E74F30"/>
    <w:rsid w:val="00E75DAC"/>
    <w:rsid w:val="00E7666A"/>
    <w:rsid w:val="00E7727C"/>
    <w:rsid w:val="00E80BC0"/>
    <w:rsid w:val="00E81F5E"/>
    <w:rsid w:val="00E82EB9"/>
    <w:rsid w:val="00E845B5"/>
    <w:rsid w:val="00E85C42"/>
    <w:rsid w:val="00E91F7D"/>
    <w:rsid w:val="00E9308B"/>
    <w:rsid w:val="00E95327"/>
    <w:rsid w:val="00EA11A1"/>
    <w:rsid w:val="00EA3F29"/>
    <w:rsid w:val="00EA4952"/>
    <w:rsid w:val="00EA5E2A"/>
    <w:rsid w:val="00EA7EEA"/>
    <w:rsid w:val="00EB027E"/>
    <w:rsid w:val="00EB2548"/>
    <w:rsid w:val="00EB2EDC"/>
    <w:rsid w:val="00EB4034"/>
    <w:rsid w:val="00EB450B"/>
    <w:rsid w:val="00EB5B78"/>
    <w:rsid w:val="00EB5E92"/>
    <w:rsid w:val="00EB68FE"/>
    <w:rsid w:val="00EC0B2A"/>
    <w:rsid w:val="00EC168C"/>
    <w:rsid w:val="00EC35E1"/>
    <w:rsid w:val="00EC7576"/>
    <w:rsid w:val="00ED3E9E"/>
    <w:rsid w:val="00ED483C"/>
    <w:rsid w:val="00ED5498"/>
    <w:rsid w:val="00ED70F2"/>
    <w:rsid w:val="00ED7918"/>
    <w:rsid w:val="00ED7A40"/>
    <w:rsid w:val="00EE04D4"/>
    <w:rsid w:val="00EE586C"/>
    <w:rsid w:val="00EE58AF"/>
    <w:rsid w:val="00EE7D17"/>
    <w:rsid w:val="00EE7EE8"/>
    <w:rsid w:val="00EF1916"/>
    <w:rsid w:val="00EF36EC"/>
    <w:rsid w:val="00EF3D05"/>
    <w:rsid w:val="00EF3FE7"/>
    <w:rsid w:val="00EF55AC"/>
    <w:rsid w:val="00F00960"/>
    <w:rsid w:val="00F00E4C"/>
    <w:rsid w:val="00F02190"/>
    <w:rsid w:val="00F03BC6"/>
    <w:rsid w:val="00F03F46"/>
    <w:rsid w:val="00F049F0"/>
    <w:rsid w:val="00F05654"/>
    <w:rsid w:val="00F05D3A"/>
    <w:rsid w:val="00F062F0"/>
    <w:rsid w:val="00F10C56"/>
    <w:rsid w:val="00F10E18"/>
    <w:rsid w:val="00F12092"/>
    <w:rsid w:val="00F123E3"/>
    <w:rsid w:val="00F135AA"/>
    <w:rsid w:val="00F15527"/>
    <w:rsid w:val="00F1594E"/>
    <w:rsid w:val="00F20849"/>
    <w:rsid w:val="00F268D3"/>
    <w:rsid w:val="00F32C91"/>
    <w:rsid w:val="00F34517"/>
    <w:rsid w:val="00F3731B"/>
    <w:rsid w:val="00F3739F"/>
    <w:rsid w:val="00F37F19"/>
    <w:rsid w:val="00F40187"/>
    <w:rsid w:val="00F40264"/>
    <w:rsid w:val="00F40DE1"/>
    <w:rsid w:val="00F41673"/>
    <w:rsid w:val="00F4438B"/>
    <w:rsid w:val="00F46D85"/>
    <w:rsid w:val="00F5156E"/>
    <w:rsid w:val="00F5317B"/>
    <w:rsid w:val="00F54AA5"/>
    <w:rsid w:val="00F569CC"/>
    <w:rsid w:val="00F56E76"/>
    <w:rsid w:val="00F60EF4"/>
    <w:rsid w:val="00F61891"/>
    <w:rsid w:val="00F6309E"/>
    <w:rsid w:val="00F643C1"/>
    <w:rsid w:val="00F64711"/>
    <w:rsid w:val="00F64AFE"/>
    <w:rsid w:val="00F65E2D"/>
    <w:rsid w:val="00F66CE7"/>
    <w:rsid w:val="00F66E44"/>
    <w:rsid w:val="00F73434"/>
    <w:rsid w:val="00F73D95"/>
    <w:rsid w:val="00F756BD"/>
    <w:rsid w:val="00F756EA"/>
    <w:rsid w:val="00F75E4D"/>
    <w:rsid w:val="00F765DF"/>
    <w:rsid w:val="00F8234F"/>
    <w:rsid w:val="00F83199"/>
    <w:rsid w:val="00F8333C"/>
    <w:rsid w:val="00F83370"/>
    <w:rsid w:val="00F846AB"/>
    <w:rsid w:val="00F85F1F"/>
    <w:rsid w:val="00F875E3"/>
    <w:rsid w:val="00F87625"/>
    <w:rsid w:val="00F87C3D"/>
    <w:rsid w:val="00F91FE2"/>
    <w:rsid w:val="00F923CD"/>
    <w:rsid w:val="00F940B9"/>
    <w:rsid w:val="00F94132"/>
    <w:rsid w:val="00F959E5"/>
    <w:rsid w:val="00FA07EB"/>
    <w:rsid w:val="00FA1166"/>
    <w:rsid w:val="00FA2988"/>
    <w:rsid w:val="00FA2C75"/>
    <w:rsid w:val="00FA4E87"/>
    <w:rsid w:val="00FA61B8"/>
    <w:rsid w:val="00FA6AA7"/>
    <w:rsid w:val="00FB15C3"/>
    <w:rsid w:val="00FB1DA1"/>
    <w:rsid w:val="00FB6D2E"/>
    <w:rsid w:val="00FC2AD8"/>
    <w:rsid w:val="00FC453B"/>
    <w:rsid w:val="00FC4F90"/>
    <w:rsid w:val="00FC6B0E"/>
    <w:rsid w:val="00FC78C5"/>
    <w:rsid w:val="00FD021A"/>
    <w:rsid w:val="00FD139E"/>
    <w:rsid w:val="00FD142C"/>
    <w:rsid w:val="00FD42EF"/>
    <w:rsid w:val="00FD4D3C"/>
    <w:rsid w:val="00FD7A62"/>
    <w:rsid w:val="00FE2FAD"/>
    <w:rsid w:val="00FE3CF3"/>
    <w:rsid w:val="00FE4748"/>
    <w:rsid w:val="00FE61FC"/>
    <w:rsid w:val="00FE6319"/>
    <w:rsid w:val="00FE6367"/>
    <w:rsid w:val="00FE6AB8"/>
    <w:rsid w:val="00FE7C7C"/>
    <w:rsid w:val="00FE7DEB"/>
    <w:rsid w:val="00FF3639"/>
    <w:rsid w:val="00FF5A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next w:val="NoSpacing"/>
    <w:qFormat/>
    <w:rsid w:val="004A673B"/>
    <w:pPr>
      <w:spacing w:after="200" w:line="360" w:lineRule="auto"/>
    </w:pPr>
    <w:rPr>
      <w:rFonts w:ascii="Arial" w:hAnsi="Arial" w:cs="Arial"/>
      <w:kern w:val="40"/>
      <w:sz w:val="22"/>
      <w:szCs w:val="22"/>
      <w:lang w:eastAsia="en-US"/>
    </w:rPr>
  </w:style>
  <w:style w:type="paragraph" w:styleId="Heading1">
    <w:name w:val="heading 1"/>
    <w:basedOn w:val="Normal"/>
    <w:next w:val="Normal"/>
    <w:link w:val="Heading1Char"/>
    <w:uiPriority w:val="9"/>
    <w:qFormat/>
    <w:rsid w:val="003032F0"/>
    <w:pPr>
      <w:keepNext/>
      <w:spacing w:before="240" w:after="60"/>
      <w:outlineLvl w:val="0"/>
    </w:pPr>
    <w:rPr>
      <w:rFonts w:ascii="Calibri" w:eastAsia="SimSun" w:hAnsi="Calibri" w:cs="Angsana New"/>
      <w:b/>
      <w:bCs/>
      <w:color w:val="404040"/>
      <w:kern w:val="32"/>
      <w:sz w:val="40"/>
      <w:szCs w:val="32"/>
    </w:rPr>
  </w:style>
  <w:style w:type="paragraph" w:styleId="Heading2">
    <w:name w:val="heading 2"/>
    <w:basedOn w:val="Normal"/>
    <w:next w:val="Normal"/>
    <w:link w:val="Heading2Char"/>
    <w:uiPriority w:val="9"/>
    <w:unhideWhenUsed/>
    <w:qFormat/>
    <w:rsid w:val="00A44C59"/>
    <w:pPr>
      <w:keepNext/>
      <w:spacing w:before="240" w:after="60"/>
      <w:outlineLvl w:val="1"/>
    </w:pPr>
    <w:rPr>
      <w:rFonts w:ascii="Calibri" w:eastAsia="SimSun" w:hAnsi="Calibri" w:cs="Angsana New"/>
      <w:b/>
      <w:bCs/>
      <w:iCs/>
      <w:color w:val="897005"/>
      <w:sz w:val="36"/>
      <w:szCs w:val="28"/>
    </w:rPr>
  </w:style>
  <w:style w:type="paragraph" w:styleId="Heading3">
    <w:name w:val="heading 3"/>
    <w:basedOn w:val="Normal"/>
    <w:next w:val="Normal"/>
    <w:link w:val="Heading3Char"/>
    <w:uiPriority w:val="9"/>
    <w:unhideWhenUsed/>
    <w:qFormat/>
    <w:rsid w:val="003032F0"/>
    <w:pPr>
      <w:keepNext/>
      <w:spacing w:before="240" w:after="60"/>
      <w:outlineLvl w:val="2"/>
    </w:pPr>
    <w:rPr>
      <w:rFonts w:ascii="Calibri" w:eastAsia="SimSun" w:hAnsi="Calibri" w:cs="Angsana New"/>
      <w:b/>
      <w:bCs/>
      <w:sz w:val="26"/>
      <w:szCs w:val="26"/>
    </w:rPr>
  </w:style>
  <w:style w:type="paragraph" w:styleId="Heading4">
    <w:name w:val="heading 4"/>
    <w:basedOn w:val="Normal"/>
    <w:next w:val="Normal"/>
    <w:link w:val="Heading4Char"/>
    <w:uiPriority w:val="9"/>
    <w:semiHidden/>
    <w:unhideWhenUsed/>
    <w:rsid w:val="00541AD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032F0"/>
    <w:pPr>
      <w:spacing w:before="240" w:after="60"/>
      <w:jc w:val="center"/>
      <w:outlineLvl w:val="0"/>
    </w:pPr>
    <w:rPr>
      <w:rFonts w:ascii="Calibri" w:eastAsia="SimSun" w:hAnsi="Calibri" w:cs="Angsana New"/>
      <w:b/>
      <w:bCs/>
      <w:kern w:val="28"/>
      <w:sz w:val="72"/>
      <w:szCs w:val="32"/>
    </w:rPr>
  </w:style>
  <w:style w:type="character" w:customStyle="1" w:styleId="TitleChar">
    <w:name w:val="Title Char"/>
    <w:link w:val="Title"/>
    <w:uiPriority w:val="10"/>
    <w:rsid w:val="003032F0"/>
    <w:rPr>
      <w:rFonts w:eastAsia="SimSun" w:cs="Angsana New"/>
      <w:b/>
      <w:bCs/>
      <w:kern w:val="28"/>
      <w:sz w:val="72"/>
      <w:szCs w:val="32"/>
      <w:lang w:eastAsia="en-US"/>
    </w:rPr>
  </w:style>
  <w:style w:type="character" w:customStyle="1" w:styleId="Heading1Char">
    <w:name w:val="Heading 1 Char"/>
    <w:link w:val="Heading1"/>
    <w:uiPriority w:val="9"/>
    <w:rsid w:val="003032F0"/>
    <w:rPr>
      <w:rFonts w:eastAsia="SimSun" w:cs="Angsana New"/>
      <w:b/>
      <w:bCs/>
      <w:color w:val="404040"/>
      <w:kern w:val="32"/>
      <w:sz w:val="40"/>
      <w:szCs w:val="32"/>
      <w:lang w:eastAsia="en-US"/>
    </w:rPr>
  </w:style>
  <w:style w:type="character" w:customStyle="1" w:styleId="Heading2Char">
    <w:name w:val="Heading 2 Char"/>
    <w:link w:val="Heading2"/>
    <w:uiPriority w:val="9"/>
    <w:rsid w:val="00A44C59"/>
    <w:rPr>
      <w:rFonts w:eastAsia="SimSun" w:cs="Angsana New"/>
      <w:b/>
      <w:bCs/>
      <w:iCs/>
      <w:color w:val="897005"/>
      <w:w w:val="105"/>
      <w:kern w:val="40"/>
      <w:sz w:val="36"/>
      <w:szCs w:val="28"/>
      <w:lang w:eastAsia="en-US"/>
    </w:rPr>
  </w:style>
  <w:style w:type="character" w:customStyle="1" w:styleId="Heading3Char">
    <w:name w:val="Heading 3 Char"/>
    <w:link w:val="Heading3"/>
    <w:uiPriority w:val="9"/>
    <w:rsid w:val="003032F0"/>
    <w:rPr>
      <w:rFonts w:eastAsia="SimSun" w:cs="Angsana New"/>
      <w:b/>
      <w:bCs/>
      <w:sz w:val="26"/>
      <w:szCs w:val="26"/>
      <w:lang w:eastAsia="en-US"/>
    </w:rPr>
  </w:style>
  <w:style w:type="paragraph" w:styleId="ListBullet">
    <w:name w:val="List Bullet"/>
    <w:basedOn w:val="Normal"/>
    <w:uiPriority w:val="99"/>
    <w:unhideWhenUsed/>
    <w:qFormat/>
    <w:rsid w:val="003032F0"/>
    <w:pPr>
      <w:contextualSpacing/>
    </w:pPr>
  </w:style>
  <w:style w:type="paragraph" w:styleId="ListBullet2">
    <w:name w:val="List Bullet 2"/>
    <w:basedOn w:val="Normal"/>
    <w:uiPriority w:val="99"/>
    <w:unhideWhenUsed/>
    <w:qFormat/>
    <w:rsid w:val="003032F0"/>
    <w:pPr>
      <w:numPr>
        <w:numId w:val="1"/>
      </w:numPr>
      <w:contextualSpacing/>
    </w:pPr>
  </w:style>
  <w:style w:type="paragraph" w:styleId="Subtitle">
    <w:name w:val="Subtitle"/>
    <w:basedOn w:val="Normal"/>
    <w:next w:val="Normal"/>
    <w:link w:val="SubtitleChar"/>
    <w:uiPriority w:val="11"/>
    <w:qFormat/>
    <w:rsid w:val="0075073C"/>
    <w:pPr>
      <w:spacing w:after="60"/>
      <w:jc w:val="center"/>
      <w:outlineLvl w:val="1"/>
    </w:pPr>
    <w:rPr>
      <w:rFonts w:ascii="Calibri" w:eastAsia="SimSun" w:hAnsi="Calibri" w:cs="Angsana New"/>
      <w:b/>
      <w:szCs w:val="24"/>
    </w:rPr>
  </w:style>
  <w:style w:type="character" w:customStyle="1" w:styleId="SubtitleChar">
    <w:name w:val="Subtitle Char"/>
    <w:link w:val="Subtitle"/>
    <w:uiPriority w:val="11"/>
    <w:rsid w:val="0075073C"/>
    <w:rPr>
      <w:rFonts w:eastAsia="SimSun" w:cs="Angsana New"/>
      <w:b/>
      <w:sz w:val="24"/>
      <w:szCs w:val="24"/>
      <w:lang w:eastAsia="en-US"/>
    </w:rPr>
  </w:style>
  <w:style w:type="paragraph" w:styleId="Header">
    <w:name w:val="header"/>
    <w:basedOn w:val="Normal"/>
    <w:link w:val="HeaderChar"/>
    <w:uiPriority w:val="99"/>
    <w:unhideWhenUsed/>
    <w:rsid w:val="006A3376"/>
    <w:pPr>
      <w:tabs>
        <w:tab w:val="center" w:pos="4513"/>
        <w:tab w:val="right" w:pos="9026"/>
      </w:tabs>
    </w:pPr>
  </w:style>
  <w:style w:type="character" w:customStyle="1" w:styleId="HeaderChar">
    <w:name w:val="Header Char"/>
    <w:link w:val="Header"/>
    <w:uiPriority w:val="99"/>
    <w:rsid w:val="006A3376"/>
    <w:rPr>
      <w:rFonts w:ascii="Arial Narrow" w:hAnsi="Arial Narrow"/>
      <w:sz w:val="24"/>
      <w:szCs w:val="22"/>
      <w:lang w:eastAsia="en-US"/>
    </w:rPr>
  </w:style>
  <w:style w:type="paragraph" w:styleId="Footer">
    <w:name w:val="footer"/>
    <w:basedOn w:val="Normal"/>
    <w:link w:val="FooterChar"/>
    <w:uiPriority w:val="99"/>
    <w:unhideWhenUsed/>
    <w:rsid w:val="006A3376"/>
    <w:pPr>
      <w:tabs>
        <w:tab w:val="center" w:pos="4513"/>
        <w:tab w:val="right" w:pos="9026"/>
      </w:tabs>
    </w:pPr>
  </w:style>
  <w:style w:type="character" w:customStyle="1" w:styleId="FooterChar">
    <w:name w:val="Footer Char"/>
    <w:link w:val="Footer"/>
    <w:uiPriority w:val="99"/>
    <w:rsid w:val="006A3376"/>
    <w:rPr>
      <w:rFonts w:ascii="Arial Narrow" w:hAnsi="Arial Narrow"/>
      <w:sz w:val="24"/>
      <w:szCs w:val="22"/>
      <w:lang w:eastAsia="en-US"/>
    </w:rPr>
  </w:style>
  <w:style w:type="paragraph" w:styleId="BalloonText">
    <w:name w:val="Balloon Text"/>
    <w:basedOn w:val="Normal"/>
    <w:link w:val="BalloonTextChar"/>
    <w:uiPriority w:val="99"/>
    <w:semiHidden/>
    <w:unhideWhenUsed/>
    <w:rsid w:val="007A41C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A41C3"/>
    <w:rPr>
      <w:rFonts w:ascii="Tahoma" w:hAnsi="Tahoma" w:cs="Tahoma"/>
      <w:sz w:val="16"/>
      <w:szCs w:val="16"/>
      <w:lang w:eastAsia="en-US"/>
    </w:rPr>
  </w:style>
  <w:style w:type="paragraph" w:styleId="NoSpacing">
    <w:name w:val="No Spacing"/>
    <w:uiPriority w:val="1"/>
    <w:qFormat/>
    <w:rsid w:val="00A04C41"/>
    <w:rPr>
      <w:rFonts w:ascii="Arial Narrow" w:hAnsi="Arial Narrow"/>
      <w:sz w:val="24"/>
      <w:szCs w:val="22"/>
      <w:lang w:eastAsia="en-US"/>
    </w:rPr>
  </w:style>
  <w:style w:type="paragraph" w:styleId="CommentText">
    <w:name w:val="annotation text"/>
    <w:basedOn w:val="Normal"/>
    <w:link w:val="CommentTextChar"/>
    <w:uiPriority w:val="99"/>
    <w:unhideWhenUsed/>
    <w:rsid w:val="00CD41BD"/>
    <w:rPr>
      <w:sz w:val="20"/>
      <w:szCs w:val="20"/>
    </w:rPr>
  </w:style>
  <w:style w:type="character" w:customStyle="1" w:styleId="CommentTextChar">
    <w:name w:val="Comment Text Char"/>
    <w:link w:val="CommentText"/>
    <w:uiPriority w:val="99"/>
    <w:rsid w:val="00CD41BD"/>
    <w:rPr>
      <w:rFonts w:ascii="Arial" w:hAnsi="Arial" w:cs="Arial"/>
      <w:w w:val="105"/>
      <w:kern w:val="40"/>
      <w:lang w:eastAsia="en-US"/>
    </w:rPr>
  </w:style>
  <w:style w:type="paragraph" w:styleId="FootnoteText">
    <w:name w:val="footnote text"/>
    <w:basedOn w:val="Normal"/>
    <w:link w:val="FootnoteTextChar"/>
    <w:uiPriority w:val="99"/>
    <w:unhideWhenUsed/>
    <w:rsid w:val="00CD41BD"/>
    <w:rPr>
      <w:sz w:val="20"/>
      <w:szCs w:val="20"/>
    </w:rPr>
  </w:style>
  <w:style w:type="character" w:customStyle="1" w:styleId="FootnoteTextChar">
    <w:name w:val="Footnote Text Char"/>
    <w:link w:val="FootnoteText"/>
    <w:uiPriority w:val="99"/>
    <w:rsid w:val="00CD41BD"/>
    <w:rPr>
      <w:rFonts w:ascii="Arial" w:hAnsi="Arial" w:cs="Arial"/>
      <w:w w:val="105"/>
      <w:kern w:val="40"/>
      <w:lang w:eastAsia="en-US"/>
    </w:rPr>
  </w:style>
  <w:style w:type="character" w:styleId="CommentReference">
    <w:name w:val="annotation reference"/>
    <w:uiPriority w:val="99"/>
    <w:semiHidden/>
    <w:unhideWhenUsed/>
    <w:rsid w:val="00CD41BD"/>
    <w:rPr>
      <w:sz w:val="16"/>
      <w:szCs w:val="16"/>
    </w:rPr>
  </w:style>
  <w:style w:type="character" w:styleId="FootnoteReference">
    <w:name w:val="footnote reference"/>
    <w:uiPriority w:val="99"/>
    <w:semiHidden/>
    <w:unhideWhenUsed/>
    <w:rsid w:val="00CD41BD"/>
    <w:rPr>
      <w:vertAlign w:val="superscript"/>
    </w:rPr>
  </w:style>
  <w:style w:type="table" w:styleId="TableGrid">
    <w:name w:val="Table Grid"/>
    <w:basedOn w:val="TableNormal"/>
    <w:uiPriority w:val="59"/>
    <w:rsid w:val="00B00F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197673"/>
    <w:pPr>
      <w:keepLines/>
      <w:spacing w:before="480" w:after="0" w:line="276" w:lineRule="auto"/>
      <w:outlineLvl w:val="9"/>
    </w:pPr>
    <w:rPr>
      <w:rFonts w:ascii="Cambria" w:eastAsia="MS Gothic" w:hAnsi="Cambria" w:cs="Times New Roman"/>
      <w:color w:val="365F91"/>
      <w:kern w:val="0"/>
      <w:sz w:val="28"/>
      <w:szCs w:val="28"/>
      <w:lang w:val="en-US" w:eastAsia="ja-JP"/>
    </w:rPr>
  </w:style>
  <w:style w:type="paragraph" w:styleId="TOC1">
    <w:name w:val="toc 1"/>
    <w:basedOn w:val="Normal"/>
    <w:next w:val="Normal"/>
    <w:autoRedefine/>
    <w:uiPriority w:val="39"/>
    <w:unhideWhenUsed/>
    <w:qFormat/>
    <w:rsid w:val="00F66CE7"/>
    <w:pPr>
      <w:tabs>
        <w:tab w:val="right" w:leader="dot" w:pos="9016"/>
      </w:tabs>
    </w:pPr>
    <w:rPr>
      <w:b/>
      <w:noProof/>
    </w:rPr>
  </w:style>
  <w:style w:type="paragraph" w:styleId="TOC2">
    <w:name w:val="toc 2"/>
    <w:basedOn w:val="Normal"/>
    <w:next w:val="Normal"/>
    <w:autoRedefine/>
    <w:uiPriority w:val="39"/>
    <w:unhideWhenUsed/>
    <w:qFormat/>
    <w:rsid w:val="00197673"/>
    <w:pPr>
      <w:ind w:left="220"/>
    </w:pPr>
  </w:style>
  <w:style w:type="paragraph" w:styleId="TOC3">
    <w:name w:val="toc 3"/>
    <w:basedOn w:val="Normal"/>
    <w:next w:val="Normal"/>
    <w:autoRedefine/>
    <w:uiPriority w:val="39"/>
    <w:unhideWhenUsed/>
    <w:qFormat/>
    <w:rsid w:val="00197673"/>
    <w:pPr>
      <w:ind w:left="440"/>
    </w:pPr>
  </w:style>
  <w:style w:type="character" w:styleId="Hyperlink">
    <w:name w:val="Hyperlink"/>
    <w:uiPriority w:val="99"/>
    <w:unhideWhenUsed/>
    <w:rsid w:val="00197673"/>
    <w:rPr>
      <w:color w:val="0000FF"/>
      <w:u w:val="single"/>
    </w:rPr>
  </w:style>
  <w:style w:type="paragraph" w:styleId="CommentSubject">
    <w:name w:val="annotation subject"/>
    <w:basedOn w:val="CommentText"/>
    <w:next w:val="CommentText"/>
    <w:link w:val="CommentSubjectChar"/>
    <w:uiPriority w:val="99"/>
    <w:semiHidden/>
    <w:unhideWhenUsed/>
    <w:rsid w:val="00F643C1"/>
    <w:rPr>
      <w:b/>
      <w:bCs/>
    </w:rPr>
  </w:style>
  <w:style w:type="character" w:customStyle="1" w:styleId="CommentSubjectChar">
    <w:name w:val="Comment Subject Char"/>
    <w:link w:val="CommentSubject"/>
    <w:uiPriority w:val="99"/>
    <w:semiHidden/>
    <w:rsid w:val="00F643C1"/>
    <w:rPr>
      <w:rFonts w:ascii="Arial" w:hAnsi="Arial" w:cs="Arial"/>
      <w:b/>
      <w:bCs/>
      <w:w w:val="105"/>
      <w:kern w:val="40"/>
      <w:lang w:eastAsia="en-US"/>
    </w:rPr>
  </w:style>
  <w:style w:type="paragraph" w:styleId="Revision">
    <w:name w:val="Revision"/>
    <w:hidden/>
    <w:uiPriority w:val="99"/>
    <w:semiHidden/>
    <w:rsid w:val="00F643C1"/>
    <w:rPr>
      <w:rFonts w:ascii="Arial" w:hAnsi="Arial" w:cs="Arial"/>
      <w:w w:val="105"/>
      <w:kern w:val="40"/>
      <w:sz w:val="22"/>
      <w:szCs w:val="22"/>
      <w:lang w:eastAsia="en-US"/>
    </w:rPr>
  </w:style>
  <w:style w:type="paragraph" w:styleId="Quote">
    <w:name w:val="Quote"/>
    <w:basedOn w:val="Normal"/>
    <w:next w:val="Normal"/>
    <w:link w:val="QuoteChar"/>
    <w:uiPriority w:val="29"/>
    <w:qFormat/>
    <w:rsid w:val="0061678C"/>
    <w:pPr>
      <w:spacing w:line="276" w:lineRule="auto"/>
    </w:pPr>
    <w:rPr>
      <w:rFonts w:ascii="Calibri" w:eastAsia="MS Mincho" w:hAnsi="Calibri"/>
      <w:i/>
      <w:iCs/>
      <w:color w:val="000000"/>
      <w:kern w:val="0"/>
      <w:lang w:val="en-US" w:eastAsia="ja-JP"/>
    </w:rPr>
  </w:style>
  <w:style w:type="character" w:customStyle="1" w:styleId="QuoteChar">
    <w:name w:val="Quote Char"/>
    <w:link w:val="Quote"/>
    <w:uiPriority w:val="29"/>
    <w:rsid w:val="0061678C"/>
    <w:rPr>
      <w:rFonts w:eastAsia="MS Mincho" w:cs="Arial"/>
      <w:i/>
      <w:iCs/>
      <w:color w:val="000000"/>
      <w:sz w:val="22"/>
      <w:szCs w:val="22"/>
      <w:lang w:val="en-US" w:eastAsia="ja-JP"/>
    </w:rPr>
  </w:style>
  <w:style w:type="paragraph" w:styleId="ListParagraph">
    <w:name w:val="List Paragraph"/>
    <w:basedOn w:val="Normal"/>
    <w:uiPriority w:val="34"/>
    <w:qFormat/>
    <w:rsid w:val="00952AC4"/>
    <w:pPr>
      <w:spacing w:line="276" w:lineRule="auto"/>
      <w:ind w:left="720"/>
      <w:contextualSpacing/>
    </w:pPr>
    <w:rPr>
      <w:rFonts w:ascii="Calibri" w:hAnsi="Calibri" w:cs="Times New Roman"/>
      <w:kern w:val="0"/>
    </w:rPr>
  </w:style>
  <w:style w:type="paragraph" w:customStyle="1" w:styleId="Paragraphnumbered">
    <w:name w:val="Paragraph (numbered)"/>
    <w:basedOn w:val="Normal"/>
    <w:uiPriority w:val="99"/>
    <w:rsid w:val="0065203F"/>
    <w:pPr>
      <w:numPr>
        <w:numId w:val="2"/>
      </w:numPr>
      <w:spacing w:before="240" w:after="0"/>
      <w:ind w:left="0" w:firstLine="0"/>
    </w:pPr>
    <w:rPr>
      <w:rFonts w:ascii="Times New Roman" w:eastAsiaTheme="minorHAnsi" w:hAnsi="Times New Roman" w:cs="Times New Roman"/>
      <w:kern w:val="0"/>
      <w:sz w:val="24"/>
      <w:szCs w:val="24"/>
      <w:lang w:eastAsia="en-AU"/>
    </w:rPr>
  </w:style>
  <w:style w:type="paragraph" w:customStyle="1" w:styleId="Background">
    <w:name w:val="Background"/>
    <w:basedOn w:val="Normal"/>
    <w:uiPriority w:val="99"/>
    <w:rsid w:val="0065203F"/>
    <w:pPr>
      <w:numPr>
        <w:ilvl w:val="12"/>
      </w:numPr>
      <w:spacing w:before="240" w:after="0" w:line="240" w:lineRule="auto"/>
    </w:pPr>
    <w:rPr>
      <w:rFonts w:ascii="Times New Roman" w:eastAsiaTheme="minorHAnsi" w:hAnsi="Times New Roman" w:cs="Times New Roman"/>
      <w:kern w:val="0"/>
      <w:sz w:val="24"/>
      <w:szCs w:val="24"/>
      <w:lang w:eastAsia="en-AU"/>
    </w:rPr>
  </w:style>
  <w:style w:type="character" w:customStyle="1" w:styleId="Heading4Char">
    <w:name w:val="Heading 4 Char"/>
    <w:basedOn w:val="DefaultParagraphFont"/>
    <w:link w:val="Heading4"/>
    <w:uiPriority w:val="9"/>
    <w:semiHidden/>
    <w:rsid w:val="00541ADE"/>
    <w:rPr>
      <w:rFonts w:asciiTheme="majorHAnsi" w:eastAsiaTheme="majorEastAsia" w:hAnsiTheme="majorHAnsi" w:cstheme="majorBidi"/>
      <w:b/>
      <w:bCs/>
      <w:i/>
      <w:iCs/>
      <w:color w:val="4F81BD" w:themeColor="accent1"/>
      <w:w w:val="105"/>
      <w:kern w:val="40"/>
      <w:sz w:val="22"/>
      <w:szCs w:val="22"/>
      <w:lang w:eastAsia="en-US"/>
    </w:rPr>
  </w:style>
  <w:style w:type="paragraph" w:styleId="Caption">
    <w:name w:val="caption"/>
    <w:basedOn w:val="Normal"/>
    <w:next w:val="Normal"/>
    <w:uiPriority w:val="35"/>
    <w:unhideWhenUsed/>
    <w:qFormat/>
    <w:rsid w:val="00531F6A"/>
    <w:pPr>
      <w:spacing w:line="240" w:lineRule="auto"/>
    </w:pPr>
    <w:rPr>
      <w:rFonts w:asciiTheme="minorHAnsi" w:hAnsiTheme="minorHAnsi"/>
      <w:b/>
      <w:bCs/>
      <w:color w:val="4F81BD" w:themeColor="accent1"/>
      <w:sz w:val="18"/>
      <w:szCs w:val="18"/>
    </w:rPr>
  </w:style>
  <w:style w:type="character" w:customStyle="1" w:styleId="CABNETParagraphAttChar">
    <w:name w:val="CABNET Paragraph Att Char"/>
    <w:basedOn w:val="DefaultParagraphFont"/>
    <w:link w:val="CABNETParagraphAtt"/>
    <w:locked/>
    <w:rsid w:val="00D26380"/>
    <w:rPr>
      <w:rFonts w:ascii="Verdana" w:eastAsia="Times New Roman" w:hAnsi="Verdana"/>
      <w:szCs w:val="24"/>
    </w:rPr>
  </w:style>
  <w:style w:type="paragraph" w:customStyle="1" w:styleId="CABNETParagraphAtt">
    <w:name w:val="CABNET Paragraph Att"/>
    <w:basedOn w:val="Normal"/>
    <w:link w:val="CABNETParagraphAttChar"/>
    <w:qFormat/>
    <w:rsid w:val="00D26380"/>
    <w:pPr>
      <w:spacing w:before="120" w:after="120" w:line="240" w:lineRule="auto"/>
    </w:pPr>
    <w:rPr>
      <w:rFonts w:ascii="Verdana" w:eastAsia="Times New Roman" w:hAnsi="Verdana" w:cs="Times New Roman"/>
      <w:kern w:val="0"/>
      <w:sz w:val="20"/>
      <w:szCs w:val="24"/>
      <w:lang w:eastAsia="en-AU"/>
    </w:rPr>
  </w:style>
  <w:style w:type="paragraph" w:styleId="NormalWeb">
    <w:name w:val="Normal (Web)"/>
    <w:basedOn w:val="Normal"/>
    <w:uiPriority w:val="99"/>
    <w:unhideWhenUsed/>
    <w:rsid w:val="006112EA"/>
    <w:pPr>
      <w:spacing w:before="100" w:beforeAutospacing="1" w:after="100" w:afterAutospacing="1" w:line="240" w:lineRule="auto"/>
    </w:pPr>
    <w:rPr>
      <w:rFonts w:ascii="Times New Roman" w:eastAsiaTheme="minorHAnsi" w:hAnsi="Times New Roman" w:cs="Times New Roman"/>
      <w:kern w:val="0"/>
      <w:sz w:val="24"/>
      <w:szCs w:val="24"/>
      <w:lang w:eastAsia="en-AU"/>
    </w:rPr>
  </w:style>
  <w:style w:type="paragraph" w:customStyle="1" w:styleId="Celltext">
    <w:name w:val="Cell text"/>
    <w:basedOn w:val="Normal"/>
    <w:rsid w:val="00E65C22"/>
    <w:pPr>
      <w:spacing w:before="120" w:after="0" w:line="240" w:lineRule="auto"/>
    </w:pPr>
    <w:rPr>
      <w:rFonts w:ascii="Times New Roman" w:eastAsia="Times New Roman" w:hAnsi="Times New Roman" w:cs="Times New Roman"/>
      <w:kern w:val="0"/>
      <w:sz w:val="24"/>
      <w:szCs w:val="20"/>
      <w:lang w:eastAsia="en-AU"/>
    </w:rPr>
  </w:style>
  <w:style w:type="paragraph" w:customStyle="1" w:styleId="CABHeading1">
    <w:name w:val="CAB Heading 1"/>
    <w:basedOn w:val="Normal"/>
    <w:uiPriority w:val="99"/>
    <w:qFormat/>
    <w:rsid w:val="008D6188"/>
    <w:pPr>
      <w:spacing w:before="120" w:after="120" w:line="240" w:lineRule="auto"/>
    </w:pPr>
    <w:rPr>
      <w:rFonts w:ascii="Verdana" w:eastAsia="Times New Roman" w:hAnsi="Verdana" w:cs="Times New Roman"/>
      <w:b/>
      <w:kern w:val="0"/>
      <w:szCs w:val="24"/>
    </w:rPr>
  </w:style>
  <w:style w:type="paragraph" w:styleId="EndnoteText">
    <w:name w:val="endnote text"/>
    <w:basedOn w:val="Normal"/>
    <w:link w:val="EndnoteTextChar"/>
    <w:uiPriority w:val="99"/>
    <w:semiHidden/>
    <w:unhideWhenUsed/>
    <w:rsid w:val="00AD24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4B2"/>
    <w:rPr>
      <w:rFonts w:ascii="Arial" w:hAnsi="Arial" w:cs="Arial"/>
      <w:w w:val="105"/>
      <w:kern w:val="40"/>
      <w:lang w:eastAsia="en-US"/>
    </w:rPr>
  </w:style>
  <w:style w:type="character" w:styleId="EndnoteReference">
    <w:name w:val="endnote reference"/>
    <w:basedOn w:val="DefaultParagraphFont"/>
    <w:uiPriority w:val="99"/>
    <w:semiHidden/>
    <w:unhideWhenUsed/>
    <w:rsid w:val="00AD24B2"/>
    <w:rPr>
      <w:vertAlign w:val="superscript"/>
    </w:rPr>
  </w:style>
  <w:style w:type="character" w:styleId="Emphasis">
    <w:name w:val="Emphasis"/>
    <w:basedOn w:val="DefaultParagraphFont"/>
    <w:uiPriority w:val="20"/>
    <w:qFormat/>
    <w:rsid w:val="007A4760"/>
    <w:rPr>
      <w:i/>
      <w:iCs/>
    </w:rPr>
  </w:style>
  <w:style w:type="paragraph" w:customStyle="1" w:styleId="Bullet1continued">
    <w:name w:val="Bullet 1 (continued)"/>
    <w:basedOn w:val="Normal"/>
    <w:next w:val="Normal"/>
    <w:rsid w:val="00925406"/>
    <w:pPr>
      <w:spacing w:before="120" w:after="0"/>
      <w:ind w:left="284"/>
    </w:pPr>
    <w:rPr>
      <w:rFonts w:ascii="Times New Roman" w:eastAsia="Times New Roman" w:hAnsi="Times New Roman" w:cs="Times New Roman"/>
      <w:kern w:val="0"/>
      <w:sz w:val="24"/>
      <w:szCs w:val="20"/>
      <w:lang w:eastAsia="en-AU"/>
    </w:rPr>
  </w:style>
  <w:style w:type="paragraph" w:customStyle="1" w:styleId="AGDbodytext">
    <w:name w:val="AGD body text"/>
    <w:basedOn w:val="Normal"/>
    <w:rsid w:val="00925406"/>
    <w:pPr>
      <w:spacing w:before="120" w:after="120" w:line="280" w:lineRule="atLeast"/>
    </w:pPr>
    <w:rPr>
      <w:rFonts w:ascii="Calibri" w:eastAsia="MS Mincho" w:hAnsi="Calibri" w:cs="Times New Roman"/>
      <w:kern w:val="0"/>
      <w:szCs w:val="20"/>
      <w:lang w:val="en-US"/>
    </w:rPr>
  </w:style>
  <w:style w:type="paragraph" w:customStyle="1" w:styleId="Default">
    <w:name w:val="Default"/>
    <w:rsid w:val="007269F3"/>
    <w:pPr>
      <w:autoSpaceDE w:val="0"/>
      <w:autoSpaceDN w:val="0"/>
      <w:adjustRightInd w:val="0"/>
    </w:pPr>
    <w:rPr>
      <w:rFonts w:eastAsiaTheme="minorEastAsia" w:cs="Calibri"/>
      <w:color w:val="000000"/>
      <w:sz w:val="24"/>
      <w:szCs w:val="24"/>
      <w:lang w:eastAsia="en-US"/>
    </w:rPr>
  </w:style>
  <w:style w:type="character" w:styleId="FollowedHyperlink">
    <w:name w:val="FollowedHyperlink"/>
    <w:basedOn w:val="DefaultParagraphFont"/>
    <w:uiPriority w:val="99"/>
    <w:semiHidden/>
    <w:unhideWhenUsed/>
    <w:rsid w:val="00CB0DDA"/>
    <w:rPr>
      <w:color w:val="800080" w:themeColor="followedHyperlink"/>
      <w:u w:val="single"/>
    </w:rPr>
  </w:style>
  <w:style w:type="character" w:customStyle="1" w:styleId="ScheduleNumberedParaChar">
    <w:name w:val="ScheduleNumberedPara Char"/>
    <w:link w:val="ScheduleNumberedPara"/>
    <w:locked/>
    <w:rsid w:val="001A010A"/>
    <w:rPr>
      <w:rFonts w:ascii="Corbel" w:eastAsia="Times New Roman" w:hAnsi="Corbel"/>
      <w:color w:val="000000"/>
      <w:sz w:val="23"/>
    </w:rPr>
  </w:style>
  <w:style w:type="paragraph" w:customStyle="1" w:styleId="ScheduleNumberedPara">
    <w:name w:val="ScheduleNumberedPara"/>
    <w:basedOn w:val="Normal"/>
    <w:link w:val="ScheduleNumberedParaChar"/>
    <w:rsid w:val="001A010A"/>
    <w:pPr>
      <w:tabs>
        <w:tab w:val="num" w:pos="567"/>
        <w:tab w:val="num" w:pos="1134"/>
        <w:tab w:val="num" w:pos="1440"/>
        <w:tab w:val="num" w:pos="1701"/>
        <w:tab w:val="num" w:pos="2268"/>
      </w:tabs>
      <w:spacing w:after="240" w:line="260" w:lineRule="exact"/>
      <w:ind w:left="1440" w:hanging="360"/>
      <w:jc w:val="both"/>
    </w:pPr>
    <w:rPr>
      <w:rFonts w:ascii="Corbel" w:eastAsia="Times New Roman" w:hAnsi="Corbel" w:cs="Times New Roman"/>
      <w:color w:val="000000"/>
      <w:kern w:val="0"/>
      <w:sz w:val="23"/>
      <w:szCs w:val="20"/>
      <w:lang w:eastAsia="en-AU"/>
    </w:rPr>
  </w:style>
  <w:style w:type="paragraph" w:customStyle="1" w:styleId="Bullets">
    <w:name w:val="Bullets"/>
    <w:basedOn w:val="Normal"/>
    <w:qFormat/>
    <w:rsid w:val="002017C1"/>
    <w:pPr>
      <w:numPr>
        <w:numId w:val="15"/>
      </w:numPr>
      <w:tabs>
        <w:tab w:val="left" w:pos="567"/>
      </w:tabs>
      <w:spacing w:after="0" w:line="240" w:lineRule="auto"/>
      <w:ind w:left="567" w:hanging="567"/>
    </w:pPr>
    <w:rPr>
      <w:rFonts w:ascii="Calibri" w:hAnsi="Calibri" w:cs="Times New Roman"/>
      <w:kern w:val="0"/>
    </w:rPr>
  </w:style>
  <w:style w:type="paragraph" w:customStyle="1" w:styleId="Bullet">
    <w:name w:val="Bullet"/>
    <w:basedOn w:val="Normal"/>
    <w:rsid w:val="001A2DF8"/>
    <w:pPr>
      <w:numPr>
        <w:numId w:val="16"/>
      </w:numPr>
      <w:tabs>
        <w:tab w:val="left" w:pos="567"/>
      </w:tabs>
      <w:spacing w:after="0" w:line="240" w:lineRule="auto"/>
      <w:ind w:left="567" w:hanging="567"/>
    </w:pPr>
    <w:rPr>
      <w:rFonts w:ascii="Calibri" w:eastAsia="Times New Roman" w:hAnsi="Calibri" w:cs="Times New Roman"/>
      <w:color w:val="000000"/>
      <w:kern w:val="0"/>
      <w:szCs w:val="20"/>
    </w:rPr>
  </w:style>
  <w:style w:type="paragraph" w:customStyle="1" w:styleId="Dash">
    <w:name w:val="Dash"/>
    <w:basedOn w:val="Normal"/>
    <w:rsid w:val="001A2DF8"/>
    <w:pPr>
      <w:numPr>
        <w:ilvl w:val="1"/>
        <w:numId w:val="16"/>
      </w:numPr>
      <w:tabs>
        <w:tab w:val="left" w:pos="576"/>
      </w:tabs>
      <w:spacing w:after="60" w:line="274" w:lineRule="atLeast"/>
      <w:ind w:left="576" w:hanging="288"/>
    </w:pPr>
    <w:rPr>
      <w:rFonts w:ascii="Georgia" w:eastAsia="Times New Roman" w:hAnsi="Georgia" w:cs="Times New Roman"/>
      <w:color w:val="000000"/>
      <w:kern w:val="0"/>
      <w:sz w:val="18"/>
      <w:szCs w:val="20"/>
    </w:rPr>
  </w:style>
  <w:style w:type="character" w:customStyle="1" w:styleId="bodyChar">
    <w:name w:val="body Char"/>
    <w:basedOn w:val="DefaultParagraphFont"/>
    <w:link w:val="body"/>
    <w:uiPriority w:val="99"/>
    <w:locked/>
    <w:rsid w:val="008063DA"/>
    <w:rPr>
      <w:rFonts w:cs="Calibri"/>
    </w:rPr>
  </w:style>
  <w:style w:type="paragraph" w:customStyle="1" w:styleId="body">
    <w:name w:val="body"/>
    <w:basedOn w:val="Normal"/>
    <w:link w:val="bodyChar"/>
    <w:uiPriority w:val="99"/>
    <w:rsid w:val="008063DA"/>
    <w:pPr>
      <w:spacing w:after="0" w:line="240" w:lineRule="auto"/>
    </w:pPr>
    <w:rPr>
      <w:rFonts w:ascii="Calibri" w:hAnsi="Calibri" w:cs="Calibri"/>
      <w:kern w:val="0"/>
      <w:sz w:val="20"/>
      <w:szCs w:val="20"/>
      <w:lang w:eastAsia="en-AU"/>
    </w:rPr>
  </w:style>
  <w:style w:type="character" w:customStyle="1" w:styleId="hps-small">
    <w:name w:val="hps-small"/>
    <w:basedOn w:val="DefaultParagraphFont"/>
    <w:rsid w:val="008063DA"/>
  </w:style>
  <w:style w:type="character" w:customStyle="1" w:styleId="st">
    <w:name w:val="st"/>
    <w:basedOn w:val="DefaultParagraphFont"/>
    <w:rsid w:val="008C4319"/>
  </w:style>
  <w:style w:type="character" w:customStyle="1" w:styleId="CABNETParagraphChar">
    <w:name w:val="CABNET Paragraph Char"/>
    <w:basedOn w:val="DefaultParagraphFont"/>
    <w:link w:val="CABNETParagraph"/>
    <w:locked/>
    <w:rsid w:val="0058186D"/>
    <w:rPr>
      <w:rFonts w:ascii="Verdana" w:hAnsi="Verdana"/>
    </w:rPr>
  </w:style>
  <w:style w:type="paragraph" w:customStyle="1" w:styleId="CABNETParagraph">
    <w:name w:val="CABNET Paragraph"/>
    <w:basedOn w:val="Normal"/>
    <w:link w:val="CABNETParagraphChar"/>
    <w:qFormat/>
    <w:rsid w:val="0058186D"/>
    <w:pPr>
      <w:spacing w:before="120" w:after="120" w:line="240" w:lineRule="auto"/>
    </w:pPr>
    <w:rPr>
      <w:rFonts w:ascii="Verdana" w:hAnsi="Verdana" w:cs="Times New Roman"/>
      <w:kern w:val="0"/>
      <w:sz w:val="20"/>
      <w:szCs w:val="20"/>
      <w:lang w:eastAsia="en-AU"/>
    </w:rPr>
  </w:style>
  <w:style w:type="paragraph" w:customStyle="1" w:styleId="CABBackGround">
    <w:name w:val="CABBackGround"/>
    <w:basedOn w:val="Normal"/>
    <w:link w:val="CABBackGroundChar1"/>
    <w:rsid w:val="007F7BBE"/>
    <w:pPr>
      <w:spacing w:after="0"/>
    </w:pPr>
    <w:rPr>
      <w:rFonts w:ascii="Times New Roman" w:eastAsia="Times New Roman" w:hAnsi="Times New Roman" w:cs="Times New Roman"/>
      <w:kern w:val="0"/>
      <w:sz w:val="24"/>
      <w:szCs w:val="20"/>
      <w:lang w:eastAsia="en-AU"/>
    </w:rPr>
  </w:style>
  <w:style w:type="character" w:customStyle="1" w:styleId="CABBackGroundChar1">
    <w:name w:val="CABBackGround Char1"/>
    <w:link w:val="CABBackGround"/>
    <w:rsid w:val="007F7BBE"/>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next w:val="NoSpacing"/>
    <w:qFormat/>
    <w:rsid w:val="004A673B"/>
    <w:pPr>
      <w:spacing w:after="200" w:line="360" w:lineRule="auto"/>
    </w:pPr>
    <w:rPr>
      <w:rFonts w:ascii="Arial" w:hAnsi="Arial" w:cs="Arial"/>
      <w:kern w:val="40"/>
      <w:sz w:val="22"/>
      <w:szCs w:val="22"/>
      <w:lang w:eastAsia="en-US"/>
    </w:rPr>
  </w:style>
  <w:style w:type="paragraph" w:styleId="Heading1">
    <w:name w:val="heading 1"/>
    <w:basedOn w:val="Normal"/>
    <w:next w:val="Normal"/>
    <w:link w:val="Heading1Char"/>
    <w:uiPriority w:val="9"/>
    <w:qFormat/>
    <w:rsid w:val="003032F0"/>
    <w:pPr>
      <w:keepNext/>
      <w:spacing w:before="240" w:after="60"/>
      <w:outlineLvl w:val="0"/>
    </w:pPr>
    <w:rPr>
      <w:rFonts w:ascii="Calibri" w:eastAsia="SimSun" w:hAnsi="Calibri" w:cs="Angsana New"/>
      <w:b/>
      <w:bCs/>
      <w:color w:val="404040"/>
      <w:kern w:val="32"/>
      <w:sz w:val="40"/>
      <w:szCs w:val="32"/>
    </w:rPr>
  </w:style>
  <w:style w:type="paragraph" w:styleId="Heading2">
    <w:name w:val="heading 2"/>
    <w:basedOn w:val="Normal"/>
    <w:next w:val="Normal"/>
    <w:link w:val="Heading2Char"/>
    <w:uiPriority w:val="9"/>
    <w:unhideWhenUsed/>
    <w:qFormat/>
    <w:rsid w:val="00A44C59"/>
    <w:pPr>
      <w:keepNext/>
      <w:spacing w:before="240" w:after="60"/>
      <w:outlineLvl w:val="1"/>
    </w:pPr>
    <w:rPr>
      <w:rFonts w:ascii="Calibri" w:eastAsia="SimSun" w:hAnsi="Calibri" w:cs="Angsana New"/>
      <w:b/>
      <w:bCs/>
      <w:iCs/>
      <w:color w:val="897005"/>
      <w:sz w:val="36"/>
      <w:szCs w:val="28"/>
    </w:rPr>
  </w:style>
  <w:style w:type="paragraph" w:styleId="Heading3">
    <w:name w:val="heading 3"/>
    <w:basedOn w:val="Normal"/>
    <w:next w:val="Normal"/>
    <w:link w:val="Heading3Char"/>
    <w:uiPriority w:val="9"/>
    <w:unhideWhenUsed/>
    <w:qFormat/>
    <w:rsid w:val="003032F0"/>
    <w:pPr>
      <w:keepNext/>
      <w:spacing w:before="240" w:after="60"/>
      <w:outlineLvl w:val="2"/>
    </w:pPr>
    <w:rPr>
      <w:rFonts w:ascii="Calibri" w:eastAsia="SimSun" w:hAnsi="Calibri" w:cs="Angsana New"/>
      <w:b/>
      <w:bCs/>
      <w:sz w:val="26"/>
      <w:szCs w:val="26"/>
    </w:rPr>
  </w:style>
  <w:style w:type="paragraph" w:styleId="Heading4">
    <w:name w:val="heading 4"/>
    <w:basedOn w:val="Normal"/>
    <w:next w:val="Normal"/>
    <w:link w:val="Heading4Char"/>
    <w:uiPriority w:val="9"/>
    <w:semiHidden/>
    <w:unhideWhenUsed/>
    <w:rsid w:val="00541AD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032F0"/>
    <w:pPr>
      <w:spacing w:before="240" w:after="60"/>
      <w:jc w:val="center"/>
      <w:outlineLvl w:val="0"/>
    </w:pPr>
    <w:rPr>
      <w:rFonts w:ascii="Calibri" w:eastAsia="SimSun" w:hAnsi="Calibri" w:cs="Angsana New"/>
      <w:b/>
      <w:bCs/>
      <w:kern w:val="28"/>
      <w:sz w:val="72"/>
      <w:szCs w:val="32"/>
    </w:rPr>
  </w:style>
  <w:style w:type="character" w:customStyle="1" w:styleId="TitleChar">
    <w:name w:val="Title Char"/>
    <w:link w:val="Title"/>
    <w:uiPriority w:val="10"/>
    <w:rsid w:val="003032F0"/>
    <w:rPr>
      <w:rFonts w:eastAsia="SimSun" w:cs="Angsana New"/>
      <w:b/>
      <w:bCs/>
      <w:kern w:val="28"/>
      <w:sz w:val="72"/>
      <w:szCs w:val="32"/>
      <w:lang w:eastAsia="en-US"/>
    </w:rPr>
  </w:style>
  <w:style w:type="character" w:customStyle="1" w:styleId="Heading1Char">
    <w:name w:val="Heading 1 Char"/>
    <w:link w:val="Heading1"/>
    <w:uiPriority w:val="9"/>
    <w:rsid w:val="003032F0"/>
    <w:rPr>
      <w:rFonts w:eastAsia="SimSun" w:cs="Angsana New"/>
      <w:b/>
      <w:bCs/>
      <w:color w:val="404040"/>
      <w:kern w:val="32"/>
      <w:sz w:val="40"/>
      <w:szCs w:val="32"/>
      <w:lang w:eastAsia="en-US"/>
    </w:rPr>
  </w:style>
  <w:style w:type="character" w:customStyle="1" w:styleId="Heading2Char">
    <w:name w:val="Heading 2 Char"/>
    <w:link w:val="Heading2"/>
    <w:uiPriority w:val="9"/>
    <w:rsid w:val="00A44C59"/>
    <w:rPr>
      <w:rFonts w:eastAsia="SimSun" w:cs="Angsana New"/>
      <w:b/>
      <w:bCs/>
      <w:iCs/>
      <w:color w:val="897005"/>
      <w:w w:val="105"/>
      <w:kern w:val="40"/>
      <w:sz w:val="36"/>
      <w:szCs w:val="28"/>
      <w:lang w:eastAsia="en-US"/>
    </w:rPr>
  </w:style>
  <w:style w:type="character" w:customStyle="1" w:styleId="Heading3Char">
    <w:name w:val="Heading 3 Char"/>
    <w:link w:val="Heading3"/>
    <w:uiPriority w:val="9"/>
    <w:rsid w:val="003032F0"/>
    <w:rPr>
      <w:rFonts w:eastAsia="SimSun" w:cs="Angsana New"/>
      <w:b/>
      <w:bCs/>
      <w:sz w:val="26"/>
      <w:szCs w:val="26"/>
      <w:lang w:eastAsia="en-US"/>
    </w:rPr>
  </w:style>
  <w:style w:type="paragraph" w:styleId="ListBullet">
    <w:name w:val="List Bullet"/>
    <w:basedOn w:val="Normal"/>
    <w:uiPriority w:val="99"/>
    <w:unhideWhenUsed/>
    <w:qFormat/>
    <w:rsid w:val="003032F0"/>
    <w:pPr>
      <w:contextualSpacing/>
    </w:pPr>
  </w:style>
  <w:style w:type="paragraph" w:styleId="ListBullet2">
    <w:name w:val="List Bullet 2"/>
    <w:basedOn w:val="Normal"/>
    <w:uiPriority w:val="99"/>
    <w:unhideWhenUsed/>
    <w:qFormat/>
    <w:rsid w:val="003032F0"/>
    <w:pPr>
      <w:numPr>
        <w:numId w:val="1"/>
      </w:numPr>
      <w:contextualSpacing/>
    </w:pPr>
  </w:style>
  <w:style w:type="paragraph" w:styleId="Subtitle">
    <w:name w:val="Subtitle"/>
    <w:basedOn w:val="Normal"/>
    <w:next w:val="Normal"/>
    <w:link w:val="SubtitleChar"/>
    <w:uiPriority w:val="11"/>
    <w:qFormat/>
    <w:rsid w:val="0075073C"/>
    <w:pPr>
      <w:spacing w:after="60"/>
      <w:jc w:val="center"/>
      <w:outlineLvl w:val="1"/>
    </w:pPr>
    <w:rPr>
      <w:rFonts w:ascii="Calibri" w:eastAsia="SimSun" w:hAnsi="Calibri" w:cs="Angsana New"/>
      <w:b/>
      <w:szCs w:val="24"/>
    </w:rPr>
  </w:style>
  <w:style w:type="character" w:customStyle="1" w:styleId="SubtitleChar">
    <w:name w:val="Subtitle Char"/>
    <w:link w:val="Subtitle"/>
    <w:uiPriority w:val="11"/>
    <w:rsid w:val="0075073C"/>
    <w:rPr>
      <w:rFonts w:eastAsia="SimSun" w:cs="Angsana New"/>
      <w:b/>
      <w:sz w:val="24"/>
      <w:szCs w:val="24"/>
      <w:lang w:eastAsia="en-US"/>
    </w:rPr>
  </w:style>
  <w:style w:type="paragraph" w:styleId="Header">
    <w:name w:val="header"/>
    <w:basedOn w:val="Normal"/>
    <w:link w:val="HeaderChar"/>
    <w:uiPriority w:val="99"/>
    <w:unhideWhenUsed/>
    <w:rsid w:val="006A3376"/>
    <w:pPr>
      <w:tabs>
        <w:tab w:val="center" w:pos="4513"/>
        <w:tab w:val="right" w:pos="9026"/>
      </w:tabs>
    </w:pPr>
  </w:style>
  <w:style w:type="character" w:customStyle="1" w:styleId="HeaderChar">
    <w:name w:val="Header Char"/>
    <w:link w:val="Header"/>
    <w:uiPriority w:val="99"/>
    <w:rsid w:val="006A3376"/>
    <w:rPr>
      <w:rFonts w:ascii="Arial Narrow" w:hAnsi="Arial Narrow"/>
      <w:sz w:val="24"/>
      <w:szCs w:val="22"/>
      <w:lang w:eastAsia="en-US"/>
    </w:rPr>
  </w:style>
  <w:style w:type="paragraph" w:styleId="Footer">
    <w:name w:val="footer"/>
    <w:basedOn w:val="Normal"/>
    <w:link w:val="FooterChar"/>
    <w:uiPriority w:val="99"/>
    <w:unhideWhenUsed/>
    <w:rsid w:val="006A3376"/>
    <w:pPr>
      <w:tabs>
        <w:tab w:val="center" w:pos="4513"/>
        <w:tab w:val="right" w:pos="9026"/>
      </w:tabs>
    </w:pPr>
  </w:style>
  <w:style w:type="character" w:customStyle="1" w:styleId="FooterChar">
    <w:name w:val="Footer Char"/>
    <w:link w:val="Footer"/>
    <w:uiPriority w:val="99"/>
    <w:rsid w:val="006A3376"/>
    <w:rPr>
      <w:rFonts w:ascii="Arial Narrow" w:hAnsi="Arial Narrow"/>
      <w:sz w:val="24"/>
      <w:szCs w:val="22"/>
      <w:lang w:eastAsia="en-US"/>
    </w:rPr>
  </w:style>
  <w:style w:type="paragraph" w:styleId="BalloonText">
    <w:name w:val="Balloon Text"/>
    <w:basedOn w:val="Normal"/>
    <w:link w:val="BalloonTextChar"/>
    <w:uiPriority w:val="99"/>
    <w:semiHidden/>
    <w:unhideWhenUsed/>
    <w:rsid w:val="007A41C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A41C3"/>
    <w:rPr>
      <w:rFonts w:ascii="Tahoma" w:hAnsi="Tahoma" w:cs="Tahoma"/>
      <w:sz w:val="16"/>
      <w:szCs w:val="16"/>
      <w:lang w:eastAsia="en-US"/>
    </w:rPr>
  </w:style>
  <w:style w:type="paragraph" w:styleId="NoSpacing">
    <w:name w:val="No Spacing"/>
    <w:uiPriority w:val="1"/>
    <w:qFormat/>
    <w:rsid w:val="00A04C41"/>
    <w:rPr>
      <w:rFonts w:ascii="Arial Narrow" w:hAnsi="Arial Narrow"/>
      <w:sz w:val="24"/>
      <w:szCs w:val="22"/>
      <w:lang w:eastAsia="en-US"/>
    </w:rPr>
  </w:style>
  <w:style w:type="paragraph" w:styleId="CommentText">
    <w:name w:val="annotation text"/>
    <w:basedOn w:val="Normal"/>
    <w:link w:val="CommentTextChar"/>
    <w:uiPriority w:val="99"/>
    <w:unhideWhenUsed/>
    <w:rsid w:val="00CD41BD"/>
    <w:rPr>
      <w:sz w:val="20"/>
      <w:szCs w:val="20"/>
    </w:rPr>
  </w:style>
  <w:style w:type="character" w:customStyle="1" w:styleId="CommentTextChar">
    <w:name w:val="Comment Text Char"/>
    <w:link w:val="CommentText"/>
    <w:uiPriority w:val="99"/>
    <w:rsid w:val="00CD41BD"/>
    <w:rPr>
      <w:rFonts w:ascii="Arial" w:hAnsi="Arial" w:cs="Arial"/>
      <w:w w:val="105"/>
      <w:kern w:val="40"/>
      <w:lang w:eastAsia="en-US"/>
    </w:rPr>
  </w:style>
  <w:style w:type="paragraph" w:styleId="FootnoteText">
    <w:name w:val="footnote text"/>
    <w:basedOn w:val="Normal"/>
    <w:link w:val="FootnoteTextChar"/>
    <w:uiPriority w:val="99"/>
    <w:unhideWhenUsed/>
    <w:rsid w:val="00CD41BD"/>
    <w:rPr>
      <w:sz w:val="20"/>
      <w:szCs w:val="20"/>
    </w:rPr>
  </w:style>
  <w:style w:type="character" w:customStyle="1" w:styleId="FootnoteTextChar">
    <w:name w:val="Footnote Text Char"/>
    <w:link w:val="FootnoteText"/>
    <w:uiPriority w:val="99"/>
    <w:rsid w:val="00CD41BD"/>
    <w:rPr>
      <w:rFonts w:ascii="Arial" w:hAnsi="Arial" w:cs="Arial"/>
      <w:w w:val="105"/>
      <w:kern w:val="40"/>
      <w:lang w:eastAsia="en-US"/>
    </w:rPr>
  </w:style>
  <w:style w:type="character" w:styleId="CommentReference">
    <w:name w:val="annotation reference"/>
    <w:uiPriority w:val="99"/>
    <w:semiHidden/>
    <w:unhideWhenUsed/>
    <w:rsid w:val="00CD41BD"/>
    <w:rPr>
      <w:sz w:val="16"/>
      <w:szCs w:val="16"/>
    </w:rPr>
  </w:style>
  <w:style w:type="character" w:styleId="FootnoteReference">
    <w:name w:val="footnote reference"/>
    <w:uiPriority w:val="99"/>
    <w:semiHidden/>
    <w:unhideWhenUsed/>
    <w:rsid w:val="00CD41BD"/>
    <w:rPr>
      <w:vertAlign w:val="superscript"/>
    </w:rPr>
  </w:style>
  <w:style w:type="table" w:styleId="TableGrid">
    <w:name w:val="Table Grid"/>
    <w:basedOn w:val="TableNormal"/>
    <w:uiPriority w:val="59"/>
    <w:rsid w:val="00B00F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197673"/>
    <w:pPr>
      <w:keepLines/>
      <w:spacing w:before="480" w:after="0" w:line="276" w:lineRule="auto"/>
      <w:outlineLvl w:val="9"/>
    </w:pPr>
    <w:rPr>
      <w:rFonts w:ascii="Cambria" w:eastAsia="MS Gothic" w:hAnsi="Cambria" w:cs="Times New Roman"/>
      <w:color w:val="365F91"/>
      <w:kern w:val="0"/>
      <w:sz w:val="28"/>
      <w:szCs w:val="28"/>
      <w:lang w:val="en-US" w:eastAsia="ja-JP"/>
    </w:rPr>
  </w:style>
  <w:style w:type="paragraph" w:styleId="TOC1">
    <w:name w:val="toc 1"/>
    <w:basedOn w:val="Normal"/>
    <w:next w:val="Normal"/>
    <w:autoRedefine/>
    <w:uiPriority w:val="39"/>
    <w:unhideWhenUsed/>
    <w:qFormat/>
    <w:rsid w:val="00F66CE7"/>
    <w:pPr>
      <w:tabs>
        <w:tab w:val="right" w:leader="dot" w:pos="9016"/>
      </w:tabs>
    </w:pPr>
    <w:rPr>
      <w:b/>
      <w:noProof/>
    </w:rPr>
  </w:style>
  <w:style w:type="paragraph" w:styleId="TOC2">
    <w:name w:val="toc 2"/>
    <w:basedOn w:val="Normal"/>
    <w:next w:val="Normal"/>
    <w:autoRedefine/>
    <w:uiPriority w:val="39"/>
    <w:unhideWhenUsed/>
    <w:qFormat/>
    <w:rsid w:val="00197673"/>
    <w:pPr>
      <w:ind w:left="220"/>
    </w:pPr>
  </w:style>
  <w:style w:type="paragraph" w:styleId="TOC3">
    <w:name w:val="toc 3"/>
    <w:basedOn w:val="Normal"/>
    <w:next w:val="Normal"/>
    <w:autoRedefine/>
    <w:uiPriority w:val="39"/>
    <w:unhideWhenUsed/>
    <w:qFormat/>
    <w:rsid w:val="00197673"/>
    <w:pPr>
      <w:ind w:left="440"/>
    </w:pPr>
  </w:style>
  <w:style w:type="character" w:styleId="Hyperlink">
    <w:name w:val="Hyperlink"/>
    <w:uiPriority w:val="99"/>
    <w:unhideWhenUsed/>
    <w:rsid w:val="00197673"/>
    <w:rPr>
      <w:color w:val="0000FF"/>
      <w:u w:val="single"/>
    </w:rPr>
  </w:style>
  <w:style w:type="paragraph" w:styleId="CommentSubject">
    <w:name w:val="annotation subject"/>
    <w:basedOn w:val="CommentText"/>
    <w:next w:val="CommentText"/>
    <w:link w:val="CommentSubjectChar"/>
    <w:uiPriority w:val="99"/>
    <w:semiHidden/>
    <w:unhideWhenUsed/>
    <w:rsid w:val="00F643C1"/>
    <w:rPr>
      <w:b/>
      <w:bCs/>
    </w:rPr>
  </w:style>
  <w:style w:type="character" w:customStyle="1" w:styleId="CommentSubjectChar">
    <w:name w:val="Comment Subject Char"/>
    <w:link w:val="CommentSubject"/>
    <w:uiPriority w:val="99"/>
    <w:semiHidden/>
    <w:rsid w:val="00F643C1"/>
    <w:rPr>
      <w:rFonts w:ascii="Arial" w:hAnsi="Arial" w:cs="Arial"/>
      <w:b/>
      <w:bCs/>
      <w:w w:val="105"/>
      <w:kern w:val="40"/>
      <w:lang w:eastAsia="en-US"/>
    </w:rPr>
  </w:style>
  <w:style w:type="paragraph" w:styleId="Revision">
    <w:name w:val="Revision"/>
    <w:hidden/>
    <w:uiPriority w:val="99"/>
    <w:semiHidden/>
    <w:rsid w:val="00F643C1"/>
    <w:rPr>
      <w:rFonts w:ascii="Arial" w:hAnsi="Arial" w:cs="Arial"/>
      <w:w w:val="105"/>
      <w:kern w:val="40"/>
      <w:sz w:val="22"/>
      <w:szCs w:val="22"/>
      <w:lang w:eastAsia="en-US"/>
    </w:rPr>
  </w:style>
  <w:style w:type="paragraph" w:styleId="Quote">
    <w:name w:val="Quote"/>
    <w:basedOn w:val="Normal"/>
    <w:next w:val="Normal"/>
    <w:link w:val="QuoteChar"/>
    <w:uiPriority w:val="29"/>
    <w:qFormat/>
    <w:rsid w:val="0061678C"/>
    <w:pPr>
      <w:spacing w:line="276" w:lineRule="auto"/>
    </w:pPr>
    <w:rPr>
      <w:rFonts w:ascii="Calibri" w:eastAsia="MS Mincho" w:hAnsi="Calibri"/>
      <w:i/>
      <w:iCs/>
      <w:color w:val="000000"/>
      <w:kern w:val="0"/>
      <w:lang w:val="en-US" w:eastAsia="ja-JP"/>
    </w:rPr>
  </w:style>
  <w:style w:type="character" w:customStyle="1" w:styleId="QuoteChar">
    <w:name w:val="Quote Char"/>
    <w:link w:val="Quote"/>
    <w:uiPriority w:val="29"/>
    <w:rsid w:val="0061678C"/>
    <w:rPr>
      <w:rFonts w:eastAsia="MS Mincho" w:cs="Arial"/>
      <w:i/>
      <w:iCs/>
      <w:color w:val="000000"/>
      <w:sz w:val="22"/>
      <w:szCs w:val="22"/>
      <w:lang w:val="en-US" w:eastAsia="ja-JP"/>
    </w:rPr>
  </w:style>
  <w:style w:type="paragraph" w:styleId="ListParagraph">
    <w:name w:val="List Paragraph"/>
    <w:basedOn w:val="Normal"/>
    <w:uiPriority w:val="34"/>
    <w:qFormat/>
    <w:rsid w:val="00952AC4"/>
    <w:pPr>
      <w:spacing w:line="276" w:lineRule="auto"/>
      <w:ind w:left="720"/>
      <w:contextualSpacing/>
    </w:pPr>
    <w:rPr>
      <w:rFonts w:ascii="Calibri" w:hAnsi="Calibri" w:cs="Times New Roman"/>
      <w:kern w:val="0"/>
    </w:rPr>
  </w:style>
  <w:style w:type="paragraph" w:customStyle="1" w:styleId="Paragraphnumbered">
    <w:name w:val="Paragraph (numbered)"/>
    <w:basedOn w:val="Normal"/>
    <w:uiPriority w:val="99"/>
    <w:rsid w:val="0065203F"/>
    <w:pPr>
      <w:numPr>
        <w:numId w:val="2"/>
      </w:numPr>
      <w:spacing w:before="240" w:after="0"/>
      <w:ind w:left="0" w:firstLine="0"/>
    </w:pPr>
    <w:rPr>
      <w:rFonts w:ascii="Times New Roman" w:eastAsiaTheme="minorHAnsi" w:hAnsi="Times New Roman" w:cs="Times New Roman"/>
      <w:kern w:val="0"/>
      <w:sz w:val="24"/>
      <w:szCs w:val="24"/>
      <w:lang w:eastAsia="en-AU"/>
    </w:rPr>
  </w:style>
  <w:style w:type="paragraph" w:customStyle="1" w:styleId="Background">
    <w:name w:val="Background"/>
    <w:basedOn w:val="Normal"/>
    <w:uiPriority w:val="99"/>
    <w:rsid w:val="0065203F"/>
    <w:pPr>
      <w:numPr>
        <w:ilvl w:val="12"/>
      </w:numPr>
      <w:spacing w:before="240" w:after="0" w:line="240" w:lineRule="auto"/>
    </w:pPr>
    <w:rPr>
      <w:rFonts w:ascii="Times New Roman" w:eastAsiaTheme="minorHAnsi" w:hAnsi="Times New Roman" w:cs="Times New Roman"/>
      <w:kern w:val="0"/>
      <w:sz w:val="24"/>
      <w:szCs w:val="24"/>
      <w:lang w:eastAsia="en-AU"/>
    </w:rPr>
  </w:style>
  <w:style w:type="character" w:customStyle="1" w:styleId="Heading4Char">
    <w:name w:val="Heading 4 Char"/>
    <w:basedOn w:val="DefaultParagraphFont"/>
    <w:link w:val="Heading4"/>
    <w:uiPriority w:val="9"/>
    <w:semiHidden/>
    <w:rsid w:val="00541ADE"/>
    <w:rPr>
      <w:rFonts w:asciiTheme="majorHAnsi" w:eastAsiaTheme="majorEastAsia" w:hAnsiTheme="majorHAnsi" w:cstheme="majorBidi"/>
      <w:b/>
      <w:bCs/>
      <w:i/>
      <w:iCs/>
      <w:color w:val="4F81BD" w:themeColor="accent1"/>
      <w:w w:val="105"/>
      <w:kern w:val="40"/>
      <w:sz w:val="22"/>
      <w:szCs w:val="22"/>
      <w:lang w:eastAsia="en-US"/>
    </w:rPr>
  </w:style>
  <w:style w:type="paragraph" w:styleId="Caption">
    <w:name w:val="caption"/>
    <w:basedOn w:val="Normal"/>
    <w:next w:val="Normal"/>
    <w:uiPriority w:val="35"/>
    <w:unhideWhenUsed/>
    <w:qFormat/>
    <w:rsid w:val="00531F6A"/>
    <w:pPr>
      <w:spacing w:line="240" w:lineRule="auto"/>
    </w:pPr>
    <w:rPr>
      <w:rFonts w:asciiTheme="minorHAnsi" w:hAnsiTheme="minorHAnsi"/>
      <w:b/>
      <w:bCs/>
      <w:color w:val="4F81BD" w:themeColor="accent1"/>
      <w:sz w:val="18"/>
      <w:szCs w:val="18"/>
    </w:rPr>
  </w:style>
  <w:style w:type="character" w:customStyle="1" w:styleId="CABNETParagraphAttChar">
    <w:name w:val="CABNET Paragraph Att Char"/>
    <w:basedOn w:val="DefaultParagraphFont"/>
    <w:link w:val="CABNETParagraphAtt"/>
    <w:locked/>
    <w:rsid w:val="00D26380"/>
    <w:rPr>
      <w:rFonts w:ascii="Verdana" w:eastAsia="Times New Roman" w:hAnsi="Verdana"/>
      <w:szCs w:val="24"/>
    </w:rPr>
  </w:style>
  <w:style w:type="paragraph" w:customStyle="1" w:styleId="CABNETParagraphAtt">
    <w:name w:val="CABNET Paragraph Att"/>
    <w:basedOn w:val="Normal"/>
    <w:link w:val="CABNETParagraphAttChar"/>
    <w:qFormat/>
    <w:rsid w:val="00D26380"/>
    <w:pPr>
      <w:spacing w:before="120" w:after="120" w:line="240" w:lineRule="auto"/>
    </w:pPr>
    <w:rPr>
      <w:rFonts w:ascii="Verdana" w:eastAsia="Times New Roman" w:hAnsi="Verdana" w:cs="Times New Roman"/>
      <w:kern w:val="0"/>
      <w:sz w:val="20"/>
      <w:szCs w:val="24"/>
      <w:lang w:eastAsia="en-AU"/>
    </w:rPr>
  </w:style>
  <w:style w:type="paragraph" w:styleId="NormalWeb">
    <w:name w:val="Normal (Web)"/>
    <w:basedOn w:val="Normal"/>
    <w:uiPriority w:val="99"/>
    <w:unhideWhenUsed/>
    <w:rsid w:val="006112EA"/>
    <w:pPr>
      <w:spacing w:before="100" w:beforeAutospacing="1" w:after="100" w:afterAutospacing="1" w:line="240" w:lineRule="auto"/>
    </w:pPr>
    <w:rPr>
      <w:rFonts w:ascii="Times New Roman" w:eastAsiaTheme="minorHAnsi" w:hAnsi="Times New Roman" w:cs="Times New Roman"/>
      <w:kern w:val="0"/>
      <w:sz w:val="24"/>
      <w:szCs w:val="24"/>
      <w:lang w:eastAsia="en-AU"/>
    </w:rPr>
  </w:style>
  <w:style w:type="paragraph" w:customStyle="1" w:styleId="Celltext">
    <w:name w:val="Cell text"/>
    <w:basedOn w:val="Normal"/>
    <w:rsid w:val="00E65C22"/>
    <w:pPr>
      <w:spacing w:before="120" w:after="0" w:line="240" w:lineRule="auto"/>
    </w:pPr>
    <w:rPr>
      <w:rFonts w:ascii="Times New Roman" w:eastAsia="Times New Roman" w:hAnsi="Times New Roman" w:cs="Times New Roman"/>
      <w:kern w:val="0"/>
      <w:sz w:val="24"/>
      <w:szCs w:val="20"/>
      <w:lang w:eastAsia="en-AU"/>
    </w:rPr>
  </w:style>
  <w:style w:type="paragraph" w:customStyle="1" w:styleId="CABHeading1">
    <w:name w:val="CAB Heading 1"/>
    <w:basedOn w:val="Normal"/>
    <w:uiPriority w:val="99"/>
    <w:qFormat/>
    <w:rsid w:val="008D6188"/>
    <w:pPr>
      <w:spacing w:before="120" w:after="120" w:line="240" w:lineRule="auto"/>
    </w:pPr>
    <w:rPr>
      <w:rFonts w:ascii="Verdana" w:eastAsia="Times New Roman" w:hAnsi="Verdana" w:cs="Times New Roman"/>
      <w:b/>
      <w:kern w:val="0"/>
      <w:szCs w:val="24"/>
    </w:rPr>
  </w:style>
  <w:style w:type="paragraph" w:styleId="EndnoteText">
    <w:name w:val="endnote text"/>
    <w:basedOn w:val="Normal"/>
    <w:link w:val="EndnoteTextChar"/>
    <w:uiPriority w:val="99"/>
    <w:semiHidden/>
    <w:unhideWhenUsed/>
    <w:rsid w:val="00AD24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4B2"/>
    <w:rPr>
      <w:rFonts w:ascii="Arial" w:hAnsi="Arial" w:cs="Arial"/>
      <w:w w:val="105"/>
      <w:kern w:val="40"/>
      <w:lang w:eastAsia="en-US"/>
    </w:rPr>
  </w:style>
  <w:style w:type="character" w:styleId="EndnoteReference">
    <w:name w:val="endnote reference"/>
    <w:basedOn w:val="DefaultParagraphFont"/>
    <w:uiPriority w:val="99"/>
    <w:semiHidden/>
    <w:unhideWhenUsed/>
    <w:rsid w:val="00AD24B2"/>
    <w:rPr>
      <w:vertAlign w:val="superscript"/>
    </w:rPr>
  </w:style>
  <w:style w:type="character" w:styleId="Emphasis">
    <w:name w:val="Emphasis"/>
    <w:basedOn w:val="DefaultParagraphFont"/>
    <w:uiPriority w:val="20"/>
    <w:qFormat/>
    <w:rsid w:val="007A4760"/>
    <w:rPr>
      <w:i/>
      <w:iCs/>
    </w:rPr>
  </w:style>
  <w:style w:type="paragraph" w:customStyle="1" w:styleId="Bullet1continued">
    <w:name w:val="Bullet 1 (continued)"/>
    <w:basedOn w:val="Normal"/>
    <w:next w:val="Normal"/>
    <w:rsid w:val="00925406"/>
    <w:pPr>
      <w:spacing w:before="120" w:after="0"/>
      <w:ind w:left="284"/>
    </w:pPr>
    <w:rPr>
      <w:rFonts w:ascii="Times New Roman" w:eastAsia="Times New Roman" w:hAnsi="Times New Roman" w:cs="Times New Roman"/>
      <w:kern w:val="0"/>
      <w:sz w:val="24"/>
      <w:szCs w:val="20"/>
      <w:lang w:eastAsia="en-AU"/>
    </w:rPr>
  </w:style>
  <w:style w:type="paragraph" w:customStyle="1" w:styleId="AGDbodytext">
    <w:name w:val="AGD body text"/>
    <w:basedOn w:val="Normal"/>
    <w:rsid w:val="00925406"/>
    <w:pPr>
      <w:spacing w:before="120" w:after="120" w:line="280" w:lineRule="atLeast"/>
    </w:pPr>
    <w:rPr>
      <w:rFonts w:ascii="Calibri" w:eastAsia="MS Mincho" w:hAnsi="Calibri" w:cs="Times New Roman"/>
      <w:kern w:val="0"/>
      <w:szCs w:val="20"/>
      <w:lang w:val="en-US"/>
    </w:rPr>
  </w:style>
  <w:style w:type="paragraph" w:customStyle="1" w:styleId="Default">
    <w:name w:val="Default"/>
    <w:rsid w:val="007269F3"/>
    <w:pPr>
      <w:autoSpaceDE w:val="0"/>
      <w:autoSpaceDN w:val="0"/>
      <w:adjustRightInd w:val="0"/>
    </w:pPr>
    <w:rPr>
      <w:rFonts w:eastAsiaTheme="minorEastAsia" w:cs="Calibri"/>
      <w:color w:val="000000"/>
      <w:sz w:val="24"/>
      <w:szCs w:val="24"/>
      <w:lang w:eastAsia="en-US"/>
    </w:rPr>
  </w:style>
  <w:style w:type="character" w:styleId="FollowedHyperlink">
    <w:name w:val="FollowedHyperlink"/>
    <w:basedOn w:val="DefaultParagraphFont"/>
    <w:uiPriority w:val="99"/>
    <w:semiHidden/>
    <w:unhideWhenUsed/>
    <w:rsid w:val="00CB0DDA"/>
    <w:rPr>
      <w:color w:val="800080" w:themeColor="followedHyperlink"/>
      <w:u w:val="single"/>
    </w:rPr>
  </w:style>
  <w:style w:type="character" w:customStyle="1" w:styleId="ScheduleNumberedParaChar">
    <w:name w:val="ScheduleNumberedPara Char"/>
    <w:link w:val="ScheduleNumberedPara"/>
    <w:locked/>
    <w:rsid w:val="001A010A"/>
    <w:rPr>
      <w:rFonts w:ascii="Corbel" w:eastAsia="Times New Roman" w:hAnsi="Corbel"/>
      <w:color w:val="000000"/>
      <w:sz w:val="23"/>
    </w:rPr>
  </w:style>
  <w:style w:type="paragraph" w:customStyle="1" w:styleId="ScheduleNumberedPara">
    <w:name w:val="ScheduleNumberedPara"/>
    <w:basedOn w:val="Normal"/>
    <w:link w:val="ScheduleNumberedParaChar"/>
    <w:rsid w:val="001A010A"/>
    <w:pPr>
      <w:tabs>
        <w:tab w:val="num" w:pos="567"/>
        <w:tab w:val="num" w:pos="1134"/>
        <w:tab w:val="num" w:pos="1440"/>
        <w:tab w:val="num" w:pos="1701"/>
        <w:tab w:val="num" w:pos="2268"/>
      </w:tabs>
      <w:spacing w:after="240" w:line="260" w:lineRule="exact"/>
      <w:ind w:left="1440" w:hanging="360"/>
      <w:jc w:val="both"/>
    </w:pPr>
    <w:rPr>
      <w:rFonts w:ascii="Corbel" w:eastAsia="Times New Roman" w:hAnsi="Corbel" w:cs="Times New Roman"/>
      <w:color w:val="000000"/>
      <w:kern w:val="0"/>
      <w:sz w:val="23"/>
      <w:szCs w:val="20"/>
      <w:lang w:eastAsia="en-AU"/>
    </w:rPr>
  </w:style>
  <w:style w:type="paragraph" w:customStyle="1" w:styleId="Bullets">
    <w:name w:val="Bullets"/>
    <w:basedOn w:val="Normal"/>
    <w:qFormat/>
    <w:rsid w:val="002017C1"/>
    <w:pPr>
      <w:numPr>
        <w:numId w:val="15"/>
      </w:numPr>
      <w:tabs>
        <w:tab w:val="left" w:pos="567"/>
      </w:tabs>
      <w:spacing w:after="0" w:line="240" w:lineRule="auto"/>
      <w:ind w:left="567" w:hanging="567"/>
    </w:pPr>
    <w:rPr>
      <w:rFonts w:ascii="Calibri" w:hAnsi="Calibri" w:cs="Times New Roman"/>
      <w:kern w:val="0"/>
    </w:rPr>
  </w:style>
  <w:style w:type="paragraph" w:customStyle="1" w:styleId="Bullet">
    <w:name w:val="Bullet"/>
    <w:basedOn w:val="Normal"/>
    <w:rsid w:val="001A2DF8"/>
    <w:pPr>
      <w:numPr>
        <w:numId w:val="16"/>
      </w:numPr>
      <w:tabs>
        <w:tab w:val="left" w:pos="567"/>
      </w:tabs>
      <w:spacing w:after="0" w:line="240" w:lineRule="auto"/>
      <w:ind w:left="567" w:hanging="567"/>
    </w:pPr>
    <w:rPr>
      <w:rFonts w:ascii="Calibri" w:eastAsia="Times New Roman" w:hAnsi="Calibri" w:cs="Times New Roman"/>
      <w:color w:val="000000"/>
      <w:kern w:val="0"/>
      <w:szCs w:val="20"/>
    </w:rPr>
  </w:style>
  <w:style w:type="paragraph" w:customStyle="1" w:styleId="Dash">
    <w:name w:val="Dash"/>
    <w:basedOn w:val="Normal"/>
    <w:rsid w:val="001A2DF8"/>
    <w:pPr>
      <w:numPr>
        <w:ilvl w:val="1"/>
        <w:numId w:val="16"/>
      </w:numPr>
      <w:tabs>
        <w:tab w:val="left" w:pos="576"/>
      </w:tabs>
      <w:spacing w:after="60" w:line="274" w:lineRule="atLeast"/>
      <w:ind w:left="576" w:hanging="288"/>
    </w:pPr>
    <w:rPr>
      <w:rFonts w:ascii="Georgia" w:eastAsia="Times New Roman" w:hAnsi="Georgia" w:cs="Times New Roman"/>
      <w:color w:val="000000"/>
      <w:kern w:val="0"/>
      <w:sz w:val="18"/>
      <w:szCs w:val="20"/>
    </w:rPr>
  </w:style>
  <w:style w:type="character" w:customStyle="1" w:styleId="bodyChar">
    <w:name w:val="body Char"/>
    <w:basedOn w:val="DefaultParagraphFont"/>
    <w:link w:val="body"/>
    <w:uiPriority w:val="99"/>
    <w:locked/>
    <w:rsid w:val="008063DA"/>
    <w:rPr>
      <w:rFonts w:cs="Calibri"/>
    </w:rPr>
  </w:style>
  <w:style w:type="paragraph" w:customStyle="1" w:styleId="body">
    <w:name w:val="body"/>
    <w:basedOn w:val="Normal"/>
    <w:link w:val="bodyChar"/>
    <w:uiPriority w:val="99"/>
    <w:rsid w:val="008063DA"/>
    <w:pPr>
      <w:spacing w:after="0" w:line="240" w:lineRule="auto"/>
    </w:pPr>
    <w:rPr>
      <w:rFonts w:ascii="Calibri" w:hAnsi="Calibri" w:cs="Calibri"/>
      <w:kern w:val="0"/>
      <w:sz w:val="20"/>
      <w:szCs w:val="20"/>
      <w:lang w:eastAsia="en-AU"/>
    </w:rPr>
  </w:style>
  <w:style w:type="character" w:customStyle="1" w:styleId="hps-small">
    <w:name w:val="hps-small"/>
    <w:basedOn w:val="DefaultParagraphFont"/>
    <w:rsid w:val="008063DA"/>
  </w:style>
  <w:style w:type="character" w:customStyle="1" w:styleId="st">
    <w:name w:val="st"/>
    <w:basedOn w:val="DefaultParagraphFont"/>
    <w:rsid w:val="008C4319"/>
  </w:style>
  <w:style w:type="character" w:customStyle="1" w:styleId="CABNETParagraphChar">
    <w:name w:val="CABNET Paragraph Char"/>
    <w:basedOn w:val="DefaultParagraphFont"/>
    <w:link w:val="CABNETParagraph"/>
    <w:locked/>
    <w:rsid w:val="0058186D"/>
    <w:rPr>
      <w:rFonts w:ascii="Verdana" w:hAnsi="Verdana"/>
    </w:rPr>
  </w:style>
  <w:style w:type="paragraph" w:customStyle="1" w:styleId="CABNETParagraph">
    <w:name w:val="CABNET Paragraph"/>
    <w:basedOn w:val="Normal"/>
    <w:link w:val="CABNETParagraphChar"/>
    <w:qFormat/>
    <w:rsid w:val="0058186D"/>
    <w:pPr>
      <w:spacing w:before="120" w:after="120" w:line="240" w:lineRule="auto"/>
    </w:pPr>
    <w:rPr>
      <w:rFonts w:ascii="Verdana" w:hAnsi="Verdana" w:cs="Times New Roman"/>
      <w:kern w:val="0"/>
      <w:sz w:val="20"/>
      <w:szCs w:val="20"/>
      <w:lang w:eastAsia="en-AU"/>
    </w:rPr>
  </w:style>
  <w:style w:type="paragraph" w:customStyle="1" w:styleId="CABBackGround">
    <w:name w:val="CABBackGround"/>
    <w:basedOn w:val="Normal"/>
    <w:link w:val="CABBackGroundChar1"/>
    <w:rsid w:val="007F7BBE"/>
    <w:pPr>
      <w:spacing w:after="0"/>
    </w:pPr>
    <w:rPr>
      <w:rFonts w:ascii="Times New Roman" w:eastAsia="Times New Roman" w:hAnsi="Times New Roman" w:cs="Times New Roman"/>
      <w:kern w:val="0"/>
      <w:sz w:val="24"/>
      <w:szCs w:val="20"/>
      <w:lang w:eastAsia="en-AU"/>
    </w:rPr>
  </w:style>
  <w:style w:type="character" w:customStyle="1" w:styleId="CABBackGroundChar1">
    <w:name w:val="CABBackGround Char1"/>
    <w:link w:val="CABBackGround"/>
    <w:rsid w:val="007F7BBE"/>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00693">
      <w:bodyDiv w:val="1"/>
      <w:marLeft w:val="0"/>
      <w:marRight w:val="0"/>
      <w:marTop w:val="0"/>
      <w:marBottom w:val="0"/>
      <w:divBdr>
        <w:top w:val="none" w:sz="0" w:space="0" w:color="auto"/>
        <w:left w:val="none" w:sz="0" w:space="0" w:color="auto"/>
        <w:bottom w:val="none" w:sz="0" w:space="0" w:color="auto"/>
        <w:right w:val="none" w:sz="0" w:space="0" w:color="auto"/>
      </w:divBdr>
      <w:divsChild>
        <w:div w:id="179973186">
          <w:marLeft w:val="0"/>
          <w:marRight w:val="0"/>
          <w:marTop w:val="0"/>
          <w:marBottom w:val="0"/>
          <w:divBdr>
            <w:top w:val="none" w:sz="0" w:space="0" w:color="auto"/>
            <w:left w:val="none" w:sz="0" w:space="0" w:color="auto"/>
            <w:bottom w:val="none" w:sz="0" w:space="0" w:color="auto"/>
            <w:right w:val="none" w:sz="0" w:space="0" w:color="auto"/>
          </w:divBdr>
          <w:divsChild>
            <w:div w:id="1141189031">
              <w:marLeft w:val="0"/>
              <w:marRight w:val="0"/>
              <w:marTop w:val="0"/>
              <w:marBottom w:val="0"/>
              <w:divBdr>
                <w:top w:val="none" w:sz="0" w:space="0" w:color="auto"/>
                <w:left w:val="none" w:sz="0" w:space="0" w:color="auto"/>
                <w:bottom w:val="none" w:sz="0" w:space="0" w:color="auto"/>
                <w:right w:val="none" w:sz="0" w:space="0" w:color="auto"/>
              </w:divBdr>
              <w:divsChild>
                <w:div w:id="1928616104">
                  <w:marLeft w:val="0"/>
                  <w:marRight w:val="0"/>
                  <w:marTop w:val="0"/>
                  <w:marBottom w:val="0"/>
                  <w:divBdr>
                    <w:top w:val="none" w:sz="0" w:space="0" w:color="auto"/>
                    <w:left w:val="none" w:sz="0" w:space="0" w:color="auto"/>
                    <w:bottom w:val="none" w:sz="0" w:space="0" w:color="auto"/>
                    <w:right w:val="none" w:sz="0" w:space="0" w:color="auto"/>
                  </w:divBdr>
                  <w:divsChild>
                    <w:div w:id="871696981">
                      <w:marLeft w:val="0"/>
                      <w:marRight w:val="0"/>
                      <w:marTop w:val="0"/>
                      <w:marBottom w:val="0"/>
                      <w:divBdr>
                        <w:top w:val="none" w:sz="0" w:space="0" w:color="auto"/>
                        <w:left w:val="none" w:sz="0" w:space="0" w:color="auto"/>
                        <w:bottom w:val="none" w:sz="0" w:space="0" w:color="auto"/>
                        <w:right w:val="none" w:sz="0" w:space="0" w:color="auto"/>
                      </w:divBdr>
                      <w:divsChild>
                        <w:div w:id="628976052">
                          <w:marLeft w:val="0"/>
                          <w:marRight w:val="0"/>
                          <w:marTop w:val="0"/>
                          <w:marBottom w:val="0"/>
                          <w:divBdr>
                            <w:top w:val="none" w:sz="0" w:space="0" w:color="auto"/>
                            <w:left w:val="none" w:sz="0" w:space="0" w:color="auto"/>
                            <w:bottom w:val="none" w:sz="0" w:space="0" w:color="auto"/>
                            <w:right w:val="none" w:sz="0" w:space="0" w:color="auto"/>
                          </w:divBdr>
                          <w:divsChild>
                            <w:div w:id="699207889">
                              <w:marLeft w:val="0"/>
                              <w:marRight w:val="0"/>
                              <w:marTop w:val="0"/>
                              <w:marBottom w:val="0"/>
                              <w:divBdr>
                                <w:top w:val="none" w:sz="0" w:space="0" w:color="auto"/>
                                <w:left w:val="none" w:sz="0" w:space="0" w:color="auto"/>
                                <w:bottom w:val="none" w:sz="0" w:space="0" w:color="auto"/>
                                <w:right w:val="none" w:sz="0" w:space="0" w:color="auto"/>
                              </w:divBdr>
                              <w:divsChild>
                                <w:div w:id="110781188">
                                  <w:marLeft w:val="0"/>
                                  <w:marRight w:val="0"/>
                                  <w:marTop w:val="0"/>
                                  <w:marBottom w:val="0"/>
                                  <w:divBdr>
                                    <w:top w:val="none" w:sz="0" w:space="0" w:color="auto"/>
                                    <w:left w:val="none" w:sz="0" w:space="0" w:color="auto"/>
                                    <w:bottom w:val="none" w:sz="0" w:space="0" w:color="auto"/>
                                    <w:right w:val="none" w:sz="0" w:space="0" w:color="auto"/>
                                  </w:divBdr>
                                  <w:divsChild>
                                    <w:div w:id="930238033">
                                      <w:marLeft w:val="0"/>
                                      <w:marRight w:val="0"/>
                                      <w:marTop w:val="0"/>
                                      <w:marBottom w:val="0"/>
                                      <w:divBdr>
                                        <w:top w:val="none" w:sz="0" w:space="0" w:color="auto"/>
                                        <w:left w:val="none" w:sz="0" w:space="0" w:color="auto"/>
                                        <w:bottom w:val="none" w:sz="0" w:space="0" w:color="auto"/>
                                        <w:right w:val="none" w:sz="0" w:space="0" w:color="auto"/>
                                      </w:divBdr>
                                      <w:divsChild>
                                        <w:div w:id="860706273">
                                          <w:marLeft w:val="0"/>
                                          <w:marRight w:val="0"/>
                                          <w:marTop w:val="0"/>
                                          <w:marBottom w:val="0"/>
                                          <w:divBdr>
                                            <w:top w:val="none" w:sz="0" w:space="0" w:color="auto"/>
                                            <w:left w:val="none" w:sz="0" w:space="0" w:color="auto"/>
                                            <w:bottom w:val="none" w:sz="0" w:space="0" w:color="auto"/>
                                            <w:right w:val="none" w:sz="0" w:space="0" w:color="auto"/>
                                          </w:divBdr>
                                          <w:divsChild>
                                            <w:div w:id="2112974040">
                                              <w:marLeft w:val="0"/>
                                              <w:marRight w:val="0"/>
                                              <w:marTop w:val="0"/>
                                              <w:marBottom w:val="0"/>
                                              <w:divBdr>
                                                <w:top w:val="none" w:sz="0" w:space="0" w:color="auto"/>
                                                <w:left w:val="none" w:sz="0" w:space="0" w:color="auto"/>
                                                <w:bottom w:val="none" w:sz="0" w:space="0" w:color="auto"/>
                                                <w:right w:val="none" w:sz="0" w:space="0" w:color="auto"/>
                                              </w:divBdr>
                                              <w:divsChild>
                                                <w:div w:id="81924360">
                                                  <w:marLeft w:val="0"/>
                                                  <w:marRight w:val="0"/>
                                                  <w:marTop w:val="0"/>
                                                  <w:marBottom w:val="0"/>
                                                  <w:divBdr>
                                                    <w:top w:val="none" w:sz="0" w:space="0" w:color="auto"/>
                                                    <w:left w:val="none" w:sz="0" w:space="0" w:color="auto"/>
                                                    <w:bottom w:val="none" w:sz="0" w:space="0" w:color="auto"/>
                                                    <w:right w:val="none" w:sz="0" w:space="0" w:color="auto"/>
                                                  </w:divBdr>
                                                  <w:divsChild>
                                                    <w:div w:id="759059085">
                                                      <w:marLeft w:val="-225"/>
                                                      <w:marRight w:val="-225"/>
                                                      <w:marTop w:val="0"/>
                                                      <w:marBottom w:val="0"/>
                                                      <w:divBdr>
                                                        <w:top w:val="none" w:sz="0" w:space="0" w:color="auto"/>
                                                        <w:left w:val="none" w:sz="0" w:space="0" w:color="auto"/>
                                                        <w:bottom w:val="none" w:sz="0" w:space="0" w:color="auto"/>
                                                        <w:right w:val="none" w:sz="0" w:space="0" w:color="auto"/>
                                                      </w:divBdr>
                                                      <w:divsChild>
                                                        <w:div w:id="313071692">
                                                          <w:marLeft w:val="0"/>
                                                          <w:marRight w:val="0"/>
                                                          <w:marTop w:val="0"/>
                                                          <w:marBottom w:val="0"/>
                                                          <w:divBdr>
                                                            <w:top w:val="none" w:sz="0" w:space="0" w:color="auto"/>
                                                            <w:left w:val="none" w:sz="0" w:space="0" w:color="auto"/>
                                                            <w:bottom w:val="none" w:sz="0" w:space="0" w:color="auto"/>
                                                            <w:right w:val="none" w:sz="0" w:space="0" w:color="auto"/>
                                                          </w:divBdr>
                                                          <w:divsChild>
                                                            <w:div w:id="881089833">
                                                              <w:marLeft w:val="0"/>
                                                              <w:marRight w:val="0"/>
                                                              <w:marTop w:val="0"/>
                                                              <w:marBottom w:val="0"/>
                                                              <w:divBdr>
                                                                <w:top w:val="none" w:sz="0" w:space="0" w:color="auto"/>
                                                                <w:left w:val="none" w:sz="0" w:space="0" w:color="auto"/>
                                                                <w:bottom w:val="none" w:sz="0" w:space="0" w:color="auto"/>
                                                                <w:right w:val="none" w:sz="0" w:space="0" w:color="auto"/>
                                                              </w:divBdr>
                                                              <w:divsChild>
                                                                <w:div w:id="796993310">
                                                                  <w:marLeft w:val="0"/>
                                                                  <w:marRight w:val="0"/>
                                                                  <w:marTop w:val="0"/>
                                                                  <w:marBottom w:val="0"/>
                                                                  <w:divBdr>
                                                                    <w:top w:val="none" w:sz="0" w:space="0" w:color="auto"/>
                                                                    <w:left w:val="none" w:sz="0" w:space="0" w:color="auto"/>
                                                                    <w:bottom w:val="none" w:sz="0" w:space="0" w:color="auto"/>
                                                                    <w:right w:val="none" w:sz="0" w:space="0" w:color="auto"/>
                                                                  </w:divBdr>
                                                                  <w:divsChild>
                                                                    <w:div w:id="1252927388">
                                                                      <w:marLeft w:val="0"/>
                                                                      <w:marRight w:val="0"/>
                                                                      <w:marTop w:val="0"/>
                                                                      <w:marBottom w:val="0"/>
                                                                      <w:divBdr>
                                                                        <w:top w:val="none" w:sz="0" w:space="0" w:color="auto"/>
                                                                        <w:left w:val="none" w:sz="0" w:space="0" w:color="auto"/>
                                                                        <w:bottom w:val="none" w:sz="0" w:space="0" w:color="auto"/>
                                                                        <w:right w:val="none" w:sz="0" w:space="0" w:color="auto"/>
                                                                      </w:divBdr>
                                                                      <w:divsChild>
                                                                        <w:div w:id="1404447132">
                                                                          <w:marLeft w:val="0"/>
                                                                          <w:marRight w:val="0"/>
                                                                          <w:marTop w:val="0"/>
                                                                          <w:marBottom w:val="0"/>
                                                                          <w:divBdr>
                                                                            <w:top w:val="none" w:sz="0" w:space="0" w:color="auto"/>
                                                                            <w:left w:val="none" w:sz="0" w:space="0" w:color="auto"/>
                                                                            <w:bottom w:val="none" w:sz="0" w:space="0" w:color="auto"/>
                                                                            <w:right w:val="none" w:sz="0" w:space="0" w:color="auto"/>
                                                                          </w:divBdr>
                                                                          <w:divsChild>
                                                                            <w:div w:id="1312059869">
                                                                              <w:marLeft w:val="0"/>
                                                                              <w:marRight w:val="0"/>
                                                                              <w:marTop w:val="0"/>
                                                                              <w:marBottom w:val="0"/>
                                                                              <w:divBdr>
                                                                                <w:top w:val="none" w:sz="0" w:space="0" w:color="auto"/>
                                                                                <w:left w:val="none" w:sz="0" w:space="0" w:color="auto"/>
                                                                                <w:bottom w:val="none" w:sz="0" w:space="0" w:color="auto"/>
                                                                                <w:right w:val="none" w:sz="0" w:space="0" w:color="auto"/>
                                                                              </w:divBdr>
                                                                              <w:divsChild>
                                                                                <w:div w:id="11963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74739">
      <w:bodyDiv w:val="1"/>
      <w:marLeft w:val="0"/>
      <w:marRight w:val="0"/>
      <w:marTop w:val="0"/>
      <w:marBottom w:val="0"/>
      <w:divBdr>
        <w:top w:val="none" w:sz="0" w:space="0" w:color="auto"/>
        <w:left w:val="none" w:sz="0" w:space="0" w:color="auto"/>
        <w:bottom w:val="none" w:sz="0" w:space="0" w:color="auto"/>
        <w:right w:val="none" w:sz="0" w:space="0" w:color="auto"/>
      </w:divBdr>
    </w:div>
    <w:div w:id="239608485">
      <w:bodyDiv w:val="1"/>
      <w:marLeft w:val="0"/>
      <w:marRight w:val="0"/>
      <w:marTop w:val="0"/>
      <w:marBottom w:val="0"/>
      <w:divBdr>
        <w:top w:val="none" w:sz="0" w:space="0" w:color="auto"/>
        <w:left w:val="none" w:sz="0" w:space="0" w:color="auto"/>
        <w:bottom w:val="none" w:sz="0" w:space="0" w:color="auto"/>
        <w:right w:val="none" w:sz="0" w:space="0" w:color="auto"/>
      </w:divBdr>
    </w:div>
    <w:div w:id="244918025">
      <w:bodyDiv w:val="1"/>
      <w:marLeft w:val="0"/>
      <w:marRight w:val="0"/>
      <w:marTop w:val="0"/>
      <w:marBottom w:val="0"/>
      <w:divBdr>
        <w:top w:val="none" w:sz="0" w:space="0" w:color="auto"/>
        <w:left w:val="none" w:sz="0" w:space="0" w:color="auto"/>
        <w:bottom w:val="none" w:sz="0" w:space="0" w:color="auto"/>
        <w:right w:val="none" w:sz="0" w:space="0" w:color="auto"/>
      </w:divBdr>
    </w:div>
    <w:div w:id="255017952">
      <w:bodyDiv w:val="1"/>
      <w:marLeft w:val="0"/>
      <w:marRight w:val="0"/>
      <w:marTop w:val="0"/>
      <w:marBottom w:val="0"/>
      <w:divBdr>
        <w:top w:val="none" w:sz="0" w:space="0" w:color="auto"/>
        <w:left w:val="none" w:sz="0" w:space="0" w:color="auto"/>
        <w:bottom w:val="none" w:sz="0" w:space="0" w:color="auto"/>
        <w:right w:val="none" w:sz="0" w:space="0" w:color="auto"/>
      </w:divBdr>
    </w:div>
    <w:div w:id="272517049">
      <w:bodyDiv w:val="1"/>
      <w:marLeft w:val="0"/>
      <w:marRight w:val="0"/>
      <w:marTop w:val="0"/>
      <w:marBottom w:val="0"/>
      <w:divBdr>
        <w:top w:val="none" w:sz="0" w:space="0" w:color="auto"/>
        <w:left w:val="none" w:sz="0" w:space="0" w:color="auto"/>
        <w:bottom w:val="none" w:sz="0" w:space="0" w:color="auto"/>
        <w:right w:val="none" w:sz="0" w:space="0" w:color="auto"/>
      </w:divBdr>
    </w:div>
    <w:div w:id="347291964">
      <w:bodyDiv w:val="1"/>
      <w:marLeft w:val="0"/>
      <w:marRight w:val="0"/>
      <w:marTop w:val="0"/>
      <w:marBottom w:val="0"/>
      <w:divBdr>
        <w:top w:val="none" w:sz="0" w:space="0" w:color="auto"/>
        <w:left w:val="none" w:sz="0" w:space="0" w:color="auto"/>
        <w:bottom w:val="none" w:sz="0" w:space="0" w:color="auto"/>
        <w:right w:val="none" w:sz="0" w:space="0" w:color="auto"/>
      </w:divBdr>
    </w:div>
    <w:div w:id="350179642">
      <w:bodyDiv w:val="1"/>
      <w:marLeft w:val="0"/>
      <w:marRight w:val="0"/>
      <w:marTop w:val="0"/>
      <w:marBottom w:val="0"/>
      <w:divBdr>
        <w:top w:val="none" w:sz="0" w:space="0" w:color="auto"/>
        <w:left w:val="none" w:sz="0" w:space="0" w:color="auto"/>
        <w:bottom w:val="none" w:sz="0" w:space="0" w:color="auto"/>
        <w:right w:val="none" w:sz="0" w:space="0" w:color="auto"/>
      </w:divBdr>
    </w:div>
    <w:div w:id="375541802">
      <w:bodyDiv w:val="1"/>
      <w:marLeft w:val="0"/>
      <w:marRight w:val="0"/>
      <w:marTop w:val="0"/>
      <w:marBottom w:val="0"/>
      <w:divBdr>
        <w:top w:val="none" w:sz="0" w:space="0" w:color="auto"/>
        <w:left w:val="none" w:sz="0" w:space="0" w:color="auto"/>
        <w:bottom w:val="none" w:sz="0" w:space="0" w:color="auto"/>
        <w:right w:val="none" w:sz="0" w:space="0" w:color="auto"/>
      </w:divBdr>
    </w:div>
    <w:div w:id="388655281">
      <w:bodyDiv w:val="1"/>
      <w:marLeft w:val="0"/>
      <w:marRight w:val="0"/>
      <w:marTop w:val="0"/>
      <w:marBottom w:val="0"/>
      <w:divBdr>
        <w:top w:val="none" w:sz="0" w:space="0" w:color="auto"/>
        <w:left w:val="none" w:sz="0" w:space="0" w:color="auto"/>
        <w:bottom w:val="none" w:sz="0" w:space="0" w:color="auto"/>
        <w:right w:val="none" w:sz="0" w:space="0" w:color="auto"/>
      </w:divBdr>
    </w:div>
    <w:div w:id="391583939">
      <w:bodyDiv w:val="1"/>
      <w:marLeft w:val="0"/>
      <w:marRight w:val="0"/>
      <w:marTop w:val="0"/>
      <w:marBottom w:val="0"/>
      <w:divBdr>
        <w:top w:val="none" w:sz="0" w:space="0" w:color="auto"/>
        <w:left w:val="none" w:sz="0" w:space="0" w:color="auto"/>
        <w:bottom w:val="none" w:sz="0" w:space="0" w:color="auto"/>
        <w:right w:val="none" w:sz="0" w:space="0" w:color="auto"/>
      </w:divBdr>
    </w:div>
    <w:div w:id="488786307">
      <w:bodyDiv w:val="1"/>
      <w:marLeft w:val="0"/>
      <w:marRight w:val="0"/>
      <w:marTop w:val="0"/>
      <w:marBottom w:val="0"/>
      <w:divBdr>
        <w:top w:val="none" w:sz="0" w:space="0" w:color="auto"/>
        <w:left w:val="none" w:sz="0" w:space="0" w:color="auto"/>
        <w:bottom w:val="none" w:sz="0" w:space="0" w:color="auto"/>
        <w:right w:val="none" w:sz="0" w:space="0" w:color="auto"/>
      </w:divBdr>
    </w:div>
    <w:div w:id="524559624">
      <w:bodyDiv w:val="1"/>
      <w:marLeft w:val="0"/>
      <w:marRight w:val="0"/>
      <w:marTop w:val="0"/>
      <w:marBottom w:val="0"/>
      <w:divBdr>
        <w:top w:val="none" w:sz="0" w:space="0" w:color="auto"/>
        <w:left w:val="none" w:sz="0" w:space="0" w:color="auto"/>
        <w:bottom w:val="none" w:sz="0" w:space="0" w:color="auto"/>
        <w:right w:val="none" w:sz="0" w:space="0" w:color="auto"/>
      </w:divBdr>
    </w:div>
    <w:div w:id="565846052">
      <w:bodyDiv w:val="1"/>
      <w:marLeft w:val="0"/>
      <w:marRight w:val="0"/>
      <w:marTop w:val="0"/>
      <w:marBottom w:val="0"/>
      <w:divBdr>
        <w:top w:val="none" w:sz="0" w:space="0" w:color="auto"/>
        <w:left w:val="none" w:sz="0" w:space="0" w:color="auto"/>
        <w:bottom w:val="none" w:sz="0" w:space="0" w:color="auto"/>
        <w:right w:val="none" w:sz="0" w:space="0" w:color="auto"/>
      </w:divBdr>
    </w:div>
    <w:div w:id="590818111">
      <w:bodyDiv w:val="1"/>
      <w:marLeft w:val="0"/>
      <w:marRight w:val="0"/>
      <w:marTop w:val="0"/>
      <w:marBottom w:val="0"/>
      <w:divBdr>
        <w:top w:val="none" w:sz="0" w:space="0" w:color="auto"/>
        <w:left w:val="none" w:sz="0" w:space="0" w:color="auto"/>
        <w:bottom w:val="none" w:sz="0" w:space="0" w:color="auto"/>
        <w:right w:val="none" w:sz="0" w:space="0" w:color="auto"/>
      </w:divBdr>
      <w:divsChild>
        <w:div w:id="1816527453">
          <w:marLeft w:val="0"/>
          <w:marRight w:val="0"/>
          <w:marTop w:val="0"/>
          <w:marBottom w:val="0"/>
          <w:divBdr>
            <w:top w:val="none" w:sz="0" w:space="0" w:color="auto"/>
            <w:left w:val="none" w:sz="0" w:space="0" w:color="auto"/>
            <w:bottom w:val="none" w:sz="0" w:space="0" w:color="auto"/>
            <w:right w:val="none" w:sz="0" w:space="0" w:color="auto"/>
          </w:divBdr>
          <w:divsChild>
            <w:div w:id="305277744">
              <w:marLeft w:val="0"/>
              <w:marRight w:val="0"/>
              <w:marTop w:val="0"/>
              <w:marBottom w:val="0"/>
              <w:divBdr>
                <w:top w:val="none" w:sz="0" w:space="0" w:color="auto"/>
                <w:left w:val="none" w:sz="0" w:space="0" w:color="auto"/>
                <w:bottom w:val="none" w:sz="0" w:space="0" w:color="auto"/>
                <w:right w:val="none" w:sz="0" w:space="0" w:color="auto"/>
              </w:divBdr>
              <w:divsChild>
                <w:div w:id="603457330">
                  <w:marLeft w:val="0"/>
                  <w:marRight w:val="0"/>
                  <w:marTop w:val="0"/>
                  <w:marBottom w:val="0"/>
                  <w:divBdr>
                    <w:top w:val="none" w:sz="0" w:space="0" w:color="auto"/>
                    <w:left w:val="none" w:sz="0" w:space="0" w:color="auto"/>
                    <w:bottom w:val="none" w:sz="0" w:space="0" w:color="auto"/>
                    <w:right w:val="none" w:sz="0" w:space="0" w:color="auto"/>
                  </w:divBdr>
                  <w:divsChild>
                    <w:div w:id="1794321068">
                      <w:marLeft w:val="0"/>
                      <w:marRight w:val="0"/>
                      <w:marTop w:val="0"/>
                      <w:marBottom w:val="0"/>
                      <w:divBdr>
                        <w:top w:val="none" w:sz="0" w:space="0" w:color="auto"/>
                        <w:left w:val="none" w:sz="0" w:space="0" w:color="auto"/>
                        <w:bottom w:val="none" w:sz="0" w:space="0" w:color="auto"/>
                        <w:right w:val="none" w:sz="0" w:space="0" w:color="auto"/>
                      </w:divBdr>
                      <w:divsChild>
                        <w:div w:id="1732464815">
                          <w:marLeft w:val="2325"/>
                          <w:marRight w:val="0"/>
                          <w:marTop w:val="0"/>
                          <w:marBottom w:val="0"/>
                          <w:divBdr>
                            <w:top w:val="none" w:sz="0" w:space="0" w:color="auto"/>
                            <w:left w:val="none" w:sz="0" w:space="0" w:color="auto"/>
                            <w:bottom w:val="none" w:sz="0" w:space="0" w:color="auto"/>
                            <w:right w:val="none" w:sz="0" w:space="0" w:color="auto"/>
                          </w:divBdr>
                          <w:divsChild>
                            <w:div w:id="1332291689">
                              <w:marLeft w:val="0"/>
                              <w:marRight w:val="0"/>
                              <w:marTop w:val="0"/>
                              <w:marBottom w:val="360"/>
                              <w:divBdr>
                                <w:top w:val="none" w:sz="0" w:space="0" w:color="auto"/>
                                <w:left w:val="none" w:sz="0" w:space="0" w:color="auto"/>
                                <w:bottom w:val="none" w:sz="0" w:space="0" w:color="auto"/>
                                <w:right w:val="none" w:sz="0" w:space="0" w:color="auto"/>
                              </w:divBdr>
                              <w:divsChild>
                                <w:div w:id="1569001118">
                                  <w:marLeft w:val="0"/>
                                  <w:marRight w:val="0"/>
                                  <w:marTop w:val="0"/>
                                  <w:marBottom w:val="0"/>
                                  <w:divBdr>
                                    <w:top w:val="none" w:sz="0" w:space="0" w:color="auto"/>
                                    <w:left w:val="none" w:sz="0" w:space="0" w:color="auto"/>
                                    <w:bottom w:val="none" w:sz="0" w:space="0" w:color="auto"/>
                                    <w:right w:val="none" w:sz="0" w:space="0" w:color="auto"/>
                                  </w:divBdr>
                                  <w:divsChild>
                                    <w:div w:id="196508389">
                                      <w:marLeft w:val="0"/>
                                      <w:marRight w:val="0"/>
                                      <w:marTop w:val="0"/>
                                      <w:marBottom w:val="0"/>
                                      <w:divBdr>
                                        <w:top w:val="none" w:sz="0" w:space="0" w:color="auto"/>
                                        <w:left w:val="none" w:sz="0" w:space="0" w:color="auto"/>
                                        <w:bottom w:val="none" w:sz="0" w:space="0" w:color="auto"/>
                                        <w:right w:val="none" w:sz="0" w:space="0" w:color="auto"/>
                                      </w:divBdr>
                                      <w:divsChild>
                                        <w:div w:id="466315198">
                                          <w:marLeft w:val="0"/>
                                          <w:marRight w:val="0"/>
                                          <w:marTop w:val="0"/>
                                          <w:marBottom w:val="0"/>
                                          <w:divBdr>
                                            <w:top w:val="none" w:sz="0" w:space="0" w:color="auto"/>
                                            <w:left w:val="none" w:sz="0" w:space="0" w:color="auto"/>
                                            <w:bottom w:val="none" w:sz="0" w:space="0" w:color="auto"/>
                                            <w:right w:val="none" w:sz="0" w:space="0" w:color="auto"/>
                                          </w:divBdr>
                                          <w:divsChild>
                                            <w:div w:id="30153811">
                                              <w:marLeft w:val="0"/>
                                              <w:marRight w:val="0"/>
                                              <w:marTop w:val="0"/>
                                              <w:marBottom w:val="0"/>
                                              <w:divBdr>
                                                <w:top w:val="none" w:sz="0" w:space="0" w:color="auto"/>
                                                <w:left w:val="none" w:sz="0" w:space="0" w:color="auto"/>
                                                <w:bottom w:val="none" w:sz="0" w:space="0" w:color="auto"/>
                                                <w:right w:val="none" w:sz="0" w:space="0" w:color="auto"/>
                                              </w:divBdr>
                                              <w:divsChild>
                                                <w:div w:id="168474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736310">
      <w:bodyDiv w:val="1"/>
      <w:marLeft w:val="0"/>
      <w:marRight w:val="0"/>
      <w:marTop w:val="0"/>
      <w:marBottom w:val="0"/>
      <w:divBdr>
        <w:top w:val="none" w:sz="0" w:space="0" w:color="auto"/>
        <w:left w:val="none" w:sz="0" w:space="0" w:color="auto"/>
        <w:bottom w:val="none" w:sz="0" w:space="0" w:color="auto"/>
        <w:right w:val="none" w:sz="0" w:space="0" w:color="auto"/>
      </w:divBdr>
    </w:div>
    <w:div w:id="649793173">
      <w:bodyDiv w:val="1"/>
      <w:marLeft w:val="0"/>
      <w:marRight w:val="0"/>
      <w:marTop w:val="0"/>
      <w:marBottom w:val="0"/>
      <w:divBdr>
        <w:top w:val="none" w:sz="0" w:space="0" w:color="auto"/>
        <w:left w:val="none" w:sz="0" w:space="0" w:color="auto"/>
        <w:bottom w:val="none" w:sz="0" w:space="0" w:color="auto"/>
        <w:right w:val="none" w:sz="0" w:space="0" w:color="auto"/>
      </w:divBdr>
    </w:div>
    <w:div w:id="795563570">
      <w:bodyDiv w:val="1"/>
      <w:marLeft w:val="0"/>
      <w:marRight w:val="0"/>
      <w:marTop w:val="0"/>
      <w:marBottom w:val="0"/>
      <w:divBdr>
        <w:top w:val="none" w:sz="0" w:space="0" w:color="auto"/>
        <w:left w:val="none" w:sz="0" w:space="0" w:color="auto"/>
        <w:bottom w:val="none" w:sz="0" w:space="0" w:color="auto"/>
        <w:right w:val="none" w:sz="0" w:space="0" w:color="auto"/>
      </w:divBdr>
    </w:div>
    <w:div w:id="809858617">
      <w:bodyDiv w:val="1"/>
      <w:marLeft w:val="0"/>
      <w:marRight w:val="0"/>
      <w:marTop w:val="0"/>
      <w:marBottom w:val="0"/>
      <w:divBdr>
        <w:top w:val="none" w:sz="0" w:space="0" w:color="auto"/>
        <w:left w:val="none" w:sz="0" w:space="0" w:color="auto"/>
        <w:bottom w:val="none" w:sz="0" w:space="0" w:color="auto"/>
        <w:right w:val="none" w:sz="0" w:space="0" w:color="auto"/>
      </w:divBdr>
    </w:div>
    <w:div w:id="843587684">
      <w:bodyDiv w:val="1"/>
      <w:marLeft w:val="0"/>
      <w:marRight w:val="0"/>
      <w:marTop w:val="0"/>
      <w:marBottom w:val="0"/>
      <w:divBdr>
        <w:top w:val="none" w:sz="0" w:space="0" w:color="auto"/>
        <w:left w:val="none" w:sz="0" w:space="0" w:color="auto"/>
        <w:bottom w:val="none" w:sz="0" w:space="0" w:color="auto"/>
        <w:right w:val="none" w:sz="0" w:space="0" w:color="auto"/>
      </w:divBdr>
    </w:div>
    <w:div w:id="905725753">
      <w:bodyDiv w:val="1"/>
      <w:marLeft w:val="0"/>
      <w:marRight w:val="0"/>
      <w:marTop w:val="0"/>
      <w:marBottom w:val="0"/>
      <w:divBdr>
        <w:top w:val="none" w:sz="0" w:space="0" w:color="auto"/>
        <w:left w:val="none" w:sz="0" w:space="0" w:color="auto"/>
        <w:bottom w:val="none" w:sz="0" w:space="0" w:color="auto"/>
        <w:right w:val="none" w:sz="0" w:space="0" w:color="auto"/>
      </w:divBdr>
    </w:div>
    <w:div w:id="1070351680">
      <w:bodyDiv w:val="1"/>
      <w:marLeft w:val="0"/>
      <w:marRight w:val="0"/>
      <w:marTop w:val="0"/>
      <w:marBottom w:val="0"/>
      <w:divBdr>
        <w:top w:val="none" w:sz="0" w:space="0" w:color="auto"/>
        <w:left w:val="none" w:sz="0" w:space="0" w:color="auto"/>
        <w:bottom w:val="none" w:sz="0" w:space="0" w:color="auto"/>
        <w:right w:val="none" w:sz="0" w:space="0" w:color="auto"/>
      </w:divBdr>
    </w:div>
    <w:div w:id="1248658560">
      <w:bodyDiv w:val="1"/>
      <w:marLeft w:val="0"/>
      <w:marRight w:val="0"/>
      <w:marTop w:val="0"/>
      <w:marBottom w:val="0"/>
      <w:divBdr>
        <w:top w:val="none" w:sz="0" w:space="0" w:color="auto"/>
        <w:left w:val="none" w:sz="0" w:space="0" w:color="auto"/>
        <w:bottom w:val="none" w:sz="0" w:space="0" w:color="auto"/>
        <w:right w:val="none" w:sz="0" w:space="0" w:color="auto"/>
      </w:divBdr>
    </w:div>
    <w:div w:id="1377000858">
      <w:bodyDiv w:val="1"/>
      <w:marLeft w:val="0"/>
      <w:marRight w:val="0"/>
      <w:marTop w:val="0"/>
      <w:marBottom w:val="0"/>
      <w:divBdr>
        <w:top w:val="none" w:sz="0" w:space="0" w:color="auto"/>
        <w:left w:val="none" w:sz="0" w:space="0" w:color="auto"/>
        <w:bottom w:val="none" w:sz="0" w:space="0" w:color="auto"/>
        <w:right w:val="none" w:sz="0" w:space="0" w:color="auto"/>
      </w:divBdr>
    </w:div>
    <w:div w:id="1384673881">
      <w:bodyDiv w:val="1"/>
      <w:marLeft w:val="0"/>
      <w:marRight w:val="0"/>
      <w:marTop w:val="0"/>
      <w:marBottom w:val="0"/>
      <w:divBdr>
        <w:top w:val="none" w:sz="0" w:space="0" w:color="auto"/>
        <w:left w:val="none" w:sz="0" w:space="0" w:color="auto"/>
        <w:bottom w:val="none" w:sz="0" w:space="0" w:color="auto"/>
        <w:right w:val="none" w:sz="0" w:space="0" w:color="auto"/>
      </w:divBdr>
    </w:div>
    <w:div w:id="1386023447">
      <w:bodyDiv w:val="1"/>
      <w:marLeft w:val="0"/>
      <w:marRight w:val="0"/>
      <w:marTop w:val="0"/>
      <w:marBottom w:val="0"/>
      <w:divBdr>
        <w:top w:val="none" w:sz="0" w:space="0" w:color="auto"/>
        <w:left w:val="none" w:sz="0" w:space="0" w:color="auto"/>
        <w:bottom w:val="none" w:sz="0" w:space="0" w:color="auto"/>
        <w:right w:val="none" w:sz="0" w:space="0" w:color="auto"/>
      </w:divBdr>
    </w:div>
    <w:div w:id="1445736007">
      <w:bodyDiv w:val="1"/>
      <w:marLeft w:val="0"/>
      <w:marRight w:val="0"/>
      <w:marTop w:val="0"/>
      <w:marBottom w:val="0"/>
      <w:divBdr>
        <w:top w:val="none" w:sz="0" w:space="0" w:color="auto"/>
        <w:left w:val="none" w:sz="0" w:space="0" w:color="auto"/>
        <w:bottom w:val="none" w:sz="0" w:space="0" w:color="auto"/>
        <w:right w:val="none" w:sz="0" w:space="0" w:color="auto"/>
      </w:divBdr>
    </w:div>
    <w:div w:id="1511406700">
      <w:bodyDiv w:val="1"/>
      <w:marLeft w:val="0"/>
      <w:marRight w:val="0"/>
      <w:marTop w:val="0"/>
      <w:marBottom w:val="0"/>
      <w:divBdr>
        <w:top w:val="none" w:sz="0" w:space="0" w:color="auto"/>
        <w:left w:val="none" w:sz="0" w:space="0" w:color="auto"/>
        <w:bottom w:val="none" w:sz="0" w:space="0" w:color="auto"/>
        <w:right w:val="none" w:sz="0" w:space="0" w:color="auto"/>
      </w:divBdr>
    </w:div>
    <w:div w:id="1520006005">
      <w:bodyDiv w:val="1"/>
      <w:marLeft w:val="0"/>
      <w:marRight w:val="0"/>
      <w:marTop w:val="0"/>
      <w:marBottom w:val="0"/>
      <w:divBdr>
        <w:top w:val="none" w:sz="0" w:space="0" w:color="auto"/>
        <w:left w:val="none" w:sz="0" w:space="0" w:color="auto"/>
        <w:bottom w:val="none" w:sz="0" w:space="0" w:color="auto"/>
        <w:right w:val="none" w:sz="0" w:space="0" w:color="auto"/>
      </w:divBdr>
    </w:div>
    <w:div w:id="1526364134">
      <w:bodyDiv w:val="1"/>
      <w:marLeft w:val="0"/>
      <w:marRight w:val="0"/>
      <w:marTop w:val="0"/>
      <w:marBottom w:val="0"/>
      <w:divBdr>
        <w:top w:val="none" w:sz="0" w:space="0" w:color="auto"/>
        <w:left w:val="none" w:sz="0" w:space="0" w:color="auto"/>
        <w:bottom w:val="none" w:sz="0" w:space="0" w:color="auto"/>
        <w:right w:val="none" w:sz="0" w:space="0" w:color="auto"/>
      </w:divBdr>
    </w:div>
    <w:div w:id="1609586404">
      <w:bodyDiv w:val="1"/>
      <w:marLeft w:val="0"/>
      <w:marRight w:val="0"/>
      <w:marTop w:val="0"/>
      <w:marBottom w:val="0"/>
      <w:divBdr>
        <w:top w:val="none" w:sz="0" w:space="0" w:color="auto"/>
        <w:left w:val="none" w:sz="0" w:space="0" w:color="auto"/>
        <w:bottom w:val="none" w:sz="0" w:space="0" w:color="auto"/>
        <w:right w:val="none" w:sz="0" w:space="0" w:color="auto"/>
      </w:divBdr>
    </w:div>
    <w:div w:id="1642611056">
      <w:bodyDiv w:val="1"/>
      <w:marLeft w:val="0"/>
      <w:marRight w:val="0"/>
      <w:marTop w:val="0"/>
      <w:marBottom w:val="0"/>
      <w:divBdr>
        <w:top w:val="none" w:sz="0" w:space="0" w:color="auto"/>
        <w:left w:val="none" w:sz="0" w:space="0" w:color="auto"/>
        <w:bottom w:val="none" w:sz="0" w:space="0" w:color="auto"/>
        <w:right w:val="none" w:sz="0" w:space="0" w:color="auto"/>
      </w:divBdr>
      <w:divsChild>
        <w:div w:id="1038509753">
          <w:marLeft w:val="0"/>
          <w:marRight w:val="0"/>
          <w:marTop w:val="0"/>
          <w:marBottom w:val="0"/>
          <w:divBdr>
            <w:top w:val="none" w:sz="0" w:space="0" w:color="auto"/>
            <w:left w:val="none" w:sz="0" w:space="0" w:color="auto"/>
            <w:bottom w:val="none" w:sz="0" w:space="0" w:color="auto"/>
            <w:right w:val="none" w:sz="0" w:space="0" w:color="auto"/>
          </w:divBdr>
          <w:divsChild>
            <w:div w:id="1879317858">
              <w:marLeft w:val="0"/>
              <w:marRight w:val="0"/>
              <w:marTop w:val="0"/>
              <w:marBottom w:val="0"/>
              <w:divBdr>
                <w:top w:val="none" w:sz="0" w:space="0" w:color="auto"/>
                <w:left w:val="none" w:sz="0" w:space="0" w:color="auto"/>
                <w:bottom w:val="none" w:sz="0" w:space="0" w:color="auto"/>
                <w:right w:val="none" w:sz="0" w:space="0" w:color="auto"/>
              </w:divBdr>
              <w:divsChild>
                <w:div w:id="2067491527">
                  <w:marLeft w:val="0"/>
                  <w:marRight w:val="0"/>
                  <w:marTop w:val="100"/>
                  <w:marBottom w:val="100"/>
                  <w:divBdr>
                    <w:top w:val="none" w:sz="0" w:space="0" w:color="auto"/>
                    <w:left w:val="none" w:sz="0" w:space="0" w:color="auto"/>
                    <w:bottom w:val="none" w:sz="0" w:space="0" w:color="auto"/>
                    <w:right w:val="none" w:sz="0" w:space="0" w:color="auto"/>
                  </w:divBdr>
                  <w:divsChild>
                    <w:div w:id="1109620831">
                      <w:marLeft w:val="0"/>
                      <w:marRight w:val="0"/>
                      <w:marTop w:val="0"/>
                      <w:marBottom w:val="0"/>
                      <w:divBdr>
                        <w:top w:val="none" w:sz="0" w:space="0" w:color="auto"/>
                        <w:left w:val="none" w:sz="0" w:space="0" w:color="auto"/>
                        <w:bottom w:val="none" w:sz="0" w:space="0" w:color="auto"/>
                        <w:right w:val="none" w:sz="0" w:space="0" w:color="auto"/>
                      </w:divBdr>
                      <w:divsChild>
                        <w:div w:id="141168142">
                          <w:marLeft w:val="0"/>
                          <w:marRight w:val="0"/>
                          <w:marTop w:val="0"/>
                          <w:marBottom w:val="0"/>
                          <w:divBdr>
                            <w:top w:val="none" w:sz="0" w:space="0" w:color="auto"/>
                            <w:left w:val="none" w:sz="0" w:space="0" w:color="auto"/>
                            <w:bottom w:val="none" w:sz="0" w:space="0" w:color="auto"/>
                            <w:right w:val="none" w:sz="0" w:space="0" w:color="auto"/>
                          </w:divBdr>
                          <w:divsChild>
                            <w:div w:id="375856514">
                              <w:marLeft w:val="0"/>
                              <w:marRight w:val="0"/>
                              <w:marTop w:val="0"/>
                              <w:marBottom w:val="0"/>
                              <w:divBdr>
                                <w:top w:val="none" w:sz="0" w:space="0" w:color="auto"/>
                                <w:left w:val="none" w:sz="0" w:space="0" w:color="auto"/>
                                <w:bottom w:val="none" w:sz="0" w:space="0" w:color="auto"/>
                                <w:right w:val="none" w:sz="0" w:space="0" w:color="auto"/>
                              </w:divBdr>
                              <w:divsChild>
                                <w:div w:id="1627391330">
                                  <w:marLeft w:val="0"/>
                                  <w:marRight w:val="0"/>
                                  <w:marTop w:val="0"/>
                                  <w:marBottom w:val="0"/>
                                  <w:divBdr>
                                    <w:top w:val="none" w:sz="0" w:space="0" w:color="auto"/>
                                    <w:left w:val="none" w:sz="0" w:space="0" w:color="auto"/>
                                    <w:bottom w:val="none" w:sz="0" w:space="0" w:color="auto"/>
                                    <w:right w:val="none" w:sz="0" w:space="0" w:color="auto"/>
                                  </w:divBdr>
                                  <w:divsChild>
                                    <w:div w:id="1923758673">
                                      <w:marLeft w:val="0"/>
                                      <w:marRight w:val="0"/>
                                      <w:marTop w:val="0"/>
                                      <w:marBottom w:val="0"/>
                                      <w:divBdr>
                                        <w:top w:val="none" w:sz="0" w:space="0" w:color="auto"/>
                                        <w:left w:val="none" w:sz="0" w:space="0" w:color="auto"/>
                                        <w:bottom w:val="none" w:sz="0" w:space="0" w:color="auto"/>
                                        <w:right w:val="none" w:sz="0" w:space="0" w:color="auto"/>
                                      </w:divBdr>
                                      <w:divsChild>
                                        <w:div w:id="51857182">
                                          <w:marLeft w:val="0"/>
                                          <w:marRight w:val="0"/>
                                          <w:marTop w:val="0"/>
                                          <w:marBottom w:val="360"/>
                                          <w:divBdr>
                                            <w:top w:val="none" w:sz="0" w:space="0" w:color="auto"/>
                                            <w:left w:val="none" w:sz="0" w:space="0" w:color="auto"/>
                                            <w:bottom w:val="none" w:sz="0" w:space="0" w:color="auto"/>
                                            <w:right w:val="none" w:sz="0" w:space="0" w:color="auto"/>
                                          </w:divBdr>
                                          <w:divsChild>
                                            <w:div w:id="1426420584">
                                              <w:marLeft w:val="0"/>
                                              <w:marRight w:val="0"/>
                                              <w:marTop w:val="0"/>
                                              <w:marBottom w:val="0"/>
                                              <w:divBdr>
                                                <w:top w:val="none" w:sz="0" w:space="0" w:color="auto"/>
                                                <w:left w:val="none" w:sz="0" w:space="0" w:color="auto"/>
                                                <w:bottom w:val="none" w:sz="0" w:space="0" w:color="auto"/>
                                                <w:right w:val="none" w:sz="0" w:space="0" w:color="auto"/>
                                              </w:divBdr>
                                              <w:divsChild>
                                                <w:div w:id="1016729119">
                                                  <w:marLeft w:val="0"/>
                                                  <w:marRight w:val="0"/>
                                                  <w:marTop w:val="0"/>
                                                  <w:marBottom w:val="0"/>
                                                  <w:divBdr>
                                                    <w:top w:val="none" w:sz="0" w:space="0" w:color="auto"/>
                                                    <w:left w:val="none" w:sz="0" w:space="0" w:color="auto"/>
                                                    <w:bottom w:val="none" w:sz="0" w:space="0" w:color="auto"/>
                                                    <w:right w:val="none" w:sz="0" w:space="0" w:color="auto"/>
                                                  </w:divBdr>
                                                  <w:divsChild>
                                                    <w:div w:id="890269188">
                                                      <w:marLeft w:val="5370"/>
                                                      <w:marRight w:val="0"/>
                                                      <w:marTop w:val="120"/>
                                                      <w:marBottom w:val="0"/>
                                                      <w:divBdr>
                                                        <w:top w:val="none" w:sz="0" w:space="0" w:color="auto"/>
                                                        <w:left w:val="none" w:sz="0" w:space="0" w:color="auto"/>
                                                        <w:bottom w:val="none" w:sz="0" w:space="0" w:color="auto"/>
                                                        <w:right w:val="none" w:sz="0" w:space="0" w:color="auto"/>
                                                      </w:divBdr>
                                                      <w:divsChild>
                                                        <w:div w:id="63865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2438125">
      <w:bodyDiv w:val="1"/>
      <w:marLeft w:val="0"/>
      <w:marRight w:val="0"/>
      <w:marTop w:val="0"/>
      <w:marBottom w:val="0"/>
      <w:divBdr>
        <w:top w:val="none" w:sz="0" w:space="0" w:color="auto"/>
        <w:left w:val="none" w:sz="0" w:space="0" w:color="auto"/>
        <w:bottom w:val="none" w:sz="0" w:space="0" w:color="auto"/>
        <w:right w:val="none" w:sz="0" w:space="0" w:color="auto"/>
      </w:divBdr>
    </w:div>
    <w:div w:id="1690450898">
      <w:bodyDiv w:val="1"/>
      <w:marLeft w:val="0"/>
      <w:marRight w:val="0"/>
      <w:marTop w:val="0"/>
      <w:marBottom w:val="0"/>
      <w:divBdr>
        <w:top w:val="none" w:sz="0" w:space="0" w:color="auto"/>
        <w:left w:val="none" w:sz="0" w:space="0" w:color="auto"/>
        <w:bottom w:val="none" w:sz="0" w:space="0" w:color="auto"/>
        <w:right w:val="none" w:sz="0" w:space="0" w:color="auto"/>
      </w:divBdr>
      <w:divsChild>
        <w:div w:id="1994676590">
          <w:marLeft w:val="0"/>
          <w:marRight w:val="0"/>
          <w:marTop w:val="0"/>
          <w:marBottom w:val="0"/>
          <w:divBdr>
            <w:top w:val="none" w:sz="0" w:space="0" w:color="auto"/>
            <w:left w:val="none" w:sz="0" w:space="0" w:color="auto"/>
            <w:bottom w:val="none" w:sz="0" w:space="0" w:color="auto"/>
            <w:right w:val="none" w:sz="0" w:space="0" w:color="auto"/>
          </w:divBdr>
          <w:divsChild>
            <w:div w:id="756444788">
              <w:marLeft w:val="0"/>
              <w:marRight w:val="0"/>
              <w:marTop w:val="0"/>
              <w:marBottom w:val="0"/>
              <w:divBdr>
                <w:top w:val="none" w:sz="0" w:space="0" w:color="auto"/>
                <w:left w:val="none" w:sz="0" w:space="0" w:color="auto"/>
                <w:bottom w:val="none" w:sz="0" w:space="0" w:color="auto"/>
                <w:right w:val="none" w:sz="0" w:space="0" w:color="auto"/>
              </w:divBdr>
              <w:divsChild>
                <w:div w:id="524832805">
                  <w:marLeft w:val="0"/>
                  <w:marRight w:val="0"/>
                  <w:marTop w:val="0"/>
                  <w:marBottom w:val="0"/>
                  <w:divBdr>
                    <w:top w:val="none" w:sz="0" w:space="0" w:color="auto"/>
                    <w:left w:val="none" w:sz="0" w:space="0" w:color="auto"/>
                    <w:bottom w:val="none" w:sz="0" w:space="0" w:color="auto"/>
                    <w:right w:val="none" w:sz="0" w:space="0" w:color="auto"/>
                  </w:divBdr>
                  <w:divsChild>
                    <w:div w:id="285241593">
                      <w:marLeft w:val="0"/>
                      <w:marRight w:val="0"/>
                      <w:marTop w:val="0"/>
                      <w:marBottom w:val="0"/>
                      <w:divBdr>
                        <w:top w:val="none" w:sz="0" w:space="0" w:color="auto"/>
                        <w:left w:val="none" w:sz="0" w:space="0" w:color="auto"/>
                        <w:bottom w:val="none" w:sz="0" w:space="0" w:color="auto"/>
                        <w:right w:val="none" w:sz="0" w:space="0" w:color="auto"/>
                      </w:divBdr>
                      <w:divsChild>
                        <w:div w:id="1062603177">
                          <w:marLeft w:val="2325"/>
                          <w:marRight w:val="0"/>
                          <w:marTop w:val="0"/>
                          <w:marBottom w:val="0"/>
                          <w:divBdr>
                            <w:top w:val="none" w:sz="0" w:space="0" w:color="auto"/>
                            <w:left w:val="none" w:sz="0" w:space="0" w:color="auto"/>
                            <w:bottom w:val="none" w:sz="0" w:space="0" w:color="auto"/>
                            <w:right w:val="none" w:sz="0" w:space="0" w:color="auto"/>
                          </w:divBdr>
                          <w:divsChild>
                            <w:div w:id="1526792894">
                              <w:marLeft w:val="0"/>
                              <w:marRight w:val="0"/>
                              <w:marTop w:val="0"/>
                              <w:marBottom w:val="360"/>
                              <w:divBdr>
                                <w:top w:val="none" w:sz="0" w:space="0" w:color="auto"/>
                                <w:left w:val="none" w:sz="0" w:space="0" w:color="auto"/>
                                <w:bottom w:val="none" w:sz="0" w:space="0" w:color="auto"/>
                                <w:right w:val="none" w:sz="0" w:space="0" w:color="auto"/>
                              </w:divBdr>
                              <w:divsChild>
                                <w:div w:id="1223905738">
                                  <w:marLeft w:val="0"/>
                                  <w:marRight w:val="0"/>
                                  <w:marTop w:val="0"/>
                                  <w:marBottom w:val="0"/>
                                  <w:divBdr>
                                    <w:top w:val="none" w:sz="0" w:space="0" w:color="auto"/>
                                    <w:left w:val="none" w:sz="0" w:space="0" w:color="auto"/>
                                    <w:bottom w:val="none" w:sz="0" w:space="0" w:color="auto"/>
                                    <w:right w:val="none" w:sz="0" w:space="0" w:color="auto"/>
                                  </w:divBdr>
                                  <w:divsChild>
                                    <w:div w:id="1122650386">
                                      <w:marLeft w:val="0"/>
                                      <w:marRight w:val="0"/>
                                      <w:marTop w:val="0"/>
                                      <w:marBottom w:val="0"/>
                                      <w:divBdr>
                                        <w:top w:val="none" w:sz="0" w:space="0" w:color="auto"/>
                                        <w:left w:val="none" w:sz="0" w:space="0" w:color="auto"/>
                                        <w:bottom w:val="none" w:sz="0" w:space="0" w:color="auto"/>
                                        <w:right w:val="none" w:sz="0" w:space="0" w:color="auto"/>
                                      </w:divBdr>
                                      <w:divsChild>
                                        <w:div w:id="200477011">
                                          <w:marLeft w:val="0"/>
                                          <w:marRight w:val="0"/>
                                          <w:marTop w:val="0"/>
                                          <w:marBottom w:val="0"/>
                                          <w:divBdr>
                                            <w:top w:val="none" w:sz="0" w:space="0" w:color="auto"/>
                                            <w:left w:val="none" w:sz="0" w:space="0" w:color="auto"/>
                                            <w:bottom w:val="none" w:sz="0" w:space="0" w:color="auto"/>
                                            <w:right w:val="none" w:sz="0" w:space="0" w:color="auto"/>
                                          </w:divBdr>
                                          <w:divsChild>
                                            <w:div w:id="106659232">
                                              <w:marLeft w:val="0"/>
                                              <w:marRight w:val="0"/>
                                              <w:marTop w:val="0"/>
                                              <w:marBottom w:val="0"/>
                                              <w:divBdr>
                                                <w:top w:val="none" w:sz="0" w:space="0" w:color="auto"/>
                                                <w:left w:val="none" w:sz="0" w:space="0" w:color="auto"/>
                                                <w:bottom w:val="none" w:sz="0" w:space="0" w:color="auto"/>
                                                <w:right w:val="none" w:sz="0" w:space="0" w:color="auto"/>
                                              </w:divBdr>
                                              <w:divsChild>
                                                <w:div w:id="175030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415693">
      <w:bodyDiv w:val="1"/>
      <w:marLeft w:val="0"/>
      <w:marRight w:val="0"/>
      <w:marTop w:val="0"/>
      <w:marBottom w:val="0"/>
      <w:divBdr>
        <w:top w:val="none" w:sz="0" w:space="0" w:color="auto"/>
        <w:left w:val="none" w:sz="0" w:space="0" w:color="auto"/>
        <w:bottom w:val="none" w:sz="0" w:space="0" w:color="auto"/>
        <w:right w:val="none" w:sz="0" w:space="0" w:color="auto"/>
      </w:divBdr>
    </w:div>
    <w:div w:id="1732577247">
      <w:bodyDiv w:val="1"/>
      <w:marLeft w:val="0"/>
      <w:marRight w:val="0"/>
      <w:marTop w:val="0"/>
      <w:marBottom w:val="0"/>
      <w:divBdr>
        <w:top w:val="none" w:sz="0" w:space="0" w:color="auto"/>
        <w:left w:val="none" w:sz="0" w:space="0" w:color="auto"/>
        <w:bottom w:val="none" w:sz="0" w:space="0" w:color="auto"/>
        <w:right w:val="none" w:sz="0" w:space="0" w:color="auto"/>
      </w:divBdr>
    </w:div>
    <w:div w:id="1770461886">
      <w:bodyDiv w:val="1"/>
      <w:marLeft w:val="0"/>
      <w:marRight w:val="0"/>
      <w:marTop w:val="0"/>
      <w:marBottom w:val="0"/>
      <w:divBdr>
        <w:top w:val="none" w:sz="0" w:space="0" w:color="auto"/>
        <w:left w:val="none" w:sz="0" w:space="0" w:color="auto"/>
        <w:bottom w:val="none" w:sz="0" w:space="0" w:color="auto"/>
        <w:right w:val="none" w:sz="0" w:space="0" w:color="auto"/>
      </w:divBdr>
    </w:div>
    <w:div w:id="1795445556">
      <w:bodyDiv w:val="1"/>
      <w:marLeft w:val="0"/>
      <w:marRight w:val="0"/>
      <w:marTop w:val="0"/>
      <w:marBottom w:val="0"/>
      <w:divBdr>
        <w:top w:val="none" w:sz="0" w:space="0" w:color="auto"/>
        <w:left w:val="none" w:sz="0" w:space="0" w:color="auto"/>
        <w:bottom w:val="none" w:sz="0" w:space="0" w:color="auto"/>
        <w:right w:val="none" w:sz="0" w:space="0" w:color="auto"/>
      </w:divBdr>
    </w:div>
    <w:div w:id="1908567407">
      <w:bodyDiv w:val="1"/>
      <w:marLeft w:val="0"/>
      <w:marRight w:val="0"/>
      <w:marTop w:val="0"/>
      <w:marBottom w:val="0"/>
      <w:divBdr>
        <w:top w:val="none" w:sz="0" w:space="0" w:color="auto"/>
        <w:left w:val="none" w:sz="0" w:space="0" w:color="auto"/>
        <w:bottom w:val="none" w:sz="0" w:space="0" w:color="auto"/>
        <w:right w:val="none" w:sz="0" w:space="0" w:color="auto"/>
      </w:divBdr>
    </w:div>
    <w:div w:id="1979920113">
      <w:bodyDiv w:val="1"/>
      <w:marLeft w:val="0"/>
      <w:marRight w:val="0"/>
      <w:marTop w:val="0"/>
      <w:marBottom w:val="0"/>
      <w:divBdr>
        <w:top w:val="none" w:sz="0" w:space="0" w:color="auto"/>
        <w:left w:val="none" w:sz="0" w:space="0" w:color="auto"/>
        <w:bottom w:val="none" w:sz="0" w:space="0" w:color="auto"/>
        <w:right w:val="none" w:sz="0" w:space="0" w:color="auto"/>
      </w:divBdr>
    </w:div>
    <w:div w:id="1980958372">
      <w:bodyDiv w:val="1"/>
      <w:marLeft w:val="0"/>
      <w:marRight w:val="0"/>
      <w:marTop w:val="0"/>
      <w:marBottom w:val="0"/>
      <w:divBdr>
        <w:top w:val="none" w:sz="0" w:space="0" w:color="auto"/>
        <w:left w:val="none" w:sz="0" w:space="0" w:color="auto"/>
        <w:bottom w:val="none" w:sz="0" w:space="0" w:color="auto"/>
        <w:right w:val="none" w:sz="0" w:space="0" w:color="auto"/>
      </w:divBdr>
      <w:divsChild>
        <w:div w:id="937980976">
          <w:marLeft w:val="0"/>
          <w:marRight w:val="0"/>
          <w:marTop w:val="0"/>
          <w:marBottom w:val="0"/>
          <w:divBdr>
            <w:top w:val="none" w:sz="0" w:space="0" w:color="auto"/>
            <w:left w:val="none" w:sz="0" w:space="0" w:color="auto"/>
            <w:bottom w:val="none" w:sz="0" w:space="0" w:color="auto"/>
            <w:right w:val="none" w:sz="0" w:space="0" w:color="auto"/>
          </w:divBdr>
          <w:divsChild>
            <w:div w:id="1867134044">
              <w:marLeft w:val="0"/>
              <w:marRight w:val="0"/>
              <w:marTop w:val="0"/>
              <w:marBottom w:val="0"/>
              <w:divBdr>
                <w:top w:val="none" w:sz="0" w:space="0" w:color="auto"/>
                <w:left w:val="none" w:sz="0" w:space="0" w:color="auto"/>
                <w:bottom w:val="none" w:sz="0" w:space="0" w:color="auto"/>
                <w:right w:val="none" w:sz="0" w:space="0" w:color="auto"/>
              </w:divBdr>
              <w:divsChild>
                <w:div w:id="1775899729">
                  <w:marLeft w:val="0"/>
                  <w:marRight w:val="0"/>
                  <w:marTop w:val="0"/>
                  <w:marBottom w:val="0"/>
                  <w:divBdr>
                    <w:top w:val="none" w:sz="0" w:space="0" w:color="auto"/>
                    <w:left w:val="none" w:sz="0" w:space="0" w:color="auto"/>
                    <w:bottom w:val="none" w:sz="0" w:space="0" w:color="auto"/>
                    <w:right w:val="none" w:sz="0" w:space="0" w:color="auto"/>
                  </w:divBdr>
                  <w:divsChild>
                    <w:div w:id="1857964493">
                      <w:marLeft w:val="0"/>
                      <w:marRight w:val="0"/>
                      <w:marTop w:val="0"/>
                      <w:marBottom w:val="0"/>
                      <w:divBdr>
                        <w:top w:val="none" w:sz="0" w:space="0" w:color="auto"/>
                        <w:left w:val="none" w:sz="0" w:space="0" w:color="auto"/>
                        <w:bottom w:val="none" w:sz="0" w:space="0" w:color="auto"/>
                        <w:right w:val="none" w:sz="0" w:space="0" w:color="auto"/>
                      </w:divBdr>
                      <w:divsChild>
                        <w:div w:id="2043749341">
                          <w:marLeft w:val="2325"/>
                          <w:marRight w:val="0"/>
                          <w:marTop w:val="0"/>
                          <w:marBottom w:val="0"/>
                          <w:divBdr>
                            <w:top w:val="none" w:sz="0" w:space="0" w:color="auto"/>
                            <w:left w:val="none" w:sz="0" w:space="0" w:color="auto"/>
                            <w:bottom w:val="none" w:sz="0" w:space="0" w:color="auto"/>
                            <w:right w:val="none" w:sz="0" w:space="0" w:color="auto"/>
                          </w:divBdr>
                          <w:divsChild>
                            <w:div w:id="1322124041">
                              <w:marLeft w:val="0"/>
                              <w:marRight w:val="0"/>
                              <w:marTop w:val="0"/>
                              <w:marBottom w:val="360"/>
                              <w:divBdr>
                                <w:top w:val="none" w:sz="0" w:space="0" w:color="auto"/>
                                <w:left w:val="none" w:sz="0" w:space="0" w:color="auto"/>
                                <w:bottom w:val="none" w:sz="0" w:space="0" w:color="auto"/>
                                <w:right w:val="none" w:sz="0" w:space="0" w:color="auto"/>
                              </w:divBdr>
                              <w:divsChild>
                                <w:div w:id="1194346823">
                                  <w:marLeft w:val="0"/>
                                  <w:marRight w:val="0"/>
                                  <w:marTop w:val="0"/>
                                  <w:marBottom w:val="0"/>
                                  <w:divBdr>
                                    <w:top w:val="none" w:sz="0" w:space="0" w:color="auto"/>
                                    <w:left w:val="none" w:sz="0" w:space="0" w:color="auto"/>
                                    <w:bottom w:val="none" w:sz="0" w:space="0" w:color="auto"/>
                                    <w:right w:val="none" w:sz="0" w:space="0" w:color="auto"/>
                                  </w:divBdr>
                                  <w:divsChild>
                                    <w:div w:id="1361735983">
                                      <w:marLeft w:val="0"/>
                                      <w:marRight w:val="0"/>
                                      <w:marTop w:val="0"/>
                                      <w:marBottom w:val="0"/>
                                      <w:divBdr>
                                        <w:top w:val="none" w:sz="0" w:space="0" w:color="auto"/>
                                        <w:left w:val="none" w:sz="0" w:space="0" w:color="auto"/>
                                        <w:bottom w:val="none" w:sz="0" w:space="0" w:color="auto"/>
                                        <w:right w:val="none" w:sz="0" w:space="0" w:color="auto"/>
                                      </w:divBdr>
                                      <w:divsChild>
                                        <w:div w:id="899710473">
                                          <w:marLeft w:val="0"/>
                                          <w:marRight w:val="0"/>
                                          <w:marTop w:val="0"/>
                                          <w:marBottom w:val="0"/>
                                          <w:divBdr>
                                            <w:top w:val="none" w:sz="0" w:space="0" w:color="auto"/>
                                            <w:left w:val="none" w:sz="0" w:space="0" w:color="auto"/>
                                            <w:bottom w:val="none" w:sz="0" w:space="0" w:color="auto"/>
                                            <w:right w:val="none" w:sz="0" w:space="0" w:color="auto"/>
                                          </w:divBdr>
                                          <w:divsChild>
                                            <w:div w:id="152333791">
                                              <w:marLeft w:val="0"/>
                                              <w:marRight w:val="0"/>
                                              <w:marTop w:val="0"/>
                                              <w:marBottom w:val="0"/>
                                              <w:divBdr>
                                                <w:top w:val="none" w:sz="0" w:space="0" w:color="auto"/>
                                                <w:left w:val="none" w:sz="0" w:space="0" w:color="auto"/>
                                                <w:bottom w:val="none" w:sz="0" w:space="0" w:color="auto"/>
                                                <w:right w:val="none" w:sz="0" w:space="0" w:color="auto"/>
                                              </w:divBdr>
                                              <w:divsChild>
                                                <w:div w:id="71257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0407834">
      <w:bodyDiv w:val="1"/>
      <w:marLeft w:val="0"/>
      <w:marRight w:val="0"/>
      <w:marTop w:val="0"/>
      <w:marBottom w:val="0"/>
      <w:divBdr>
        <w:top w:val="none" w:sz="0" w:space="0" w:color="auto"/>
        <w:left w:val="none" w:sz="0" w:space="0" w:color="auto"/>
        <w:bottom w:val="none" w:sz="0" w:space="0" w:color="auto"/>
        <w:right w:val="none" w:sz="0" w:space="0" w:color="auto"/>
      </w:divBdr>
    </w:div>
    <w:div w:id="210746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3.xm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40"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esj\Desktop\AGD%20repor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10" ma:contentTypeDescription="" ma:contentTypeScope="" ma:versionID="d089c9d5e52a23621f4460d79da6eba3">
  <xsd:schema xmlns:xsd="http://www.w3.org/2001/XMLSchema" xmlns:xs="http://www.w3.org/2001/XMLSchema" xmlns:p="http://schemas.microsoft.com/office/2006/metadata/properties" xmlns:ns2="http://schemas.microsoft.com/sharepoint/v4" targetNamespace="http://schemas.microsoft.com/office/2006/metadata/properties" ma:root="true" ma:fieldsID="56744cf7dae5f007ba57270149f9373e"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83145-E9BA-497D-9128-9087CEDD3372}">
  <ds:schemaRefs>
    <ds:schemaRef ds:uri="http://schemas.microsoft.com/sharepoint/v3/contenttype/forms"/>
  </ds:schemaRefs>
</ds:datastoreItem>
</file>

<file path=customXml/itemProps2.xml><?xml version="1.0" encoding="utf-8"?>
<ds:datastoreItem xmlns:ds="http://schemas.openxmlformats.org/officeDocument/2006/customXml" ds:itemID="{9F21A09E-0BDC-40E0-B5C3-5895F0F6E783}">
  <ds:schemaRefs>
    <ds:schemaRef ds:uri="http://www.w3.org/XML/1998/namespace"/>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sharepoint/v4"/>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41CE141-57DD-44D1-A979-E40942C13DC9}">
  <ds:schemaRefs>
    <ds:schemaRef ds:uri="http://schemas.microsoft.com/office/2006/metadata/longProperties"/>
  </ds:schemaRefs>
</ds:datastoreItem>
</file>

<file path=customXml/itemProps4.xml><?xml version="1.0" encoding="utf-8"?>
<ds:datastoreItem xmlns:ds="http://schemas.openxmlformats.org/officeDocument/2006/customXml" ds:itemID="{5B31F6C2-B7FE-4870-8D1E-502EC81A2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325CE0-3E9A-4516-9CF0-D7160AD282CC}">
  <ds:schemaRefs>
    <ds:schemaRef ds:uri="http://schemas.microsoft.com/sharepoint/events"/>
  </ds:schemaRefs>
</ds:datastoreItem>
</file>

<file path=customXml/itemProps6.xml><?xml version="1.0" encoding="utf-8"?>
<ds:datastoreItem xmlns:ds="http://schemas.openxmlformats.org/officeDocument/2006/customXml" ds:itemID="{B5C47532-BAE5-4E09-8E32-5C9B770E2B1C}">
  <ds:schemaRefs>
    <ds:schemaRef ds:uri="http://schemas.microsoft.com/office/2006/metadata/customXsn"/>
  </ds:schemaRefs>
</ds:datastoreItem>
</file>

<file path=customXml/itemProps7.xml><?xml version="1.0" encoding="utf-8"?>
<ds:datastoreItem xmlns:ds="http://schemas.openxmlformats.org/officeDocument/2006/customXml" ds:itemID="{545C5A88-2038-42FF-8A22-CB5463DD2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AGD report template</Template>
  <TotalTime>488</TotalTime>
  <Pages>13</Pages>
  <Words>3191</Words>
  <Characters>18190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Submission DR226 - Attorney-Generals Department - Natural Disaster Funding - Public inquiry</vt:lpstr>
    </vt:vector>
  </TitlesOfParts>
  <Company>Attorney-Generals Department </Company>
  <LinksUpToDate>false</LinksUpToDate>
  <CharactersWithSpaces>21339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DR226 - Attorney-Generals Department - Natural Disaster Funding - Public inquiry</dc:title>
  <dc:creator>Attorney-Generals Department </dc:creator>
  <cp:lastModifiedBy>Productivity Commission</cp:lastModifiedBy>
  <cp:revision>15</cp:revision>
  <cp:lastPrinted>2014-10-23T06:05:00Z</cp:lastPrinted>
  <dcterms:created xsi:type="dcterms:W3CDTF">2014-10-23T01:15:00Z</dcterms:created>
  <dcterms:modified xsi:type="dcterms:W3CDTF">2014-11-27T05:32:00Z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7DXNPFMSTJEP-80-166</vt:lpwstr>
  </property>
  <property fmtid="{D5CDD505-2E9C-101B-9397-08002B2CF9AE}" pid="3" name="_dlc_DocIdItemGuid">
    <vt:lpwstr>f23ad9b9-8113-409e-ae3a-2f3f9853fc22</vt:lpwstr>
  </property>
  <property fmtid="{D5CDD505-2E9C-101B-9397-08002B2CF9AE}" pid="4" name="_dlc_DocIdUrl">
    <vt:lpwstr>http://applications.agdnet.ag.gov.au/_layouts/DocIdRedir.aspx?ID=7DXNPFMSTJEP-80-166, 7DXNPFMSTJEP-80-166</vt:lpwstr>
  </property>
  <property fmtid="{D5CDD505-2E9C-101B-9397-08002B2CF9AE}" pid="5" name="Function">
    <vt:lpwstr>Report</vt:lpwstr>
  </property>
  <property fmtid="{D5CDD505-2E9C-101B-9397-08002B2CF9AE}" pid="6" name="lf240a0170264e5ca0a4ac4df6a4adf7">
    <vt:lpwstr>Attorney-General's Department|c281c3f2-80ff-44a1-b91f-c6c543d93cc6</vt:lpwstr>
  </property>
  <property fmtid="{D5CDD505-2E9C-101B-9397-08002B2CF9AE}" pid="7" name="Owner">
    <vt:lpwstr>59;#Attorney-General's Department|c281c3f2-80ff-44a1-b91f-c6c543d93cc6</vt:lpwstr>
  </property>
  <property fmtid="{D5CDD505-2E9C-101B-9397-08002B2CF9AE}" pid="8" name="TaxCatchAll">
    <vt:lpwstr>59;#Attorney-General's Department|c281c3f2-80ff-44a1-b91f-c6c543d93cc6</vt:lpwstr>
  </property>
  <property fmtid="{D5CDD505-2E9C-101B-9397-08002B2CF9AE}" pid="9" name="File Classification">
    <vt:lpwstr/>
  </property>
  <property fmtid="{D5CDD505-2E9C-101B-9397-08002B2CF9AE}" pid="10" name="ContentTypeId">
    <vt:lpwstr>0x01010066EDC8E18BFE9C418F00295EA55D44EA0015EE9FD84A134F42A8E78176E2093D4400FA055CF3113ACE489CC83C69505D2DFE</vt:lpwstr>
  </property>
  <property fmtid="{D5CDD505-2E9C-101B-9397-08002B2CF9AE}" pid="11" name="Order">
    <vt:r8>38700</vt:r8>
  </property>
</Properties>
</file>