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084F1" w14:textId="56A15122" w:rsidR="00415F39" w:rsidRPr="00376CAB" w:rsidRDefault="00376CAB" w:rsidP="00376CAB">
      <w:pPr>
        <w:pStyle w:val="Heading1"/>
        <w:spacing w:before="0"/>
        <w:rPr>
          <w:noProof/>
          <w:color w:val="FFFFFF" w:themeColor="background1"/>
          <w:sz w:val="16"/>
          <w:szCs w:val="16"/>
        </w:rPr>
      </w:pPr>
      <w:bookmarkStart w:id="0" w:name="ChapterNumber"/>
      <w:bookmarkStart w:id="1" w:name="_GoBack"/>
      <w:r>
        <w:rPr>
          <w:noProof/>
        </w:rPr>
        <w:drawing>
          <wp:anchor distT="0" distB="0" distL="114300" distR="114300" simplePos="0" relativeHeight="251659266" behindDoc="0" locked="0" layoutInCell="1" allowOverlap="1" wp14:anchorId="3D5BDE6D" wp14:editId="5FDA3CCA">
            <wp:simplePos x="0" y="0"/>
            <wp:positionH relativeFrom="page">
              <wp:posOffset>69167</wp:posOffset>
            </wp:positionH>
            <wp:positionV relativeFrom="page">
              <wp:posOffset>1539240</wp:posOffset>
            </wp:positionV>
            <wp:extent cx="7444835" cy="105308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educa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44835" cy="10530840"/>
                    </a:xfrm>
                    <a:prstGeom prst="rect">
                      <a:avLst/>
                    </a:prstGeom>
                  </pic:spPr>
                </pic:pic>
              </a:graphicData>
            </a:graphic>
            <wp14:sizeRelH relativeFrom="margin">
              <wp14:pctWidth>0</wp14:pctWidth>
            </wp14:sizeRelH>
            <wp14:sizeRelV relativeFrom="margin">
              <wp14:pctHeight>0</wp14:pctHeight>
            </wp14:sizeRelV>
          </wp:anchor>
        </w:drawing>
      </w:r>
      <w:bookmarkEnd w:id="1"/>
      <w:r w:rsidR="005940EC" w:rsidRPr="002B5520">
        <w:rPr>
          <w:noProof/>
          <w:color w:val="FFFFFF" w:themeColor="background1"/>
          <w:sz w:val="16"/>
          <w:szCs w:val="16"/>
        </w:rPr>
        <w:t xml:space="preserve">Education evidence base. Productivity Commission Issues Paper. April 2016. </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14:paraId="1FB084F3" w14:textId="77777777" w:rsidTr="001E4D46">
        <w:trPr>
          <w:tblHeader/>
        </w:trPr>
        <w:tc>
          <w:tcPr>
            <w:tcW w:w="8771" w:type="dxa"/>
            <w:tcBorders>
              <w:top w:val="single" w:sz="6" w:space="0" w:color="78A22F"/>
              <w:left w:val="nil"/>
              <w:bottom w:val="nil"/>
              <w:right w:val="nil"/>
            </w:tcBorders>
            <w:shd w:val="clear" w:color="auto" w:fill="F2F2F2" w:themeFill="background1" w:themeFillShade="F2"/>
          </w:tcPr>
          <w:p w14:paraId="1FB084F2" w14:textId="77777777" w:rsidR="00415F39" w:rsidRPr="008A3857" w:rsidRDefault="00415F39" w:rsidP="00415F39">
            <w:pPr>
              <w:pStyle w:val="BoxTitle"/>
              <w:rPr>
                <w:sz w:val="22"/>
                <w:szCs w:val="22"/>
              </w:rPr>
            </w:pPr>
            <w:r w:rsidRPr="008A3857">
              <w:rPr>
                <w:sz w:val="22"/>
                <w:szCs w:val="22"/>
              </w:rPr>
              <w:lastRenderedPageBreak/>
              <w:t xml:space="preserve">The </w:t>
            </w:r>
            <w:r>
              <w:rPr>
                <w:sz w:val="22"/>
                <w:szCs w:val="22"/>
              </w:rPr>
              <w:t>Issues Paper</w:t>
            </w:r>
          </w:p>
        </w:tc>
      </w:tr>
      <w:tr w:rsidR="00415F39" w14:paraId="1FB08528" w14:textId="77777777" w:rsidTr="001E4D46">
        <w:tc>
          <w:tcPr>
            <w:tcW w:w="8771" w:type="dxa"/>
            <w:tcBorders>
              <w:top w:val="nil"/>
              <w:left w:val="nil"/>
              <w:bottom w:val="nil"/>
              <w:right w:val="nil"/>
            </w:tcBorders>
            <w:shd w:val="clear" w:color="auto" w:fill="F2F2F2" w:themeFill="background1" w:themeFillShade="F2"/>
          </w:tcPr>
          <w:p w14:paraId="1FB084F4" w14:textId="77777777" w:rsidR="00415F39" w:rsidRDefault="00415F39" w:rsidP="00415F39">
            <w:pPr>
              <w:pStyle w:val="Box"/>
            </w:pPr>
            <w:r>
              <w:t>The Commission has released this issues paper to assist individuals and organisations</w:t>
            </w:r>
            <w:r w:rsidR="00170FBC">
              <w:t xml:space="preserve"> to prepare submissions to the </w:t>
            </w:r>
            <w:r>
              <w:t>inquiry. It contains and outlines:</w:t>
            </w:r>
          </w:p>
          <w:p w14:paraId="1FB084F5" w14:textId="77777777" w:rsidR="00415F39" w:rsidRDefault="00415F39" w:rsidP="00415F39">
            <w:pPr>
              <w:pStyle w:val="BoxListBullet"/>
            </w:pPr>
            <w:r>
              <w:t xml:space="preserve">the scope of the </w:t>
            </w:r>
            <w:r w:rsidR="00170FBC">
              <w:t>inquiry</w:t>
            </w:r>
          </w:p>
          <w:p w14:paraId="1FB084F6" w14:textId="77777777" w:rsidR="00170FBC" w:rsidRDefault="00170FBC" w:rsidP="00170FBC">
            <w:pPr>
              <w:pStyle w:val="BoxListBullet"/>
            </w:pPr>
            <w:r w:rsidRPr="00170FBC">
              <w:t xml:space="preserve">a proposed framework for considering </w:t>
            </w:r>
            <w:r>
              <w:t>education</w:t>
            </w:r>
            <w:r w:rsidRPr="00170FBC">
              <w:t xml:space="preserve"> </w:t>
            </w:r>
            <w:r>
              <w:t xml:space="preserve">data </w:t>
            </w:r>
            <w:r w:rsidRPr="00170FBC">
              <w:t>arrangements</w:t>
            </w:r>
          </w:p>
          <w:p w14:paraId="1FB084F7" w14:textId="77777777" w:rsidR="00415F39" w:rsidRDefault="00415F39" w:rsidP="00170FBC">
            <w:pPr>
              <w:pStyle w:val="BoxListBullet"/>
            </w:pPr>
            <w:r>
              <w:t>matters about which the Commission is seeking comment and information</w:t>
            </w:r>
          </w:p>
          <w:p w14:paraId="1FB084F8" w14:textId="77777777" w:rsidR="00415F39" w:rsidRDefault="00415F39" w:rsidP="00415F39">
            <w:pPr>
              <w:pStyle w:val="BoxListBullet"/>
            </w:pPr>
            <w:r>
              <w:t>how to make a submission.</w:t>
            </w:r>
          </w:p>
          <w:p w14:paraId="1FB084F9" w14:textId="77777777" w:rsidR="00415F39" w:rsidRDefault="00415F39" w:rsidP="00415F39">
            <w:pPr>
              <w:pStyle w:val="Box"/>
            </w:pPr>
            <w:r>
              <w:t>Participants should not feel that they are restricted to comment only on matters raised in the issues paper. The Commission wishes to receive information and comment on issues which partici</w:t>
            </w:r>
            <w:r w:rsidR="00170FBC">
              <w:t xml:space="preserve">pants consider relevant to the </w:t>
            </w:r>
            <w:r>
              <w:t>inquiry’s</w:t>
            </w:r>
            <w:r w:rsidR="00170FBC">
              <w:t xml:space="preserve"> </w:t>
            </w:r>
            <w:r>
              <w:t>terms of reference.</w:t>
            </w:r>
          </w:p>
          <w:p w14:paraId="1FB084FA" w14:textId="77777777" w:rsidR="00415F39" w:rsidRDefault="00415F39" w:rsidP="009F3E26">
            <w:pPr>
              <w:pStyle w:val="BoxHeading1"/>
            </w:pPr>
            <w:r>
              <w:t>Key inquiry dates</w:t>
            </w:r>
          </w:p>
          <w:tbl>
            <w:tblPr>
              <w:tblW w:w="0" w:type="auto"/>
              <w:tblLayout w:type="fixed"/>
              <w:tblLook w:val="04A0" w:firstRow="1" w:lastRow="0" w:firstColumn="1" w:lastColumn="0" w:noHBand="0" w:noVBand="1"/>
              <w:tblDescription w:val="Table used for design layout"/>
            </w:tblPr>
            <w:tblGrid>
              <w:gridCol w:w="3522"/>
              <w:gridCol w:w="4950"/>
            </w:tblGrid>
            <w:tr w:rsidR="009F3E26" w14:paraId="1FB084FD" w14:textId="77777777" w:rsidTr="001E4D46">
              <w:trPr>
                <w:tblHeader/>
              </w:trPr>
              <w:tc>
                <w:tcPr>
                  <w:tcW w:w="3522" w:type="dxa"/>
                  <w:tcMar>
                    <w:left w:w="0" w:type="dxa"/>
                  </w:tcMar>
                </w:tcPr>
                <w:p w14:paraId="1FB084FB" w14:textId="77777777" w:rsidR="009F3E26" w:rsidRDefault="009F3E26" w:rsidP="00415F39">
                  <w:pPr>
                    <w:pStyle w:val="Box"/>
                  </w:pPr>
                  <w:r>
                    <w:t>Receipt of terms of reference</w:t>
                  </w:r>
                </w:p>
              </w:tc>
              <w:tc>
                <w:tcPr>
                  <w:tcW w:w="4950" w:type="dxa"/>
                </w:tcPr>
                <w:p w14:paraId="1FB084FC" w14:textId="4626280B" w:rsidR="009F3E26" w:rsidRDefault="00EE6C1B" w:rsidP="00415F39">
                  <w:pPr>
                    <w:pStyle w:val="Box"/>
                  </w:pPr>
                  <w:r w:rsidRPr="00606160">
                    <w:t>11 March 2016</w:t>
                  </w:r>
                </w:p>
              </w:tc>
            </w:tr>
            <w:tr w:rsidR="009F3E26" w14:paraId="1FB08500" w14:textId="77777777" w:rsidTr="00EC0A05">
              <w:tc>
                <w:tcPr>
                  <w:tcW w:w="3522" w:type="dxa"/>
                  <w:tcMar>
                    <w:left w:w="0" w:type="dxa"/>
                  </w:tcMar>
                </w:tcPr>
                <w:p w14:paraId="014CC8B6" w14:textId="79BC8FC2" w:rsidR="00BD0B05" w:rsidRDefault="00BD0B05" w:rsidP="00DB2AE0">
                  <w:pPr>
                    <w:pStyle w:val="Box"/>
                    <w:spacing w:before="60"/>
                  </w:pPr>
                  <w:r>
                    <w:t xml:space="preserve">Release issues paper </w:t>
                  </w:r>
                </w:p>
                <w:p w14:paraId="1FB084FE" w14:textId="77777777" w:rsidR="009F3E26" w:rsidRDefault="009F3E26" w:rsidP="00DB2AE0">
                  <w:pPr>
                    <w:pStyle w:val="Box"/>
                    <w:spacing w:before="60"/>
                  </w:pPr>
                  <w:r>
                    <w:t>Due date for submissions</w:t>
                  </w:r>
                </w:p>
              </w:tc>
              <w:tc>
                <w:tcPr>
                  <w:tcW w:w="4950" w:type="dxa"/>
                </w:tcPr>
                <w:p w14:paraId="51E3F4AC" w14:textId="40DB0823" w:rsidR="00BD0B05" w:rsidRPr="00606160" w:rsidRDefault="00BD0B05" w:rsidP="00DB2AE0">
                  <w:pPr>
                    <w:pStyle w:val="Box"/>
                    <w:spacing w:before="60"/>
                  </w:pPr>
                  <w:r w:rsidRPr="00606160">
                    <w:t>11 April 2016</w:t>
                  </w:r>
                </w:p>
                <w:p w14:paraId="1FB084FF" w14:textId="0834AFA2" w:rsidR="009F3E26" w:rsidRPr="00606160" w:rsidRDefault="00EE6C1B" w:rsidP="00BD0B05">
                  <w:pPr>
                    <w:pStyle w:val="Box"/>
                    <w:spacing w:before="60"/>
                  </w:pPr>
                  <w:r w:rsidRPr="00606160">
                    <w:t xml:space="preserve">25 May 2016 </w:t>
                  </w:r>
                </w:p>
              </w:tc>
            </w:tr>
            <w:tr w:rsidR="009F3E26" w14:paraId="1FB08506" w14:textId="77777777" w:rsidTr="00EC0A05">
              <w:tc>
                <w:tcPr>
                  <w:tcW w:w="3522" w:type="dxa"/>
                  <w:tcMar>
                    <w:left w:w="0" w:type="dxa"/>
                  </w:tcMar>
                </w:tcPr>
                <w:p w14:paraId="1FB08504" w14:textId="77777777" w:rsidR="009F3E26" w:rsidRDefault="009F3E26" w:rsidP="00DB2AE0">
                  <w:pPr>
                    <w:pStyle w:val="Box"/>
                    <w:spacing w:before="60"/>
                  </w:pPr>
                  <w:r>
                    <w:t>Release of draft report</w:t>
                  </w:r>
                </w:p>
              </w:tc>
              <w:tc>
                <w:tcPr>
                  <w:tcW w:w="4950" w:type="dxa"/>
                </w:tcPr>
                <w:p w14:paraId="1FB08505" w14:textId="2DD3EDE6" w:rsidR="009F3E26" w:rsidRPr="00606160" w:rsidRDefault="00EE6C1B" w:rsidP="00BD0B05">
                  <w:pPr>
                    <w:pStyle w:val="Box"/>
                    <w:spacing w:before="60"/>
                  </w:pPr>
                  <w:r w:rsidRPr="00606160">
                    <w:t xml:space="preserve">August 2016 </w:t>
                  </w:r>
                </w:p>
              </w:tc>
            </w:tr>
            <w:tr w:rsidR="009F3E26" w14:paraId="1FB08509" w14:textId="77777777" w:rsidTr="00EC0A05">
              <w:tc>
                <w:tcPr>
                  <w:tcW w:w="3522" w:type="dxa"/>
                  <w:tcMar>
                    <w:left w:w="0" w:type="dxa"/>
                  </w:tcMar>
                </w:tcPr>
                <w:p w14:paraId="25110055" w14:textId="60AEA9D5" w:rsidR="00BD0B05" w:rsidRDefault="00BD0B05" w:rsidP="00DB2AE0">
                  <w:pPr>
                    <w:pStyle w:val="Box"/>
                    <w:spacing w:before="60"/>
                  </w:pPr>
                  <w:r>
                    <w:t>Draft report submissions</w:t>
                  </w:r>
                </w:p>
                <w:p w14:paraId="1FB08507" w14:textId="77777777" w:rsidR="009F3E26" w:rsidRDefault="009F3E26" w:rsidP="00DB2AE0">
                  <w:pPr>
                    <w:pStyle w:val="Box"/>
                    <w:spacing w:before="60"/>
                  </w:pPr>
                  <w:r>
                    <w:t>Draft report public hearings</w:t>
                  </w:r>
                </w:p>
              </w:tc>
              <w:tc>
                <w:tcPr>
                  <w:tcW w:w="4950" w:type="dxa"/>
                </w:tcPr>
                <w:p w14:paraId="60D91ACE" w14:textId="365A5976" w:rsidR="00BD0B05" w:rsidRPr="00606160" w:rsidRDefault="00BD0B05" w:rsidP="00DB2AE0">
                  <w:pPr>
                    <w:pStyle w:val="Box"/>
                    <w:spacing w:before="60"/>
                  </w:pPr>
                  <w:r w:rsidRPr="00606160">
                    <w:t>October 2016</w:t>
                  </w:r>
                </w:p>
                <w:p w14:paraId="1FB08508" w14:textId="03E6291B" w:rsidR="009F3E26" w:rsidRPr="00606160" w:rsidRDefault="00EE6C1B" w:rsidP="00DB2AE0">
                  <w:pPr>
                    <w:pStyle w:val="Box"/>
                    <w:spacing w:before="60"/>
                  </w:pPr>
                  <w:r w:rsidRPr="00606160">
                    <w:t>October 2016</w:t>
                  </w:r>
                </w:p>
              </w:tc>
            </w:tr>
            <w:tr w:rsidR="009F3E26" w14:paraId="1FB0850C" w14:textId="77777777" w:rsidTr="00EC0A05">
              <w:tc>
                <w:tcPr>
                  <w:tcW w:w="3522" w:type="dxa"/>
                  <w:tcMar>
                    <w:left w:w="0" w:type="dxa"/>
                  </w:tcMar>
                </w:tcPr>
                <w:p w14:paraId="1FB0850A" w14:textId="77777777" w:rsidR="009F3E26" w:rsidRDefault="009F3E26" w:rsidP="00DB2AE0">
                  <w:pPr>
                    <w:pStyle w:val="Box"/>
                    <w:spacing w:before="60"/>
                  </w:pPr>
                  <w:r>
                    <w:t>Final report to Government</w:t>
                  </w:r>
                </w:p>
              </w:tc>
              <w:tc>
                <w:tcPr>
                  <w:tcW w:w="4950" w:type="dxa"/>
                </w:tcPr>
                <w:p w14:paraId="1FB0850B" w14:textId="4326D397" w:rsidR="009F3E26" w:rsidRPr="00606160" w:rsidRDefault="00EE6C1B" w:rsidP="00DB2AE0">
                  <w:pPr>
                    <w:pStyle w:val="Box"/>
                    <w:spacing w:before="60"/>
                  </w:pPr>
                  <w:r w:rsidRPr="00606160">
                    <w:t>9 December 2016</w:t>
                  </w:r>
                </w:p>
              </w:tc>
            </w:tr>
          </w:tbl>
          <w:p w14:paraId="1FB0850D" w14:textId="77777777" w:rsidR="00415F39" w:rsidRDefault="00415F39" w:rsidP="009F3E26">
            <w:pPr>
              <w:pStyle w:val="BoxHeading1"/>
            </w:pPr>
            <w:r>
              <w:t>S</w:t>
            </w:r>
            <w:r w:rsidR="009F3E26">
              <w:t>ubmissions can be made</w:t>
            </w:r>
          </w:p>
          <w:tbl>
            <w:tblPr>
              <w:tblW w:w="0" w:type="auto"/>
              <w:tblLayout w:type="fixed"/>
              <w:tblLook w:val="04A0" w:firstRow="1" w:lastRow="0" w:firstColumn="1" w:lastColumn="0" w:noHBand="0" w:noVBand="1"/>
              <w:tblDescription w:val="Table used for design layout"/>
            </w:tblPr>
            <w:tblGrid>
              <w:gridCol w:w="3522"/>
              <w:gridCol w:w="4950"/>
            </w:tblGrid>
            <w:tr w:rsidR="009F3E26" w14:paraId="1FB08510" w14:textId="77777777" w:rsidTr="001E4D46">
              <w:trPr>
                <w:tblHeader/>
              </w:trPr>
              <w:tc>
                <w:tcPr>
                  <w:tcW w:w="3522" w:type="dxa"/>
                  <w:tcMar>
                    <w:left w:w="0" w:type="dxa"/>
                  </w:tcMar>
                </w:tcPr>
                <w:p w14:paraId="1FB0850E" w14:textId="77777777" w:rsidR="009F3E26" w:rsidRDefault="009F3E26" w:rsidP="00415F39">
                  <w:pPr>
                    <w:pStyle w:val="Box"/>
                  </w:pPr>
                  <w:r>
                    <w:t>By email:</w:t>
                  </w:r>
                </w:p>
              </w:tc>
              <w:tc>
                <w:tcPr>
                  <w:tcW w:w="4950" w:type="dxa"/>
                </w:tcPr>
                <w:p w14:paraId="1FB0850F" w14:textId="49C31008" w:rsidR="009F3E26" w:rsidRDefault="00C94B96" w:rsidP="00C94B96">
                  <w:pPr>
                    <w:pStyle w:val="Box"/>
                  </w:pPr>
                  <w:proofErr w:type="spellStart"/>
                  <w:r>
                    <w:t>e</w:t>
                  </w:r>
                  <w:r w:rsidR="00D47674">
                    <w:t>ducation.</w:t>
                  </w:r>
                  <w:r>
                    <w:t>e</w:t>
                  </w:r>
                  <w:r w:rsidR="00D47674">
                    <w:t>vidence</w:t>
                  </w:r>
                  <w:r w:rsidR="009F3E26">
                    <w:t>@pc.gov.au</w:t>
                  </w:r>
                  <w:proofErr w:type="spellEnd"/>
                </w:p>
              </w:tc>
            </w:tr>
            <w:tr w:rsidR="009F3E26" w14:paraId="1FB08515" w14:textId="77777777" w:rsidTr="00EC0A05">
              <w:tc>
                <w:tcPr>
                  <w:tcW w:w="3522" w:type="dxa"/>
                  <w:tcMar>
                    <w:left w:w="0" w:type="dxa"/>
                  </w:tcMar>
                </w:tcPr>
                <w:p w14:paraId="1FB08511" w14:textId="77777777" w:rsidR="009F3E26" w:rsidRDefault="009F3E26" w:rsidP="00DB2AE0">
                  <w:pPr>
                    <w:pStyle w:val="Box"/>
                    <w:spacing w:before="60"/>
                    <w:jc w:val="left"/>
                  </w:pPr>
                  <w:r>
                    <w:t>By post:</w:t>
                  </w:r>
                </w:p>
              </w:tc>
              <w:tc>
                <w:tcPr>
                  <w:tcW w:w="4950" w:type="dxa"/>
                </w:tcPr>
                <w:p w14:paraId="1FB08512" w14:textId="77777777" w:rsidR="00D47674" w:rsidRDefault="00D47674" w:rsidP="00D47674">
                  <w:pPr>
                    <w:pStyle w:val="Box"/>
                    <w:spacing w:before="60"/>
                    <w:jc w:val="left"/>
                  </w:pPr>
                  <w:r>
                    <w:t xml:space="preserve">National </w:t>
                  </w:r>
                  <w:r w:rsidR="00600C04">
                    <w:t xml:space="preserve">Education Evidence </w:t>
                  </w:r>
                  <w:r>
                    <w:t>Base</w:t>
                  </w:r>
                </w:p>
                <w:p w14:paraId="1FB08513" w14:textId="77777777" w:rsidR="00D47674" w:rsidRDefault="009F3E26" w:rsidP="00D47674">
                  <w:pPr>
                    <w:pStyle w:val="Box"/>
                    <w:spacing w:before="60"/>
                    <w:jc w:val="left"/>
                  </w:pPr>
                  <w:r>
                    <w:t>Productivity Commission</w:t>
                  </w:r>
                  <w:r>
                    <w:br/>
                  </w:r>
                  <w:r w:rsidR="00D47674" w:rsidRPr="00D47674">
                    <w:t xml:space="preserve">Locked Bag 2, Collins St East PO </w:t>
                  </w:r>
                </w:p>
                <w:p w14:paraId="1FB08514" w14:textId="77777777" w:rsidR="009F3E26" w:rsidRDefault="00D47674" w:rsidP="00D47674">
                  <w:pPr>
                    <w:pStyle w:val="Box"/>
                    <w:spacing w:before="60"/>
                    <w:jc w:val="left"/>
                  </w:pPr>
                  <w:r w:rsidRPr="00D47674">
                    <w:t>Melbourne VIC 8003</w:t>
                  </w:r>
                </w:p>
              </w:tc>
            </w:tr>
          </w:tbl>
          <w:p w14:paraId="1FB08516" w14:textId="77777777" w:rsidR="00415F39" w:rsidRDefault="00415F39" w:rsidP="009F3E26">
            <w:pPr>
              <w:pStyle w:val="BoxHeading1"/>
            </w:pPr>
            <w:r>
              <w:t>Contacts</w:t>
            </w:r>
          </w:p>
          <w:tbl>
            <w:tblPr>
              <w:tblW w:w="0" w:type="auto"/>
              <w:tblLayout w:type="fixed"/>
              <w:tblLook w:val="04A0" w:firstRow="1" w:lastRow="0" w:firstColumn="1" w:lastColumn="0" w:noHBand="0" w:noVBand="1"/>
              <w:tblDescription w:val="Table used for design layout"/>
            </w:tblPr>
            <w:tblGrid>
              <w:gridCol w:w="3522"/>
              <w:gridCol w:w="2268"/>
              <w:gridCol w:w="2682"/>
            </w:tblGrid>
            <w:tr w:rsidR="009F3E26" w14:paraId="1FB0851A" w14:textId="77777777" w:rsidTr="001E4D46">
              <w:trPr>
                <w:tblHeader/>
              </w:trPr>
              <w:tc>
                <w:tcPr>
                  <w:tcW w:w="3522" w:type="dxa"/>
                  <w:tcMar>
                    <w:left w:w="0" w:type="dxa"/>
                  </w:tcMar>
                </w:tcPr>
                <w:p w14:paraId="1FB08517" w14:textId="77777777" w:rsidR="009F3E26" w:rsidRDefault="009F3E26" w:rsidP="00415F39">
                  <w:pPr>
                    <w:pStyle w:val="Box"/>
                  </w:pPr>
                  <w:r>
                    <w:t>Administrative matters:</w:t>
                  </w:r>
                </w:p>
              </w:tc>
              <w:tc>
                <w:tcPr>
                  <w:tcW w:w="2268" w:type="dxa"/>
                </w:tcPr>
                <w:p w14:paraId="1FB08518" w14:textId="77777777" w:rsidR="009F3E26" w:rsidRDefault="00BA1804" w:rsidP="00415F39">
                  <w:pPr>
                    <w:pStyle w:val="Box"/>
                  </w:pPr>
                  <w:r>
                    <w:t>Yvette Goss</w:t>
                  </w:r>
                </w:p>
              </w:tc>
              <w:tc>
                <w:tcPr>
                  <w:tcW w:w="2682" w:type="dxa"/>
                </w:tcPr>
                <w:p w14:paraId="1FB08519" w14:textId="77777777" w:rsidR="009F3E26" w:rsidRDefault="009F3E26" w:rsidP="00BA1804">
                  <w:pPr>
                    <w:pStyle w:val="Box"/>
                  </w:pPr>
                  <w:proofErr w:type="spellStart"/>
                  <w:r>
                    <w:t>Ph</w:t>
                  </w:r>
                  <w:proofErr w:type="spellEnd"/>
                  <w:r>
                    <w:t xml:space="preserve">: </w:t>
                  </w:r>
                  <w:r w:rsidR="00BA1804" w:rsidRPr="00BA1804">
                    <w:t>03 9653</w:t>
                  </w:r>
                  <w:r w:rsidR="00BA1804">
                    <w:t xml:space="preserve"> </w:t>
                  </w:r>
                  <w:r w:rsidR="00BA1804" w:rsidRPr="00BA1804">
                    <w:t>2253</w:t>
                  </w:r>
                </w:p>
              </w:tc>
            </w:tr>
            <w:tr w:rsidR="009F3E26" w14:paraId="1FB0851E" w14:textId="77777777" w:rsidTr="00EC0A05">
              <w:tc>
                <w:tcPr>
                  <w:tcW w:w="3522" w:type="dxa"/>
                  <w:tcMar>
                    <w:left w:w="0" w:type="dxa"/>
                  </w:tcMar>
                </w:tcPr>
                <w:p w14:paraId="1FB0851B" w14:textId="77777777" w:rsidR="009F3E26" w:rsidRDefault="009F3E26" w:rsidP="00DB2AE0">
                  <w:pPr>
                    <w:pStyle w:val="Box"/>
                    <w:spacing w:before="60"/>
                  </w:pPr>
                  <w:r>
                    <w:t>Other matters:</w:t>
                  </w:r>
                </w:p>
              </w:tc>
              <w:tc>
                <w:tcPr>
                  <w:tcW w:w="2268" w:type="dxa"/>
                </w:tcPr>
                <w:p w14:paraId="1FB0851C" w14:textId="77777777" w:rsidR="009F3E26" w:rsidRDefault="006E66DA" w:rsidP="00DB2AE0">
                  <w:pPr>
                    <w:pStyle w:val="Box"/>
                    <w:spacing w:before="60"/>
                  </w:pPr>
                  <w:r>
                    <w:t>David Garner</w:t>
                  </w:r>
                </w:p>
              </w:tc>
              <w:tc>
                <w:tcPr>
                  <w:tcW w:w="2682" w:type="dxa"/>
                </w:tcPr>
                <w:p w14:paraId="1FB0851D" w14:textId="77777777" w:rsidR="009F3E26" w:rsidRDefault="009F3E26" w:rsidP="006E66DA">
                  <w:pPr>
                    <w:pStyle w:val="Box"/>
                    <w:spacing w:before="60"/>
                  </w:pPr>
                  <w:proofErr w:type="spellStart"/>
                  <w:r>
                    <w:t>Ph</w:t>
                  </w:r>
                  <w:proofErr w:type="spellEnd"/>
                  <w:r>
                    <w:t xml:space="preserve">: </w:t>
                  </w:r>
                  <w:r w:rsidR="006E66DA">
                    <w:t xml:space="preserve">03 </w:t>
                  </w:r>
                  <w:r w:rsidR="006E66DA" w:rsidRPr="006E66DA">
                    <w:t>9653</w:t>
                  </w:r>
                  <w:r w:rsidR="006E66DA">
                    <w:t xml:space="preserve"> </w:t>
                  </w:r>
                  <w:r w:rsidR="006E66DA" w:rsidRPr="006E66DA">
                    <w:t>2227</w:t>
                  </w:r>
                </w:p>
              </w:tc>
            </w:tr>
            <w:tr w:rsidR="009F3E26" w14:paraId="1FB08522" w14:textId="77777777" w:rsidTr="00EC0A05">
              <w:tc>
                <w:tcPr>
                  <w:tcW w:w="3522" w:type="dxa"/>
                  <w:tcMar>
                    <w:left w:w="0" w:type="dxa"/>
                  </w:tcMar>
                </w:tcPr>
                <w:p w14:paraId="1FB0851F" w14:textId="77777777" w:rsidR="009F3E26" w:rsidRDefault="009F3E26" w:rsidP="00DB2AE0">
                  <w:pPr>
                    <w:pStyle w:val="Box"/>
                    <w:spacing w:before="60"/>
                  </w:pPr>
                  <w:proofErr w:type="spellStart"/>
                  <w:r>
                    <w:t>Freecall</w:t>
                  </w:r>
                  <w:proofErr w:type="spellEnd"/>
                  <w:r>
                    <w:t xml:space="preserve"> number for regional areas:</w:t>
                  </w:r>
                </w:p>
              </w:tc>
              <w:tc>
                <w:tcPr>
                  <w:tcW w:w="2268" w:type="dxa"/>
                </w:tcPr>
                <w:p w14:paraId="1FB08520" w14:textId="77777777" w:rsidR="009F3E26" w:rsidRDefault="009F3E26" w:rsidP="00DB2AE0">
                  <w:pPr>
                    <w:pStyle w:val="Box"/>
                    <w:spacing w:before="60"/>
                  </w:pPr>
                  <w:r>
                    <w:t>1800 020 083</w:t>
                  </w:r>
                </w:p>
              </w:tc>
              <w:tc>
                <w:tcPr>
                  <w:tcW w:w="2682" w:type="dxa"/>
                </w:tcPr>
                <w:p w14:paraId="1FB08521" w14:textId="77777777" w:rsidR="009F3E26" w:rsidRDefault="009F3E26" w:rsidP="00DB2AE0">
                  <w:pPr>
                    <w:pStyle w:val="Box"/>
                    <w:spacing w:before="60"/>
                  </w:pPr>
                </w:p>
              </w:tc>
            </w:tr>
            <w:tr w:rsidR="009F3E26" w14:paraId="1FB08526" w14:textId="77777777" w:rsidTr="00EC0A05">
              <w:tc>
                <w:tcPr>
                  <w:tcW w:w="3522" w:type="dxa"/>
                  <w:tcMar>
                    <w:left w:w="0" w:type="dxa"/>
                  </w:tcMar>
                </w:tcPr>
                <w:p w14:paraId="1FB08523" w14:textId="77777777" w:rsidR="009F3E26" w:rsidRDefault="009F3E26" w:rsidP="00DB2AE0">
                  <w:pPr>
                    <w:pStyle w:val="Box"/>
                    <w:spacing w:before="60"/>
                  </w:pPr>
                  <w:r>
                    <w:t>Website</w:t>
                  </w:r>
                  <w:r w:rsidR="00FB20A0">
                    <w:t>:</w:t>
                  </w:r>
                </w:p>
              </w:tc>
              <w:tc>
                <w:tcPr>
                  <w:tcW w:w="2268" w:type="dxa"/>
                </w:tcPr>
                <w:p w14:paraId="1FB08524" w14:textId="77777777" w:rsidR="009F3E26" w:rsidRPr="009F3E26" w:rsidRDefault="009F3E26" w:rsidP="00DB2AE0">
                  <w:pPr>
                    <w:pStyle w:val="Box"/>
                    <w:spacing w:before="60"/>
                    <w:rPr>
                      <w:b/>
                    </w:rPr>
                  </w:pPr>
                  <w:proofErr w:type="spellStart"/>
                  <w:r w:rsidRPr="009F3E26">
                    <w:rPr>
                      <w:b/>
                    </w:rPr>
                    <w:t>www.pc.gov.au</w:t>
                  </w:r>
                  <w:proofErr w:type="spellEnd"/>
                </w:p>
              </w:tc>
              <w:tc>
                <w:tcPr>
                  <w:tcW w:w="2682" w:type="dxa"/>
                </w:tcPr>
                <w:p w14:paraId="1FB08525" w14:textId="77777777" w:rsidR="009F3E26" w:rsidRDefault="009F3E26" w:rsidP="00DB2AE0">
                  <w:pPr>
                    <w:pStyle w:val="Box"/>
                    <w:spacing w:before="60"/>
                  </w:pPr>
                </w:p>
              </w:tc>
            </w:tr>
          </w:tbl>
          <w:p w14:paraId="1FB08527" w14:textId="77777777" w:rsidR="00415F39" w:rsidRDefault="00415F39" w:rsidP="009F3E26">
            <w:pPr>
              <w:pStyle w:val="Box"/>
            </w:pPr>
          </w:p>
        </w:tc>
      </w:tr>
      <w:tr w:rsidR="00415F39" w14:paraId="1FB0852A" w14:textId="77777777" w:rsidTr="001E4D46">
        <w:tc>
          <w:tcPr>
            <w:tcW w:w="8771" w:type="dxa"/>
            <w:tcBorders>
              <w:top w:val="nil"/>
              <w:left w:val="nil"/>
              <w:bottom w:val="single" w:sz="6" w:space="0" w:color="78A22F"/>
              <w:right w:val="nil"/>
            </w:tcBorders>
            <w:shd w:val="clear" w:color="auto" w:fill="F2F2F2" w:themeFill="background1" w:themeFillShade="F2"/>
          </w:tcPr>
          <w:p w14:paraId="1FB08529" w14:textId="77777777" w:rsidR="00415F39" w:rsidRDefault="00415F39" w:rsidP="00E13F25">
            <w:pPr>
              <w:pStyle w:val="Box"/>
              <w:spacing w:before="0" w:line="120" w:lineRule="exact"/>
            </w:pPr>
          </w:p>
        </w:tc>
      </w:tr>
    </w:tbl>
    <w:p w14:paraId="1FB0852B"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14:paraId="1FB0852D" w14:textId="77777777" w:rsidTr="001E4D46">
        <w:trPr>
          <w:tblHeader/>
        </w:trPr>
        <w:tc>
          <w:tcPr>
            <w:tcW w:w="8771" w:type="dxa"/>
            <w:tcBorders>
              <w:top w:val="single" w:sz="6" w:space="0" w:color="78A22F"/>
              <w:left w:val="nil"/>
              <w:bottom w:val="nil"/>
              <w:right w:val="nil"/>
            </w:tcBorders>
            <w:shd w:val="clear" w:color="auto" w:fill="F2F2F2" w:themeFill="background1" w:themeFillShade="F2"/>
          </w:tcPr>
          <w:p w14:paraId="1FB0852C" w14:textId="77777777" w:rsidR="00415F39" w:rsidRPr="008A3857" w:rsidRDefault="00415F39" w:rsidP="00E13F25">
            <w:pPr>
              <w:pStyle w:val="BoxTitle"/>
              <w:rPr>
                <w:sz w:val="22"/>
                <w:szCs w:val="22"/>
              </w:rPr>
            </w:pPr>
            <w:r w:rsidRPr="008A3857">
              <w:rPr>
                <w:sz w:val="22"/>
                <w:szCs w:val="22"/>
              </w:rPr>
              <w:t>The Productivity Commission</w:t>
            </w:r>
          </w:p>
        </w:tc>
      </w:tr>
      <w:tr w:rsidR="00415F39" w14:paraId="1FB08531" w14:textId="77777777" w:rsidTr="00E13F25">
        <w:trPr>
          <w:cantSplit/>
        </w:trPr>
        <w:tc>
          <w:tcPr>
            <w:tcW w:w="8771" w:type="dxa"/>
            <w:tcBorders>
              <w:top w:val="nil"/>
              <w:left w:val="nil"/>
              <w:bottom w:val="nil"/>
              <w:right w:val="nil"/>
            </w:tcBorders>
            <w:shd w:val="clear" w:color="auto" w:fill="F2F2F2" w:themeFill="background1" w:themeFillShade="F2"/>
          </w:tcPr>
          <w:p w14:paraId="1FB0852E" w14:textId="77777777" w:rsidR="00415F39" w:rsidRDefault="00415F39" w:rsidP="00E13F25">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1FB0852F" w14:textId="77777777" w:rsidR="00415F39" w:rsidRDefault="00415F39" w:rsidP="00E13F25">
            <w:pPr>
              <w:pStyle w:val="Box"/>
            </w:pPr>
            <w:r w:rsidRPr="00BB5DCF">
              <w:t>The Commission’s independence is underpinned by an Act of Parliament. Its processes and outputs are open to public scrutiny and are driven by concern for the wellbeing of the community as a whole.</w:t>
            </w:r>
          </w:p>
          <w:p w14:paraId="1FB08530" w14:textId="77777777" w:rsidR="00415F39" w:rsidRDefault="00415F39" w:rsidP="00E13F25">
            <w:pPr>
              <w:pStyle w:val="Box"/>
            </w:pPr>
            <w:r w:rsidRPr="00BB5DCF">
              <w:rPr>
                <w:szCs w:val="24"/>
              </w:rPr>
              <w:t>Further information on the Productivity Commission can be obtained from the Commission’s website (</w:t>
            </w:r>
            <w:proofErr w:type="spellStart"/>
            <w:r w:rsidRPr="00BB5DCF">
              <w:rPr>
                <w:szCs w:val="24"/>
              </w:rPr>
              <w:t>www.pc.gov.au</w:t>
            </w:r>
            <w:proofErr w:type="spellEnd"/>
            <w:r w:rsidRPr="00BB5DCF">
              <w:rPr>
                <w:szCs w:val="24"/>
              </w:rPr>
              <w:t>)</w:t>
            </w:r>
            <w:r>
              <w:rPr>
                <w:szCs w:val="24"/>
              </w:rPr>
              <w:t>.</w:t>
            </w:r>
          </w:p>
        </w:tc>
      </w:tr>
      <w:tr w:rsidR="00415F39" w14:paraId="1FB08533" w14:textId="77777777" w:rsidTr="00E13F25">
        <w:trPr>
          <w:cantSplit/>
        </w:trPr>
        <w:tc>
          <w:tcPr>
            <w:tcW w:w="8771" w:type="dxa"/>
            <w:tcBorders>
              <w:top w:val="nil"/>
              <w:left w:val="nil"/>
              <w:bottom w:val="single" w:sz="6" w:space="0" w:color="78A22F"/>
              <w:right w:val="nil"/>
            </w:tcBorders>
            <w:shd w:val="clear" w:color="auto" w:fill="F2F2F2" w:themeFill="background1" w:themeFillShade="F2"/>
          </w:tcPr>
          <w:p w14:paraId="1FB08532" w14:textId="77777777" w:rsidR="00415F39" w:rsidRDefault="00415F39" w:rsidP="00E13F25">
            <w:pPr>
              <w:pStyle w:val="Box"/>
              <w:spacing w:before="0" w:line="120" w:lineRule="exact"/>
            </w:pPr>
          </w:p>
        </w:tc>
      </w:tr>
    </w:tbl>
    <w:p w14:paraId="1FB08534" w14:textId="77777777" w:rsidR="00EC0A05" w:rsidRDefault="00EC0A05" w:rsidP="00EC0A05">
      <w:pPr>
        <w:pStyle w:val="BodyText"/>
      </w:pPr>
    </w:p>
    <w:p w14:paraId="1FB08535" w14:textId="77777777" w:rsidR="00EC0A05" w:rsidRPr="00415F39" w:rsidRDefault="00EC0A05" w:rsidP="00EC0A05">
      <w:pPr>
        <w:pStyle w:val="BodyText"/>
        <w:sectPr w:rsidR="00EC0A05" w:rsidRPr="00415F39" w:rsidSect="005940EC">
          <w:headerReference w:type="default" r:id="rId15"/>
          <w:footerReference w:type="default" r:id="rId16"/>
          <w:type w:val="continuous"/>
          <w:pgSz w:w="11907" w:h="16840" w:code="9"/>
          <w:pgMar w:top="1560" w:right="1304" w:bottom="851" w:left="1814" w:header="1276" w:footer="397" w:gutter="0"/>
          <w:pgNumType w:fmt="lowerRoman" w:chapSep="period"/>
          <w:cols w:space="720"/>
          <w:titlePg/>
        </w:sectPr>
      </w:pPr>
    </w:p>
    <w:p w14:paraId="1FB08536" w14:textId="77777777" w:rsidR="00EC0A05" w:rsidRDefault="00EC0A05" w:rsidP="00926D85">
      <w:pPr>
        <w:pStyle w:val="Heading2"/>
      </w:pPr>
      <w:bookmarkStart w:id="2" w:name="_Toc445126235"/>
      <w:bookmarkStart w:id="3" w:name="_Toc445283694"/>
      <w:bookmarkStart w:id="4" w:name="_Toc445286458"/>
      <w:bookmarkStart w:id="5" w:name="_Toc445300699"/>
      <w:bookmarkStart w:id="6" w:name="_Toc447277526"/>
      <w:bookmarkStart w:id="7" w:name="_Toc447713296"/>
      <w:bookmarkStart w:id="8" w:name="_Toc447720151"/>
      <w:r>
        <w:lastRenderedPageBreak/>
        <w:t>Terms of reference</w:t>
      </w:r>
      <w:bookmarkEnd w:id="2"/>
      <w:bookmarkEnd w:id="3"/>
      <w:bookmarkEnd w:id="4"/>
      <w:bookmarkEnd w:id="5"/>
      <w:bookmarkEnd w:id="6"/>
      <w:bookmarkEnd w:id="7"/>
      <w:bookmarkEnd w:id="8"/>
    </w:p>
    <w:p w14:paraId="1FB08537" w14:textId="77777777" w:rsidR="00D06070" w:rsidRPr="00D06070" w:rsidRDefault="00F17B81" w:rsidP="00D06070">
      <w:pPr>
        <w:pStyle w:val="BodyText"/>
        <w:jc w:val="center"/>
        <w:rPr>
          <w:b/>
        </w:rPr>
      </w:pPr>
      <w:r w:rsidRPr="00F17B81">
        <w:rPr>
          <w:b/>
        </w:rPr>
        <w:t>Productivity Commission Inquiry into the National Education Evidence Base</w:t>
      </w:r>
    </w:p>
    <w:p w14:paraId="1FB08538" w14:textId="77777777" w:rsidR="00D06070" w:rsidRDefault="00D06070" w:rsidP="00D06070">
      <w:pPr>
        <w:spacing w:after="240"/>
        <w:rPr>
          <w:szCs w:val="20"/>
        </w:rPr>
      </w:pPr>
    </w:p>
    <w:p w14:paraId="1FB08539" w14:textId="77777777" w:rsidR="00D06070" w:rsidRPr="00593667" w:rsidRDefault="00D06070" w:rsidP="00D06070">
      <w:pPr>
        <w:spacing w:after="240"/>
        <w:rPr>
          <w:szCs w:val="20"/>
        </w:rPr>
      </w:pPr>
      <w:r w:rsidRPr="00593667">
        <w:rPr>
          <w:szCs w:val="20"/>
        </w:rPr>
        <w:t xml:space="preserve">I, </w:t>
      </w:r>
      <w:r w:rsidR="00831143" w:rsidRPr="00593667">
        <w:rPr>
          <w:szCs w:val="20"/>
        </w:rPr>
        <w:t>SCOTT MORRISON</w:t>
      </w:r>
      <w:r w:rsidRPr="00593667">
        <w:rPr>
          <w:szCs w:val="20"/>
        </w:rPr>
        <w:t>, Treasurer, pursuant to Parts 2 and 3 of the Productivity Commission Act 1998, hereby request that the Productivity Commission undertake an inquiry into the further development of the national evidence base for school and early childhood education.</w:t>
      </w:r>
    </w:p>
    <w:p w14:paraId="1FB0853A" w14:textId="77777777" w:rsidR="00D06070" w:rsidRPr="00593667" w:rsidRDefault="00D06070" w:rsidP="00D06070">
      <w:pPr>
        <w:spacing w:after="240"/>
        <w:rPr>
          <w:b/>
          <w:szCs w:val="20"/>
        </w:rPr>
      </w:pPr>
      <w:r w:rsidRPr="00593667">
        <w:rPr>
          <w:b/>
          <w:szCs w:val="20"/>
        </w:rPr>
        <w:t xml:space="preserve">Background </w:t>
      </w:r>
    </w:p>
    <w:p w14:paraId="1FB0853B" w14:textId="77777777" w:rsidR="00D06070" w:rsidRPr="00593667" w:rsidRDefault="00D06070" w:rsidP="00D06070">
      <w:pPr>
        <w:spacing w:after="240"/>
        <w:rPr>
          <w:szCs w:val="20"/>
        </w:rPr>
      </w:pPr>
      <w:r w:rsidRPr="00593667">
        <w:rPr>
          <w:szCs w:val="20"/>
        </w:rPr>
        <w:t>The Australian Government is committed to working collaboratively with the states and territories to build a world-class education system that equips children to succeed in an increasingly competitive world. Having comprehensive and consistent data that underpins a national evidence base will inform education policy and help improve educational outcomes for children.</w:t>
      </w:r>
    </w:p>
    <w:p w14:paraId="1FB0853C" w14:textId="77777777" w:rsidR="00D06070" w:rsidRPr="00593667" w:rsidRDefault="00D06070" w:rsidP="00D06070">
      <w:pPr>
        <w:spacing w:after="240"/>
        <w:rPr>
          <w:szCs w:val="20"/>
        </w:rPr>
      </w:pPr>
      <w:r w:rsidRPr="00593667">
        <w:rPr>
          <w:szCs w:val="20"/>
        </w:rPr>
        <w:t>While a significant amount of data is currently collected on students, schools and the workforce, data reported nationally is more limited and often inconsistent. Valuable data is also collected outside schools, including in early childhood education and care. Improved access and greater ability to link and analyse national data could enhance the quality and scope of national education evidence that can be used to monitor educational outcomes and inform policy development and evaluation.</w:t>
      </w:r>
    </w:p>
    <w:p w14:paraId="1FB0853D" w14:textId="77777777" w:rsidR="00D06070" w:rsidRPr="00593667" w:rsidRDefault="00D06070" w:rsidP="00D06070">
      <w:pPr>
        <w:spacing w:after="240"/>
        <w:rPr>
          <w:szCs w:val="20"/>
        </w:rPr>
      </w:pPr>
      <w:r w:rsidRPr="00593667">
        <w:rPr>
          <w:szCs w:val="20"/>
        </w:rPr>
        <w:t>Through consultation with states and territories, education authorities and other key stakeholders, this Inquiry will help to identify current investment in national data collection and education evidence, opportunities to collectively invest further, and how we can improve the effectiveness of our investment through a more streamlined, comprehensive and collaborative national approach.</w:t>
      </w:r>
    </w:p>
    <w:p w14:paraId="1FB0853E" w14:textId="77777777" w:rsidR="00D06070" w:rsidRPr="00593667" w:rsidRDefault="00D06070" w:rsidP="00D06070">
      <w:pPr>
        <w:spacing w:after="240"/>
        <w:rPr>
          <w:szCs w:val="20"/>
        </w:rPr>
      </w:pPr>
      <w:r w:rsidRPr="00593667">
        <w:rPr>
          <w:szCs w:val="20"/>
        </w:rPr>
        <w:t>Improving the collection and management of education data in Australia will assist to create a more robust national education evidence base for effective policy and program development to meet our national education objectives and lift our national productivity.</w:t>
      </w:r>
    </w:p>
    <w:p w14:paraId="1FB0853F" w14:textId="77777777" w:rsidR="00D06070" w:rsidRPr="00593667" w:rsidRDefault="00D06070" w:rsidP="00D06070">
      <w:pPr>
        <w:spacing w:after="240"/>
        <w:rPr>
          <w:b/>
          <w:szCs w:val="20"/>
        </w:rPr>
      </w:pPr>
      <w:r w:rsidRPr="00593667">
        <w:rPr>
          <w:b/>
          <w:szCs w:val="20"/>
        </w:rPr>
        <w:t>Scope of the Inquiry</w:t>
      </w:r>
    </w:p>
    <w:p w14:paraId="1FB08540" w14:textId="77777777" w:rsidR="00D06070" w:rsidRPr="00593667" w:rsidRDefault="00D06070" w:rsidP="00D06070">
      <w:pPr>
        <w:spacing w:after="240"/>
        <w:rPr>
          <w:szCs w:val="20"/>
        </w:rPr>
      </w:pPr>
      <w:r w:rsidRPr="00593667">
        <w:rPr>
          <w:szCs w:val="20"/>
        </w:rPr>
        <w:t>The Commission is to provide advice on the refinement of the national approach to collecting and using data for early childhood education and care and schools, and other information as relevant, to improve Australia’s educational outcomes.</w:t>
      </w:r>
    </w:p>
    <w:p w14:paraId="1FB08541" w14:textId="77777777" w:rsidR="00D06070" w:rsidRPr="00593667" w:rsidRDefault="00D06070" w:rsidP="00D06070">
      <w:pPr>
        <w:spacing w:after="240"/>
        <w:rPr>
          <w:szCs w:val="20"/>
        </w:rPr>
      </w:pPr>
      <w:r w:rsidRPr="00593667">
        <w:rPr>
          <w:szCs w:val="20"/>
        </w:rPr>
        <w:t>In undertaking this Inquiry, the Commission should use evidence from Australia and overseas to report on and make recommendations about:</w:t>
      </w:r>
    </w:p>
    <w:p w14:paraId="1FB08542" w14:textId="26A26F20" w:rsidR="00D06070" w:rsidRPr="00593667" w:rsidRDefault="00D06070" w:rsidP="00D06070">
      <w:pPr>
        <w:numPr>
          <w:ilvl w:val="0"/>
          <w:numId w:val="26"/>
        </w:numPr>
        <w:spacing w:after="240"/>
        <w:ind w:left="1134" w:hanging="567"/>
        <w:rPr>
          <w:szCs w:val="20"/>
        </w:rPr>
      </w:pPr>
      <w:r w:rsidRPr="00593667">
        <w:rPr>
          <w:szCs w:val="20"/>
        </w:rPr>
        <w:t>The information required to provide a comprehensive evidence base to inform policy development in early learning and school education now and in the future. This includes consideration of current data holdings at a national, state and sectoral level, their effectiveness in supporting educational outcomes, and the long term vision for such educational data holdings.</w:t>
      </w:r>
    </w:p>
    <w:p w14:paraId="1FB08543" w14:textId="77777777" w:rsidR="00D06070" w:rsidRPr="00593667" w:rsidRDefault="00D06070" w:rsidP="00D06070">
      <w:pPr>
        <w:numPr>
          <w:ilvl w:val="0"/>
          <w:numId w:val="26"/>
        </w:numPr>
        <w:spacing w:after="240"/>
        <w:ind w:left="1134" w:hanging="567"/>
        <w:rPr>
          <w:szCs w:val="20"/>
        </w:rPr>
      </w:pPr>
      <w:r w:rsidRPr="00593667">
        <w:rPr>
          <w:szCs w:val="20"/>
        </w:rPr>
        <w:lastRenderedPageBreak/>
        <w:t>What additional information could be considered and how it might add value to the existing evidence base. This may include data concerning non-cognitive skills, and information from other sectors, including but not be limited to: employment, health, social services, early childhood and higher education.</w:t>
      </w:r>
    </w:p>
    <w:p w14:paraId="1FB08544" w14:textId="77777777" w:rsidR="00D06070" w:rsidRPr="00593667" w:rsidRDefault="00D06070" w:rsidP="00D06070">
      <w:pPr>
        <w:numPr>
          <w:ilvl w:val="0"/>
          <w:numId w:val="26"/>
        </w:numPr>
        <w:spacing w:after="240"/>
        <w:ind w:left="1134" w:hanging="567"/>
        <w:rPr>
          <w:szCs w:val="20"/>
        </w:rPr>
      </w:pPr>
      <w:r w:rsidRPr="00593667">
        <w:rPr>
          <w:szCs w:val="20"/>
        </w:rPr>
        <w:t>Existing or potential barriers to the sharing of education (and other relevant) data and how these can be overcome. Considerations should include, but not be limited to: privacy concerns, costs, technological capacity, sector-based sensitivities, national and jurisdictional data governance structures and workforce capability.</w:t>
      </w:r>
    </w:p>
    <w:p w14:paraId="1FB08545" w14:textId="77777777" w:rsidR="00D06070" w:rsidRPr="00593667" w:rsidRDefault="00D06070" w:rsidP="00D06070">
      <w:pPr>
        <w:numPr>
          <w:ilvl w:val="0"/>
          <w:numId w:val="26"/>
        </w:numPr>
        <w:spacing w:after="240"/>
        <w:ind w:left="1134" w:hanging="567"/>
        <w:rPr>
          <w:szCs w:val="20"/>
        </w:rPr>
      </w:pPr>
      <w:r w:rsidRPr="00593667">
        <w:rPr>
          <w:szCs w:val="20"/>
        </w:rPr>
        <w:t>Factors that inhibit access to, and consistency of, education-relevant data to support analysis and evidence-based policy development. Considerations should include, but not be limited to: privacy concerns, legislative and technical frameworks, national and jurisdictional data governance structures, workforce research and analytical capabilities, stakeholder engagement, sector-based sensitivities and implementation timeframes.</w:t>
      </w:r>
    </w:p>
    <w:p w14:paraId="1FB08546" w14:textId="77777777" w:rsidR="00D06070" w:rsidRPr="00593667" w:rsidRDefault="00D06070" w:rsidP="00D06070">
      <w:pPr>
        <w:numPr>
          <w:ilvl w:val="0"/>
          <w:numId w:val="26"/>
        </w:numPr>
        <w:spacing w:after="240"/>
        <w:ind w:left="1134" w:hanging="567"/>
        <w:rPr>
          <w:szCs w:val="20"/>
        </w:rPr>
      </w:pPr>
      <w:r w:rsidRPr="00593667">
        <w:rPr>
          <w:szCs w:val="20"/>
        </w:rPr>
        <w:t>The role technology and mobile devices can play on the scope, quality and timeliness of data collection and reporting.</w:t>
      </w:r>
    </w:p>
    <w:p w14:paraId="1FB08547" w14:textId="2B249DCB" w:rsidR="00D06070" w:rsidRPr="00593667" w:rsidRDefault="00D06070" w:rsidP="00D06070">
      <w:pPr>
        <w:numPr>
          <w:ilvl w:val="0"/>
          <w:numId w:val="26"/>
        </w:numPr>
        <w:spacing w:after="240"/>
        <w:ind w:left="1134" w:hanging="567"/>
        <w:rPr>
          <w:szCs w:val="20"/>
        </w:rPr>
      </w:pPr>
      <w:r w:rsidRPr="00593667">
        <w:rPr>
          <w:szCs w:val="20"/>
        </w:rPr>
        <w:t xml:space="preserve">The costs and benefits of options for improvements to the national education evidence base including the administrative and financial impacts on schools and early childhood education and care providers of any suggested change in data collection practices. Consideration should include what opportunities exist to </w:t>
      </w:r>
      <w:r w:rsidRPr="00593667">
        <w:rPr>
          <w:color w:val="000000"/>
          <w:spacing w:val="3"/>
          <w:szCs w:val="20"/>
        </w:rPr>
        <w:t>apply efficiencies to exi</w:t>
      </w:r>
      <w:r w:rsidR="009D05E4">
        <w:rPr>
          <w:color w:val="000000"/>
          <w:spacing w:val="3"/>
          <w:szCs w:val="20"/>
        </w:rPr>
        <w:t>sting</w:t>
      </w:r>
      <w:r w:rsidRPr="00593667">
        <w:rPr>
          <w:color w:val="000000"/>
          <w:spacing w:val="3"/>
          <w:szCs w:val="20"/>
        </w:rPr>
        <w:t xml:space="preserve"> data collection</w:t>
      </w:r>
      <w:r w:rsidRPr="00593667">
        <w:rPr>
          <w:szCs w:val="20"/>
        </w:rPr>
        <w:t>.</w:t>
      </w:r>
    </w:p>
    <w:p w14:paraId="1FB08548" w14:textId="77777777" w:rsidR="00D06070" w:rsidRPr="00593667" w:rsidRDefault="00D06070" w:rsidP="00D06070">
      <w:pPr>
        <w:numPr>
          <w:ilvl w:val="0"/>
          <w:numId w:val="26"/>
        </w:numPr>
        <w:spacing w:after="240"/>
        <w:ind w:left="1134" w:hanging="567"/>
        <w:rPr>
          <w:szCs w:val="20"/>
        </w:rPr>
      </w:pPr>
      <w:r w:rsidRPr="00593667">
        <w:rPr>
          <w:szCs w:val="20"/>
        </w:rPr>
        <w:t>How Australian and overseas governments have approached the use of evidence and sharing data to improve outcomes (in education and non-education sectors) and the potential benefits and challenges of adopting these practices in the Australian education context.</w:t>
      </w:r>
    </w:p>
    <w:p w14:paraId="1FB08549" w14:textId="77777777" w:rsidR="00D06070" w:rsidRPr="00593667" w:rsidRDefault="00D06070" w:rsidP="00D06070">
      <w:pPr>
        <w:spacing w:after="240"/>
        <w:rPr>
          <w:b/>
          <w:szCs w:val="20"/>
        </w:rPr>
      </w:pPr>
      <w:r w:rsidRPr="00593667">
        <w:rPr>
          <w:b/>
          <w:szCs w:val="20"/>
        </w:rPr>
        <w:t>Process</w:t>
      </w:r>
    </w:p>
    <w:p w14:paraId="1FB0854A" w14:textId="77777777" w:rsidR="00D06070" w:rsidRPr="00593667" w:rsidRDefault="00D06070" w:rsidP="00D06070">
      <w:pPr>
        <w:spacing w:after="240"/>
        <w:rPr>
          <w:szCs w:val="20"/>
        </w:rPr>
      </w:pPr>
      <w:r w:rsidRPr="00593667">
        <w:rPr>
          <w:szCs w:val="20"/>
        </w:rPr>
        <w:t>The Commission is to undertake a public consultation process, including holding hearings, inviting key stakeholder and public submissions, and releasing a draft report.</w:t>
      </w:r>
    </w:p>
    <w:p w14:paraId="1FB0854B" w14:textId="77777777" w:rsidR="00D06070" w:rsidRDefault="00D06070" w:rsidP="00D06070">
      <w:pPr>
        <w:spacing w:after="240"/>
        <w:rPr>
          <w:szCs w:val="20"/>
        </w:rPr>
      </w:pPr>
      <w:r w:rsidRPr="00593667">
        <w:rPr>
          <w:szCs w:val="20"/>
        </w:rPr>
        <w:t>The final report should be provided within nine months of receipt of these terms of reference.</w:t>
      </w:r>
    </w:p>
    <w:p w14:paraId="1FB0854C" w14:textId="77777777" w:rsidR="006E04A6" w:rsidRPr="00593667" w:rsidRDefault="006E04A6" w:rsidP="00D06070">
      <w:pPr>
        <w:spacing w:after="240"/>
        <w:rPr>
          <w:szCs w:val="20"/>
        </w:rPr>
      </w:pPr>
    </w:p>
    <w:p w14:paraId="1FB0854D" w14:textId="77777777" w:rsidR="00EC0A05" w:rsidRDefault="000C02F6" w:rsidP="00EC0A05">
      <w:pPr>
        <w:pStyle w:val="BodyText"/>
        <w:rPr>
          <w:lang w:eastAsia="en-US"/>
        </w:rPr>
      </w:pPr>
      <w:r w:rsidRPr="00593667">
        <w:t>SCOTT MORRISON</w:t>
      </w:r>
    </w:p>
    <w:p w14:paraId="1FB0854E" w14:textId="77777777" w:rsidR="000C02F6" w:rsidRDefault="000C02F6" w:rsidP="00EC0A05">
      <w:pPr>
        <w:pStyle w:val="BodyText"/>
        <w:spacing w:before="0"/>
        <w:rPr>
          <w:lang w:eastAsia="en-US"/>
        </w:rPr>
      </w:pPr>
    </w:p>
    <w:p w14:paraId="1FB08550" w14:textId="05140976" w:rsidR="00DB26D2" w:rsidRDefault="00C7600E" w:rsidP="001C5111">
      <w:pPr>
        <w:pStyle w:val="BodyText"/>
      </w:pPr>
      <w:r w:rsidRPr="00606160">
        <w:t>11 March 2016</w:t>
      </w:r>
      <w:bookmarkStart w:id="9" w:name="begin"/>
      <w:bookmarkEnd w:id="0"/>
      <w:bookmarkEnd w:id="9"/>
    </w:p>
    <w:p w14:paraId="1FB08551" w14:textId="77777777" w:rsidR="00F52BE8" w:rsidRDefault="00F52BE8" w:rsidP="00F52BE8">
      <w:pPr>
        <w:pStyle w:val="Heading2"/>
      </w:pPr>
      <w:bookmarkStart w:id="10" w:name="_Toc445126236"/>
      <w:bookmarkStart w:id="11" w:name="_Toc445283695"/>
      <w:bookmarkStart w:id="12" w:name="_Toc445286459"/>
      <w:bookmarkStart w:id="13" w:name="_Toc445300700"/>
      <w:bookmarkStart w:id="14" w:name="_Toc447277527"/>
      <w:bookmarkStart w:id="15" w:name="_Toc447713297"/>
      <w:bookmarkStart w:id="16" w:name="_Toc447720152"/>
      <w:r>
        <w:lastRenderedPageBreak/>
        <w:t>Contents</w:t>
      </w:r>
      <w:bookmarkEnd w:id="10"/>
      <w:bookmarkEnd w:id="11"/>
      <w:bookmarkEnd w:id="12"/>
      <w:bookmarkEnd w:id="13"/>
      <w:bookmarkEnd w:id="14"/>
      <w:bookmarkEnd w:id="15"/>
      <w:bookmarkEnd w:id="16"/>
    </w:p>
    <w:sdt>
      <w:sdtPr>
        <w:rPr>
          <w:rFonts w:ascii="Times New Roman" w:hAnsi="Times New Roman"/>
          <w:b w:val="0"/>
          <w:kern w:val="28"/>
          <w:sz w:val="52"/>
          <w:szCs w:val="26"/>
          <w:lang w:eastAsia="en-US"/>
        </w:rPr>
        <w:id w:val="-2094228495"/>
        <w:docPartObj>
          <w:docPartGallery w:val="Table of Contents"/>
          <w:docPartUnique/>
        </w:docPartObj>
      </w:sdtPr>
      <w:sdtEndPr>
        <w:rPr>
          <w:rFonts w:ascii="Arial" w:hAnsi="Arial"/>
          <w:b/>
          <w:kern w:val="0"/>
          <w:sz w:val="24"/>
          <w:szCs w:val="20"/>
          <w:lang w:eastAsia="en-AU"/>
        </w:rPr>
      </w:sdtEndPr>
      <w:sdtContent>
        <w:p w14:paraId="18A9DE7F" w14:textId="39E0AE76" w:rsidR="00521B63" w:rsidRDefault="00521B63">
          <w:pPr>
            <w:pStyle w:val="TOC2"/>
            <w:rPr>
              <w:rFonts w:asciiTheme="minorHAnsi" w:eastAsiaTheme="minorEastAsia" w:hAnsiTheme="minorHAnsi" w:cstheme="minorBidi"/>
              <w:b w:val="0"/>
              <w:noProof/>
              <w:sz w:val="22"/>
              <w:szCs w:val="22"/>
            </w:rPr>
          </w:pPr>
          <w:r>
            <w:rPr>
              <w:noProof/>
            </w:rPr>
            <w:t>Terms of reference</w:t>
          </w:r>
          <w:r>
            <w:rPr>
              <w:noProof/>
            </w:rPr>
            <w:tab/>
          </w:r>
          <w:r w:rsidR="00B52451">
            <w:rPr>
              <w:noProof/>
            </w:rPr>
            <w:t>iii</w:t>
          </w:r>
        </w:p>
        <w:p w14:paraId="47C96043" w14:textId="3807C802" w:rsidR="00521B63" w:rsidRDefault="00521B63">
          <w:pPr>
            <w:pStyle w:val="TOC2"/>
            <w:rPr>
              <w:rFonts w:asciiTheme="minorHAnsi" w:eastAsiaTheme="minorEastAsia" w:hAnsiTheme="minorHAnsi" w:cstheme="minorBidi"/>
              <w:b w:val="0"/>
              <w:noProof/>
              <w:sz w:val="22"/>
              <w:szCs w:val="22"/>
            </w:rPr>
          </w:pPr>
          <w:r>
            <w:rPr>
              <w:noProof/>
            </w:rPr>
            <w:t>Contents</w:t>
          </w:r>
          <w:r>
            <w:rPr>
              <w:noProof/>
            </w:rPr>
            <w:tab/>
          </w:r>
          <w:r w:rsidR="00B52451">
            <w:rPr>
              <w:noProof/>
            </w:rPr>
            <w:t>v</w:t>
          </w:r>
        </w:p>
        <w:p w14:paraId="137ED80A" w14:textId="4C587847" w:rsidR="00521B63" w:rsidRDefault="00521B63">
          <w:pPr>
            <w:pStyle w:val="TOC2"/>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What has the Commission been asked to do?</w:t>
          </w:r>
          <w:r>
            <w:rPr>
              <w:noProof/>
            </w:rPr>
            <w:tab/>
          </w:r>
          <w:r w:rsidR="00B52451">
            <w:rPr>
              <w:noProof/>
            </w:rPr>
            <w:t>1</w:t>
          </w:r>
        </w:p>
        <w:p w14:paraId="0432A81E" w14:textId="338BFA8B" w:rsidR="00521B63" w:rsidRDefault="00521B63">
          <w:pPr>
            <w:pStyle w:val="TOC2"/>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Objectives and framework</w:t>
          </w:r>
          <w:r>
            <w:rPr>
              <w:noProof/>
            </w:rPr>
            <w:tab/>
          </w:r>
          <w:r w:rsidR="00B52451">
            <w:rPr>
              <w:noProof/>
            </w:rPr>
            <w:t>4</w:t>
          </w:r>
        </w:p>
        <w:p w14:paraId="26682805" w14:textId="3F54C267" w:rsidR="00521B63" w:rsidRDefault="00521B63">
          <w:pPr>
            <w:pStyle w:val="TOC2"/>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What do we have?</w:t>
          </w:r>
          <w:r>
            <w:rPr>
              <w:noProof/>
            </w:rPr>
            <w:tab/>
          </w:r>
          <w:r w:rsidR="00B52451">
            <w:rPr>
              <w:noProof/>
            </w:rPr>
            <w:t>13</w:t>
          </w:r>
        </w:p>
        <w:p w14:paraId="04D4063C" w14:textId="71FC3698" w:rsidR="00521B63" w:rsidRDefault="00521B63">
          <w:pPr>
            <w:pStyle w:val="TOC2"/>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Issues and opportunities</w:t>
          </w:r>
          <w:r>
            <w:rPr>
              <w:noProof/>
            </w:rPr>
            <w:tab/>
          </w:r>
          <w:r w:rsidR="00B52451">
            <w:rPr>
              <w:noProof/>
            </w:rPr>
            <w:t>16</w:t>
          </w:r>
        </w:p>
        <w:p w14:paraId="54FFEB09" w14:textId="757232D4" w:rsidR="00521B63" w:rsidRDefault="00521B63">
          <w:pPr>
            <w:pStyle w:val="TOC2"/>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Institutions, data governance and prioritising reform</w:t>
          </w:r>
          <w:r>
            <w:rPr>
              <w:noProof/>
            </w:rPr>
            <w:tab/>
          </w:r>
          <w:r w:rsidR="00B52451">
            <w:rPr>
              <w:noProof/>
            </w:rPr>
            <w:t>31</w:t>
          </w:r>
        </w:p>
        <w:p w14:paraId="78E89DCB" w14:textId="57D4EDE4" w:rsidR="00521B63" w:rsidRDefault="00521B63">
          <w:pPr>
            <w:pStyle w:val="TOC2"/>
            <w:rPr>
              <w:rFonts w:asciiTheme="minorHAnsi" w:eastAsiaTheme="minorEastAsia" w:hAnsiTheme="minorHAnsi" w:cstheme="minorBidi"/>
              <w:b w:val="0"/>
              <w:noProof/>
              <w:sz w:val="22"/>
              <w:szCs w:val="22"/>
            </w:rPr>
          </w:pPr>
          <w:r>
            <w:rPr>
              <w:noProof/>
            </w:rPr>
            <w:t>References</w:t>
          </w:r>
          <w:r>
            <w:rPr>
              <w:noProof/>
            </w:rPr>
            <w:tab/>
          </w:r>
          <w:r w:rsidR="00B52451">
            <w:rPr>
              <w:noProof/>
            </w:rPr>
            <w:t>34</w:t>
          </w:r>
        </w:p>
        <w:p w14:paraId="1FB0855C" w14:textId="7B91B3C3" w:rsidR="00F52BE8" w:rsidRPr="005940EC" w:rsidRDefault="00521B63" w:rsidP="005940EC">
          <w:pPr>
            <w:pStyle w:val="TOC2"/>
            <w:rPr>
              <w:rFonts w:asciiTheme="minorHAnsi" w:eastAsiaTheme="minorEastAsia" w:hAnsiTheme="minorHAnsi" w:cstheme="minorBidi"/>
              <w:b w:val="0"/>
              <w:noProof/>
              <w:sz w:val="22"/>
              <w:szCs w:val="22"/>
            </w:rPr>
          </w:pPr>
          <w:r>
            <w:rPr>
              <w:noProof/>
            </w:rPr>
            <w:t>Attachment A — How to make a submission</w:t>
          </w:r>
          <w:r>
            <w:rPr>
              <w:noProof/>
            </w:rPr>
            <w:tab/>
          </w:r>
          <w:r w:rsidR="00B52451">
            <w:rPr>
              <w:noProof/>
            </w:rPr>
            <w:t>39</w:t>
          </w:r>
        </w:p>
      </w:sdtContent>
    </w:sdt>
    <w:p w14:paraId="1FB0855D" w14:textId="77777777" w:rsidR="00F52BE8" w:rsidRDefault="00F52BE8" w:rsidP="001C5111">
      <w:pPr>
        <w:pStyle w:val="BodyText"/>
      </w:pPr>
    </w:p>
    <w:p w14:paraId="1FB0855E" w14:textId="77777777" w:rsidR="00415F39" w:rsidRDefault="00415F39" w:rsidP="00120072">
      <w:pPr>
        <w:pStyle w:val="BodyText"/>
        <w:sectPr w:rsidR="00415F39" w:rsidSect="005940EC">
          <w:headerReference w:type="even" r:id="rId17"/>
          <w:headerReference w:type="default" r:id="rId18"/>
          <w:footerReference w:type="even" r:id="rId19"/>
          <w:footerReference w:type="default" r:id="rId20"/>
          <w:type w:val="continuous"/>
          <w:pgSz w:w="11907" w:h="16840" w:code="9"/>
          <w:pgMar w:top="1985" w:right="1304" w:bottom="1247" w:left="1814" w:header="1701" w:footer="397" w:gutter="0"/>
          <w:pgNumType w:fmt="lowerRoman" w:start="3" w:chapSep="period"/>
          <w:cols w:space="720"/>
        </w:sectPr>
      </w:pPr>
    </w:p>
    <w:p w14:paraId="1FB0855F" w14:textId="408A2CB7" w:rsidR="005C2380" w:rsidRDefault="00013885" w:rsidP="005C2380">
      <w:pPr>
        <w:pStyle w:val="Heading2"/>
      </w:pPr>
      <w:bookmarkStart w:id="17" w:name="_Toc445126237"/>
      <w:bookmarkStart w:id="18" w:name="_Toc445283696"/>
      <w:bookmarkStart w:id="19" w:name="_Toc445286460"/>
      <w:bookmarkStart w:id="20" w:name="_Toc445300701"/>
      <w:bookmarkStart w:id="21" w:name="_Toc447277528"/>
      <w:bookmarkStart w:id="22" w:name="_Toc447713298"/>
      <w:bookmarkStart w:id="23" w:name="_Toc447720153"/>
      <w:r>
        <w:rPr>
          <w:noProof/>
        </w:rPr>
        <w:lastRenderedPageBreak/>
        <w:t>1</w:t>
      </w:r>
      <w:r w:rsidR="005534BF">
        <w:tab/>
      </w:r>
      <w:r w:rsidR="005C2380" w:rsidRPr="00A51210">
        <w:t>What has the Commission been asked to do?</w:t>
      </w:r>
      <w:bookmarkEnd w:id="17"/>
      <w:bookmarkEnd w:id="18"/>
      <w:bookmarkEnd w:id="19"/>
      <w:bookmarkEnd w:id="20"/>
      <w:bookmarkEnd w:id="21"/>
      <w:bookmarkEnd w:id="22"/>
      <w:bookmarkEnd w:id="23"/>
    </w:p>
    <w:p w14:paraId="1FB08560" w14:textId="1CC707A3" w:rsidR="005C2380" w:rsidRDefault="005C2380" w:rsidP="005C2380">
      <w:pPr>
        <w:pStyle w:val="BodyText"/>
      </w:pPr>
      <w:r>
        <w:rPr>
          <w:lang w:val="en"/>
        </w:rPr>
        <w:t xml:space="preserve">The Australian Government has asked the Productivity Commission to undertake a public inquiry into the </w:t>
      </w:r>
      <w:r>
        <w:t xml:space="preserve">further development of the national evidence base for school and early childhood education. </w:t>
      </w:r>
    </w:p>
    <w:p w14:paraId="1FB08561" w14:textId="6149963F" w:rsidR="005C2380" w:rsidRDefault="005C2380" w:rsidP="005C2380">
      <w:pPr>
        <w:pStyle w:val="BodyText"/>
      </w:pPr>
      <w:r>
        <w:t xml:space="preserve">The Commission has been asked to provide advice on the </w:t>
      </w:r>
      <w:r w:rsidR="00BD0B05">
        <w:t xml:space="preserve">refinement of the </w:t>
      </w:r>
      <w:r>
        <w:t xml:space="preserve">national approach to collecting and using data for early childhood education and care and schools, and other </w:t>
      </w:r>
      <w:r w:rsidR="00BD0B05">
        <w:t xml:space="preserve">relevant </w:t>
      </w:r>
      <w:r>
        <w:t xml:space="preserve">information, to </w:t>
      </w:r>
      <w:r w:rsidR="006A5617">
        <w:t xml:space="preserve">inform policy development and </w:t>
      </w:r>
      <w:r>
        <w:t>improve Australia’s educational outcomes.</w:t>
      </w:r>
    </w:p>
    <w:p w14:paraId="1FB08562" w14:textId="45A89967" w:rsidR="005C2380" w:rsidRDefault="005C2380" w:rsidP="005C2380">
      <w:pPr>
        <w:pStyle w:val="BodyText"/>
      </w:pPr>
      <w:r>
        <w:t xml:space="preserve">In undertaking this </w:t>
      </w:r>
      <w:r w:rsidR="005C5C11">
        <w:t>i</w:t>
      </w:r>
      <w:r>
        <w:t>nquiry, the Commission has been asked to report on and make recommendations about:</w:t>
      </w:r>
    </w:p>
    <w:p w14:paraId="1FB08563" w14:textId="232DFB3A" w:rsidR="005C2380" w:rsidRDefault="004979BB" w:rsidP="005C2380">
      <w:pPr>
        <w:pStyle w:val="ListBullet"/>
      </w:pPr>
      <w:r>
        <w:t>t</w:t>
      </w:r>
      <w:r w:rsidR="005C2380">
        <w:t xml:space="preserve">he </w:t>
      </w:r>
      <w:r w:rsidR="009C76F9">
        <w:t xml:space="preserve">kinds of </w:t>
      </w:r>
      <w:r w:rsidR="009D1599">
        <w:t xml:space="preserve">data </w:t>
      </w:r>
      <w:r w:rsidR="0022094E">
        <w:t xml:space="preserve">that are needed </w:t>
      </w:r>
      <w:r w:rsidR="005C2380">
        <w:t xml:space="preserve">to </w:t>
      </w:r>
      <w:r w:rsidR="009D1599">
        <w:t xml:space="preserve">support </w:t>
      </w:r>
      <w:r w:rsidR="005C2380">
        <w:t xml:space="preserve">a comprehensive evidence base </w:t>
      </w:r>
      <w:r w:rsidR="005C2380" w:rsidDel="00BD0B05">
        <w:t xml:space="preserve">to </w:t>
      </w:r>
      <w:r w:rsidR="00BD0B05">
        <w:t xml:space="preserve">monitor educational outcomes and to </w:t>
      </w:r>
      <w:r w:rsidR="005C2380">
        <w:t>inform policy development</w:t>
      </w:r>
      <w:r w:rsidR="00BD0B05">
        <w:t xml:space="preserve"> and</w:t>
      </w:r>
      <w:r w:rsidR="009D1599">
        <w:t xml:space="preserve"> evaluation </w:t>
      </w:r>
      <w:r w:rsidR="005C2380">
        <w:t xml:space="preserve">in early childhood and school education </w:t>
      </w:r>
    </w:p>
    <w:p w14:paraId="1FB08564" w14:textId="2F2E9FCC" w:rsidR="005C2380" w:rsidRDefault="009D1599" w:rsidP="005C2380">
      <w:pPr>
        <w:pStyle w:val="ListBullet"/>
      </w:pPr>
      <w:r>
        <w:t xml:space="preserve">any </w:t>
      </w:r>
      <w:r w:rsidR="005C2380" w:rsidRPr="00593667">
        <w:t xml:space="preserve">additional </w:t>
      </w:r>
      <w:r>
        <w:t>kinds of data</w:t>
      </w:r>
      <w:r w:rsidRPr="00593667">
        <w:t xml:space="preserve"> </w:t>
      </w:r>
      <w:r>
        <w:t xml:space="preserve">that could </w:t>
      </w:r>
      <w:r w:rsidR="005C2380" w:rsidRPr="00593667">
        <w:t>add value to the existing evidence base</w:t>
      </w:r>
      <w:r>
        <w:t>, such as</w:t>
      </w:r>
      <w:r w:rsidR="005C2380" w:rsidRPr="00593667">
        <w:t xml:space="preserve"> data </w:t>
      </w:r>
      <w:r>
        <w:t xml:space="preserve">on </w:t>
      </w:r>
      <w:r w:rsidR="005C2380" w:rsidRPr="00593667">
        <w:t xml:space="preserve">non-cognitive skills </w:t>
      </w:r>
      <w:r w:rsidR="00BD0B05">
        <w:t xml:space="preserve">of students </w:t>
      </w:r>
      <w:r w:rsidR="005C2380" w:rsidRPr="00593667">
        <w:t xml:space="preserve">and </w:t>
      </w:r>
      <w:r w:rsidR="00BD0B05">
        <w:t xml:space="preserve">relevant </w:t>
      </w:r>
      <w:r w:rsidR="005C2380" w:rsidRPr="00593667">
        <w:t xml:space="preserve">information from </w:t>
      </w:r>
      <w:r>
        <w:t xml:space="preserve">outside the education </w:t>
      </w:r>
      <w:r w:rsidR="005C2380" w:rsidRPr="00593667">
        <w:t>sector</w:t>
      </w:r>
    </w:p>
    <w:p w14:paraId="1FB08565" w14:textId="33055A88" w:rsidR="005C2380" w:rsidRDefault="005C2380" w:rsidP="005C2380">
      <w:pPr>
        <w:pStyle w:val="ListBullet"/>
      </w:pPr>
      <w:r>
        <w:t>barriers to sharing or accessing data, and how these can be overcome</w:t>
      </w:r>
      <w:r w:rsidR="00CB04B6">
        <w:t>; such as</w:t>
      </w:r>
      <w:r w:rsidRPr="00A66C22">
        <w:t xml:space="preserve"> </w:t>
      </w:r>
      <w:r w:rsidRPr="00593667">
        <w:t xml:space="preserve">privacy concerns </w:t>
      </w:r>
      <w:r w:rsidR="00CB04B6">
        <w:t>and</w:t>
      </w:r>
      <w:r w:rsidRPr="00593667">
        <w:t xml:space="preserve"> national and jurisdictional data governance structures </w:t>
      </w:r>
      <w:r w:rsidR="00BD0B05">
        <w:t>and protocols</w:t>
      </w:r>
    </w:p>
    <w:p w14:paraId="1FB08566" w14:textId="05923303" w:rsidR="005C2380" w:rsidRDefault="004979BB" w:rsidP="005C2380">
      <w:pPr>
        <w:pStyle w:val="ListBullet"/>
      </w:pPr>
      <w:r>
        <w:t>t</w:t>
      </w:r>
      <w:r w:rsidR="005C2380">
        <w:t xml:space="preserve">he role </w:t>
      </w:r>
      <w:r w:rsidR="00CB04B6">
        <w:t xml:space="preserve">of </w:t>
      </w:r>
      <w:r w:rsidR="005C2380">
        <w:t xml:space="preserve">technology in </w:t>
      </w:r>
      <w:r w:rsidR="00CB04B6">
        <w:t xml:space="preserve">supporting </w:t>
      </w:r>
      <w:r w:rsidR="005C2380">
        <w:t>the scope, quality and timeliness o</w:t>
      </w:r>
      <w:r>
        <w:t>f data collection and reporting</w:t>
      </w:r>
    </w:p>
    <w:p w14:paraId="1FB08567" w14:textId="337CC3BF" w:rsidR="005C2380" w:rsidRDefault="004979BB" w:rsidP="005C2380">
      <w:pPr>
        <w:pStyle w:val="ListBullet"/>
      </w:pPr>
      <w:r>
        <w:t>t</w:t>
      </w:r>
      <w:r w:rsidR="005C2380">
        <w:t>he costs and benefits of options for improvements to the national education evidence base</w:t>
      </w:r>
      <w:r w:rsidR="005C2380" w:rsidRPr="00593667">
        <w:t>.</w:t>
      </w:r>
    </w:p>
    <w:p w14:paraId="1FB08568" w14:textId="77777777" w:rsidR="005C2380" w:rsidRDefault="005C2380" w:rsidP="005C2380">
      <w:pPr>
        <w:pStyle w:val="Heading3"/>
      </w:pPr>
      <w:r w:rsidRPr="004E705A">
        <w:t>How can you contribute to the inquiry?</w:t>
      </w:r>
    </w:p>
    <w:p w14:paraId="1FB08569" w14:textId="79B17F48" w:rsidR="005C2380" w:rsidRDefault="005C2380" w:rsidP="005C2380">
      <w:pPr>
        <w:pStyle w:val="BodyText"/>
      </w:pPr>
      <w:r>
        <w:t xml:space="preserve">This issues paper is intended to assist participants in preparing a submission. It sets out some of the issues and questions the Commission has identified as relevant at this early stage of the inquiry. There is no need to comment on every issue raised in this paper and participants are welcome to submit material on issues not raised in this paper, provided they are relevant to the inquiry’s terms of reference. Participants should provide evidence to support their views, including data and specific examples where possible. </w:t>
      </w:r>
    </w:p>
    <w:p w14:paraId="1FB0856A" w14:textId="68F8DEC7" w:rsidR="005C2380" w:rsidRDefault="005C2380" w:rsidP="005C2380">
      <w:pPr>
        <w:pStyle w:val="BodyText"/>
      </w:pPr>
      <w:r>
        <w:t xml:space="preserve">Submissions should be provided to the Commission by </w:t>
      </w:r>
      <w:r w:rsidR="003E0AC0">
        <w:rPr>
          <w:b/>
          <w:bCs/>
        </w:rPr>
        <w:t xml:space="preserve">25 May </w:t>
      </w:r>
      <w:r>
        <w:rPr>
          <w:b/>
          <w:bCs/>
        </w:rPr>
        <w:t xml:space="preserve">2016 </w:t>
      </w:r>
      <w:r>
        <w:t xml:space="preserve">for consideration in the draft report. Attachment </w:t>
      </w:r>
      <w:r w:rsidR="00BD0B05">
        <w:t xml:space="preserve">A </w:t>
      </w:r>
      <w:r>
        <w:t xml:space="preserve">provides further details on how to make a submission. </w:t>
      </w:r>
    </w:p>
    <w:p w14:paraId="1FB0856B" w14:textId="2687D57A" w:rsidR="005C2380" w:rsidRDefault="005C2380" w:rsidP="005C2380">
      <w:pPr>
        <w:pStyle w:val="BodyText"/>
      </w:pPr>
      <w:r>
        <w:t>Following the receipt of written submissions, the Commission will prepare a draft inquiry report which will be released in</w:t>
      </w:r>
      <w:r w:rsidR="003E0AC0">
        <w:t xml:space="preserve"> </w:t>
      </w:r>
      <w:r w:rsidR="003E0AC0" w:rsidRPr="003E0AC0">
        <w:rPr>
          <w:b/>
        </w:rPr>
        <w:t>August</w:t>
      </w:r>
      <w:r>
        <w:t xml:space="preserve"> </w:t>
      </w:r>
      <w:r w:rsidRPr="003E0AC0">
        <w:rPr>
          <w:b/>
        </w:rPr>
        <w:t>2016.</w:t>
      </w:r>
      <w:r>
        <w:t xml:space="preserve"> Interested parties will have an opportunity to comment on the draft report at public hearings and through further written submissions. </w:t>
      </w:r>
      <w:r>
        <w:lastRenderedPageBreak/>
        <w:t>A final inquiry report will then be prepared and provided to the Australian Government by</w:t>
      </w:r>
      <w:r w:rsidR="003E0AC0">
        <w:t xml:space="preserve"> </w:t>
      </w:r>
      <w:r w:rsidR="003E0AC0" w:rsidRPr="003E0AC0">
        <w:rPr>
          <w:b/>
        </w:rPr>
        <w:t>9 December</w:t>
      </w:r>
      <w:r>
        <w:t xml:space="preserve"> </w:t>
      </w:r>
      <w:r w:rsidRPr="003E0AC0">
        <w:rPr>
          <w:b/>
        </w:rPr>
        <w:t>2016</w:t>
      </w:r>
      <w:r>
        <w:t xml:space="preserve">. </w:t>
      </w:r>
    </w:p>
    <w:p w14:paraId="1FB0856C" w14:textId="77777777" w:rsidR="005C2380" w:rsidRPr="00094AC5" w:rsidRDefault="005C2380" w:rsidP="005C2380">
      <w:pPr>
        <w:pStyle w:val="Heading3"/>
      </w:pPr>
      <w:r>
        <w:t>The Commission’s approach</w:t>
      </w:r>
    </w:p>
    <w:p w14:paraId="1FB0856D" w14:textId="5BA8D6A9" w:rsidR="005C2380" w:rsidRDefault="005C2380" w:rsidP="005C2380">
      <w:pPr>
        <w:pStyle w:val="BodyText"/>
      </w:pPr>
      <w:r w:rsidRPr="001D165D">
        <w:t xml:space="preserve">The </w:t>
      </w:r>
      <w:r w:rsidR="00BD0B05">
        <w:t xml:space="preserve">focus of the </w:t>
      </w:r>
      <w:r w:rsidRPr="001D165D">
        <w:t xml:space="preserve">Commission will be on </w:t>
      </w:r>
      <w:r>
        <w:t xml:space="preserve">assessing the </w:t>
      </w:r>
      <w:r w:rsidRPr="008616B4">
        <w:t xml:space="preserve">costs and benefits of options for improvements to </w:t>
      </w:r>
      <w:r w:rsidR="005033BB">
        <w:t xml:space="preserve">the education data underpinning </w:t>
      </w:r>
      <w:r w:rsidRPr="008616B4">
        <w:t>the national education evidence base</w:t>
      </w:r>
      <w:r w:rsidR="00BD0B05">
        <w:t>, guided by the terms of reference</w:t>
      </w:r>
      <w:r w:rsidR="00BD0B05" w:rsidDel="001A4C90">
        <w:t>.</w:t>
      </w:r>
      <w:r>
        <w:t xml:space="preserve"> This i</w:t>
      </w:r>
      <w:r w:rsidRPr="008616B4">
        <w:t>nclud</w:t>
      </w:r>
      <w:r>
        <w:t>es</w:t>
      </w:r>
      <w:r w:rsidR="00A02EDC">
        <w:t xml:space="preserve"> consideration of</w:t>
      </w:r>
      <w:r w:rsidRPr="008616B4">
        <w:t xml:space="preserve"> the administrative and financial impacts of any suggested change in data collection practices</w:t>
      </w:r>
      <w:r>
        <w:t xml:space="preserve"> and of </w:t>
      </w:r>
      <w:r w:rsidRPr="008616B4">
        <w:t xml:space="preserve">opportunities to </w:t>
      </w:r>
      <w:r w:rsidR="009C0AD8">
        <w:t xml:space="preserve">increase </w:t>
      </w:r>
      <w:r w:rsidRPr="008616B4">
        <w:t>efficienc</w:t>
      </w:r>
      <w:r w:rsidR="009C0AD8">
        <w:t>y</w:t>
      </w:r>
      <w:r w:rsidRPr="008616B4">
        <w:t xml:space="preserve"> </w:t>
      </w:r>
      <w:r w:rsidR="009C0AD8">
        <w:t xml:space="preserve">in relation </w:t>
      </w:r>
      <w:r w:rsidRPr="008616B4">
        <w:t>to existing data collection</w:t>
      </w:r>
      <w:r>
        <w:t>s</w:t>
      </w:r>
      <w:r w:rsidRPr="008616B4">
        <w:t>.</w:t>
      </w:r>
    </w:p>
    <w:p w14:paraId="1FB0856E" w14:textId="77777777" w:rsidR="005C2380" w:rsidRDefault="005C2380" w:rsidP="005C2380">
      <w:pPr>
        <w:pStyle w:val="BodyText"/>
        <w:rPr>
          <w:sz w:val="23"/>
          <w:szCs w:val="23"/>
        </w:rPr>
      </w:pPr>
      <w:r>
        <w:rPr>
          <w:sz w:val="23"/>
          <w:szCs w:val="23"/>
        </w:rPr>
        <w:t xml:space="preserve">In undertaking this task, the Commission will draw on </w:t>
      </w:r>
      <w:r w:rsidRPr="00094AC5">
        <w:t xml:space="preserve">its own research and analysis, evidence provided by participants, the findings of other relevant reviews and lessons from approaches adopted in other countries. </w:t>
      </w:r>
    </w:p>
    <w:p w14:paraId="1FB0856F" w14:textId="7740048E" w:rsidR="00BB635F" w:rsidRDefault="005C2380" w:rsidP="00E5418F">
      <w:pPr>
        <w:pStyle w:val="BodyText"/>
      </w:pPr>
      <w:r w:rsidRPr="00094AC5">
        <w:t xml:space="preserve">In keeping with its legislative remit, the Commission will take a communitywide, evidence-based and transparent approach to assessing the costs and benefits of </w:t>
      </w:r>
      <w:r w:rsidR="00BD0B05">
        <w:t>any proposed</w:t>
      </w:r>
      <w:r w:rsidR="00BD0B05" w:rsidRPr="00094AC5">
        <w:t xml:space="preserve"> </w:t>
      </w:r>
      <w:r w:rsidRPr="00094AC5">
        <w:t>options.</w:t>
      </w:r>
    </w:p>
    <w:p w14:paraId="39BB5104" w14:textId="6F16C4C2" w:rsidR="00684F02" w:rsidRDefault="00684F02" w:rsidP="00CF52D7">
      <w:pPr>
        <w:pStyle w:val="Heading3"/>
      </w:pPr>
      <w:r>
        <w:t>Scope of the inquiry</w:t>
      </w:r>
    </w:p>
    <w:p w14:paraId="611B3A62" w14:textId="0B4DA665" w:rsidR="00684F02" w:rsidRDefault="00CF52D7" w:rsidP="00334E12">
      <w:pPr>
        <w:pStyle w:val="BodyText"/>
      </w:pPr>
      <w:r>
        <w:t xml:space="preserve">The terms of reference direct the Commission to examine issues relating to ‘data for early </w:t>
      </w:r>
      <w:r w:rsidRPr="00334E12">
        <w:t>childhood</w:t>
      </w:r>
      <w:r>
        <w:t xml:space="preserve"> education and care and schools</w:t>
      </w:r>
      <w:r w:rsidR="0001641B">
        <w:t>, and other information as relevant</w:t>
      </w:r>
      <w:r>
        <w:t>’.</w:t>
      </w:r>
      <w:r w:rsidR="0001641B">
        <w:t xml:space="preserve"> This </w:t>
      </w:r>
      <w:r w:rsidR="0058083A">
        <w:t>could be</w:t>
      </w:r>
      <w:r w:rsidR="0001641B">
        <w:t xml:space="preserve"> </w:t>
      </w:r>
      <w:r w:rsidR="002C73DE">
        <w:t xml:space="preserve">interpreted broadly, </w:t>
      </w:r>
      <w:r w:rsidR="002C73DE" w:rsidDel="00BD0B05">
        <w:t xml:space="preserve">to </w:t>
      </w:r>
      <w:r w:rsidR="00BD0B05">
        <w:t>include</w:t>
      </w:r>
      <w:r w:rsidR="0001641B">
        <w:t xml:space="preserve"> data relating to the outcomes, conditions and circumstances of</w:t>
      </w:r>
      <w:r w:rsidR="00BD0B05">
        <w:t xml:space="preserve"> children set out below</w:t>
      </w:r>
      <w:r w:rsidR="0001641B">
        <w:t>:</w:t>
      </w:r>
    </w:p>
    <w:p w14:paraId="1A33C804" w14:textId="2524A374" w:rsidR="0001641B" w:rsidRDefault="0001641B" w:rsidP="007E7BD9">
      <w:pPr>
        <w:pStyle w:val="ListBullet"/>
      </w:pPr>
      <w:r>
        <w:t xml:space="preserve">Australian children aged </w:t>
      </w:r>
      <w:r w:rsidR="0088074A">
        <w:t xml:space="preserve">from </w:t>
      </w:r>
      <w:r>
        <w:t xml:space="preserve">birth to five years, as per the scope of early childhood education and care </w:t>
      </w:r>
      <w:r w:rsidR="00F14DC1">
        <w:t>set out under</w:t>
      </w:r>
      <w:r>
        <w:t xml:space="preserve"> the</w:t>
      </w:r>
      <w:r w:rsidR="00576BC4">
        <w:t xml:space="preserve"> national</w:t>
      </w:r>
      <w:r>
        <w:t xml:space="preserve"> </w:t>
      </w:r>
      <w:r w:rsidRPr="00AA71FE">
        <w:rPr>
          <w:i/>
        </w:rPr>
        <w:t>Early Years Learning Framework</w:t>
      </w:r>
      <w:r>
        <w:t xml:space="preserve"> </w:t>
      </w:r>
      <w:r w:rsidR="00FF71F5" w:rsidRPr="00FF71F5">
        <w:t>(Department of Education, Employment and Workplace Relations 2009)</w:t>
      </w:r>
      <w:r>
        <w:t xml:space="preserve"> and related documents</w:t>
      </w:r>
      <w:r w:rsidR="00576BC4">
        <w:t>. This includes children who attend early childhood education and care programs as well as those who do not</w:t>
      </w:r>
      <w:r w:rsidR="00977F78">
        <w:t xml:space="preserve"> attend any such programs prior to beginning compulsory schooling</w:t>
      </w:r>
      <w:r w:rsidR="00BD0B05">
        <w:t>. D</w:t>
      </w:r>
      <w:r w:rsidR="00977F78">
        <w:t>ata on the developmental outcomes and circumstances of both groups of children are relevant</w:t>
      </w:r>
    </w:p>
    <w:p w14:paraId="7180676B" w14:textId="19645E97" w:rsidR="00334E12" w:rsidRDefault="001108B3" w:rsidP="00334E12">
      <w:pPr>
        <w:pStyle w:val="ListBullet"/>
      </w:pPr>
      <w:r>
        <w:t>Australian school students, from Foundation Year (the first year of c</w:t>
      </w:r>
      <w:r w:rsidR="006579E1">
        <w:t>ompulsory schooling) to Year 12, as well as</w:t>
      </w:r>
      <w:r>
        <w:t xml:space="preserve"> children and young people who </w:t>
      </w:r>
      <w:r w:rsidR="00706408">
        <w:t xml:space="preserve">are </w:t>
      </w:r>
      <w:r w:rsidR="006579E1">
        <w:t xml:space="preserve">eligible to attend school but do not </w:t>
      </w:r>
      <w:r w:rsidR="00706408">
        <w:t>attend</w:t>
      </w:r>
      <w:r w:rsidR="00E75656">
        <w:t>.</w:t>
      </w:r>
    </w:p>
    <w:p w14:paraId="41759950" w14:textId="77777777" w:rsidR="007B4F18" w:rsidRPr="007D77F0" w:rsidRDefault="007B4F18" w:rsidP="007B4F18">
      <w:pPr>
        <w:spacing w:before="240" w:line="300" w:lineRule="atLeast"/>
        <w:jc w:val="both"/>
        <w:rPr>
          <w:b/>
          <w:sz w:val="14"/>
          <w:szCs w:val="20"/>
        </w:rPr>
      </w:pPr>
      <w:r w:rsidRPr="007D77F0">
        <w:rPr>
          <w:b/>
          <w:vanish/>
          <w:color w:val="FF00FF"/>
          <w:sz w:val="14"/>
          <w:szCs w:val="20"/>
        </w:rPr>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7B4F18" w:rsidRPr="007D77F0" w14:paraId="50D341EB" w14:textId="77777777" w:rsidTr="00C95B9E">
        <w:trPr>
          <w:tblHeader/>
        </w:trPr>
        <w:tc>
          <w:tcPr>
            <w:tcW w:w="8770" w:type="dxa"/>
            <w:tcBorders>
              <w:top w:val="single" w:sz="6" w:space="0" w:color="78A22F"/>
              <w:left w:val="nil"/>
              <w:bottom w:val="nil"/>
              <w:right w:val="nil"/>
            </w:tcBorders>
            <w:shd w:val="clear" w:color="auto" w:fill="auto"/>
          </w:tcPr>
          <w:p w14:paraId="5787721F" w14:textId="77777777" w:rsidR="007B4F18" w:rsidRPr="007D77F0" w:rsidRDefault="007B4F18" w:rsidP="00C95B9E">
            <w:pPr>
              <w:keepLines/>
              <w:spacing w:before="240" w:line="280" w:lineRule="atLeast"/>
              <w:jc w:val="both"/>
              <w:rPr>
                <w:rFonts w:ascii="Arial" w:hAnsi="Arial"/>
                <w:i/>
                <w:caps/>
                <w:sz w:val="18"/>
                <w:szCs w:val="20"/>
              </w:rPr>
            </w:pPr>
            <w:r w:rsidRPr="007D77F0">
              <w:rPr>
                <w:rFonts w:ascii="Arial" w:hAnsi="Arial"/>
                <w:i/>
                <w:caps/>
                <w:sz w:val="18"/>
                <w:szCs w:val="20"/>
              </w:rPr>
              <w:lastRenderedPageBreak/>
              <w:t>Questions</w:t>
            </w:r>
          </w:p>
          <w:p w14:paraId="0231E3DC" w14:textId="77777777" w:rsidR="007B4F18" w:rsidRDefault="007B4F18" w:rsidP="00C95B9E">
            <w:pPr>
              <w:numPr>
                <w:ilvl w:val="0"/>
                <w:numId w:val="16"/>
              </w:numPr>
              <w:spacing w:before="80" w:line="280" w:lineRule="atLeast"/>
              <w:jc w:val="both"/>
              <w:rPr>
                <w:rFonts w:ascii="Arial" w:hAnsi="Arial"/>
                <w:i/>
                <w:sz w:val="22"/>
                <w:szCs w:val="20"/>
              </w:rPr>
            </w:pPr>
            <w:r>
              <w:rPr>
                <w:rFonts w:ascii="Arial" w:hAnsi="Arial"/>
                <w:i/>
                <w:sz w:val="22"/>
                <w:szCs w:val="20"/>
              </w:rPr>
              <w:t>Does this interpretation of the scope of the terms of reference accord with yours?</w:t>
            </w:r>
          </w:p>
          <w:p w14:paraId="4EFF252B" w14:textId="77777777" w:rsidR="007B4F18" w:rsidRDefault="007B4F18" w:rsidP="00C95B9E">
            <w:pPr>
              <w:numPr>
                <w:ilvl w:val="0"/>
                <w:numId w:val="16"/>
              </w:numPr>
              <w:spacing w:before="80" w:line="280" w:lineRule="atLeast"/>
              <w:jc w:val="both"/>
              <w:rPr>
                <w:rFonts w:ascii="Arial" w:hAnsi="Arial"/>
                <w:i/>
                <w:sz w:val="22"/>
                <w:szCs w:val="20"/>
              </w:rPr>
            </w:pPr>
            <w:r>
              <w:rPr>
                <w:rFonts w:ascii="Arial" w:hAnsi="Arial"/>
                <w:i/>
                <w:sz w:val="22"/>
                <w:szCs w:val="20"/>
              </w:rPr>
              <w:t>In particular, should the scope of the evidence base include data on children younger than 4 years old (or prior to the year before compulsory schooling begins)? If so, why, and should it cover all children, or only those attending early childhood education and care programs outside the home?</w:t>
            </w:r>
          </w:p>
          <w:p w14:paraId="2D41CFF2" w14:textId="77777777" w:rsidR="007B4F18" w:rsidRPr="007D77F0" w:rsidRDefault="007B4F18" w:rsidP="00C95B9E">
            <w:pPr>
              <w:numPr>
                <w:ilvl w:val="0"/>
                <w:numId w:val="16"/>
              </w:numPr>
              <w:spacing w:before="80" w:line="280" w:lineRule="atLeast"/>
              <w:jc w:val="both"/>
              <w:rPr>
                <w:rFonts w:ascii="Arial" w:hAnsi="Arial"/>
                <w:i/>
                <w:sz w:val="22"/>
                <w:szCs w:val="20"/>
              </w:rPr>
            </w:pPr>
            <w:r>
              <w:rPr>
                <w:rFonts w:ascii="Arial" w:hAnsi="Arial"/>
                <w:i/>
                <w:sz w:val="22"/>
                <w:szCs w:val="20"/>
              </w:rPr>
              <w:t xml:space="preserve">Should the evidence base include data on young people who have left school before completing Year 12, or who do not attend school for other reasons (for example, </w:t>
            </w:r>
            <w:proofErr w:type="spellStart"/>
            <w:r>
              <w:rPr>
                <w:rFonts w:ascii="Arial" w:hAnsi="Arial"/>
                <w:i/>
                <w:sz w:val="22"/>
                <w:szCs w:val="20"/>
              </w:rPr>
              <w:t>homeschooled</w:t>
            </w:r>
            <w:proofErr w:type="spellEnd"/>
            <w:r>
              <w:rPr>
                <w:rFonts w:ascii="Arial" w:hAnsi="Arial"/>
                <w:i/>
                <w:sz w:val="22"/>
                <w:szCs w:val="20"/>
              </w:rPr>
              <w:t xml:space="preserve"> children)?</w:t>
            </w:r>
          </w:p>
        </w:tc>
      </w:tr>
      <w:tr w:rsidR="007B4F18" w:rsidRPr="007D77F0" w14:paraId="08E68B10" w14:textId="77777777" w:rsidTr="00C95B9E">
        <w:tc>
          <w:tcPr>
            <w:tcW w:w="8770" w:type="dxa"/>
            <w:tcBorders>
              <w:top w:val="nil"/>
              <w:left w:val="nil"/>
              <w:bottom w:val="single" w:sz="6" w:space="0" w:color="78A22F"/>
              <w:right w:val="nil"/>
            </w:tcBorders>
            <w:shd w:val="clear" w:color="auto" w:fill="auto"/>
          </w:tcPr>
          <w:p w14:paraId="5394A764" w14:textId="77777777" w:rsidR="007B4F18" w:rsidRPr="007D77F0" w:rsidRDefault="007B4F18" w:rsidP="00C95B9E">
            <w:pPr>
              <w:keepLines/>
              <w:spacing w:line="120" w:lineRule="exact"/>
              <w:jc w:val="both"/>
              <w:rPr>
                <w:rFonts w:ascii="Arial" w:hAnsi="Arial"/>
                <w:sz w:val="20"/>
                <w:szCs w:val="20"/>
              </w:rPr>
            </w:pPr>
          </w:p>
        </w:tc>
      </w:tr>
      <w:tr w:rsidR="007B4F18" w:rsidRPr="007D77F0" w14:paraId="12905035" w14:textId="77777777" w:rsidTr="00C95B9E">
        <w:trPr>
          <w:hidden/>
        </w:trPr>
        <w:tc>
          <w:tcPr>
            <w:tcW w:w="8770" w:type="dxa"/>
            <w:tcBorders>
              <w:top w:val="single" w:sz="6" w:space="0" w:color="78A22F"/>
              <w:left w:val="nil"/>
              <w:bottom w:val="nil"/>
              <w:right w:val="nil"/>
            </w:tcBorders>
          </w:tcPr>
          <w:p w14:paraId="0F718F3A" w14:textId="77777777" w:rsidR="007B4F18" w:rsidRPr="007D77F0" w:rsidRDefault="007B4F18" w:rsidP="00C95B9E">
            <w:pPr>
              <w:keepLines/>
              <w:spacing w:before="60" w:after="60" w:line="80" w:lineRule="exact"/>
              <w:jc w:val="both"/>
              <w:rPr>
                <w:rFonts w:ascii="Arial" w:hAnsi="Arial"/>
                <w:sz w:val="14"/>
                <w:szCs w:val="20"/>
              </w:rPr>
            </w:pPr>
            <w:r w:rsidRPr="007D77F0">
              <w:rPr>
                <w:b/>
                <w:vanish/>
                <w:color w:val="FF00FF"/>
                <w:sz w:val="14"/>
                <w:szCs w:val="20"/>
              </w:rPr>
              <w:t>Do not delete this ROW as it gives space between the info request and what follows it.</w:t>
            </w:r>
          </w:p>
        </w:tc>
      </w:tr>
    </w:tbl>
    <w:p w14:paraId="318DEE4A" w14:textId="35114981" w:rsidR="00334E12" w:rsidRDefault="00334E12" w:rsidP="00334E12">
      <w:pPr>
        <w:pStyle w:val="BodyText"/>
      </w:pPr>
      <w:r w:rsidRPr="00334E12">
        <w:t xml:space="preserve">The Australian Government has also asked the Commission to undertake an inquiry into the benefits and costs of increasing the availability and use of public and private data by Australian individuals and organisations </w:t>
      </w:r>
      <w:r>
        <w:t>(box 1).</w:t>
      </w:r>
    </w:p>
    <w:p w14:paraId="3668E447" w14:textId="3A610F68" w:rsidR="007F1FD4" w:rsidRDefault="007F1FD4">
      <w:pPr>
        <w:pStyle w:val="BoxSpaceAbove"/>
      </w:pPr>
      <w:r>
        <w:rPr>
          <w:b/>
          <w:vanish/>
          <w:color w:val="FF00FF"/>
          <w:sz w:val="14"/>
        </w:rPr>
        <w:t>Do not delete this RETURN as it gives space between the box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7F1FD4" w14:paraId="2FC5D53F" w14:textId="77777777" w:rsidTr="00124FE2">
        <w:trPr>
          <w:tblHeader/>
        </w:trPr>
        <w:tc>
          <w:tcPr>
            <w:tcW w:w="8771" w:type="dxa"/>
            <w:tcBorders>
              <w:top w:val="single" w:sz="6" w:space="0" w:color="78A22F"/>
              <w:left w:val="nil"/>
              <w:bottom w:val="nil"/>
              <w:right w:val="nil"/>
            </w:tcBorders>
            <w:shd w:val="clear" w:color="auto" w:fill="F2F2F2"/>
          </w:tcPr>
          <w:p w14:paraId="710A35FB" w14:textId="39092C56" w:rsidR="007F1FD4" w:rsidRDefault="007F1FD4" w:rsidP="00CD3B0A">
            <w:pPr>
              <w:pStyle w:val="BoxTitle"/>
            </w:pPr>
            <w:r>
              <w:rPr>
                <w:b w:val="0"/>
              </w:rPr>
              <w:t xml:space="preserve">Box </w:t>
            </w:r>
            <w:r w:rsidR="00013885">
              <w:rPr>
                <w:b w:val="0"/>
                <w:noProof/>
              </w:rPr>
              <w:t>1</w:t>
            </w:r>
            <w:r>
              <w:tab/>
            </w:r>
            <w:r w:rsidR="00124FE2" w:rsidRPr="00124FE2">
              <w:t xml:space="preserve">Data Availability and Use </w:t>
            </w:r>
            <w:r w:rsidR="00CD3B0A">
              <w:t>I</w:t>
            </w:r>
            <w:r w:rsidR="00124FE2" w:rsidRPr="00124FE2">
              <w:t>nquiry</w:t>
            </w:r>
          </w:p>
        </w:tc>
      </w:tr>
      <w:tr w:rsidR="007F1FD4" w14:paraId="3AB0A8D1" w14:textId="77777777" w:rsidTr="00124FE2">
        <w:tc>
          <w:tcPr>
            <w:tcW w:w="8771" w:type="dxa"/>
            <w:tcBorders>
              <w:top w:val="nil"/>
              <w:left w:val="nil"/>
              <w:bottom w:val="nil"/>
              <w:right w:val="nil"/>
            </w:tcBorders>
            <w:shd w:val="clear" w:color="auto" w:fill="F2F2F2"/>
          </w:tcPr>
          <w:p w14:paraId="14733484" w14:textId="08896064" w:rsidR="00334E12" w:rsidRPr="00334E12" w:rsidRDefault="00334E12" w:rsidP="00334E12">
            <w:pPr>
              <w:pStyle w:val="Box"/>
              <w:rPr>
                <w:lang w:val="en"/>
              </w:rPr>
            </w:pPr>
            <w:r>
              <w:rPr>
                <w:lang w:val="en"/>
              </w:rPr>
              <w:t>This inquiry is due to report in March 2017, T</w:t>
            </w:r>
            <w:r w:rsidRPr="00334E12">
              <w:rPr>
                <w:lang w:val="en"/>
              </w:rPr>
              <w:t>he Commission is required to:</w:t>
            </w:r>
          </w:p>
          <w:p w14:paraId="2F0F7BA0" w14:textId="337900B6" w:rsidR="00334E12" w:rsidRPr="00334E12" w:rsidRDefault="00334E12" w:rsidP="00334E12">
            <w:pPr>
              <w:pStyle w:val="Box"/>
              <w:numPr>
                <w:ilvl w:val="0"/>
                <w:numId w:val="31"/>
              </w:numPr>
              <w:rPr>
                <w:lang w:val="en"/>
              </w:rPr>
            </w:pPr>
            <w:r w:rsidRPr="00334E12">
              <w:rPr>
                <w:lang w:val="en"/>
              </w:rPr>
              <w:t xml:space="preserve">examine options for collection, sharing and release of data </w:t>
            </w:r>
          </w:p>
          <w:p w14:paraId="0006878A" w14:textId="77777777" w:rsidR="00334E12" w:rsidRPr="00334E12" w:rsidRDefault="00334E12" w:rsidP="00334E12">
            <w:pPr>
              <w:pStyle w:val="Box"/>
              <w:numPr>
                <w:ilvl w:val="0"/>
                <w:numId w:val="31"/>
              </w:numPr>
              <w:rPr>
                <w:lang w:val="en"/>
              </w:rPr>
            </w:pPr>
            <w:r w:rsidRPr="00334E12">
              <w:rPr>
                <w:lang w:val="en"/>
              </w:rPr>
              <w:t>identify ways consumers can use and benefit from access to data, particularly data about themselves</w:t>
            </w:r>
          </w:p>
          <w:p w14:paraId="4082BCBD" w14:textId="77777777" w:rsidR="00334E12" w:rsidRDefault="00334E12" w:rsidP="00334E12">
            <w:pPr>
              <w:pStyle w:val="Box"/>
              <w:numPr>
                <w:ilvl w:val="0"/>
                <w:numId w:val="31"/>
              </w:numPr>
              <w:rPr>
                <w:lang w:val="en"/>
              </w:rPr>
            </w:pPr>
            <w:r w:rsidRPr="00334E12">
              <w:rPr>
                <w:lang w:val="en"/>
              </w:rPr>
              <w:t>consider how to preserve individual privacy and control over data use.</w:t>
            </w:r>
          </w:p>
          <w:p w14:paraId="1CB1CED4" w14:textId="16F83EDE" w:rsidR="00334E12" w:rsidRDefault="001C020E" w:rsidP="00334E12">
            <w:pPr>
              <w:pStyle w:val="Box"/>
            </w:pPr>
            <w:r>
              <w:t xml:space="preserve">The Data Availability and Use Inquiry is a 12 month inquiry with a later </w:t>
            </w:r>
            <w:r w:rsidR="00CD3B0A">
              <w:t>timetable for submissions and the draft report</w:t>
            </w:r>
            <w:r>
              <w:t xml:space="preserve">. </w:t>
            </w:r>
            <w:r w:rsidR="00334E12">
              <w:t>P</w:t>
            </w:r>
            <w:r w:rsidR="00334E12" w:rsidRPr="00334E12">
              <w:t xml:space="preserve">articipants </w:t>
            </w:r>
            <w:r w:rsidR="00CD3B0A">
              <w:t xml:space="preserve">to the National Education Evidence Base </w:t>
            </w:r>
            <w:r w:rsidR="00982F29">
              <w:t>I</w:t>
            </w:r>
            <w:r w:rsidR="00CD3B0A">
              <w:t xml:space="preserve">nquiry are welcome to also submit relevant material to the other inquiry. </w:t>
            </w:r>
          </w:p>
          <w:p w14:paraId="53929D7D" w14:textId="07C64821" w:rsidR="00334E12" w:rsidRDefault="001C020E" w:rsidP="009D05E4">
            <w:pPr>
              <w:pStyle w:val="Box"/>
            </w:pPr>
            <w:r>
              <w:t xml:space="preserve">Further information on this inquiry is available at </w:t>
            </w:r>
            <w:r w:rsidRPr="001C020E">
              <w:t>http://</w:t>
            </w:r>
            <w:proofErr w:type="spellStart"/>
            <w:r w:rsidRPr="001C020E">
              <w:t>www.pc.gov.au</w:t>
            </w:r>
            <w:proofErr w:type="spellEnd"/>
            <w:r w:rsidRPr="001C020E">
              <w:t>/inquiries/current/data-access</w:t>
            </w:r>
            <w:r>
              <w:t>.</w:t>
            </w:r>
          </w:p>
        </w:tc>
      </w:tr>
      <w:tr w:rsidR="007F1FD4" w:rsidRPr="000863A5" w14:paraId="69545246" w14:textId="77777777" w:rsidTr="00124FE2">
        <w:trPr>
          <w:hidden/>
        </w:trPr>
        <w:tc>
          <w:tcPr>
            <w:tcW w:w="8771" w:type="dxa"/>
            <w:tcBorders>
              <w:top w:val="single" w:sz="6" w:space="0" w:color="78A22F"/>
              <w:left w:val="nil"/>
              <w:bottom w:val="nil"/>
              <w:right w:val="nil"/>
            </w:tcBorders>
          </w:tcPr>
          <w:p w14:paraId="16E85011" w14:textId="36A42C29" w:rsidR="007F1FD4" w:rsidRPr="00626D32" w:rsidRDefault="007F1FD4" w:rsidP="00124FE2">
            <w:pPr>
              <w:pStyle w:val="BoxSpaceBelow"/>
            </w:pPr>
            <w:r w:rsidRPr="00626D32">
              <w:rPr>
                <w:rFonts w:ascii="Times New Roman" w:hAnsi="Times New Roman"/>
                <w:b/>
                <w:vanish/>
                <w:color w:val="FF00FF"/>
              </w:rPr>
              <w:t>Do not delete this ROW as it gives space between the box and what follows it.</w:t>
            </w:r>
          </w:p>
        </w:tc>
      </w:tr>
    </w:tbl>
    <w:p w14:paraId="2F7F9C1C" w14:textId="77777777" w:rsidR="00317FCA" w:rsidRDefault="00317FCA" w:rsidP="0041432F">
      <w:pPr>
        <w:pStyle w:val="BodyText"/>
        <w:rPr>
          <w:rFonts w:ascii="Arial" w:hAnsi="Arial"/>
          <w:sz w:val="32"/>
        </w:rPr>
      </w:pPr>
      <w:r>
        <w:br w:type="page"/>
      </w:r>
    </w:p>
    <w:p w14:paraId="1FB08570" w14:textId="2B8ADE82" w:rsidR="00EC0A05" w:rsidRDefault="00013885" w:rsidP="00926D85">
      <w:pPr>
        <w:pStyle w:val="Heading2"/>
      </w:pPr>
      <w:bookmarkStart w:id="24" w:name="_Toc445126238"/>
      <w:bookmarkStart w:id="25" w:name="_Toc445283697"/>
      <w:bookmarkStart w:id="26" w:name="_Toc445286461"/>
      <w:bookmarkStart w:id="27" w:name="_Toc445300702"/>
      <w:bookmarkStart w:id="28" w:name="_Toc447277529"/>
      <w:bookmarkStart w:id="29" w:name="_Toc447713299"/>
      <w:bookmarkStart w:id="30" w:name="_Toc447720154"/>
      <w:r>
        <w:rPr>
          <w:noProof/>
        </w:rPr>
        <w:lastRenderedPageBreak/>
        <w:t>2</w:t>
      </w:r>
      <w:r w:rsidR="00977D32">
        <w:tab/>
      </w:r>
      <w:bookmarkEnd w:id="24"/>
      <w:bookmarkEnd w:id="25"/>
      <w:bookmarkEnd w:id="26"/>
      <w:bookmarkEnd w:id="27"/>
      <w:r w:rsidR="00437D9F">
        <w:t>Objectives and framework</w:t>
      </w:r>
      <w:bookmarkEnd w:id="28"/>
      <w:bookmarkEnd w:id="29"/>
      <w:bookmarkEnd w:id="30"/>
    </w:p>
    <w:p w14:paraId="3DD2B68D" w14:textId="4C90768E" w:rsidR="00E95141" w:rsidRDefault="00E13F25" w:rsidP="00E95141">
      <w:pPr>
        <w:pStyle w:val="BodyText"/>
      </w:pPr>
      <w:bookmarkStart w:id="31" w:name="ChapterTitle"/>
      <w:r w:rsidRPr="007D77F0">
        <w:t>Education data consist of the data holdings and research that underpin the national education evidence base (box </w:t>
      </w:r>
      <w:r w:rsidR="004D1621">
        <w:t>2</w:t>
      </w:r>
      <w:r w:rsidRPr="007D77F0">
        <w:t xml:space="preserve">). As noted in the inquiry terms of reference, the purpose of the education evidence base is to support </w:t>
      </w:r>
      <w:r w:rsidR="00595380">
        <w:t xml:space="preserve">and evaluate </w:t>
      </w:r>
      <w:r w:rsidRPr="007D77F0">
        <w:t xml:space="preserve">Australia’s progress towards national education </w:t>
      </w:r>
      <w:r w:rsidR="00683F50">
        <w:t>objectives</w:t>
      </w:r>
      <w:r w:rsidRPr="007D77F0">
        <w:t>, through</w:t>
      </w:r>
      <w:r w:rsidR="00A53899">
        <w:t xml:space="preserve"> monitoring of </w:t>
      </w:r>
      <w:r w:rsidR="00290401">
        <w:t xml:space="preserve">education </w:t>
      </w:r>
      <w:r w:rsidR="00A53899">
        <w:t>outcomes and</w:t>
      </w:r>
      <w:r w:rsidRPr="007D77F0">
        <w:t xml:space="preserve"> inform</w:t>
      </w:r>
      <w:r w:rsidR="00290401">
        <w:t>ing</w:t>
      </w:r>
      <w:r w:rsidRPr="007D77F0">
        <w:t xml:space="preserve"> policy development and </w:t>
      </w:r>
      <w:r w:rsidR="007F347C">
        <w:t>evaluation</w:t>
      </w:r>
      <w:r w:rsidRPr="007D77F0">
        <w:t>.</w:t>
      </w:r>
      <w:r w:rsidR="007A158E">
        <w:t xml:space="preserve"> </w:t>
      </w:r>
      <w:r w:rsidR="009C4A1E">
        <w:t>The r</w:t>
      </w:r>
      <w:r w:rsidR="00E95141">
        <w:t xml:space="preserve">esearch </w:t>
      </w:r>
      <w:r w:rsidR="009C4A1E">
        <w:t>purpose</w:t>
      </w:r>
      <w:r w:rsidR="009C51C0">
        <w:t>s</w:t>
      </w:r>
      <w:r w:rsidR="009C4A1E">
        <w:t xml:space="preserve"> of </w:t>
      </w:r>
      <w:r w:rsidR="009C51C0">
        <w:t xml:space="preserve">data </w:t>
      </w:r>
      <w:r w:rsidR="00E95141">
        <w:t xml:space="preserve">are an important consideration in decisions about </w:t>
      </w:r>
      <w:r w:rsidR="009D2445">
        <w:t xml:space="preserve">the relevant </w:t>
      </w:r>
      <w:r w:rsidR="00E95141">
        <w:t xml:space="preserve">data </w:t>
      </w:r>
      <w:r w:rsidR="009D2445">
        <w:t>to collect</w:t>
      </w:r>
      <w:r w:rsidR="00E95141">
        <w:t xml:space="preserve"> and use. However, </w:t>
      </w:r>
      <w:r w:rsidR="00BC2551">
        <w:t xml:space="preserve">it is proposed that </w:t>
      </w:r>
      <w:r w:rsidR="00E95141">
        <w:t xml:space="preserve">the main focus of this inquiry </w:t>
      </w:r>
      <w:r w:rsidR="00FE0C08">
        <w:t xml:space="preserve">is about </w:t>
      </w:r>
      <w:r w:rsidR="00E95141">
        <w:t>the underlying data, rather than on educational research literature (particularly with respect to analyses of ‘what works’ in teaching and learning</w:t>
      </w:r>
      <w:r w:rsidR="00BC2551">
        <w:t xml:space="preserve"> in schools</w:t>
      </w:r>
      <w:r w:rsidR="00E95141">
        <w:t xml:space="preserve">). </w:t>
      </w:r>
    </w:p>
    <w:p w14:paraId="047DA902" w14:textId="66B81ADE" w:rsidR="00010EE1" w:rsidRPr="007D77F0" w:rsidRDefault="00010EE1" w:rsidP="00010EE1">
      <w:pPr>
        <w:keepNext/>
        <w:spacing w:before="560" w:line="320" w:lineRule="exact"/>
        <w:outlineLvl w:val="2"/>
        <w:rPr>
          <w:rFonts w:ascii="Arial" w:hAnsi="Arial"/>
          <w:b/>
          <w:sz w:val="26"/>
          <w:szCs w:val="20"/>
        </w:rPr>
      </w:pPr>
      <w:r w:rsidRPr="007D77F0">
        <w:rPr>
          <w:rFonts w:ascii="Arial" w:hAnsi="Arial"/>
          <w:b/>
          <w:sz w:val="26"/>
          <w:szCs w:val="20"/>
        </w:rPr>
        <w:t xml:space="preserve">Australia’s </w:t>
      </w:r>
      <w:r>
        <w:rPr>
          <w:rFonts w:ascii="Arial" w:hAnsi="Arial"/>
          <w:b/>
          <w:sz w:val="26"/>
          <w:szCs w:val="20"/>
        </w:rPr>
        <w:t xml:space="preserve">national </w:t>
      </w:r>
      <w:r w:rsidRPr="007D77F0">
        <w:rPr>
          <w:rFonts w:ascii="Arial" w:hAnsi="Arial"/>
          <w:b/>
          <w:sz w:val="26"/>
          <w:szCs w:val="20"/>
        </w:rPr>
        <w:t xml:space="preserve">education </w:t>
      </w:r>
      <w:r>
        <w:rPr>
          <w:rFonts w:ascii="Arial" w:hAnsi="Arial"/>
          <w:b/>
          <w:sz w:val="26"/>
          <w:szCs w:val="20"/>
        </w:rPr>
        <w:t>objectives</w:t>
      </w:r>
    </w:p>
    <w:p w14:paraId="63C96187" w14:textId="77777777" w:rsidR="00010EE1" w:rsidRPr="007D77F0" w:rsidRDefault="00010EE1" w:rsidP="00010EE1">
      <w:pPr>
        <w:spacing w:before="240" w:line="300" w:lineRule="atLeast"/>
        <w:jc w:val="both"/>
        <w:rPr>
          <w:szCs w:val="20"/>
        </w:rPr>
      </w:pPr>
      <w:r>
        <w:rPr>
          <w:szCs w:val="20"/>
        </w:rPr>
        <w:t>Generally, the d</w:t>
      </w:r>
      <w:r w:rsidRPr="007D77F0">
        <w:rPr>
          <w:szCs w:val="20"/>
        </w:rPr>
        <w:t>elivery of school and early childhood education is the responsibility of state and territory governments</w:t>
      </w:r>
      <w:r>
        <w:rPr>
          <w:szCs w:val="20"/>
        </w:rPr>
        <w:t xml:space="preserve"> and the non-government sector. Funding is provided by the Australian Government, states and territories and students’ families</w:t>
      </w:r>
      <w:r w:rsidRPr="007D77F0">
        <w:rPr>
          <w:szCs w:val="20"/>
        </w:rPr>
        <w:t xml:space="preserve">. </w:t>
      </w:r>
      <w:r>
        <w:rPr>
          <w:szCs w:val="20"/>
        </w:rPr>
        <w:t>O</w:t>
      </w:r>
      <w:r w:rsidRPr="007D77F0">
        <w:rPr>
          <w:szCs w:val="20"/>
        </w:rPr>
        <w:t xml:space="preserve">ver the past decade </w:t>
      </w:r>
      <w:r>
        <w:rPr>
          <w:szCs w:val="20"/>
        </w:rPr>
        <w:t xml:space="preserve">there has been </w:t>
      </w:r>
      <w:r w:rsidRPr="007D77F0">
        <w:rPr>
          <w:szCs w:val="20"/>
        </w:rPr>
        <w:t xml:space="preserve">an increasingly shared approach </w:t>
      </w:r>
      <w:r>
        <w:rPr>
          <w:szCs w:val="20"/>
        </w:rPr>
        <w:t xml:space="preserve">between the Australian, state and territory governments </w:t>
      </w:r>
      <w:r w:rsidRPr="007D77F0">
        <w:rPr>
          <w:szCs w:val="20"/>
        </w:rPr>
        <w:t>to curricula, assessment and reporting</w:t>
      </w:r>
      <w:r>
        <w:rPr>
          <w:szCs w:val="20"/>
        </w:rPr>
        <w:t>. This has included the articulation of national educational objectives</w:t>
      </w:r>
      <w:r w:rsidRPr="007D77F0">
        <w:rPr>
          <w:szCs w:val="20"/>
        </w:rPr>
        <w:t xml:space="preserve"> in policy and curriculum documents. </w:t>
      </w:r>
    </w:p>
    <w:p w14:paraId="3FAF73E6" w14:textId="77777777" w:rsidR="00010EE1" w:rsidRPr="007D77F0" w:rsidRDefault="00010EE1" w:rsidP="00010EE1">
      <w:pPr>
        <w:spacing w:before="240" w:line="300" w:lineRule="atLeast"/>
        <w:jc w:val="both"/>
        <w:rPr>
          <w:szCs w:val="20"/>
        </w:rPr>
      </w:pPr>
      <w:r>
        <w:rPr>
          <w:szCs w:val="20"/>
        </w:rPr>
        <w:t>Some key documents are listed below.</w:t>
      </w:r>
    </w:p>
    <w:p w14:paraId="48FE220F" w14:textId="59D42C0E" w:rsidR="00010EE1" w:rsidRPr="007D77F0" w:rsidRDefault="00010EE1" w:rsidP="00010EE1">
      <w:pPr>
        <w:numPr>
          <w:ilvl w:val="0"/>
          <w:numId w:val="3"/>
        </w:numPr>
        <w:spacing w:before="120" w:line="300" w:lineRule="atLeast"/>
        <w:jc w:val="both"/>
        <w:rPr>
          <w:szCs w:val="20"/>
        </w:rPr>
      </w:pPr>
      <w:r w:rsidRPr="007D77F0">
        <w:rPr>
          <w:i/>
          <w:szCs w:val="20"/>
        </w:rPr>
        <w:t>Melbourne Declaration on Educational Goals for Young Australians</w:t>
      </w:r>
      <w:r w:rsidRPr="007D77F0">
        <w:rPr>
          <w:szCs w:val="20"/>
        </w:rPr>
        <w:t xml:space="preserve"> </w:t>
      </w:r>
      <w:r w:rsidRPr="004E103C">
        <w:t>(Ministerial Council on Education, Employment, Training and Youth Affairs 2008)</w:t>
      </w:r>
    </w:p>
    <w:p w14:paraId="586D7BAE" w14:textId="139EB2FC" w:rsidR="00010EE1" w:rsidRPr="007D77F0" w:rsidRDefault="00010EE1" w:rsidP="00010EE1">
      <w:pPr>
        <w:numPr>
          <w:ilvl w:val="0"/>
          <w:numId w:val="3"/>
        </w:numPr>
        <w:spacing w:before="120" w:line="300" w:lineRule="atLeast"/>
        <w:jc w:val="both"/>
        <w:rPr>
          <w:szCs w:val="20"/>
        </w:rPr>
      </w:pPr>
      <w:r w:rsidRPr="007D77F0">
        <w:rPr>
          <w:i/>
          <w:szCs w:val="20"/>
        </w:rPr>
        <w:t>National Education Agreement</w:t>
      </w:r>
      <w:r w:rsidRPr="007D77F0">
        <w:rPr>
          <w:szCs w:val="20"/>
        </w:rPr>
        <w:t xml:space="preserve"> (COAG 2009, updated in 2012)</w:t>
      </w:r>
    </w:p>
    <w:p w14:paraId="7B2EA111" w14:textId="11BF934C" w:rsidR="00010EE1" w:rsidRPr="007D77F0" w:rsidRDefault="00010EE1" w:rsidP="00010EE1">
      <w:pPr>
        <w:numPr>
          <w:ilvl w:val="0"/>
          <w:numId w:val="3"/>
        </w:numPr>
        <w:spacing w:before="120" w:line="300" w:lineRule="atLeast"/>
        <w:jc w:val="both"/>
        <w:rPr>
          <w:szCs w:val="20"/>
        </w:rPr>
      </w:pPr>
      <w:r w:rsidRPr="007D77F0">
        <w:rPr>
          <w:i/>
          <w:szCs w:val="20"/>
        </w:rPr>
        <w:t>Early Years Learning Framework</w:t>
      </w:r>
      <w:r w:rsidRPr="007D77F0">
        <w:rPr>
          <w:szCs w:val="20"/>
        </w:rPr>
        <w:t xml:space="preserve"> </w:t>
      </w:r>
      <w:r w:rsidRPr="004E103C">
        <w:t>(Department of Education, Employment and Workplace Relations 2009)</w:t>
      </w:r>
      <w:r w:rsidRPr="007D77F0">
        <w:rPr>
          <w:szCs w:val="20"/>
        </w:rPr>
        <w:t xml:space="preserve"> </w:t>
      </w:r>
    </w:p>
    <w:p w14:paraId="1FB08572" w14:textId="77777777" w:rsidR="00E13F25" w:rsidRPr="007D77F0" w:rsidRDefault="00E13F25" w:rsidP="00E13F25">
      <w:pPr>
        <w:keepNext/>
        <w:spacing w:before="360" w:line="80" w:lineRule="exact"/>
        <w:rPr>
          <w:szCs w:val="20"/>
        </w:rPr>
      </w:pPr>
      <w:r w:rsidRPr="007D77F0">
        <w:rPr>
          <w:b/>
          <w:vanish/>
          <w:color w:val="FF00FF"/>
          <w:sz w:val="14"/>
          <w:szCs w:val="20"/>
        </w:rPr>
        <w:lastRenderedPageBreak/>
        <w:t>Do not delete this RETURN as it gives space between the box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13F25" w:rsidRPr="007D77F0" w14:paraId="1FB08574" w14:textId="77777777" w:rsidTr="00E13F25">
        <w:tc>
          <w:tcPr>
            <w:tcW w:w="8771" w:type="dxa"/>
            <w:tcBorders>
              <w:top w:val="single" w:sz="6" w:space="0" w:color="78A22F"/>
              <w:left w:val="nil"/>
              <w:bottom w:val="nil"/>
              <w:right w:val="nil"/>
            </w:tcBorders>
            <w:shd w:val="clear" w:color="auto" w:fill="F2F2F2"/>
          </w:tcPr>
          <w:p w14:paraId="1FB08573" w14:textId="5E4F9BBE" w:rsidR="00E13F25" w:rsidRPr="007D77F0" w:rsidRDefault="00E13F25" w:rsidP="00F97CDB">
            <w:pPr>
              <w:keepNext/>
              <w:keepLines/>
              <w:spacing w:before="120" w:line="280" w:lineRule="exact"/>
              <w:ind w:left="1474" w:hanging="1474"/>
              <w:rPr>
                <w:rFonts w:ascii="Arial" w:hAnsi="Arial"/>
                <w:b/>
              </w:rPr>
            </w:pPr>
            <w:r w:rsidRPr="007D77F0">
              <w:rPr>
                <w:rFonts w:ascii="Arial" w:hAnsi="Arial"/>
              </w:rPr>
              <w:t xml:space="preserve">Box </w:t>
            </w:r>
            <w:bookmarkStart w:id="32" w:name="OLE_LINK4"/>
            <w:r w:rsidR="00013885">
              <w:rPr>
                <w:rFonts w:ascii="Arial" w:hAnsi="Arial"/>
                <w:noProof/>
              </w:rPr>
              <w:t>2</w:t>
            </w:r>
            <w:bookmarkEnd w:id="32"/>
            <w:r w:rsidRPr="007D77F0">
              <w:rPr>
                <w:rFonts w:ascii="Arial" w:hAnsi="Arial"/>
                <w:b/>
              </w:rPr>
              <w:tab/>
              <w:t>Education data</w:t>
            </w:r>
            <w:r w:rsidR="00ED5784">
              <w:rPr>
                <w:rFonts w:ascii="Arial" w:hAnsi="Arial"/>
                <w:b/>
              </w:rPr>
              <w:t>, research data</w:t>
            </w:r>
            <w:r w:rsidR="00CF79FE">
              <w:rPr>
                <w:rFonts w:ascii="Arial" w:hAnsi="Arial"/>
                <w:b/>
              </w:rPr>
              <w:t>sets</w:t>
            </w:r>
            <w:r w:rsidRPr="007D77F0">
              <w:rPr>
                <w:rFonts w:ascii="Arial" w:hAnsi="Arial"/>
                <w:b/>
              </w:rPr>
              <w:t xml:space="preserve"> and the national education evidence base</w:t>
            </w:r>
          </w:p>
        </w:tc>
      </w:tr>
      <w:tr w:rsidR="00E13F25" w:rsidRPr="007D77F0" w14:paraId="1FB08576" w14:textId="77777777" w:rsidTr="00E13F25">
        <w:trPr>
          <w:cantSplit/>
        </w:trPr>
        <w:tc>
          <w:tcPr>
            <w:tcW w:w="8771" w:type="dxa"/>
            <w:tcBorders>
              <w:top w:val="nil"/>
              <w:left w:val="nil"/>
              <w:bottom w:val="nil"/>
              <w:right w:val="nil"/>
            </w:tcBorders>
            <w:shd w:val="clear" w:color="auto" w:fill="F2F2F2"/>
          </w:tcPr>
          <w:p w14:paraId="7AC4E246" w14:textId="2F8E321D" w:rsidR="00E13F25" w:rsidRDefault="00E13F25" w:rsidP="00E13F25">
            <w:pPr>
              <w:keepNext/>
              <w:spacing w:before="120" w:line="260" w:lineRule="atLeast"/>
              <w:jc w:val="both"/>
              <w:rPr>
                <w:rFonts w:ascii="Arial" w:hAnsi="Arial"/>
                <w:sz w:val="20"/>
                <w:szCs w:val="20"/>
              </w:rPr>
            </w:pPr>
            <w:r w:rsidRPr="007D77F0">
              <w:rPr>
                <w:rFonts w:ascii="Arial" w:hAnsi="Arial"/>
                <w:sz w:val="20"/>
                <w:szCs w:val="20"/>
              </w:rPr>
              <w:t xml:space="preserve">In accordance with the terms of reference, </w:t>
            </w:r>
            <w:r w:rsidR="00DB2CCF">
              <w:rPr>
                <w:rFonts w:ascii="Arial" w:hAnsi="Arial"/>
                <w:sz w:val="20"/>
                <w:szCs w:val="20"/>
              </w:rPr>
              <w:t xml:space="preserve">the focus of this </w:t>
            </w:r>
            <w:r w:rsidRPr="007D77F0">
              <w:rPr>
                <w:rFonts w:ascii="Arial" w:hAnsi="Arial"/>
                <w:sz w:val="20"/>
                <w:szCs w:val="20"/>
              </w:rPr>
              <w:t xml:space="preserve">inquiry </w:t>
            </w:r>
            <w:r w:rsidR="00DB2CCF">
              <w:rPr>
                <w:rFonts w:ascii="Arial" w:hAnsi="Arial"/>
                <w:sz w:val="20"/>
                <w:szCs w:val="20"/>
              </w:rPr>
              <w:t xml:space="preserve">is </w:t>
            </w:r>
            <w:r w:rsidRPr="007D77F0">
              <w:rPr>
                <w:rFonts w:ascii="Arial" w:hAnsi="Arial"/>
                <w:sz w:val="20"/>
                <w:szCs w:val="20"/>
              </w:rPr>
              <w:t xml:space="preserve">on the data that underpin the national evidence base for school </w:t>
            </w:r>
            <w:r w:rsidR="00F43500">
              <w:rPr>
                <w:rFonts w:ascii="Arial" w:hAnsi="Arial"/>
                <w:sz w:val="20"/>
                <w:szCs w:val="20"/>
              </w:rPr>
              <w:t>and early childhood</w:t>
            </w:r>
            <w:r w:rsidRPr="007D77F0">
              <w:rPr>
                <w:rFonts w:ascii="Arial" w:hAnsi="Arial"/>
                <w:sz w:val="20"/>
                <w:szCs w:val="20"/>
              </w:rPr>
              <w:t xml:space="preserve"> education — defined here as </w:t>
            </w:r>
            <w:r w:rsidRPr="007D77F0">
              <w:rPr>
                <w:rFonts w:ascii="Arial" w:hAnsi="Arial"/>
                <w:b/>
                <w:sz w:val="20"/>
                <w:szCs w:val="20"/>
              </w:rPr>
              <w:t>education data</w:t>
            </w:r>
            <w:r w:rsidRPr="007D77F0">
              <w:rPr>
                <w:rFonts w:ascii="Arial" w:hAnsi="Arial"/>
                <w:sz w:val="20"/>
                <w:szCs w:val="20"/>
              </w:rPr>
              <w:t xml:space="preserve">. However, data can be viewed as just one (albeit essential) ingredient of an evidence base. A broader definition of the </w:t>
            </w:r>
            <w:r w:rsidRPr="007D77F0">
              <w:rPr>
                <w:rFonts w:ascii="Arial" w:hAnsi="Arial"/>
                <w:b/>
                <w:sz w:val="20"/>
                <w:szCs w:val="20"/>
              </w:rPr>
              <w:t xml:space="preserve">national education evidence base </w:t>
            </w:r>
            <w:r w:rsidR="00DB2CCF">
              <w:rPr>
                <w:rFonts w:ascii="Arial" w:hAnsi="Arial"/>
                <w:sz w:val="20"/>
                <w:szCs w:val="20"/>
              </w:rPr>
              <w:t>c</w:t>
            </w:r>
            <w:r w:rsidRPr="007D77F0">
              <w:rPr>
                <w:rFonts w:ascii="Arial" w:hAnsi="Arial"/>
                <w:sz w:val="20"/>
                <w:szCs w:val="20"/>
              </w:rPr>
              <w:t xml:space="preserve">ould also include educational research </w:t>
            </w:r>
            <w:r w:rsidR="00DB2CCF">
              <w:rPr>
                <w:rFonts w:ascii="Arial" w:hAnsi="Arial"/>
                <w:sz w:val="20"/>
                <w:szCs w:val="20"/>
              </w:rPr>
              <w:t>literature and analyses,</w:t>
            </w:r>
            <w:r w:rsidRPr="007D77F0">
              <w:rPr>
                <w:rFonts w:ascii="Arial" w:hAnsi="Arial"/>
                <w:sz w:val="20"/>
                <w:szCs w:val="20"/>
              </w:rPr>
              <w:t xml:space="preserve"> and the</w:t>
            </w:r>
            <w:r w:rsidR="006C1443">
              <w:rPr>
                <w:rFonts w:ascii="Arial" w:hAnsi="Arial"/>
                <w:sz w:val="20"/>
                <w:szCs w:val="20"/>
              </w:rPr>
              <w:t>ir</w:t>
            </w:r>
            <w:r w:rsidRPr="007D77F0">
              <w:rPr>
                <w:rFonts w:ascii="Arial" w:hAnsi="Arial"/>
                <w:sz w:val="20"/>
                <w:szCs w:val="20"/>
              </w:rPr>
              <w:t xml:space="preserve"> availability and accessibility. </w:t>
            </w:r>
          </w:p>
          <w:p w14:paraId="7B3EDAAC" w14:textId="49351995" w:rsidR="009F71AE" w:rsidRDefault="00292FDC" w:rsidP="009F71AE">
            <w:pPr>
              <w:keepNext/>
              <w:spacing w:before="120" w:line="260" w:lineRule="atLeast"/>
              <w:jc w:val="both"/>
              <w:rPr>
                <w:rFonts w:ascii="Arial" w:hAnsi="Arial"/>
                <w:sz w:val="20"/>
                <w:szCs w:val="20"/>
              </w:rPr>
            </w:pPr>
            <w:r>
              <w:rPr>
                <w:rFonts w:ascii="Arial" w:hAnsi="Arial"/>
                <w:sz w:val="20"/>
                <w:szCs w:val="20"/>
              </w:rPr>
              <w:t>Within education data, a</w:t>
            </w:r>
            <w:r w:rsidR="009F71AE">
              <w:rPr>
                <w:rFonts w:ascii="Arial" w:hAnsi="Arial"/>
                <w:sz w:val="20"/>
                <w:szCs w:val="20"/>
              </w:rPr>
              <w:t xml:space="preserve"> distinction can be drawn between </w:t>
            </w:r>
            <w:r w:rsidR="0062197F" w:rsidRPr="00710249">
              <w:rPr>
                <w:rFonts w:ascii="Arial" w:hAnsi="Arial"/>
                <w:sz w:val="20"/>
                <w:szCs w:val="20"/>
              </w:rPr>
              <w:t>research datasets</w:t>
            </w:r>
            <w:r w:rsidR="0062197F">
              <w:rPr>
                <w:rFonts w:ascii="Arial" w:hAnsi="Arial"/>
                <w:sz w:val="20"/>
                <w:szCs w:val="20"/>
              </w:rPr>
              <w:t xml:space="preserve"> and </w:t>
            </w:r>
            <w:r w:rsidR="007F56CE">
              <w:rPr>
                <w:rFonts w:ascii="Arial" w:hAnsi="Arial"/>
                <w:sz w:val="20"/>
              </w:rPr>
              <w:t>administrative records</w:t>
            </w:r>
            <w:r w:rsidR="0062197F">
              <w:rPr>
                <w:rFonts w:ascii="Arial" w:hAnsi="Arial"/>
                <w:sz w:val="20"/>
                <w:szCs w:val="20"/>
              </w:rPr>
              <w:t>.</w:t>
            </w:r>
          </w:p>
          <w:p w14:paraId="130E35AA" w14:textId="0B3AE82F" w:rsidR="00751AD0" w:rsidRDefault="005B6782" w:rsidP="00710249">
            <w:pPr>
              <w:pStyle w:val="BoxListBullet"/>
            </w:pPr>
            <w:r w:rsidRPr="00710249">
              <w:rPr>
                <w:b/>
              </w:rPr>
              <w:t>Research datasets</w:t>
            </w:r>
            <w:r>
              <w:t>: T</w:t>
            </w:r>
            <w:r w:rsidR="00751AD0">
              <w:t>hose that are readily accessible for researchers to use in answering research questions. These include datasets that are designed and collected for research</w:t>
            </w:r>
            <w:r w:rsidR="00664109">
              <w:t xml:space="preserve"> </w:t>
            </w:r>
            <w:r w:rsidR="00751AD0">
              <w:t>purpose</w:t>
            </w:r>
            <w:r w:rsidR="00F43500">
              <w:t>s</w:t>
            </w:r>
            <w:r w:rsidR="00751AD0">
              <w:t xml:space="preserve"> </w:t>
            </w:r>
            <w:r w:rsidR="00664109">
              <w:t xml:space="preserve">(for example, the Longitudinal </w:t>
            </w:r>
            <w:r w:rsidR="002255DD">
              <w:t>Study</w:t>
            </w:r>
            <w:r w:rsidR="00664109">
              <w:t xml:space="preserve"> of Australian Children)</w:t>
            </w:r>
            <w:r w:rsidR="00F91CEF">
              <w:t>. It also includes</w:t>
            </w:r>
            <w:r w:rsidR="00751AD0">
              <w:t xml:space="preserve"> </w:t>
            </w:r>
            <w:r w:rsidR="00F91CEF">
              <w:t xml:space="preserve">those </w:t>
            </w:r>
            <w:r w:rsidR="00751AD0">
              <w:t>administrative data</w:t>
            </w:r>
            <w:r w:rsidR="00812EE6">
              <w:t xml:space="preserve">sets that </w:t>
            </w:r>
            <w:r w:rsidR="007F56CE">
              <w:t>have been created to</w:t>
            </w:r>
            <w:r w:rsidR="00812EE6">
              <w:t xml:space="preserve"> be usable </w:t>
            </w:r>
            <w:r w:rsidR="00AC29DD">
              <w:t xml:space="preserve">or potentially usable </w:t>
            </w:r>
            <w:r w:rsidR="00812EE6">
              <w:t>for research purposes</w:t>
            </w:r>
            <w:r w:rsidR="00F91CEF">
              <w:t xml:space="preserve"> (for example, the National Assessment Program – Literacy and Numeracy</w:t>
            </w:r>
            <w:r w:rsidR="00264933">
              <w:t xml:space="preserve"> </w:t>
            </w:r>
            <w:r w:rsidR="007F56CE">
              <w:t xml:space="preserve">dataset compiled by the Australian Curriculum, Assessment </w:t>
            </w:r>
            <w:r w:rsidR="00E55A5E" w:rsidRPr="00E55A5E">
              <w:t>and Reporting Authority</w:t>
            </w:r>
            <w:r w:rsidR="00F91CEF">
              <w:t>).</w:t>
            </w:r>
          </w:p>
          <w:p w14:paraId="54A5EE89" w14:textId="3AE44CCD" w:rsidR="00723705" w:rsidRDefault="007F56CE" w:rsidP="00710249">
            <w:pPr>
              <w:pStyle w:val="BoxListBullet"/>
            </w:pPr>
            <w:r>
              <w:rPr>
                <w:b/>
              </w:rPr>
              <w:t>Administrative records</w:t>
            </w:r>
            <w:r w:rsidR="005B6782">
              <w:t xml:space="preserve">: </w:t>
            </w:r>
            <w:r w:rsidR="009E7E0E">
              <w:t>Administrative</w:t>
            </w:r>
            <w:r w:rsidR="001E5CD3">
              <w:t xml:space="preserve"> datasets that have potentially useful information, but</w:t>
            </w:r>
            <w:r w:rsidR="005B6782">
              <w:t xml:space="preserve"> that are not readily accessible for research purposes</w:t>
            </w:r>
            <w:r w:rsidR="009E7E0E">
              <w:t xml:space="preserve"> because the</w:t>
            </w:r>
            <w:r w:rsidR="009B0F8A">
              <w:t>y are collected and used for management and administration purposes and not in a state to be made available for research purposes</w:t>
            </w:r>
            <w:r w:rsidR="009E7E0E">
              <w:t>.</w:t>
            </w:r>
          </w:p>
          <w:p w14:paraId="2A6F7491" w14:textId="0E408137" w:rsidR="00E13F25" w:rsidRDefault="008C68CA" w:rsidP="00937A51">
            <w:pPr>
              <w:pStyle w:val="Box"/>
            </w:pPr>
            <w:r>
              <w:t>Potential</w:t>
            </w:r>
            <w:r w:rsidR="00AB6A5B">
              <w:t>ly</w:t>
            </w:r>
            <w:r>
              <w:t xml:space="preserve"> useful data could </w:t>
            </w:r>
            <w:r w:rsidR="00D3585C">
              <w:t>come from diverse sources,</w:t>
            </w:r>
            <w:r w:rsidR="00B8001B">
              <w:t xml:space="preserve"> </w:t>
            </w:r>
            <w:r w:rsidR="00DC5E15">
              <w:t xml:space="preserve">ranging from larger-scale processes such as surveys and standardised tests to </w:t>
            </w:r>
            <w:r w:rsidR="00D3585C">
              <w:t>school</w:t>
            </w:r>
            <w:r w:rsidR="00D3585C">
              <w:noBreakHyphen/>
              <w:t xml:space="preserve">based assessments and administrative </w:t>
            </w:r>
            <w:r>
              <w:t>systems</w:t>
            </w:r>
            <w:r w:rsidR="00D3585C">
              <w:t xml:space="preserve">, </w:t>
            </w:r>
            <w:r w:rsidR="00DC5E15">
              <w:t xml:space="preserve">and smaller-scale </w:t>
            </w:r>
            <w:r>
              <w:t xml:space="preserve">sources </w:t>
            </w:r>
            <w:r w:rsidR="00DC5E15">
              <w:t>such as randomised control trials and case studies.</w:t>
            </w:r>
            <w:r w:rsidR="00F84E7A">
              <w:t xml:space="preserve"> Th</w:t>
            </w:r>
            <w:r>
              <w:t>is</w:t>
            </w:r>
            <w:r w:rsidR="00F84E7A">
              <w:t xml:space="preserve"> schematic represents a view of these sources and how they </w:t>
            </w:r>
            <w:r>
              <w:t xml:space="preserve">might </w:t>
            </w:r>
            <w:r w:rsidR="00F84E7A">
              <w:t>contribute to education data and the evidence base.</w:t>
            </w:r>
          </w:p>
          <w:p w14:paraId="1FB08575" w14:textId="1EE81639" w:rsidR="001D7A78" w:rsidRPr="007D77F0" w:rsidRDefault="00E55A5E" w:rsidP="00937A51">
            <w:pPr>
              <w:pStyle w:val="Box"/>
            </w:pPr>
            <w:r>
              <w:rPr>
                <w:noProof/>
              </w:rPr>
              <w:drawing>
                <wp:inline distT="0" distB="0" distL="0" distR="0" wp14:anchorId="3C7FC1DB" wp14:editId="1CF83965">
                  <wp:extent cx="5141595" cy="3597275"/>
                  <wp:effectExtent l="0" t="0" r="1905" b="3175"/>
                  <wp:docPr id="1" name="Picture 1" descr="Box 2. This diagram represents the relationship between education data and the education evidence base, as well as the inputs into these. Education data is depicted as a subset of the education evidence base. Within education data, there are school-based assessment records, administrative records and research data sets. Within the education evidence base, but outside of education data, are research outputs, reporting and publications. Inputs are depicted outside the education evidence base, and include standardised tests, surveys, randomised control trials and cas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1595" cy="3597275"/>
                          </a:xfrm>
                          <a:prstGeom prst="rect">
                            <a:avLst/>
                          </a:prstGeom>
                          <a:noFill/>
                          <a:ln>
                            <a:noFill/>
                          </a:ln>
                        </pic:spPr>
                      </pic:pic>
                    </a:graphicData>
                  </a:graphic>
                </wp:inline>
              </w:drawing>
            </w:r>
          </w:p>
        </w:tc>
      </w:tr>
      <w:tr w:rsidR="00E13F25" w:rsidRPr="007D77F0" w14:paraId="1FB08578" w14:textId="77777777" w:rsidTr="00E13F25">
        <w:trPr>
          <w:cantSplit/>
        </w:trPr>
        <w:tc>
          <w:tcPr>
            <w:tcW w:w="8771" w:type="dxa"/>
            <w:tcBorders>
              <w:top w:val="nil"/>
              <w:left w:val="nil"/>
              <w:bottom w:val="single" w:sz="6" w:space="0" w:color="78A22F"/>
              <w:right w:val="nil"/>
            </w:tcBorders>
            <w:shd w:val="clear" w:color="auto" w:fill="F2F2F2"/>
          </w:tcPr>
          <w:p w14:paraId="1FB08577" w14:textId="77777777" w:rsidR="00E13F25" w:rsidRPr="007D77F0" w:rsidRDefault="00E13F25" w:rsidP="00E13F25">
            <w:pPr>
              <w:keepNext/>
              <w:spacing w:line="120" w:lineRule="exact"/>
              <w:jc w:val="both"/>
              <w:rPr>
                <w:rFonts w:ascii="Arial" w:hAnsi="Arial"/>
                <w:sz w:val="20"/>
                <w:szCs w:val="20"/>
              </w:rPr>
            </w:pPr>
          </w:p>
        </w:tc>
      </w:tr>
      <w:tr w:rsidR="00E13F25" w:rsidRPr="007D77F0" w14:paraId="1FB0857A" w14:textId="77777777" w:rsidTr="00E13F25">
        <w:trPr>
          <w:hidden/>
        </w:trPr>
        <w:tc>
          <w:tcPr>
            <w:tcW w:w="8771" w:type="dxa"/>
            <w:tcBorders>
              <w:top w:val="single" w:sz="6" w:space="0" w:color="78A22F"/>
              <w:left w:val="nil"/>
              <w:bottom w:val="nil"/>
              <w:right w:val="nil"/>
            </w:tcBorders>
          </w:tcPr>
          <w:p w14:paraId="1FB08579" w14:textId="77777777" w:rsidR="00E13F25" w:rsidRPr="007D77F0" w:rsidRDefault="00E13F25" w:rsidP="00E13F25">
            <w:pPr>
              <w:spacing w:before="60" w:after="60" w:line="80" w:lineRule="exact"/>
              <w:jc w:val="both"/>
              <w:rPr>
                <w:rFonts w:ascii="Arial" w:hAnsi="Arial"/>
                <w:sz w:val="14"/>
                <w:szCs w:val="20"/>
              </w:rPr>
            </w:pPr>
            <w:r w:rsidRPr="007D77F0">
              <w:rPr>
                <w:b/>
                <w:vanish/>
                <w:color w:val="FF00FF"/>
                <w:sz w:val="14"/>
                <w:szCs w:val="20"/>
              </w:rPr>
              <w:t>Do not delete this ROW as it gives space between the box and what follows it.</w:t>
            </w:r>
          </w:p>
        </w:tc>
      </w:tr>
    </w:tbl>
    <w:p w14:paraId="0167AFF9" w14:textId="16A78355" w:rsidR="00B4197A" w:rsidRDefault="008354FD" w:rsidP="002F0956">
      <w:pPr>
        <w:spacing w:before="240" w:line="300" w:lineRule="atLeast"/>
        <w:jc w:val="both"/>
        <w:rPr>
          <w:szCs w:val="20"/>
        </w:rPr>
      </w:pPr>
      <w:r>
        <w:rPr>
          <w:szCs w:val="20"/>
        </w:rPr>
        <w:lastRenderedPageBreak/>
        <w:t>The</w:t>
      </w:r>
      <w:r w:rsidR="00E13F25" w:rsidRPr="007D77F0" w:rsidDel="00010EE1">
        <w:t xml:space="preserve"> objectives </w:t>
      </w:r>
      <w:r w:rsidR="00E13F25" w:rsidRPr="007D77F0">
        <w:rPr>
          <w:szCs w:val="20"/>
        </w:rPr>
        <w:t xml:space="preserve">set out in documents </w:t>
      </w:r>
      <w:r w:rsidR="005A5E8C">
        <w:rPr>
          <w:szCs w:val="20"/>
        </w:rPr>
        <w:t>referred to above</w:t>
      </w:r>
      <w:r w:rsidR="00E13F25" w:rsidRPr="007D77F0">
        <w:rPr>
          <w:szCs w:val="20"/>
        </w:rPr>
        <w:t xml:space="preserve"> </w:t>
      </w:r>
      <w:r>
        <w:rPr>
          <w:szCs w:val="20"/>
        </w:rPr>
        <w:t xml:space="preserve">share a common view </w:t>
      </w:r>
      <w:r w:rsidR="00E13F25" w:rsidRPr="007D77F0">
        <w:rPr>
          <w:szCs w:val="20"/>
        </w:rPr>
        <w:t xml:space="preserve">that children and young people </w:t>
      </w:r>
      <w:r>
        <w:rPr>
          <w:szCs w:val="20"/>
        </w:rPr>
        <w:t xml:space="preserve">should be </w:t>
      </w:r>
      <w:r w:rsidR="00E13F25" w:rsidRPr="007D77F0">
        <w:rPr>
          <w:szCs w:val="20"/>
        </w:rPr>
        <w:t>equipped with the tools necessary for effective social and economic participation, for their own wellbeing and quality of life, and for the benefit of the community as a whole. The stated</w:t>
      </w:r>
      <w:r w:rsidR="00E13F25" w:rsidRPr="007D77F0" w:rsidDel="007B3673">
        <w:rPr>
          <w:szCs w:val="20"/>
        </w:rPr>
        <w:t xml:space="preserve"> </w:t>
      </w:r>
      <w:r w:rsidR="007B3673">
        <w:rPr>
          <w:szCs w:val="20"/>
        </w:rPr>
        <w:t>objectives</w:t>
      </w:r>
      <w:r w:rsidR="00E13F25" w:rsidRPr="007D77F0">
        <w:rPr>
          <w:szCs w:val="20"/>
        </w:rPr>
        <w:t xml:space="preserve"> typically cover academic domains such as literacy and numeracy</w:t>
      </w:r>
      <w:r w:rsidR="007B3673">
        <w:rPr>
          <w:szCs w:val="20"/>
        </w:rPr>
        <w:t>,</w:t>
      </w:r>
      <w:r w:rsidR="00E13F25" w:rsidRPr="007D77F0">
        <w:rPr>
          <w:szCs w:val="20"/>
        </w:rPr>
        <w:t xml:space="preserve"> as well as broader developmental </w:t>
      </w:r>
      <w:r w:rsidR="005718BB">
        <w:rPr>
          <w:szCs w:val="20"/>
        </w:rPr>
        <w:t xml:space="preserve">and non-cognitive </w:t>
      </w:r>
      <w:r w:rsidR="008363D0">
        <w:rPr>
          <w:szCs w:val="20"/>
        </w:rPr>
        <w:t>domains</w:t>
      </w:r>
      <w:r w:rsidR="00E13F25" w:rsidRPr="007D77F0">
        <w:rPr>
          <w:szCs w:val="20"/>
        </w:rPr>
        <w:t xml:space="preserve">, such as </w:t>
      </w:r>
      <w:r w:rsidR="005718BB">
        <w:rPr>
          <w:szCs w:val="20"/>
        </w:rPr>
        <w:t xml:space="preserve">social and emotional development and </w:t>
      </w:r>
      <w:r w:rsidR="00E13F25" w:rsidRPr="007D77F0">
        <w:rPr>
          <w:szCs w:val="20"/>
        </w:rPr>
        <w:t>wellbeing.</w:t>
      </w:r>
      <w:r w:rsidR="00B4197A">
        <w:rPr>
          <w:szCs w:val="20"/>
        </w:rPr>
        <w:t xml:space="preserve"> </w:t>
      </w:r>
      <w:r w:rsidR="00B4197A" w:rsidRPr="007D77F0">
        <w:rPr>
          <w:szCs w:val="20"/>
        </w:rPr>
        <w:t>(</w:t>
      </w:r>
      <w:r w:rsidR="00B4197A">
        <w:rPr>
          <w:szCs w:val="20"/>
        </w:rPr>
        <w:t>F</w:t>
      </w:r>
      <w:r w:rsidR="00B4197A" w:rsidRPr="007D77F0">
        <w:rPr>
          <w:szCs w:val="20"/>
        </w:rPr>
        <w:t>or example, the Melbourne Declaration aims to enable young Australians to become successful learners, confident and creative individuals, and active and informed citizens).</w:t>
      </w:r>
      <w:r w:rsidR="00B4197A">
        <w:rPr>
          <w:szCs w:val="20"/>
        </w:rPr>
        <w:t xml:space="preserve"> </w:t>
      </w:r>
    </w:p>
    <w:p w14:paraId="359A0782" w14:textId="7F51A7EE" w:rsidR="002F0956" w:rsidRDefault="002F0956" w:rsidP="002F0956">
      <w:pPr>
        <w:spacing w:before="240" w:line="300" w:lineRule="atLeast"/>
        <w:jc w:val="both"/>
        <w:rPr>
          <w:szCs w:val="20"/>
        </w:rPr>
      </w:pPr>
      <w:r w:rsidRPr="007D77F0">
        <w:rPr>
          <w:szCs w:val="20"/>
        </w:rPr>
        <w:t xml:space="preserve">The objectives of improved individual and national wellbeing (through education) are also reflected in the terms of reference for this inquiry, which suggests that a ‘world-class education system’ is one that ‘equips children to succeed in an increasingly competitive world’ and enables Australia to ‘lift [its] national productivity’. </w:t>
      </w:r>
    </w:p>
    <w:p w14:paraId="7A394EF9" w14:textId="74F71E99" w:rsidR="000D73BD" w:rsidRDefault="00193B3D" w:rsidP="007A4F34">
      <w:pPr>
        <w:pStyle w:val="Heading3"/>
      </w:pPr>
      <w:r>
        <w:t>E</w:t>
      </w:r>
      <w:r w:rsidR="000D73BD">
        <w:t>ducation outcomes</w:t>
      </w:r>
    </w:p>
    <w:p w14:paraId="67C7658A" w14:textId="4548ECD0" w:rsidR="009E7B61" w:rsidRDefault="00737ECE" w:rsidP="002F0956">
      <w:pPr>
        <w:spacing w:before="240" w:line="300" w:lineRule="atLeast"/>
        <w:jc w:val="both"/>
        <w:rPr>
          <w:szCs w:val="20"/>
        </w:rPr>
      </w:pPr>
      <w:r>
        <w:rPr>
          <w:szCs w:val="20"/>
        </w:rPr>
        <w:t>Although</w:t>
      </w:r>
      <w:r w:rsidRPr="007D77F0">
        <w:rPr>
          <w:szCs w:val="20"/>
        </w:rPr>
        <w:t xml:space="preserve"> </w:t>
      </w:r>
      <w:r>
        <w:rPr>
          <w:szCs w:val="20"/>
        </w:rPr>
        <w:t xml:space="preserve">overarching education objectives </w:t>
      </w:r>
      <w:r w:rsidRPr="007D77F0">
        <w:rPr>
          <w:szCs w:val="20"/>
        </w:rPr>
        <w:t xml:space="preserve">are important, the focus of the terms of reference is on </w:t>
      </w:r>
      <w:r w:rsidR="001C7237">
        <w:rPr>
          <w:szCs w:val="20"/>
        </w:rPr>
        <w:t xml:space="preserve">developing a national </w:t>
      </w:r>
      <w:r w:rsidRPr="007D77F0">
        <w:rPr>
          <w:szCs w:val="20"/>
        </w:rPr>
        <w:t xml:space="preserve">evidence base </w:t>
      </w:r>
      <w:r>
        <w:rPr>
          <w:szCs w:val="20"/>
        </w:rPr>
        <w:t xml:space="preserve">in order </w:t>
      </w:r>
      <w:r w:rsidRPr="007D77F0">
        <w:rPr>
          <w:szCs w:val="20"/>
        </w:rPr>
        <w:t>to</w:t>
      </w:r>
      <w:r>
        <w:rPr>
          <w:szCs w:val="20"/>
        </w:rPr>
        <w:t xml:space="preserve"> </w:t>
      </w:r>
      <w:r w:rsidR="001C7237">
        <w:rPr>
          <w:szCs w:val="20"/>
        </w:rPr>
        <w:t>‘</w:t>
      </w:r>
      <w:r>
        <w:rPr>
          <w:szCs w:val="20"/>
        </w:rPr>
        <w:t>improve education</w:t>
      </w:r>
      <w:r w:rsidR="001C7237">
        <w:rPr>
          <w:szCs w:val="20"/>
        </w:rPr>
        <w:t>al</w:t>
      </w:r>
      <w:r>
        <w:rPr>
          <w:szCs w:val="20"/>
        </w:rPr>
        <w:t xml:space="preserve"> outcomes</w:t>
      </w:r>
      <w:r w:rsidR="001C7237">
        <w:rPr>
          <w:szCs w:val="20"/>
        </w:rPr>
        <w:t>’</w:t>
      </w:r>
      <w:r>
        <w:rPr>
          <w:szCs w:val="20"/>
        </w:rPr>
        <w:t>.</w:t>
      </w:r>
      <w:r w:rsidR="004061DC">
        <w:rPr>
          <w:szCs w:val="20"/>
        </w:rPr>
        <w:t xml:space="preserve"> </w:t>
      </w:r>
      <w:r w:rsidR="009E7B61">
        <w:rPr>
          <w:szCs w:val="20"/>
        </w:rPr>
        <w:t xml:space="preserve">The way in which </w:t>
      </w:r>
      <w:r w:rsidR="00F30EBF">
        <w:rPr>
          <w:szCs w:val="20"/>
        </w:rPr>
        <w:t>‘</w:t>
      </w:r>
      <w:r w:rsidR="009E7B61">
        <w:rPr>
          <w:szCs w:val="20"/>
        </w:rPr>
        <w:t>outcomes</w:t>
      </w:r>
      <w:r w:rsidR="00F30EBF">
        <w:rPr>
          <w:szCs w:val="20"/>
        </w:rPr>
        <w:t>’</w:t>
      </w:r>
      <w:r w:rsidR="009E7B61">
        <w:rPr>
          <w:szCs w:val="20"/>
        </w:rPr>
        <w:t xml:space="preserve"> are conceptualised</w:t>
      </w:r>
      <w:r w:rsidR="008B1D6C">
        <w:rPr>
          <w:szCs w:val="20"/>
        </w:rPr>
        <w:t xml:space="preserve"> and ultimately</w:t>
      </w:r>
      <w:r w:rsidR="001E2369">
        <w:rPr>
          <w:szCs w:val="20"/>
        </w:rPr>
        <w:t>,</w:t>
      </w:r>
      <w:r w:rsidR="008B1D6C">
        <w:rPr>
          <w:szCs w:val="20"/>
        </w:rPr>
        <w:t xml:space="preserve"> measured</w:t>
      </w:r>
      <w:r w:rsidR="001E2369">
        <w:rPr>
          <w:szCs w:val="20"/>
        </w:rPr>
        <w:t>,</w:t>
      </w:r>
      <w:r w:rsidR="009E7B61">
        <w:rPr>
          <w:szCs w:val="20"/>
        </w:rPr>
        <w:t xml:space="preserve"> </w:t>
      </w:r>
      <w:r w:rsidR="00206DC2">
        <w:rPr>
          <w:szCs w:val="20"/>
        </w:rPr>
        <w:t xml:space="preserve">influences </w:t>
      </w:r>
      <w:r w:rsidR="009E7B61" w:rsidRPr="007D77F0">
        <w:rPr>
          <w:szCs w:val="20"/>
        </w:rPr>
        <w:t>the kinds of education data that should be collected, and how such data should be used.</w:t>
      </w:r>
    </w:p>
    <w:p w14:paraId="419DA6D4" w14:textId="3FD091B3" w:rsidR="00737ECE" w:rsidRDefault="00736F09" w:rsidP="002F0956">
      <w:pPr>
        <w:spacing w:before="240" w:line="300" w:lineRule="atLeast"/>
        <w:jc w:val="both"/>
        <w:rPr>
          <w:szCs w:val="20"/>
        </w:rPr>
      </w:pPr>
      <w:r>
        <w:rPr>
          <w:szCs w:val="20"/>
        </w:rPr>
        <w:t xml:space="preserve">A first consideration is the scope of </w:t>
      </w:r>
      <w:r w:rsidR="008327CF">
        <w:rPr>
          <w:szCs w:val="20"/>
        </w:rPr>
        <w:t xml:space="preserve">such outcomes. </w:t>
      </w:r>
      <w:r w:rsidR="004061DC">
        <w:rPr>
          <w:szCs w:val="20"/>
        </w:rPr>
        <w:t xml:space="preserve">In the Commission’s interpretation, education outcomes refer to </w:t>
      </w:r>
      <w:r w:rsidR="008A53EA">
        <w:rPr>
          <w:szCs w:val="20"/>
        </w:rPr>
        <w:t xml:space="preserve">the </w:t>
      </w:r>
      <w:r w:rsidR="00CB2C4E">
        <w:rPr>
          <w:szCs w:val="20"/>
        </w:rPr>
        <w:t xml:space="preserve">educational performance and attainment of individual </w:t>
      </w:r>
      <w:r w:rsidR="008A53EA">
        <w:rPr>
          <w:szCs w:val="20"/>
        </w:rPr>
        <w:t>children and young people</w:t>
      </w:r>
      <w:r w:rsidR="00CB2C4E">
        <w:rPr>
          <w:szCs w:val="20"/>
        </w:rPr>
        <w:t>, as well as of population groups and sub-groups.</w:t>
      </w:r>
      <w:r w:rsidR="00556749">
        <w:rPr>
          <w:szCs w:val="20"/>
        </w:rPr>
        <w:t xml:space="preserve"> The Commission proposes that such outcomes would not include all outcomes over the life course (such as employment and earnings after leaving the education system</w:t>
      </w:r>
      <w:r w:rsidR="004B06CF">
        <w:rPr>
          <w:szCs w:val="20"/>
        </w:rPr>
        <w:t>, and other longer-term outcomes). This is not to say that these ‘life outcomes’ are not important, but that they are beyond the scope of this inquiry.</w:t>
      </w:r>
    </w:p>
    <w:p w14:paraId="5998CB5F" w14:textId="5DA7A1D3" w:rsidR="009762D0" w:rsidRDefault="001B3851" w:rsidP="002F0956">
      <w:pPr>
        <w:spacing w:before="240" w:line="300" w:lineRule="atLeast"/>
        <w:jc w:val="both"/>
        <w:rPr>
          <w:szCs w:val="20"/>
        </w:rPr>
      </w:pPr>
      <w:r>
        <w:rPr>
          <w:szCs w:val="20"/>
        </w:rPr>
        <w:t xml:space="preserve">A </w:t>
      </w:r>
      <w:r w:rsidR="004F6A4A">
        <w:rPr>
          <w:szCs w:val="20"/>
        </w:rPr>
        <w:t xml:space="preserve">second issue involves deciding what it means to </w:t>
      </w:r>
      <w:r w:rsidR="00B14888">
        <w:rPr>
          <w:szCs w:val="20"/>
        </w:rPr>
        <w:t>‘</w:t>
      </w:r>
      <w:r w:rsidR="007A428D">
        <w:rPr>
          <w:szCs w:val="20"/>
        </w:rPr>
        <w:t>improve</w:t>
      </w:r>
      <w:r w:rsidR="00B14888">
        <w:rPr>
          <w:szCs w:val="20"/>
        </w:rPr>
        <w:t xml:space="preserve">’ </w:t>
      </w:r>
      <w:r>
        <w:rPr>
          <w:szCs w:val="20"/>
        </w:rPr>
        <w:t>education outcomes</w:t>
      </w:r>
      <w:r w:rsidR="00757499">
        <w:rPr>
          <w:szCs w:val="20"/>
        </w:rPr>
        <w:t xml:space="preserve"> </w:t>
      </w:r>
      <w:r w:rsidR="00AD0006">
        <w:rPr>
          <w:szCs w:val="20"/>
        </w:rPr>
        <w:t xml:space="preserve">— </w:t>
      </w:r>
      <w:r w:rsidR="00757499">
        <w:rPr>
          <w:szCs w:val="20"/>
        </w:rPr>
        <w:t xml:space="preserve">whether it is relative </w:t>
      </w:r>
      <w:r w:rsidR="00AD0006">
        <w:rPr>
          <w:szCs w:val="20"/>
        </w:rPr>
        <w:t xml:space="preserve">to </w:t>
      </w:r>
      <w:r w:rsidR="00757499">
        <w:rPr>
          <w:szCs w:val="20"/>
        </w:rPr>
        <w:t xml:space="preserve">a set of common </w:t>
      </w:r>
      <w:r w:rsidR="00AD0006">
        <w:rPr>
          <w:szCs w:val="20"/>
        </w:rPr>
        <w:t>standards</w:t>
      </w:r>
      <w:r w:rsidR="00757499">
        <w:rPr>
          <w:szCs w:val="20"/>
        </w:rPr>
        <w:t>,</w:t>
      </w:r>
      <w:r w:rsidR="00AD0006">
        <w:rPr>
          <w:szCs w:val="20"/>
        </w:rPr>
        <w:t xml:space="preserve"> or </w:t>
      </w:r>
      <w:r w:rsidR="00057A64">
        <w:rPr>
          <w:szCs w:val="20"/>
        </w:rPr>
        <w:t xml:space="preserve">with respect to the abilities, strengths and needs of individual children. </w:t>
      </w:r>
      <w:r w:rsidR="000268AD">
        <w:rPr>
          <w:szCs w:val="20"/>
        </w:rPr>
        <w:t>This has implications for measuring performance and progress</w:t>
      </w:r>
      <w:r w:rsidR="00645795">
        <w:rPr>
          <w:szCs w:val="20"/>
        </w:rPr>
        <w:t xml:space="preserve">. </w:t>
      </w:r>
      <w:r w:rsidR="00057A64">
        <w:rPr>
          <w:szCs w:val="20"/>
        </w:rPr>
        <w:t xml:space="preserve">For example, </w:t>
      </w:r>
      <w:r w:rsidR="00DF6AE3">
        <w:rPr>
          <w:szCs w:val="20"/>
        </w:rPr>
        <w:t xml:space="preserve">if </w:t>
      </w:r>
      <w:r w:rsidR="008361F4">
        <w:rPr>
          <w:szCs w:val="20"/>
        </w:rPr>
        <w:t>improving outcomes in literacy and numeracy is taken to mean enabling all children to meet minimum national literacy and numeracy standards</w:t>
      </w:r>
      <w:r w:rsidR="00983AFE">
        <w:rPr>
          <w:szCs w:val="20"/>
        </w:rPr>
        <w:t xml:space="preserve">, progress may be measured differently than if </w:t>
      </w:r>
      <w:r w:rsidR="00F6794A">
        <w:rPr>
          <w:szCs w:val="20"/>
        </w:rPr>
        <w:t xml:space="preserve">the goal is to help </w:t>
      </w:r>
      <w:r w:rsidR="0064252E">
        <w:rPr>
          <w:szCs w:val="20"/>
        </w:rPr>
        <w:t>each child reach their individual</w:t>
      </w:r>
      <w:r w:rsidR="00F6794A">
        <w:rPr>
          <w:szCs w:val="20"/>
        </w:rPr>
        <w:t xml:space="preserve"> potential in literacy and numeracy.</w:t>
      </w:r>
    </w:p>
    <w:p w14:paraId="514FC79E" w14:textId="1C5BA026" w:rsidR="001B3851" w:rsidRDefault="004F2D0C" w:rsidP="002F0956">
      <w:pPr>
        <w:spacing w:before="240" w:line="300" w:lineRule="atLeast"/>
        <w:jc w:val="both"/>
        <w:rPr>
          <w:szCs w:val="20"/>
        </w:rPr>
      </w:pPr>
      <w:r>
        <w:rPr>
          <w:szCs w:val="20"/>
        </w:rPr>
        <w:t xml:space="preserve">A third question is the extent to which education </w:t>
      </w:r>
      <w:r w:rsidR="00306AF5">
        <w:rPr>
          <w:szCs w:val="20"/>
        </w:rPr>
        <w:t xml:space="preserve">objectives and </w:t>
      </w:r>
      <w:r>
        <w:rPr>
          <w:szCs w:val="20"/>
        </w:rPr>
        <w:t>outcomes can be ‘operationalised’ — clearly defined and measured</w:t>
      </w:r>
      <w:r w:rsidR="006258BD">
        <w:rPr>
          <w:szCs w:val="20"/>
        </w:rPr>
        <w:t xml:space="preserve"> in a way that enables some assessment of whether </w:t>
      </w:r>
      <w:r w:rsidR="008638F8">
        <w:rPr>
          <w:szCs w:val="20"/>
        </w:rPr>
        <w:t xml:space="preserve">the </w:t>
      </w:r>
      <w:r w:rsidR="00306AF5">
        <w:rPr>
          <w:szCs w:val="20"/>
        </w:rPr>
        <w:t xml:space="preserve">objectives </w:t>
      </w:r>
      <w:r w:rsidR="006258BD">
        <w:rPr>
          <w:szCs w:val="20"/>
        </w:rPr>
        <w:t>are being achieved.</w:t>
      </w:r>
      <w:r w:rsidR="00793406">
        <w:rPr>
          <w:szCs w:val="20"/>
        </w:rPr>
        <w:t xml:space="preserve"> For example, education objectives in non</w:t>
      </w:r>
      <w:r w:rsidR="00793406">
        <w:rPr>
          <w:szCs w:val="20"/>
        </w:rPr>
        <w:noBreakHyphen/>
        <w:t xml:space="preserve">cognitive domains such as creativity and interpersonal skills may be seen as just as important as those in traditional academic </w:t>
      </w:r>
      <w:r w:rsidR="00B92E1D">
        <w:rPr>
          <w:szCs w:val="20"/>
        </w:rPr>
        <w:t xml:space="preserve">areas. However, to transform these objectives into practicable </w:t>
      </w:r>
      <w:r w:rsidR="00C409E2">
        <w:rPr>
          <w:szCs w:val="20"/>
        </w:rPr>
        <w:t>measures</w:t>
      </w:r>
      <w:r w:rsidR="00B92E1D">
        <w:rPr>
          <w:szCs w:val="20"/>
        </w:rPr>
        <w:t xml:space="preserve"> may require some work in defining the desired skills and knowledge and how these may be measured and assessed</w:t>
      </w:r>
      <w:r w:rsidR="00E90B49">
        <w:rPr>
          <w:szCs w:val="20"/>
        </w:rPr>
        <w:t xml:space="preserve"> in practice.</w:t>
      </w:r>
    </w:p>
    <w:p w14:paraId="7F809268" w14:textId="7D4B1F49" w:rsidR="00C908DC" w:rsidRDefault="00C908DC" w:rsidP="007A4F34">
      <w:pPr>
        <w:pStyle w:val="Heading3"/>
      </w:pPr>
      <w:r>
        <w:lastRenderedPageBreak/>
        <w:t>Determinants of education outcomes</w:t>
      </w:r>
    </w:p>
    <w:p w14:paraId="60F7B109" w14:textId="21A341E3" w:rsidR="007E7201" w:rsidRPr="007D77F0" w:rsidRDefault="007E7201" w:rsidP="007E7201">
      <w:pPr>
        <w:spacing w:before="240" w:line="300" w:lineRule="atLeast"/>
        <w:jc w:val="both"/>
        <w:rPr>
          <w:szCs w:val="20"/>
        </w:rPr>
      </w:pPr>
      <w:r w:rsidRPr="007D77F0">
        <w:rPr>
          <w:szCs w:val="20"/>
        </w:rPr>
        <w:t xml:space="preserve">A range of factors can interact and shape an individual child’s development and learning over the life course </w:t>
      </w:r>
      <w:r w:rsidRPr="004E103C">
        <w:t>(Australian Institute of Family Studies 2009</w:t>
      </w:r>
      <w:r w:rsidRPr="002A29CF">
        <w:t>)</w:t>
      </w:r>
      <w:r w:rsidRPr="007D77F0">
        <w:rPr>
          <w:szCs w:val="20"/>
        </w:rPr>
        <w:t>. These factors</w:t>
      </w:r>
      <w:r>
        <w:rPr>
          <w:szCs w:val="20"/>
        </w:rPr>
        <w:t xml:space="preserve">, or </w:t>
      </w:r>
      <w:r w:rsidR="00E974D1">
        <w:rPr>
          <w:szCs w:val="20"/>
        </w:rPr>
        <w:t>‘</w:t>
      </w:r>
      <w:r>
        <w:rPr>
          <w:szCs w:val="20"/>
        </w:rPr>
        <w:t>determinants</w:t>
      </w:r>
      <w:r w:rsidR="00E974D1">
        <w:rPr>
          <w:szCs w:val="20"/>
        </w:rPr>
        <w:t>’</w:t>
      </w:r>
      <w:r>
        <w:rPr>
          <w:szCs w:val="20"/>
        </w:rPr>
        <w:t>,</w:t>
      </w:r>
      <w:r w:rsidRPr="007D77F0">
        <w:rPr>
          <w:szCs w:val="20"/>
        </w:rPr>
        <w:t xml:space="preserve"> include individual student characteristics (such as innate ability), family and community characteristics (such as socioeconomic background), school </w:t>
      </w:r>
      <w:r>
        <w:rPr>
          <w:szCs w:val="20"/>
        </w:rPr>
        <w:t xml:space="preserve">or preschool </w:t>
      </w:r>
      <w:r w:rsidRPr="007D77F0">
        <w:rPr>
          <w:szCs w:val="20"/>
        </w:rPr>
        <w:t xml:space="preserve">characteristics (such as </w:t>
      </w:r>
      <w:r>
        <w:rPr>
          <w:szCs w:val="20"/>
        </w:rPr>
        <w:t>location and size</w:t>
      </w:r>
      <w:r w:rsidRPr="007D77F0">
        <w:rPr>
          <w:szCs w:val="20"/>
        </w:rPr>
        <w:t>), and aspects of the broader social and economic contexts (including education policy settings</w:t>
      </w:r>
      <w:r>
        <w:rPr>
          <w:szCs w:val="20"/>
        </w:rPr>
        <w:t xml:space="preserve"> and interventions</w:t>
      </w:r>
      <w:r w:rsidRPr="007D77F0">
        <w:rPr>
          <w:szCs w:val="20"/>
        </w:rPr>
        <w:t xml:space="preserve">). </w:t>
      </w:r>
    </w:p>
    <w:p w14:paraId="40205C54" w14:textId="6A198F0D" w:rsidR="007E7201" w:rsidRDefault="007E7201" w:rsidP="00E13F25">
      <w:pPr>
        <w:spacing w:before="240" w:line="300" w:lineRule="atLeast"/>
        <w:jc w:val="both"/>
        <w:rPr>
          <w:szCs w:val="20"/>
        </w:rPr>
      </w:pPr>
      <w:r w:rsidRPr="007D77F0">
        <w:rPr>
          <w:szCs w:val="20"/>
        </w:rPr>
        <w:t xml:space="preserve">These </w:t>
      </w:r>
      <w:r>
        <w:rPr>
          <w:szCs w:val="20"/>
        </w:rPr>
        <w:t>determinants</w:t>
      </w:r>
      <w:r w:rsidRPr="007D77F0">
        <w:rPr>
          <w:szCs w:val="20"/>
        </w:rPr>
        <w:t xml:space="preserve"> may be very important </w:t>
      </w:r>
      <w:r w:rsidR="00353ABE">
        <w:rPr>
          <w:szCs w:val="20"/>
        </w:rPr>
        <w:t>in explaining the impact on</w:t>
      </w:r>
      <w:r w:rsidRPr="007D77F0">
        <w:rPr>
          <w:szCs w:val="20"/>
        </w:rPr>
        <w:t xml:space="preserve"> outcomes for individuals or groups. In </w:t>
      </w:r>
      <w:r w:rsidR="005B08BF">
        <w:rPr>
          <w:szCs w:val="20"/>
        </w:rPr>
        <w:t xml:space="preserve">seeking to use </w:t>
      </w:r>
      <w:r w:rsidR="009C1149">
        <w:rPr>
          <w:szCs w:val="20"/>
        </w:rPr>
        <w:t xml:space="preserve">data </w:t>
      </w:r>
      <w:r w:rsidR="005B08BF">
        <w:rPr>
          <w:szCs w:val="20"/>
        </w:rPr>
        <w:t>to improve</w:t>
      </w:r>
      <w:r w:rsidRPr="007D77F0">
        <w:rPr>
          <w:szCs w:val="20"/>
        </w:rPr>
        <w:t xml:space="preserve"> education outcomes, it is necessary to both understand and control for </w:t>
      </w:r>
      <w:r>
        <w:rPr>
          <w:szCs w:val="20"/>
        </w:rPr>
        <w:t xml:space="preserve">what will be defined here as ‘external </w:t>
      </w:r>
      <w:r w:rsidR="008D4AD0">
        <w:rPr>
          <w:szCs w:val="20"/>
        </w:rPr>
        <w:t>determinants</w:t>
      </w:r>
      <w:r>
        <w:rPr>
          <w:szCs w:val="20"/>
        </w:rPr>
        <w:t xml:space="preserve">’. External </w:t>
      </w:r>
      <w:r w:rsidR="008D4AD0">
        <w:rPr>
          <w:szCs w:val="20"/>
        </w:rPr>
        <w:t xml:space="preserve">determinants </w:t>
      </w:r>
      <w:r>
        <w:rPr>
          <w:szCs w:val="20"/>
        </w:rPr>
        <w:t xml:space="preserve">are </w:t>
      </w:r>
      <w:r w:rsidR="008D4AD0">
        <w:rPr>
          <w:szCs w:val="20"/>
        </w:rPr>
        <w:t xml:space="preserve">factors that affect </w:t>
      </w:r>
      <w:r>
        <w:rPr>
          <w:szCs w:val="20"/>
        </w:rPr>
        <w:t>education outcomes</w:t>
      </w:r>
      <w:r w:rsidRPr="007D77F0">
        <w:rPr>
          <w:szCs w:val="20"/>
        </w:rPr>
        <w:t xml:space="preserve"> that are </w:t>
      </w:r>
      <w:r w:rsidR="00D74396">
        <w:rPr>
          <w:szCs w:val="20"/>
        </w:rPr>
        <w:t xml:space="preserve">not directly manageable </w:t>
      </w:r>
      <w:r w:rsidRPr="007D77F0">
        <w:rPr>
          <w:szCs w:val="20"/>
        </w:rPr>
        <w:t>by the education system</w:t>
      </w:r>
      <w:r w:rsidR="00526E07">
        <w:rPr>
          <w:szCs w:val="20"/>
        </w:rPr>
        <w:t xml:space="preserve"> (policies, schools and teachers)</w:t>
      </w:r>
      <w:r w:rsidRPr="007D77F0">
        <w:rPr>
          <w:szCs w:val="20"/>
        </w:rPr>
        <w:t xml:space="preserve">. These may include socioeconomic status (for example, parental education and occupation), Indigenous status, remoteness, and disability. </w:t>
      </w:r>
      <w:r>
        <w:rPr>
          <w:szCs w:val="20"/>
        </w:rPr>
        <w:t>T</w:t>
      </w:r>
      <w:r w:rsidRPr="007D77F0">
        <w:rPr>
          <w:szCs w:val="20"/>
        </w:rPr>
        <w:t xml:space="preserve">he usefulness of any data source as a means of developing and measuring </w:t>
      </w:r>
      <w:r w:rsidR="008D4AD0">
        <w:rPr>
          <w:szCs w:val="20"/>
        </w:rPr>
        <w:t>the effectiveness of ‘within-system determinants’ (factors within the education system, such as policy interventions)</w:t>
      </w:r>
      <w:r w:rsidR="005E4D59">
        <w:rPr>
          <w:szCs w:val="20"/>
        </w:rPr>
        <w:t xml:space="preserve"> </w:t>
      </w:r>
      <w:r w:rsidRPr="007D77F0">
        <w:rPr>
          <w:szCs w:val="20"/>
        </w:rPr>
        <w:t xml:space="preserve">depends substantially </w:t>
      </w:r>
      <w:r>
        <w:rPr>
          <w:szCs w:val="20"/>
        </w:rPr>
        <w:t xml:space="preserve">on </w:t>
      </w:r>
      <w:r w:rsidRPr="007D77F0">
        <w:rPr>
          <w:szCs w:val="20"/>
        </w:rPr>
        <w:t>the extent to which the</w:t>
      </w:r>
      <w:r w:rsidR="00BA477C">
        <w:rPr>
          <w:szCs w:val="20"/>
        </w:rPr>
        <w:t xml:space="preserve"> relative contributions of these determinants can be </w:t>
      </w:r>
      <w:r w:rsidR="00976FC6">
        <w:rPr>
          <w:szCs w:val="20"/>
        </w:rPr>
        <w:t xml:space="preserve">separately </w:t>
      </w:r>
      <w:r w:rsidR="00F515BE">
        <w:rPr>
          <w:szCs w:val="20"/>
        </w:rPr>
        <w:t>identified</w:t>
      </w:r>
      <w:r w:rsidR="00976FC6">
        <w:rPr>
          <w:szCs w:val="20"/>
        </w:rPr>
        <w:t>.</w:t>
      </w:r>
    </w:p>
    <w:p w14:paraId="100A184F" w14:textId="03D989D9" w:rsidR="005D287B" w:rsidRDefault="0006020C" w:rsidP="00E13F25">
      <w:pPr>
        <w:spacing w:before="240" w:line="300" w:lineRule="atLeast"/>
        <w:jc w:val="both"/>
        <w:rPr>
          <w:szCs w:val="20"/>
        </w:rPr>
      </w:pPr>
      <w:r>
        <w:rPr>
          <w:szCs w:val="20"/>
        </w:rPr>
        <w:t>The</w:t>
      </w:r>
      <w:r w:rsidRPr="007D77F0">
        <w:rPr>
          <w:szCs w:val="20"/>
        </w:rPr>
        <w:t xml:space="preserve"> </w:t>
      </w:r>
      <w:r w:rsidR="003E71E2">
        <w:rPr>
          <w:szCs w:val="20"/>
        </w:rPr>
        <w:t xml:space="preserve">distinction between objectives, </w:t>
      </w:r>
      <w:r w:rsidRPr="007D77F0">
        <w:rPr>
          <w:szCs w:val="20"/>
        </w:rPr>
        <w:t>outcomes</w:t>
      </w:r>
      <w:r w:rsidR="003E71E2">
        <w:rPr>
          <w:szCs w:val="20"/>
        </w:rPr>
        <w:t xml:space="preserve">, determinants and measures is </w:t>
      </w:r>
      <w:r w:rsidR="005C605B">
        <w:rPr>
          <w:szCs w:val="20"/>
        </w:rPr>
        <w:t>given</w:t>
      </w:r>
      <w:r>
        <w:rPr>
          <w:szCs w:val="20"/>
        </w:rPr>
        <w:t xml:space="preserve"> in box </w:t>
      </w:r>
      <w:r w:rsidR="004D1621">
        <w:rPr>
          <w:szCs w:val="20"/>
        </w:rPr>
        <w:t>3</w:t>
      </w:r>
      <w:r>
        <w:rPr>
          <w:szCs w:val="20"/>
        </w:rPr>
        <w:t>.</w:t>
      </w:r>
      <w:r w:rsidRPr="007D77F0">
        <w:rPr>
          <w:szCs w:val="20"/>
        </w:rPr>
        <w:t xml:space="preserve"> </w:t>
      </w:r>
    </w:p>
    <w:p w14:paraId="30B5CED1" w14:textId="77777777" w:rsidR="005D287B" w:rsidRPr="007D77F0" w:rsidRDefault="005D287B" w:rsidP="005D287B">
      <w:pPr>
        <w:spacing w:before="240" w:line="300" w:lineRule="atLeast"/>
        <w:jc w:val="both"/>
        <w:rPr>
          <w:b/>
          <w:sz w:val="14"/>
          <w:szCs w:val="20"/>
        </w:rPr>
      </w:pPr>
      <w:r w:rsidRPr="007D77F0">
        <w:rPr>
          <w:b/>
          <w:vanish/>
          <w:color w:val="FF00FF"/>
          <w:sz w:val="14"/>
          <w:szCs w:val="20"/>
        </w:rPr>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5D287B" w:rsidRPr="007D77F0" w14:paraId="4DD747C4" w14:textId="77777777" w:rsidTr="00705811">
        <w:trPr>
          <w:tblHeader/>
        </w:trPr>
        <w:tc>
          <w:tcPr>
            <w:tcW w:w="8770" w:type="dxa"/>
            <w:tcBorders>
              <w:top w:val="single" w:sz="6" w:space="0" w:color="78A22F"/>
              <w:left w:val="nil"/>
              <w:bottom w:val="nil"/>
              <w:right w:val="nil"/>
            </w:tcBorders>
            <w:shd w:val="clear" w:color="auto" w:fill="auto"/>
          </w:tcPr>
          <w:p w14:paraId="49CBF567" w14:textId="77777777" w:rsidR="005D287B" w:rsidRPr="007D77F0" w:rsidRDefault="005D287B" w:rsidP="00705811">
            <w:pPr>
              <w:keepLines/>
              <w:spacing w:before="240" w:line="280" w:lineRule="atLeast"/>
              <w:jc w:val="both"/>
              <w:rPr>
                <w:rFonts w:ascii="Arial" w:hAnsi="Arial"/>
                <w:i/>
                <w:caps/>
                <w:sz w:val="18"/>
                <w:szCs w:val="20"/>
              </w:rPr>
            </w:pPr>
            <w:r w:rsidRPr="007D77F0">
              <w:rPr>
                <w:rFonts w:ascii="Arial" w:hAnsi="Arial"/>
                <w:i/>
                <w:caps/>
                <w:sz w:val="18"/>
                <w:szCs w:val="20"/>
              </w:rPr>
              <w:t>Questions</w:t>
            </w:r>
          </w:p>
          <w:p w14:paraId="30924337" w14:textId="77777777" w:rsidR="005D287B" w:rsidRDefault="005D287B" w:rsidP="00705811">
            <w:pPr>
              <w:pStyle w:val="InformationRequestBullet"/>
            </w:pPr>
            <w:r>
              <w:t>Does your understanding of the terms ‘education data’ and ‘education evidence base’ accord with the definitions presented here? If not, how would you describe these concepts and their relationship?</w:t>
            </w:r>
          </w:p>
          <w:p w14:paraId="762963CD" w14:textId="77777777" w:rsidR="005D287B" w:rsidRDefault="005D287B" w:rsidP="00705811">
            <w:pPr>
              <w:pStyle w:val="InformationRequestBullet"/>
            </w:pPr>
            <w:r>
              <w:t>Do you agree that the objective of a national education evidence base should be to improve education outcomes? Are there other objectives that should be included?</w:t>
            </w:r>
            <w:r w:rsidDel="00227FD1">
              <w:t xml:space="preserve"> </w:t>
            </w:r>
          </w:p>
          <w:p w14:paraId="2CE6B2F9" w14:textId="72FA8602" w:rsidR="005D287B" w:rsidRDefault="005D287B" w:rsidP="00705811">
            <w:pPr>
              <w:pStyle w:val="InformationRequestBullet"/>
            </w:pPr>
            <w:r>
              <w:t xml:space="preserve">What education outcomes do you see as relevant? For example, </w:t>
            </w:r>
            <w:r w:rsidR="00DD4A16">
              <w:t xml:space="preserve">outcomes in </w:t>
            </w:r>
            <w:r w:rsidR="0061151B">
              <w:t>traditional academic domains (such as literacy</w:t>
            </w:r>
            <w:r w:rsidR="0083779F">
              <w:t xml:space="preserve"> and numeracy), outcomes in non</w:t>
            </w:r>
            <w:r w:rsidR="0083779F">
              <w:noBreakHyphen/>
            </w:r>
            <w:r w:rsidR="0061151B">
              <w:t xml:space="preserve">cognitive </w:t>
            </w:r>
            <w:r w:rsidR="00122AC8">
              <w:t>domains</w:t>
            </w:r>
            <w:r w:rsidR="0061151B">
              <w:t xml:space="preserve"> (such as communication and interpersonal skills)</w:t>
            </w:r>
            <w:r w:rsidR="00B4423B">
              <w:t>.</w:t>
            </w:r>
          </w:p>
          <w:p w14:paraId="49A249A8" w14:textId="4418A1D4" w:rsidR="00EC2C2F" w:rsidRDefault="00EC2C2F" w:rsidP="00705811">
            <w:pPr>
              <w:pStyle w:val="InformationRequestBullet"/>
            </w:pPr>
            <w:r>
              <w:t>What education outcomes do you see as beyond the scope of this inquiry?</w:t>
            </w:r>
          </w:p>
          <w:p w14:paraId="296CCBE8" w14:textId="7066E8BC" w:rsidR="005D287B" w:rsidRPr="007D77F0" w:rsidRDefault="005D287B" w:rsidP="00705811">
            <w:pPr>
              <w:pStyle w:val="InformationRequestBullet"/>
            </w:pPr>
            <w:r>
              <w:t xml:space="preserve">Can all </w:t>
            </w:r>
            <w:r w:rsidR="00DD4A16">
              <w:t xml:space="preserve">relevant </w:t>
            </w:r>
            <w:r>
              <w:t xml:space="preserve">education outcomes be measured? What approaches can be used in accounting for outcomes that may be difficult to measure? </w:t>
            </w:r>
          </w:p>
        </w:tc>
      </w:tr>
      <w:tr w:rsidR="005D287B" w:rsidRPr="007D77F0" w14:paraId="4469AA60" w14:textId="77777777" w:rsidTr="00705811">
        <w:tc>
          <w:tcPr>
            <w:tcW w:w="8770" w:type="dxa"/>
            <w:tcBorders>
              <w:top w:val="nil"/>
              <w:left w:val="nil"/>
              <w:bottom w:val="single" w:sz="6" w:space="0" w:color="78A22F"/>
              <w:right w:val="nil"/>
            </w:tcBorders>
            <w:shd w:val="clear" w:color="auto" w:fill="auto"/>
          </w:tcPr>
          <w:p w14:paraId="56E904CA" w14:textId="77777777" w:rsidR="005D287B" w:rsidRPr="007D77F0" w:rsidRDefault="005D287B" w:rsidP="00705811">
            <w:pPr>
              <w:keepLines/>
              <w:spacing w:line="120" w:lineRule="exact"/>
              <w:jc w:val="both"/>
              <w:rPr>
                <w:rFonts w:ascii="Arial" w:hAnsi="Arial"/>
                <w:sz w:val="20"/>
                <w:szCs w:val="20"/>
              </w:rPr>
            </w:pPr>
          </w:p>
        </w:tc>
      </w:tr>
      <w:tr w:rsidR="005D287B" w:rsidRPr="007D77F0" w14:paraId="0DEF09D9" w14:textId="77777777" w:rsidTr="00705811">
        <w:trPr>
          <w:hidden/>
        </w:trPr>
        <w:tc>
          <w:tcPr>
            <w:tcW w:w="8770" w:type="dxa"/>
            <w:tcBorders>
              <w:top w:val="single" w:sz="6" w:space="0" w:color="78A22F"/>
              <w:left w:val="nil"/>
              <w:bottom w:val="nil"/>
              <w:right w:val="nil"/>
            </w:tcBorders>
          </w:tcPr>
          <w:p w14:paraId="24B9FB6B" w14:textId="77777777" w:rsidR="005D287B" w:rsidRPr="007D77F0" w:rsidRDefault="005D287B" w:rsidP="00705811">
            <w:pPr>
              <w:keepLines/>
              <w:spacing w:before="60" w:after="60" w:line="80" w:lineRule="exact"/>
              <w:jc w:val="both"/>
              <w:rPr>
                <w:rFonts w:ascii="Arial" w:hAnsi="Arial"/>
                <w:sz w:val="14"/>
                <w:szCs w:val="20"/>
              </w:rPr>
            </w:pPr>
            <w:r w:rsidRPr="007D77F0">
              <w:rPr>
                <w:b/>
                <w:vanish/>
                <w:color w:val="FF00FF"/>
                <w:sz w:val="14"/>
                <w:szCs w:val="20"/>
              </w:rPr>
              <w:t>Do not delete this ROW as it gives space between the info request and what follows it.</w:t>
            </w:r>
          </w:p>
        </w:tc>
      </w:tr>
    </w:tbl>
    <w:p w14:paraId="3646032F" w14:textId="77777777" w:rsidR="005D287B" w:rsidRDefault="005D287B" w:rsidP="00E13F25">
      <w:pPr>
        <w:spacing w:before="240" w:line="300" w:lineRule="atLeast"/>
        <w:jc w:val="both"/>
        <w:rPr>
          <w:szCs w:val="20"/>
        </w:rPr>
      </w:pPr>
    </w:p>
    <w:p w14:paraId="72D18B8E" w14:textId="77777777" w:rsidR="005D287B" w:rsidRDefault="005D287B" w:rsidP="002F0956">
      <w:pPr>
        <w:spacing w:before="240" w:line="300" w:lineRule="atLeast"/>
        <w:jc w:val="both"/>
        <w:rPr>
          <w:szCs w:val="20"/>
        </w:rPr>
      </w:pPr>
    </w:p>
    <w:p w14:paraId="5187B5E0" w14:textId="77777777" w:rsidR="00E66B69" w:rsidRDefault="00E66B69">
      <w:pPr>
        <w:pStyle w:val="BoxSpaceAbove"/>
      </w:pPr>
      <w:r>
        <w:rPr>
          <w:b/>
          <w:vanish/>
          <w:color w:val="FF00FF"/>
          <w:sz w:val="14"/>
        </w:rPr>
        <w:lastRenderedPageBreak/>
        <w:t>Do not delete this RETURN as it gives space between the box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E66B69" w14:paraId="1F245E98" w14:textId="77777777" w:rsidTr="00BB1B06">
        <w:trPr>
          <w:tblHeader/>
        </w:trPr>
        <w:tc>
          <w:tcPr>
            <w:tcW w:w="8771" w:type="dxa"/>
            <w:tcBorders>
              <w:top w:val="single" w:sz="6" w:space="0" w:color="78A22F"/>
              <w:left w:val="nil"/>
              <w:bottom w:val="nil"/>
              <w:right w:val="nil"/>
            </w:tcBorders>
            <w:shd w:val="clear" w:color="auto" w:fill="F2F2F2"/>
          </w:tcPr>
          <w:p w14:paraId="5E5933C8" w14:textId="76E01BAB" w:rsidR="00E66B69" w:rsidRDefault="00E66B69" w:rsidP="002A4B33">
            <w:pPr>
              <w:pStyle w:val="BoxTitle"/>
            </w:pPr>
            <w:r>
              <w:rPr>
                <w:b w:val="0"/>
              </w:rPr>
              <w:t xml:space="preserve">Box </w:t>
            </w:r>
            <w:bookmarkStart w:id="33" w:name="OLE_LINK3"/>
            <w:r w:rsidR="00013885">
              <w:rPr>
                <w:b w:val="0"/>
                <w:noProof/>
              </w:rPr>
              <w:t>3</w:t>
            </w:r>
            <w:bookmarkEnd w:id="33"/>
            <w:r>
              <w:tab/>
              <w:t>Objectives, outcomes</w:t>
            </w:r>
            <w:r w:rsidR="00896DA9">
              <w:t xml:space="preserve">, </w:t>
            </w:r>
            <w:r w:rsidR="002A4B33">
              <w:t xml:space="preserve">measures and </w:t>
            </w:r>
            <w:r w:rsidR="00896DA9">
              <w:t>determinants</w:t>
            </w:r>
            <w:r>
              <w:t xml:space="preserve"> </w:t>
            </w:r>
          </w:p>
        </w:tc>
      </w:tr>
      <w:tr w:rsidR="00E66B69" w14:paraId="2AE6B528" w14:textId="77777777" w:rsidTr="00BB1B06">
        <w:tc>
          <w:tcPr>
            <w:tcW w:w="8771" w:type="dxa"/>
            <w:tcBorders>
              <w:top w:val="nil"/>
              <w:left w:val="nil"/>
              <w:bottom w:val="nil"/>
              <w:right w:val="nil"/>
            </w:tcBorders>
            <w:shd w:val="clear" w:color="auto" w:fill="F2F2F2"/>
          </w:tcPr>
          <w:p w14:paraId="0C120398" w14:textId="58E68AA2" w:rsidR="0089221E" w:rsidRDefault="0089221E" w:rsidP="0089221E">
            <w:pPr>
              <w:pStyle w:val="Box"/>
            </w:pPr>
            <w:r>
              <w:t>The inquiry terms of reference mention both ‘</w:t>
            </w:r>
            <w:r w:rsidRPr="0089221E">
              <w:t>national education objectives</w:t>
            </w:r>
            <w:r>
              <w:t xml:space="preserve">’ and ‘educational outcomes’, and much of the focus of the inquiry is </w:t>
            </w:r>
            <w:r w:rsidR="00E260AF">
              <w:t>about how education data can be used as an evidence base to improve outcomes</w:t>
            </w:r>
            <w:r>
              <w:t>.</w:t>
            </w:r>
          </w:p>
          <w:p w14:paraId="41F4A3A2" w14:textId="79DC1AF9" w:rsidR="0089221E" w:rsidRDefault="0089221E" w:rsidP="0089221E">
            <w:pPr>
              <w:pStyle w:val="Box"/>
            </w:pPr>
            <w:r>
              <w:t>To clarify these terms</w:t>
            </w:r>
            <w:r w:rsidR="00154A65">
              <w:t>, as used in this inquiry:</w:t>
            </w:r>
          </w:p>
          <w:p w14:paraId="1788DCB1" w14:textId="4B4A635B" w:rsidR="00456C50" w:rsidRPr="007D77F0" w:rsidRDefault="00456C50" w:rsidP="001659EC">
            <w:pPr>
              <w:pStyle w:val="BoxListBullet"/>
            </w:pPr>
            <w:r w:rsidRPr="001659EC">
              <w:rPr>
                <w:b/>
              </w:rPr>
              <w:t>Objectives</w:t>
            </w:r>
            <w:r>
              <w:t xml:space="preserve"> refer to policy or program goals. For example, ‘national education objectives’ are taken to mean the objectives set out in policy documents such as the </w:t>
            </w:r>
            <w:r w:rsidRPr="007D77F0">
              <w:rPr>
                <w:i/>
              </w:rPr>
              <w:t>Melbourne Declaration on Educational Goals for Young Australians</w:t>
            </w:r>
            <w:r w:rsidRPr="007D77F0">
              <w:t xml:space="preserve"> </w:t>
            </w:r>
            <w:r w:rsidRPr="004E103C">
              <w:t>(Ministerial Council on Education, Employment, Training and Youth Affairs 2008)</w:t>
            </w:r>
            <w:r w:rsidR="00AD51C1">
              <w:t xml:space="preserve">. </w:t>
            </w:r>
          </w:p>
          <w:p w14:paraId="53912932" w14:textId="28DD8961" w:rsidR="00E66B69" w:rsidRDefault="004459F3" w:rsidP="00F92D84">
            <w:pPr>
              <w:pStyle w:val="BoxListBullet"/>
            </w:pPr>
            <w:r w:rsidRPr="008D7CDD">
              <w:rPr>
                <w:b/>
              </w:rPr>
              <w:t>O</w:t>
            </w:r>
            <w:r w:rsidR="00F92D84" w:rsidRPr="008D7CDD">
              <w:rPr>
                <w:b/>
              </w:rPr>
              <w:t>utcomes</w:t>
            </w:r>
            <w:r w:rsidR="00F92D84">
              <w:t xml:space="preserve"> refer</w:t>
            </w:r>
            <w:r>
              <w:t xml:space="preserve"> to </w:t>
            </w:r>
            <w:r w:rsidR="00AD51C1">
              <w:t>results</w:t>
            </w:r>
            <w:r w:rsidR="00F92D84">
              <w:t xml:space="preserve"> achieved in practice. For example, a national education objective might be that </w:t>
            </w:r>
            <w:r w:rsidR="006260DC">
              <w:t>all young people become literate and numerate</w:t>
            </w:r>
            <w:r w:rsidR="00F92D84">
              <w:t xml:space="preserve">; the relevant outcome in this case would be the </w:t>
            </w:r>
            <w:r w:rsidR="006260DC">
              <w:t>literacy and numeracy levels achieved (by a given population group</w:t>
            </w:r>
            <w:r w:rsidR="00D20F82">
              <w:t>,</w:t>
            </w:r>
            <w:r w:rsidR="005373F4">
              <w:t xml:space="preserve"> sub</w:t>
            </w:r>
            <w:r w:rsidR="00D20F82">
              <w:t>group</w:t>
            </w:r>
            <w:r w:rsidR="006260DC">
              <w:t xml:space="preserve"> or </w:t>
            </w:r>
            <w:r w:rsidR="00D20F82">
              <w:t>individual</w:t>
            </w:r>
            <w:r w:rsidR="006260DC">
              <w:t>).</w:t>
            </w:r>
          </w:p>
          <w:p w14:paraId="4E815CD6" w14:textId="77777777" w:rsidR="00284E9F" w:rsidRDefault="00896DA9" w:rsidP="00F92D84">
            <w:pPr>
              <w:pStyle w:val="BoxListBullet"/>
            </w:pPr>
            <w:r w:rsidRPr="00EA70F3">
              <w:rPr>
                <w:b/>
              </w:rPr>
              <w:t>Determinants</w:t>
            </w:r>
            <w:r>
              <w:t xml:space="preserve"> refer to the wide range of factors th</w:t>
            </w:r>
            <w:r w:rsidR="00284E9F">
              <w:t>at influence education outcomes. These include both:</w:t>
            </w:r>
            <w:r>
              <w:t xml:space="preserve"> </w:t>
            </w:r>
          </w:p>
          <w:p w14:paraId="7F669AAB" w14:textId="371ED5BD" w:rsidR="009406F9" w:rsidRDefault="009406F9" w:rsidP="007A4F34">
            <w:pPr>
              <w:pStyle w:val="BoxListBullet2"/>
              <w:rPr>
                <w:szCs w:val="24"/>
              </w:rPr>
            </w:pPr>
            <w:r w:rsidRPr="009406F9">
              <w:rPr>
                <w:i/>
              </w:rPr>
              <w:t>within-system</w:t>
            </w:r>
            <w:r w:rsidR="00284E9F" w:rsidRPr="007A4F34">
              <w:rPr>
                <w:i/>
              </w:rPr>
              <w:t xml:space="preserve"> determinants</w:t>
            </w:r>
            <w:r w:rsidR="00284E9F">
              <w:t xml:space="preserve">: </w:t>
            </w:r>
            <w:r w:rsidR="00896DA9">
              <w:t>factors within the educat</w:t>
            </w:r>
            <w:r>
              <w:t xml:space="preserve">ion system, </w:t>
            </w:r>
            <w:r w:rsidR="00896DA9">
              <w:t xml:space="preserve">such as policy settings, curricula and </w:t>
            </w:r>
            <w:r>
              <w:t>teaching approaches in schools</w:t>
            </w:r>
          </w:p>
          <w:p w14:paraId="7C819BA9" w14:textId="79D6E09F" w:rsidR="00896DA9" w:rsidRDefault="00896DA9" w:rsidP="007A4F34">
            <w:pPr>
              <w:pStyle w:val="BoxListBullet2"/>
              <w:rPr>
                <w:szCs w:val="24"/>
              </w:rPr>
            </w:pPr>
            <w:r w:rsidRPr="007A4F34">
              <w:rPr>
                <w:i/>
              </w:rPr>
              <w:t xml:space="preserve">external </w:t>
            </w:r>
            <w:r w:rsidR="009406F9" w:rsidRPr="007A4F34">
              <w:rPr>
                <w:i/>
              </w:rPr>
              <w:t>determinants</w:t>
            </w:r>
            <w:r w:rsidR="009406F9">
              <w:t xml:space="preserve">: factors outside the education system, </w:t>
            </w:r>
            <w:r>
              <w:t xml:space="preserve">such as children’s </w:t>
            </w:r>
            <w:r w:rsidR="000939BF">
              <w:t xml:space="preserve">health, </w:t>
            </w:r>
            <w:r>
              <w:t>family background, socioeconomic status and parents’ educational attainment.</w:t>
            </w:r>
          </w:p>
          <w:p w14:paraId="514DA603" w14:textId="3E4C9461" w:rsidR="00B579CA" w:rsidRDefault="00F84865">
            <w:pPr>
              <w:pStyle w:val="BoxListBullet"/>
              <w:rPr>
                <w:szCs w:val="24"/>
              </w:rPr>
            </w:pPr>
            <w:r w:rsidRPr="008D7CDD">
              <w:rPr>
                <w:b/>
              </w:rPr>
              <w:t>Measures</w:t>
            </w:r>
            <w:r>
              <w:t xml:space="preserve"> refer to specific </w:t>
            </w:r>
            <w:r w:rsidR="006260DC">
              <w:t>indicators of a particular outcome</w:t>
            </w:r>
            <w:r w:rsidR="004146C7">
              <w:t xml:space="preserve"> or determinant</w:t>
            </w:r>
            <w:r w:rsidR="006260DC">
              <w:t xml:space="preserve">. </w:t>
            </w:r>
            <w:r w:rsidR="00663CBA">
              <w:t xml:space="preserve">For example, a measure of literacy </w:t>
            </w:r>
            <w:r w:rsidR="00B24399">
              <w:t xml:space="preserve">and numeracy </w:t>
            </w:r>
            <w:r w:rsidR="00663CBA">
              <w:t xml:space="preserve">attainment </w:t>
            </w:r>
            <w:r w:rsidR="00B24399">
              <w:t xml:space="preserve">might be the score(s) achieved by an individual student, group or population on </w:t>
            </w:r>
            <w:r w:rsidR="00E545E8">
              <w:t xml:space="preserve">an </w:t>
            </w:r>
            <w:r w:rsidR="00B24399">
              <w:t>assessment</w:t>
            </w:r>
            <w:r w:rsidR="00E545E8">
              <w:t xml:space="preserve"> such as </w:t>
            </w:r>
            <w:proofErr w:type="spellStart"/>
            <w:r w:rsidR="00E545E8">
              <w:t>NAPLAN</w:t>
            </w:r>
            <w:proofErr w:type="spellEnd"/>
            <w:r w:rsidR="00AB3B9F">
              <w:t xml:space="preserve"> or PISA. </w:t>
            </w:r>
            <w:r w:rsidR="00663CBA">
              <w:t>A measure of the home learning environment might be the number of books in the home.</w:t>
            </w:r>
          </w:p>
        </w:tc>
      </w:tr>
      <w:tr w:rsidR="00E66B69" w14:paraId="2397E006" w14:textId="77777777" w:rsidTr="00BB1B06">
        <w:tc>
          <w:tcPr>
            <w:tcW w:w="8771" w:type="dxa"/>
            <w:tcBorders>
              <w:top w:val="nil"/>
              <w:left w:val="nil"/>
              <w:bottom w:val="single" w:sz="6" w:space="0" w:color="78A22F"/>
              <w:right w:val="nil"/>
            </w:tcBorders>
            <w:shd w:val="clear" w:color="auto" w:fill="F2F2F2"/>
          </w:tcPr>
          <w:p w14:paraId="3237D94B" w14:textId="77777777" w:rsidR="00E66B69" w:rsidRDefault="00E66B69">
            <w:pPr>
              <w:pStyle w:val="Box"/>
              <w:spacing w:before="0" w:line="120" w:lineRule="exact"/>
            </w:pPr>
          </w:p>
        </w:tc>
      </w:tr>
      <w:tr w:rsidR="00E66B69" w:rsidRPr="000863A5" w14:paraId="298A8FC1" w14:textId="77777777" w:rsidTr="00BB1B06">
        <w:trPr>
          <w:hidden/>
        </w:trPr>
        <w:tc>
          <w:tcPr>
            <w:tcW w:w="8771" w:type="dxa"/>
            <w:tcBorders>
              <w:top w:val="single" w:sz="6" w:space="0" w:color="78A22F"/>
              <w:left w:val="nil"/>
              <w:bottom w:val="nil"/>
              <w:right w:val="nil"/>
            </w:tcBorders>
          </w:tcPr>
          <w:p w14:paraId="147A0E7D" w14:textId="77777777" w:rsidR="00E66B69" w:rsidRPr="00626D32" w:rsidRDefault="00E66B69" w:rsidP="00BB1B06">
            <w:pPr>
              <w:pStyle w:val="BoxSpaceBelow"/>
            </w:pPr>
            <w:r w:rsidRPr="00626D32">
              <w:rPr>
                <w:rFonts w:ascii="Times New Roman" w:hAnsi="Times New Roman"/>
                <w:b/>
                <w:vanish/>
                <w:color w:val="FF00FF"/>
              </w:rPr>
              <w:t>Do not delete this ROW as it gives space between the box and what follows it.</w:t>
            </w:r>
          </w:p>
        </w:tc>
      </w:tr>
    </w:tbl>
    <w:p w14:paraId="23E15D09" w14:textId="48027A62" w:rsidR="0037342B" w:rsidRDefault="0037342B" w:rsidP="007A4F34">
      <w:pPr>
        <w:pStyle w:val="Heading3"/>
      </w:pPr>
      <w:r>
        <w:t>Framework for a national education evidence base</w:t>
      </w:r>
    </w:p>
    <w:p w14:paraId="310626B5" w14:textId="719FF628" w:rsidR="006758AD" w:rsidRDefault="006758AD" w:rsidP="006758AD">
      <w:pPr>
        <w:spacing w:before="240" w:line="300" w:lineRule="atLeast"/>
        <w:jc w:val="both"/>
        <w:rPr>
          <w:szCs w:val="20"/>
        </w:rPr>
      </w:pPr>
      <w:r w:rsidRPr="007D77F0">
        <w:rPr>
          <w:szCs w:val="20"/>
        </w:rPr>
        <w:t>As noted in the terms of reference, a</w:t>
      </w:r>
      <w:r w:rsidRPr="007D77F0" w:rsidDel="00B75030">
        <w:rPr>
          <w:szCs w:val="20"/>
        </w:rPr>
        <w:t xml:space="preserve"> </w:t>
      </w:r>
      <w:r w:rsidRPr="007D77F0">
        <w:rPr>
          <w:szCs w:val="20"/>
        </w:rPr>
        <w:t xml:space="preserve">well-structured </w:t>
      </w:r>
      <w:r w:rsidR="00D971FF">
        <w:rPr>
          <w:szCs w:val="20"/>
        </w:rPr>
        <w:t xml:space="preserve">education </w:t>
      </w:r>
      <w:r w:rsidRPr="007D77F0">
        <w:rPr>
          <w:szCs w:val="20"/>
        </w:rPr>
        <w:t xml:space="preserve">evidence base can </w:t>
      </w:r>
      <w:r w:rsidR="001F0AB5">
        <w:rPr>
          <w:szCs w:val="20"/>
        </w:rPr>
        <w:t>be useful in</w:t>
      </w:r>
      <w:r w:rsidR="00B75030">
        <w:rPr>
          <w:szCs w:val="20"/>
        </w:rPr>
        <w:t xml:space="preserve"> identify</w:t>
      </w:r>
      <w:r w:rsidR="001F0AB5">
        <w:rPr>
          <w:szCs w:val="20"/>
        </w:rPr>
        <w:t>ing</w:t>
      </w:r>
      <w:r w:rsidR="00B75030">
        <w:rPr>
          <w:szCs w:val="20"/>
        </w:rPr>
        <w:t xml:space="preserve"> </w:t>
      </w:r>
      <w:r w:rsidR="00F84A8E">
        <w:rPr>
          <w:szCs w:val="20"/>
        </w:rPr>
        <w:t>what factors might be relevant for improving</w:t>
      </w:r>
      <w:r w:rsidR="005F22EF">
        <w:rPr>
          <w:szCs w:val="20"/>
        </w:rPr>
        <w:t xml:space="preserve"> education outcomes</w:t>
      </w:r>
      <w:r w:rsidR="00F84A8E">
        <w:rPr>
          <w:szCs w:val="20"/>
        </w:rPr>
        <w:t>,</w:t>
      </w:r>
      <w:r w:rsidR="005F22EF">
        <w:rPr>
          <w:szCs w:val="20"/>
        </w:rPr>
        <w:t xml:space="preserve"> </w:t>
      </w:r>
      <w:r w:rsidRPr="007D77F0">
        <w:rPr>
          <w:szCs w:val="20"/>
        </w:rPr>
        <w:t>and enabl</w:t>
      </w:r>
      <w:r w:rsidR="00F84A8E">
        <w:rPr>
          <w:szCs w:val="20"/>
        </w:rPr>
        <w:t>ing</w:t>
      </w:r>
      <w:r w:rsidRPr="007D77F0">
        <w:rPr>
          <w:szCs w:val="20"/>
        </w:rPr>
        <w:t xml:space="preserve"> rigorous assessment of policy intervention</w:t>
      </w:r>
      <w:r w:rsidR="00961E95">
        <w:rPr>
          <w:szCs w:val="20"/>
        </w:rPr>
        <w:t>s</w:t>
      </w:r>
      <w:r w:rsidRPr="007D77F0">
        <w:rPr>
          <w:szCs w:val="20"/>
        </w:rPr>
        <w:t>.</w:t>
      </w:r>
    </w:p>
    <w:p w14:paraId="1D28A265" w14:textId="54BF371F" w:rsidR="006758AD" w:rsidRDefault="00AA60B0" w:rsidP="006F2584">
      <w:pPr>
        <w:spacing w:before="240" w:line="300" w:lineRule="atLeast"/>
        <w:jc w:val="both"/>
        <w:rPr>
          <w:szCs w:val="20"/>
        </w:rPr>
      </w:pPr>
      <w:r>
        <w:rPr>
          <w:szCs w:val="20"/>
        </w:rPr>
        <w:t xml:space="preserve">The terms of reference indicate that the role of a national evidence base is to ‘improve Australia’s educational outcomes’ through </w:t>
      </w:r>
      <w:r w:rsidR="0046498B" w:rsidRPr="00EF1A21">
        <w:rPr>
          <w:szCs w:val="20"/>
        </w:rPr>
        <w:t>‘monitor</w:t>
      </w:r>
      <w:r>
        <w:rPr>
          <w:szCs w:val="20"/>
        </w:rPr>
        <w:t>[</w:t>
      </w:r>
      <w:proofErr w:type="spellStart"/>
      <w:r>
        <w:rPr>
          <w:szCs w:val="20"/>
        </w:rPr>
        <w:t>ing</w:t>
      </w:r>
      <w:proofErr w:type="spellEnd"/>
      <w:r>
        <w:rPr>
          <w:szCs w:val="20"/>
        </w:rPr>
        <w:t>]</w:t>
      </w:r>
      <w:r w:rsidR="0046498B">
        <w:rPr>
          <w:szCs w:val="20"/>
        </w:rPr>
        <w:t xml:space="preserve"> educational outcomes and inform</w:t>
      </w:r>
      <w:r w:rsidR="00B6556F">
        <w:rPr>
          <w:szCs w:val="20"/>
        </w:rPr>
        <w:t>[</w:t>
      </w:r>
      <w:proofErr w:type="spellStart"/>
      <w:r w:rsidR="00B6556F">
        <w:rPr>
          <w:szCs w:val="20"/>
        </w:rPr>
        <w:t>ing</w:t>
      </w:r>
      <w:proofErr w:type="spellEnd"/>
      <w:r w:rsidR="00B6556F">
        <w:rPr>
          <w:szCs w:val="20"/>
        </w:rPr>
        <w:t>]</w:t>
      </w:r>
      <w:r w:rsidR="0046498B">
        <w:rPr>
          <w:szCs w:val="20"/>
        </w:rPr>
        <w:t xml:space="preserve"> policy development and evaluation’. </w:t>
      </w:r>
      <w:r w:rsidR="00241AE8">
        <w:rPr>
          <w:szCs w:val="20"/>
        </w:rPr>
        <w:t>These processes — monitoring progress, evaluating and informing policy and program development —</w:t>
      </w:r>
      <w:r w:rsidR="00C669A0" w:rsidRPr="007D77F0">
        <w:rPr>
          <w:szCs w:val="20"/>
        </w:rPr>
        <w:t xml:space="preserve">can be represented </w:t>
      </w:r>
      <w:r w:rsidR="007B4F18">
        <w:rPr>
          <w:szCs w:val="20"/>
        </w:rPr>
        <w:t xml:space="preserve">(at a high level) </w:t>
      </w:r>
      <w:r w:rsidR="00C669A0" w:rsidRPr="007D77F0">
        <w:rPr>
          <w:szCs w:val="20"/>
        </w:rPr>
        <w:t>as a cycle (figure </w:t>
      </w:r>
      <w:r w:rsidR="00382D61">
        <w:t>1</w:t>
      </w:r>
      <w:r w:rsidR="0029756D">
        <w:rPr>
          <w:szCs w:val="20"/>
        </w:rPr>
        <w:t xml:space="preserve">). </w:t>
      </w:r>
      <w:r w:rsidR="00743080">
        <w:rPr>
          <w:szCs w:val="20"/>
        </w:rPr>
        <w:t xml:space="preserve">Taken together with the objective of </w:t>
      </w:r>
      <w:r w:rsidR="003E107C">
        <w:rPr>
          <w:szCs w:val="20"/>
        </w:rPr>
        <w:t xml:space="preserve">improving education outcomes, </w:t>
      </w:r>
      <w:r w:rsidR="0079076C">
        <w:rPr>
          <w:szCs w:val="20"/>
        </w:rPr>
        <w:t xml:space="preserve">this </w:t>
      </w:r>
      <w:r w:rsidR="003E107C">
        <w:rPr>
          <w:szCs w:val="20"/>
        </w:rPr>
        <w:t>form</w:t>
      </w:r>
      <w:r w:rsidR="0079076C">
        <w:rPr>
          <w:szCs w:val="20"/>
        </w:rPr>
        <w:t>s</w:t>
      </w:r>
      <w:r w:rsidR="003E107C">
        <w:rPr>
          <w:szCs w:val="20"/>
        </w:rPr>
        <w:t xml:space="preserve"> a framework that the Commission proposes could be used to </w:t>
      </w:r>
      <w:r w:rsidR="00DB7C4D">
        <w:rPr>
          <w:szCs w:val="20"/>
        </w:rPr>
        <w:t>guide</w:t>
      </w:r>
      <w:r w:rsidR="001A57AE">
        <w:rPr>
          <w:szCs w:val="20"/>
        </w:rPr>
        <w:t xml:space="preserve"> </w:t>
      </w:r>
      <w:r w:rsidR="00050FEE">
        <w:rPr>
          <w:szCs w:val="20"/>
        </w:rPr>
        <w:t xml:space="preserve">what data should be collected, and the arrangements </w:t>
      </w:r>
      <w:r w:rsidR="00490E99">
        <w:rPr>
          <w:szCs w:val="20"/>
        </w:rPr>
        <w:t>for data</w:t>
      </w:r>
      <w:r w:rsidR="00050FEE">
        <w:rPr>
          <w:szCs w:val="20"/>
        </w:rPr>
        <w:t xml:space="preserve"> access and use.</w:t>
      </w:r>
    </w:p>
    <w:p w14:paraId="6F2D163E" w14:textId="10F38F1E" w:rsidR="0029756D" w:rsidRDefault="0029756D" w:rsidP="006F2584">
      <w:pPr>
        <w:spacing w:before="240" w:line="300" w:lineRule="atLeast"/>
        <w:jc w:val="both"/>
        <w:rPr>
          <w:szCs w:val="20"/>
        </w:rPr>
      </w:pPr>
    </w:p>
    <w:p w14:paraId="59B6AA72" w14:textId="6AC61CFB" w:rsidR="0029756D" w:rsidRDefault="0029756D" w:rsidP="006F2584">
      <w:pPr>
        <w:spacing w:before="240" w:line="300" w:lineRule="atLeast"/>
        <w:jc w:val="both"/>
        <w:rPr>
          <w:szCs w:val="20"/>
        </w:rPr>
      </w:pPr>
    </w:p>
    <w:p w14:paraId="1D250432" w14:textId="77777777" w:rsidR="006F2584" w:rsidRPr="007D77F0" w:rsidRDefault="006F2584" w:rsidP="006F2584">
      <w:pPr>
        <w:keepNext/>
        <w:spacing w:before="360" w:line="80" w:lineRule="exact"/>
        <w:rPr>
          <w:szCs w:val="20"/>
        </w:rPr>
      </w:pPr>
      <w:r w:rsidRPr="007D77F0">
        <w:rPr>
          <w:b/>
          <w:vanish/>
          <w:color w:val="FF00FF"/>
          <w:sz w:val="14"/>
          <w:szCs w:val="20"/>
        </w:rPr>
        <w:lastRenderedPageBreak/>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F2584" w:rsidRPr="007D77F0" w14:paraId="224C9BAF" w14:textId="77777777" w:rsidTr="009167DB">
        <w:tc>
          <w:tcPr>
            <w:tcW w:w="8771" w:type="dxa"/>
            <w:tcBorders>
              <w:top w:val="single" w:sz="6" w:space="0" w:color="78A22F"/>
              <w:left w:val="nil"/>
              <w:bottom w:val="nil"/>
              <w:right w:val="nil"/>
            </w:tcBorders>
            <w:shd w:val="clear" w:color="auto" w:fill="auto"/>
          </w:tcPr>
          <w:p w14:paraId="301EA27E" w14:textId="2B168D3B" w:rsidR="006F2584" w:rsidRPr="007D77F0" w:rsidRDefault="006F2584" w:rsidP="00F220E5">
            <w:pPr>
              <w:keepNext/>
              <w:keepLines/>
              <w:spacing w:before="120" w:after="80" w:line="280" w:lineRule="exact"/>
              <w:ind w:left="1474" w:hanging="1474"/>
              <w:rPr>
                <w:rFonts w:ascii="Arial" w:hAnsi="Arial"/>
                <w:b/>
              </w:rPr>
            </w:pPr>
            <w:r w:rsidRPr="007D77F0">
              <w:rPr>
                <w:rFonts w:ascii="Arial" w:hAnsi="Arial"/>
              </w:rPr>
              <w:t xml:space="preserve">Figure </w:t>
            </w:r>
            <w:bookmarkStart w:id="34" w:name="OLE_LINK5"/>
            <w:r w:rsidR="00013885">
              <w:rPr>
                <w:rFonts w:ascii="Arial" w:hAnsi="Arial"/>
                <w:noProof/>
              </w:rPr>
              <w:t>1</w:t>
            </w:r>
            <w:bookmarkEnd w:id="34"/>
            <w:r w:rsidRPr="007D77F0">
              <w:rPr>
                <w:rFonts w:ascii="Arial" w:hAnsi="Arial"/>
                <w:b/>
              </w:rPr>
              <w:tab/>
            </w:r>
            <w:r w:rsidR="00F220E5">
              <w:rPr>
                <w:rFonts w:ascii="Arial" w:hAnsi="Arial"/>
                <w:b/>
              </w:rPr>
              <w:t>A framework for u</w:t>
            </w:r>
            <w:r w:rsidRPr="007D77F0">
              <w:rPr>
                <w:rFonts w:ascii="Arial" w:hAnsi="Arial"/>
                <w:b/>
              </w:rPr>
              <w:t>sing data to improve education outcomes</w:t>
            </w:r>
          </w:p>
        </w:tc>
      </w:tr>
      <w:tr w:rsidR="006F2584" w:rsidRPr="007D77F0" w14:paraId="4410C3C3" w14:textId="77777777" w:rsidTr="009167D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6F2584" w:rsidRPr="007D77F0" w14:paraId="63D56F49" w14:textId="77777777" w:rsidTr="009167DB">
              <w:trPr>
                <w:jc w:val="center"/>
              </w:trPr>
              <w:tc>
                <w:tcPr>
                  <w:tcW w:w="5000" w:type="pct"/>
                  <w:tcBorders>
                    <w:top w:val="nil"/>
                    <w:bottom w:val="nil"/>
                  </w:tcBorders>
                </w:tcPr>
                <w:p w14:paraId="6FFD4F3B" w14:textId="351AD1B7" w:rsidR="006F2584" w:rsidRPr="007D77F0" w:rsidRDefault="006626D3" w:rsidP="009167DB">
                  <w:pPr>
                    <w:keepNext/>
                    <w:spacing w:before="60" w:after="60" w:line="240" w:lineRule="atLeast"/>
                    <w:jc w:val="center"/>
                    <w:rPr>
                      <w:szCs w:val="20"/>
                    </w:rPr>
                  </w:pPr>
                  <w:r>
                    <w:rPr>
                      <w:noProof/>
                    </w:rPr>
                    <mc:AlternateContent>
                      <mc:Choice Requires="wps">
                        <w:drawing>
                          <wp:anchor distT="0" distB="0" distL="114300" distR="114300" simplePos="0" relativeHeight="251658241" behindDoc="0" locked="0" layoutInCell="1" allowOverlap="1" wp14:anchorId="464CA7C4" wp14:editId="6511E9CB">
                            <wp:simplePos x="0" y="0"/>
                            <wp:positionH relativeFrom="column">
                              <wp:posOffset>2598420</wp:posOffset>
                            </wp:positionH>
                            <wp:positionV relativeFrom="paragraph">
                              <wp:posOffset>2605405</wp:posOffset>
                            </wp:positionV>
                            <wp:extent cx="292100" cy="332740"/>
                            <wp:effectExtent l="57150" t="38100" r="69850" b="86360"/>
                            <wp:wrapNone/>
                            <wp:docPr id="7" name="Chevron 7" descr="clockwise arrow"/>
                            <wp:cNvGraphicFramePr/>
                            <a:graphic xmlns:a="http://schemas.openxmlformats.org/drawingml/2006/main">
                              <a:graphicData uri="http://schemas.microsoft.com/office/word/2010/wordprocessingShape">
                                <wps:wsp>
                                  <wps:cNvSpPr/>
                                  <wps:spPr>
                                    <a:xfrm rot="10989137">
                                      <a:off x="0" y="0"/>
                                      <a:ext cx="292100" cy="332740"/>
                                    </a:xfrm>
                                    <a:prstGeom prst="chevron">
                                      <a:avLst>
                                        <a:gd name="adj" fmla="val 53846"/>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7" o:spid="_x0000_s1026" type="#_x0000_t55" alt="clockwise arrow" style="position:absolute;margin-left:204.6pt;margin-top:205.15pt;width:23pt;height:26.2pt;rotation:-11589892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" adj="9969" fillcolor="#3c5218 [1636]" strokecolor="#71992c [3044]">
                            <v:fill color2="#6f972c [3012]" rotate="t" angle="180" colors="0 #5b8413;52429f #79ad1c;1 #7ab11a" focus="100%" type="gradient">
                              <o:fill v:ext="view" type="gradientUnscaled"/>
                            </v:fill>
                            <v:shadow on="t" color="black" opacity="22937f" origin=",.5" offset="0,.63889mm"/>
                          </v:shape>
                        </w:pict>
                      </mc:Fallback>
                    </mc:AlternateContent>
                  </w:r>
                  <w:r>
                    <w:rPr>
                      <w:noProof/>
                    </w:rPr>
                    <mc:AlternateContent>
                      <mc:Choice Requires="wps">
                        <w:drawing>
                          <wp:anchor distT="0" distB="0" distL="114300" distR="114300" simplePos="0" relativeHeight="251658242" behindDoc="0" locked="0" layoutInCell="1" allowOverlap="1" wp14:anchorId="08DCD586" wp14:editId="7B4301A9">
                            <wp:simplePos x="0" y="0"/>
                            <wp:positionH relativeFrom="column">
                              <wp:posOffset>1503046</wp:posOffset>
                            </wp:positionH>
                            <wp:positionV relativeFrom="paragraph">
                              <wp:posOffset>902970</wp:posOffset>
                            </wp:positionV>
                            <wp:extent cx="292100" cy="332740"/>
                            <wp:effectExtent l="132080" t="1270" r="11430" b="163830"/>
                            <wp:wrapNone/>
                            <wp:docPr id="8" name="Chevron 8" descr="clockwise arrow"/>
                            <wp:cNvGraphicFramePr/>
                            <a:graphic xmlns:a="http://schemas.openxmlformats.org/drawingml/2006/main">
                              <a:graphicData uri="http://schemas.microsoft.com/office/word/2010/wordprocessingShape">
                                <wps:wsp>
                                  <wps:cNvSpPr/>
                                  <wps:spPr>
                                    <a:xfrm rot="18616150">
                                      <a:off x="0" y="0"/>
                                      <a:ext cx="292100" cy="332740"/>
                                    </a:xfrm>
                                    <a:prstGeom prst="chevron">
                                      <a:avLst>
                                        <a:gd name="adj" fmla="val 53846"/>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8" o:spid="_x0000_s1026" type="#_x0000_t55" alt="clockwise arrow" style="position:absolute;margin-left:118.35pt;margin-top:71.1pt;width:23pt;height:26.2pt;rotation:-3259160fd;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" adj="9969" fillcolor="#3c5218 [1636]" strokecolor="#71992c [3044]">
                            <v:fill color2="#6f972c [3012]" rotate="t" angle="180" colors="0 #5b8413;52429f #79ad1c;1 #7ab11a" focus="100%" type="gradient">
                              <o:fill v:ext="view" type="gradientUnscaled"/>
                            </v:fill>
                            <v:shadow on="t" color="black" opacity="22937f" origin=",.5" offset="0,.63889mm"/>
                          </v:shape>
                        </w:pict>
                      </mc:Fallback>
                    </mc:AlternateContent>
                  </w:r>
                  <w:r>
                    <w:rPr>
                      <w:noProof/>
                    </w:rPr>
                    <mc:AlternateContent>
                      <mc:Choice Requires="wps">
                        <w:drawing>
                          <wp:anchor distT="0" distB="0" distL="114300" distR="114300" simplePos="0" relativeHeight="251658240" behindDoc="0" locked="0" layoutInCell="1" allowOverlap="1" wp14:anchorId="039CF0AE" wp14:editId="7B396CDA">
                            <wp:simplePos x="0" y="0"/>
                            <wp:positionH relativeFrom="column">
                              <wp:posOffset>3589655</wp:posOffset>
                            </wp:positionH>
                            <wp:positionV relativeFrom="paragraph">
                              <wp:posOffset>948690</wp:posOffset>
                            </wp:positionV>
                            <wp:extent cx="292100" cy="332740"/>
                            <wp:effectExtent l="132080" t="115570" r="11430" b="49530"/>
                            <wp:wrapNone/>
                            <wp:docPr id="5" name="Chevron 5" descr="clockwise arrow"/>
                            <wp:cNvGraphicFramePr/>
                            <a:graphic xmlns:a="http://schemas.openxmlformats.org/drawingml/2006/main">
                              <a:graphicData uri="http://schemas.microsoft.com/office/word/2010/wordprocessingShape">
                                <wps:wsp>
                                  <wps:cNvSpPr/>
                                  <wps:spPr>
                                    <a:xfrm rot="3276324">
                                      <a:off x="0" y="0"/>
                                      <a:ext cx="292100" cy="332740"/>
                                    </a:xfrm>
                                    <a:prstGeom prst="chevron">
                                      <a:avLst>
                                        <a:gd name="adj" fmla="val 53846"/>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hevron 5" o:spid="_x0000_s1026" type="#_x0000_t55" alt="clockwise arrow" style="position:absolute;margin-left:282.65pt;margin-top:74.7pt;width:23pt;height:26.2pt;rotation:357861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" adj="9969" fillcolor="#3c5218 [1636]" strokecolor="#71992c [3044]">
                            <v:fill color2="#6f972c [3012]" rotate="t" angle="180" colors="0 #5b8413;52429f #79ad1c;1 #7ab11a" focus="100%" type="gradient">
                              <o:fill v:ext="view" type="gradientUnscaled"/>
                            </v:fill>
                            <v:shadow on="t" color="black" opacity="22937f" origin=",.5" offset="0,.63889mm"/>
                          </v:shape>
                        </w:pict>
                      </mc:Fallback>
                    </mc:AlternateContent>
                  </w:r>
                  <w:r w:rsidR="006F2584" w:rsidRPr="009C76F9">
                    <w:rPr>
                      <w:noProof/>
                    </w:rPr>
                    <w:drawing>
                      <wp:inline distT="0" distB="0" distL="0" distR="0" wp14:anchorId="57634CD8" wp14:editId="7808B519">
                        <wp:extent cx="5400675" cy="2971800"/>
                        <wp:effectExtent l="0" t="0" r="0" b="0"/>
                        <wp:docPr id="2" name="Diagram 2" descr="Figure 1. This diagram represents a cyclical framework for using data to improve education outcomes. Improving education outcomes is shown as a centre circle, outside which are three steps. Step 1 in the cycle is monitoring progress. Step 2 is evaluating policies and programs. Step 3 is informing decision making."/>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c>
            </w:tr>
          </w:tbl>
          <w:p w14:paraId="0E1B3018" w14:textId="77777777" w:rsidR="006F2584" w:rsidRPr="007D77F0" w:rsidRDefault="006F2584" w:rsidP="009167DB">
            <w:pPr>
              <w:keepNext/>
              <w:spacing w:before="120" w:after="120" w:line="240" w:lineRule="atLeast"/>
              <w:jc w:val="center"/>
              <w:rPr>
                <w:szCs w:val="20"/>
              </w:rPr>
            </w:pPr>
          </w:p>
        </w:tc>
      </w:tr>
      <w:tr w:rsidR="006F2584" w:rsidRPr="007D77F0" w14:paraId="06FF0118" w14:textId="77777777" w:rsidTr="009167DB">
        <w:tc>
          <w:tcPr>
            <w:tcW w:w="8771" w:type="dxa"/>
            <w:tcBorders>
              <w:top w:val="nil"/>
              <w:left w:val="nil"/>
              <w:bottom w:val="single" w:sz="6" w:space="0" w:color="78A22F"/>
              <w:right w:val="nil"/>
            </w:tcBorders>
            <w:shd w:val="clear" w:color="auto" w:fill="auto"/>
          </w:tcPr>
          <w:p w14:paraId="5232EEC6" w14:textId="77777777" w:rsidR="006F2584" w:rsidRPr="007D77F0" w:rsidRDefault="006F2584" w:rsidP="009167DB">
            <w:pPr>
              <w:keepNext/>
              <w:spacing w:line="120" w:lineRule="exact"/>
              <w:jc w:val="both"/>
              <w:rPr>
                <w:rFonts w:ascii="Arial" w:hAnsi="Arial"/>
                <w:sz w:val="20"/>
                <w:szCs w:val="20"/>
              </w:rPr>
            </w:pPr>
          </w:p>
        </w:tc>
      </w:tr>
      <w:tr w:rsidR="006F2584" w:rsidRPr="007D77F0" w14:paraId="5A6B09C9" w14:textId="77777777" w:rsidTr="009167DB">
        <w:trPr>
          <w:hidden/>
        </w:trPr>
        <w:tc>
          <w:tcPr>
            <w:tcW w:w="8771" w:type="dxa"/>
            <w:tcBorders>
              <w:top w:val="single" w:sz="6" w:space="0" w:color="78A22F"/>
              <w:left w:val="nil"/>
              <w:bottom w:val="nil"/>
              <w:right w:val="nil"/>
            </w:tcBorders>
          </w:tcPr>
          <w:p w14:paraId="7FD99D0D" w14:textId="77777777" w:rsidR="006F2584" w:rsidRPr="007D77F0" w:rsidRDefault="006F2584" w:rsidP="009167DB">
            <w:pPr>
              <w:spacing w:before="60" w:after="60" w:line="80" w:lineRule="exact"/>
              <w:jc w:val="both"/>
              <w:rPr>
                <w:rFonts w:ascii="Arial" w:hAnsi="Arial"/>
                <w:sz w:val="14"/>
                <w:szCs w:val="20"/>
              </w:rPr>
            </w:pPr>
            <w:r w:rsidRPr="007D77F0">
              <w:rPr>
                <w:b/>
                <w:vanish/>
                <w:color w:val="FF00FF"/>
                <w:sz w:val="14"/>
                <w:szCs w:val="20"/>
              </w:rPr>
              <w:t>Do not delete this ROW as it gives space between the figure and what follows it.</w:t>
            </w:r>
          </w:p>
        </w:tc>
      </w:tr>
    </w:tbl>
    <w:p w14:paraId="46AC2EBC" w14:textId="77777777" w:rsidR="0016566E" w:rsidRPr="007D77F0" w:rsidDel="009D5680" w:rsidRDefault="00F220E5" w:rsidP="00A863EA">
      <w:pPr>
        <w:pStyle w:val="Heading4"/>
        <w:rPr>
          <w:i/>
          <w:caps/>
          <w:sz w:val="18"/>
        </w:rPr>
      </w:pPr>
      <w:r>
        <w:t>Monitoring progress</w:t>
      </w:r>
    </w:p>
    <w:bookmarkEnd w:id="31"/>
    <w:p w14:paraId="4F96DA09" w14:textId="129D042F" w:rsidR="0016044B" w:rsidRDefault="009252A5" w:rsidP="008C399A">
      <w:pPr>
        <w:pStyle w:val="BodyText"/>
      </w:pPr>
      <w:r w:rsidRPr="007D77F0">
        <w:t xml:space="preserve">First, data can be used to track progress against desired individual-level and aggregate outcomes (in accordance with identified education objectives). As noted earlier, a key challenge here is translating </w:t>
      </w:r>
      <w:r w:rsidR="00FD40A3">
        <w:t xml:space="preserve">these </w:t>
      </w:r>
      <w:r w:rsidR="000B240C">
        <w:t>objectives</w:t>
      </w:r>
      <w:r w:rsidRPr="007D77F0">
        <w:t xml:space="preserve"> into measures that can be used as a basis for evaluating and comparing progress </w:t>
      </w:r>
      <w:r w:rsidRPr="004E103C">
        <w:t>(Australian Research Alliance for Children &amp; Youth 2008)</w:t>
      </w:r>
      <w:r w:rsidRPr="007D77F0">
        <w:t xml:space="preserve">. </w:t>
      </w:r>
    </w:p>
    <w:p w14:paraId="7BA0169C" w14:textId="2F7476E9" w:rsidR="009252A5" w:rsidRDefault="0016044B" w:rsidP="008C399A">
      <w:pPr>
        <w:pStyle w:val="BodyText"/>
      </w:pPr>
      <w:r>
        <w:t xml:space="preserve">Under the Commission’s proposed framework, monitoring progress is an essential first stage in using data to improve outcomes. Without good measures of progress against desired outcomes, </w:t>
      </w:r>
      <w:r w:rsidR="009E5323">
        <w:t xml:space="preserve">there would be little point in trying to assess the effectiveness of policy interventions or </w:t>
      </w:r>
      <w:r w:rsidR="00C1136C">
        <w:t xml:space="preserve">school </w:t>
      </w:r>
      <w:r w:rsidR="009E5323">
        <w:t>programs.</w:t>
      </w:r>
    </w:p>
    <w:p w14:paraId="57F4ABF2" w14:textId="78B43EC0" w:rsidR="006B2837" w:rsidRPr="007D77F0" w:rsidRDefault="00D97F5F" w:rsidP="007A4F34">
      <w:pPr>
        <w:pStyle w:val="Heading4"/>
      </w:pPr>
      <w:r>
        <w:t>Evaluating policies and programs</w:t>
      </w:r>
    </w:p>
    <w:p w14:paraId="76724DC2" w14:textId="32024BB2" w:rsidR="000F07FF" w:rsidRDefault="009252A5" w:rsidP="001F69D6">
      <w:pPr>
        <w:pStyle w:val="BodyText"/>
      </w:pPr>
      <w:r w:rsidRPr="007D77F0">
        <w:t xml:space="preserve">Second, data can be used to assess the impact, efficiency and effectiveness of particular interventions, programs, treatments or teaching methods. </w:t>
      </w:r>
      <w:r w:rsidR="000F07FF">
        <w:t xml:space="preserve">This requires information on </w:t>
      </w:r>
      <w:r w:rsidR="00F016A1">
        <w:t>education</w:t>
      </w:r>
      <w:r w:rsidR="003C3378">
        <w:t xml:space="preserve"> </w:t>
      </w:r>
      <w:r w:rsidR="00901278">
        <w:t>outcomes as well as</w:t>
      </w:r>
      <w:r w:rsidR="000F07FF">
        <w:t xml:space="preserve"> on the determinants — both within-system and external — that would have contributed to these outcomes.</w:t>
      </w:r>
    </w:p>
    <w:p w14:paraId="47905AAE" w14:textId="6BF0BA59" w:rsidR="009252A5" w:rsidRDefault="001F69D6" w:rsidP="001F69D6">
      <w:pPr>
        <w:pStyle w:val="BodyText"/>
      </w:pPr>
      <w:r>
        <w:t xml:space="preserve">As highlighted earlier, a key challenge is </w:t>
      </w:r>
      <w:r w:rsidR="009252A5" w:rsidRPr="007D77F0">
        <w:t xml:space="preserve">isolating the impact of </w:t>
      </w:r>
      <w:r>
        <w:t>specific within-system determinants</w:t>
      </w:r>
      <w:r w:rsidR="002315F6">
        <w:t xml:space="preserve"> (such as policy </w:t>
      </w:r>
      <w:r w:rsidR="0013214C">
        <w:t>and program design</w:t>
      </w:r>
      <w:r w:rsidR="002315F6">
        <w:t>)</w:t>
      </w:r>
      <w:r>
        <w:t xml:space="preserve"> </w:t>
      </w:r>
      <w:r w:rsidR="009252A5" w:rsidRPr="007D77F0">
        <w:t>on a given education outcome</w:t>
      </w:r>
      <w:r w:rsidR="000146BD">
        <w:t>, separately from the impact of external determinants. This analytical challenge</w:t>
      </w:r>
      <w:r w:rsidR="009252A5" w:rsidRPr="007D77F0" w:rsidDel="000146BD">
        <w:t xml:space="preserve"> </w:t>
      </w:r>
      <w:r w:rsidR="009252A5" w:rsidRPr="007D77F0">
        <w:t xml:space="preserve">might require particular methods of data collection and/or analysis, such as randomised </w:t>
      </w:r>
      <w:r w:rsidR="009252A5" w:rsidRPr="007D77F0">
        <w:lastRenderedPageBreak/>
        <w:t xml:space="preserve">controlled trials or longitudinal data. Quantitative data might be supplemented with the use of qualitative information, such as through case studies. For example, quantitative data might reveal differences in school-level education outcomes that cannot be explained by </w:t>
      </w:r>
      <w:r w:rsidR="009252A5">
        <w:t>external</w:t>
      </w:r>
      <w:r w:rsidR="009252A5" w:rsidRPr="007D77F0">
        <w:t xml:space="preserve"> </w:t>
      </w:r>
      <w:r w:rsidR="00F42DE5">
        <w:t>determinants</w:t>
      </w:r>
      <w:r w:rsidR="009252A5">
        <w:t>.</w:t>
      </w:r>
      <w:r w:rsidR="009252A5" w:rsidRPr="007D77F0">
        <w:t xml:space="preserve"> </w:t>
      </w:r>
      <w:r w:rsidR="009252A5">
        <w:t>In that case</w:t>
      </w:r>
      <w:r w:rsidR="009252A5" w:rsidRPr="007D77F0">
        <w:t xml:space="preserve">, </w:t>
      </w:r>
      <w:r w:rsidR="009252A5">
        <w:t>f</w:t>
      </w:r>
      <w:r w:rsidR="009252A5" w:rsidRPr="007D77F0">
        <w:t xml:space="preserve">urther information </w:t>
      </w:r>
      <w:r w:rsidR="009252A5">
        <w:t>could</w:t>
      </w:r>
      <w:r w:rsidR="009252A5" w:rsidRPr="007D77F0">
        <w:t xml:space="preserve"> be obtained through consultation with individual schools about their programs and methods.</w:t>
      </w:r>
    </w:p>
    <w:p w14:paraId="5C511CDD" w14:textId="30049F9E" w:rsidR="00EB1867" w:rsidRDefault="00EB1867" w:rsidP="001F69D6">
      <w:pPr>
        <w:pStyle w:val="BodyText"/>
      </w:pPr>
      <w:r>
        <w:t xml:space="preserve">In some cases, the concern might be with identifying the effect of external determinants, not to isolate or remove these effects (analytically), but to </w:t>
      </w:r>
      <w:r w:rsidR="00B3530A">
        <w:t>assess the need for interventions to be targeted at particular groups that may need additional support.</w:t>
      </w:r>
    </w:p>
    <w:p w14:paraId="0149B803" w14:textId="463105CB" w:rsidR="00723DB3" w:rsidRPr="007D77F0" w:rsidRDefault="00723DB3" w:rsidP="007A4F34">
      <w:pPr>
        <w:pStyle w:val="Heading4"/>
      </w:pPr>
      <w:r>
        <w:t>Informing decision making</w:t>
      </w:r>
    </w:p>
    <w:p w14:paraId="30845F4C" w14:textId="69C3C134" w:rsidR="00B330E5" w:rsidRDefault="009252A5" w:rsidP="00666058">
      <w:pPr>
        <w:pStyle w:val="BodyText"/>
      </w:pPr>
      <w:r w:rsidRPr="007D77F0">
        <w:t>Third, data can be used to inform decisions about the implementation, continuation or cessation of policies, programs or interventions. Many previous studies, both Australian and international, have drawn attention to the importance of ‘data</w:t>
      </w:r>
      <w:r w:rsidRPr="007D77F0">
        <w:noBreakHyphen/>
        <w:t xml:space="preserve">driven decision making’ in education — of the need for all people and organisations who influence education outcomes to be making decisions grounded in evidence </w:t>
      </w:r>
      <w:r w:rsidR="001532A8" w:rsidRPr="001532A8">
        <w:t>(</w:t>
      </w:r>
      <w:proofErr w:type="spellStart"/>
      <w:r w:rsidR="001532A8" w:rsidRPr="001532A8">
        <w:t>Mandinach</w:t>
      </w:r>
      <w:proofErr w:type="spellEnd"/>
      <w:r w:rsidR="001532A8" w:rsidRPr="001532A8">
        <w:t xml:space="preserve"> 2012)</w:t>
      </w:r>
      <w:r w:rsidRPr="007D77F0">
        <w:t>.</w:t>
      </w:r>
    </w:p>
    <w:p w14:paraId="4743ED96" w14:textId="111E716F" w:rsidR="00E20666" w:rsidRDefault="00E20666" w:rsidP="00666058">
      <w:pPr>
        <w:pStyle w:val="BodyText"/>
      </w:pPr>
      <w:r>
        <w:t xml:space="preserve">A key question here </w:t>
      </w:r>
      <w:r w:rsidR="00FB28DD">
        <w:t xml:space="preserve">relates to the nature of the decision </w:t>
      </w:r>
      <w:r>
        <w:t>making</w:t>
      </w:r>
      <w:r w:rsidR="00FB28DD">
        <w:t xml:space="preserve"> that the data are designed to support. For example, data collected to support decision making at a </w:t>
      </w:r>
      <w:r w:rsidR="00446EAB">
        <w:t>statewide</w:t>
      </w:r>
      <w:r w:rsidR="00FB28DD">
        <w:t xml:space="preserve"> policy level might have different requirements </w:t>
      </w:r>
      <w:r w:rsidR="000A585F">
        <w:t>than</w:t>
      </w:r>
      <w:r w:rsidR="00CC3176">
        <w:t xml:space="preserve"> data collected to support day-to-day decision making at a service delivery level</w:t>
      </w:r>
      <w:r w:rsidR="00D258FC">
        <w:t xml:space="preserve"> in real time.</w:t>
      </w:r>
    </w:p>
    <w:p w14:paraId="26CF378A" w14:textId="0B0F29D9" w:rsidR="00D53887" w:rsidRDefault="00D53887" w:rsidP="00666058">
      <w:pPr>
        <w:pStyle w:val="BodyText"/>
      </w:pPr>
      <w:r>
        <w:t xml:space="preserve">Another issue relates to the ways in which data are used. Early consultations with stakeholders suggested that </w:t>
      </w:r>
      <w:r w:rsidR="00C921CD">
        <w:t>perceptions of</w:t>
      </w:r>
      <w:r w:rsidR="00BD2F94">
        <w:t xml:space="preserve"> the purposes for which data </w:t>
      </w:r>
      <w:r w:rsidR="00C06ED6">
        <w:t>could</w:t>
      </w:r>
      <w:r w:rsidR="00BD2F94">
        <w:t xml:space="preserve"> be used</w:t>
      </w:r>
      <w:r w:rsidR="001A02D0">
        <w:t xml:space="preserve"> (for example, whether </w:t>
      </w:r>
      <w:r w:rsidR="00C06ED6">
        <w:t>analysis of the data</w:t>
      </w:r>
      <w:r w:rsidR="001A02D0">
        <w:t xml:space="preserve"> would be used as a basis for funding decisions) </w:t>
      </w:r>
      <w:r w:rsidR="00BD2F94">
        <w:t xml:space="preserve">can affect the </w:t>
      </w:r>
      <w:r w:rsidR="00C06ED6">
        <w:t>willingness (or otherwise) to provide, share and link data; the quality of data collection;</w:t>
      </w:r>
      <w:r w:rsidR="00BD2F94">
        <w:t xml:space="preserve"> and </w:t>
      </w:r>
      <w:r w:rsidR="00C06ED6">
        <w:t xml:space="preserve">the </w:t>
      </w:r>
      <w:r w:rsidR="00BD2F94">
        <w:t xml:space="preserve">publication of data </w:t>
      </w:r>
      <w:r w:rsidR="00C06ED6">
        <w:t xml:space="preserve">and </w:t>
      </w:r>
      <w:r w:rsidR="00BD2F94">
        <w:t>analysis.</w:t>
      </w:r>
    </w:p>
    <w:p w14:paraId="10F3B2B6" w14:textId="7A08A524" w:rsidR="00295FA1" w:rsidRPr="00B330E5" w:rsidRDefault="00295FA1" w:rsidP="007A4F34">
      <w:pPr>
        <w:pStyle w:val="Heading3"/>
      </w:pPr>
      <w:r>
        <w:t>What data are needed?</w:t>
      </w:r>
    </w:p>
    <w:p w14:paraId="504425DE" w14:textId="02A3A00C" w:rsidR="00131059" w:rsidRPr="00131059" w:rsidRDefault="00131059" w:rsidP="006C72FA">
      <w:pPr>
        <w:spacing w:before="240" w:line="300" w:lineRule="atLeast"/>
        <w:jc w:val="both"/>
        <w:rPr>
          <w:szCs w:val="20"/>
        </w:rPr>
      </w:pPr>
      <w:r w:rsidRPr="00131059">
        <w:rPr>
          <w:szCs w:val="20"/>
        </w:rPr>
        <w:t xml:space="preserve">The Commission is seeking input from participants about the </w:t>
      </w:r>
      <w:r w:rsidR="00601FA9">
        <w:rPr>
          <w:szCs w:val="20"/>
        </w:rPr>
        <w:t xml:space="preserve">kinds of </w:t>
      </w:r>
      <w:r w:rsidRPr="00131059">
        <w:t xml:space="preserve">data </w:t>
      </w:r>
      <w:r w:rsidR="00601FA9">
        <w:t xml:space="preserve">required </w:t>
      </w:r>
      <w:r w:rsidRPr="00131059" w:rsidDel="00601FA9">
        <w:t xml:space="preserve">to </w:t>
      </w:r>
      <w:r w:rsidRPr="00131059">
        <w:t xml:space="preserve">support </w:t>
      </w:r>
      <w:r w:rsidR="00601FA9">
        <w:t xml:space="preserve">the three processes in the framework proposed above. </w:t>
      </w:r>
      <w:r w:rsidR="006C72FA">
        <w:t>Such data might include, for example</w:t>
      </w:r>
      <w:r w:rsidRPr="00131059">
        <w:rPr>
          <w:szCs w:val="20"/>
        </w:rPr>
        <w:t>:</w:t>
      </w:r>
    </w:p>
    <w:p w14:paraId="616D89F1" w14:textId="77777777" w:rsidR="00131059" w:rsidRPr="00131059" w:rsidRDefault="00131059" w:rsidP="00131059">
      <w:pPr>
        <w:numPr>
          <w:ilvl w:val="0"/>
          <w:numId w:val="3"/>
        </w:numPr>
        <w:spacing w:before="120" w:line="300" w:lineRule="atLeast"/>
        <w:jc w:val="both"/>
        <w:rPr>
          <w:szCs w:val="20"/>
        </w:rPr>
      </w:pPr>
      <w:r w:rsidRPr="00131059">
        <w:rPr>
          <w:szCs w:val="20"/>
        </w:rPr>
        <w:t>data on education outcomes (for example, student performance data, destination data and data from developmental assessments)</w:t>
      </w:r>
    </w:p>
    <w:p w14:paraId="4251C9A7" w14:textId="77FB678B" w:rsidR="00131059" w:rsidRPr="00131059" w:rsidRDefault="00131059" w:rsidP="00131059">
      <w:pPr>
        <w:numPr>
          <w:ilvl w:val="0"/>
          <w:numId w:val="3"/>
        </w:numPr>
        <w:spacing w:before="120" w:line="300" w:lineRule="atLeast"/>
        <w:jc w:val="both"/>
        <w:rPr>
          <w:szCs w:val="20"/>
        </w:rPr>
      </w:pPr>
      <w:r w:rsidRPr="00131059">
        <w:rPr>
          <w:szCs w:val="20"/>
        </w:rPr>
        <w:t>data on student characteristics sourced from within the education system</w:t>
      </w:r>
      <w:r w:rsidR="001B68F6">
        <w:rPr>
          <w:szCs w:val="20"/>
        </w:rPr>
        <w:t xml:space="preserve"> (for example, data on non-cognitive skills </w:t>
      </w:r>
      <w:r w:rsidR="001B68F6" w:rsidRPr="001B68F6">
        <w:rPr>
          <w:szCs w:val="20"/>
        </w:rPr>
        <w:t>—</w:t>
      </w:r>
      <w:r w:rsidR="001B68F6">
        <w:rPr>
          <w:szCs w:val="20"/>
        </w:rPr>
        <w:t xml:space="preserve"> </w:t>
      </w:r>
      <w:r w:rsidR="001B68F6" w:rsidRPr="001B68F6">
        <w:rPr>
          <w:szCs w:val="20"/>
        </w:rPr>
        <w:t>such as social skills, persistence, creativity, and self-control</w:t>
      </w:r>
      <w:r w:rsidR="001B68F6">
        <w:rPr>
          <w:szCs w:val="20"/>
        </w:rPr>
        <w:t>)</w:t>
      </w:r>
    </w:p>
    <w:p w14:paraId="56B1E31C" w14:textId="47C5D4A0" w:rsidR="00131059" w:rsidRPr="00131059" w:rsidRDefault="00D6656D" w:rsidP="00131059">
      <w:pPr>
        <w:numPr>
          <w:ilvl w:val="0"/>
          <w:numId w:val="3"/>
        </w:numPr>
        <w:spacing w:before="120" w:line="300" w:lineRule="atLeast"/>
        <w:jc w:val="both"/>
        <w:rPr>
          <w:szCs w:val="20"/>
        </w:rPr>
      </w:pPr>
      <w:r>
        <w:rPr>
          <w:szCs w:val="20"/>
        </w:rPr>
        <w:t xml:space="preserve">data on the education </w:t>
      </w:r>
      <w:r w:rsidR="00131059" w:rsidRPr="00131059">
        <w:rPr>
          <w:szCs w:val="20"/>
        </w:rPr>
        <w:t xml:space="preserve">workforce (including teachers, principals and support staff) </w:t>
      </w:r>
      <w:r>
        <w:rPr>
          <w:szCs w:val="20"/>
        </w:rPr>
        <w:t xml:space="preserve">— </w:t>
      </w:r>
      <w:r w:rsidR="00131059" w:rsidRPr="00131059">
        <w:rPr>
          <w:szCs w:val="20"/>
        </w:rPr>
        <w:t xml:space="preserve">characteristics and </w:t>
      </w:r>
      <w:r w:rsidR="00C4206D">
        <w:rPr>
          <w:szCs w:val="20"/>
        </w:rPr>
        <w:t>professional development (initial and in-service)</w:t>
      </w:r>
    </w:p>
    <w:p w14:paraId="0162820A" w14:textId="77777777" w:rsidR="00131059" w:rsidRPr="00131059" w:rsidRDefault="00131059" w:rsidP="00131059">
      <w:pPr>
        <w:numPr>
          <w:ilvl w:val="0"/>
          <w:numId w:val="3"/>
        </w:numPr>
        <w:spacing w:before="120" w:line="300" w:lineRule="atLeast"/>
        <w:jc w:val="both"/>
        <w:rPr>
          <w:szCs w:val="20"/>
        </w:rPr>
      </w:pPr>
      <w:r w:rsidRPr="00131059">
        <w:rPr>
          <w:szCs w:val="20"/>
        </w:rPr>
        <w:lastRenderedPageBreak/>
        <w:t>data on other education inputs (for example, funding, attendance and available equipment or infrastructure)</w:t>
      </w:r>
    </w:p>
    <w:p w14:paraId="3B237D72" w14:textId="34FA9642" w:rsidR="00131059" w:rsidRPr="00131059" w:rsidRDefault="00442866" w:rsidP="00131059">
      <w:pPr>
        <w:numPr>
          <w:ilvl w:val="0"/>
          <w:numId w:val="3"/>
        </w:numPr>
        <w:spacing w:before="120" w:line="300" w:lineRule="atLeast"/>
        <w:jc w:val="both"/>
        <w:rPr>
          <w:szCs w:val="20"/>
        </w:rPr>
      </w:pPr>
      <w:r>
        <w:rPr>
          <w:szCs w:val="20"/>
        </w:rPr>
        <w:t>data on external determinants</w:t>
      </w:r>
      <w:r w:rsidRPr="00131059">
        <w:rPr>
          <w:szCs w:val="20"/>
        </w:rPr>
        <w:t xml:space="preserve"> </w:t>
      </w:r>
      <w:r w:rsidR="00131059" w:rsidRPr="00131059">
        <w:rPr>
          <w:szCs w:val="20"/>
        </w:rPr>
        <w:t>(for example, cultural background, language and socioeconomic status)</w:t>
      </w:r>
    </w:p>
    <w:p w14:paraId="5B9040A7" w14:textId="7FB8E03C" w:rsidR="00131059" w:rsidRPr="00131059" w:rsidRDefault="00751CA3" w:rsidP="00131059">
      <w:pPr>
        <w:numPr>
          <w:ilvl w:val="0"/>
          <w:numId w:val="3"/>
        </w:numPr>
        <w:spacing w:before="120" w:line="300" w:lineRule="atLeast"/>
        <w:jc w:val="both"/>
        <w:rPr>
          <w:szCs w:val="20"/>
        </w:rPr>
      </w:pPr>
      <w:r>
        <w:rPr>
          <w:szCs w:val="20"/>
        </w:rPr>
        <w:t xml:space="preserve">other </w:t>
      </w:r>
      <w:r w:rsidR="00131059" w:rsidRPr="00131059">
        <w:rPr>
          <w:szCs w:val="20"/>
        </w:rPr>
        <w:t>data from outside the education system (for example, health records or social services data).</w:t>
      </w:r>
    </w:p>
    <w:p w14:paraId="768332A0" w14:textId="2A8DA9B6" w:rsidR="00EF1148" w:rsidRDefault="004516B3" w:rsidP="004516B3">
      <w:pPr>
        <w:spacing w:before="240" w:line="300" w:lineRule="atLeast"/>
        <w:jc w:val="both"/>
        <w:rPr>
          <w:szCs w:val="20"/>
        </w:rPr>
      </w:pPr>
      <w:r>
        <w:rPr>
          <w:szCs w:val="20"/>
        </w:rPr>
        <w:t xml:space="preserve">It would assist the Commission if participants could also </w:t>
      </w:r>
      <w:r w:rsidR="00D21C58">
        <w:rPr>
          <w:szCs w:val="20"/>
        </w:rPr>
        <w:t xml:space="preserve">specify the kinds of </w:t>
      </w:r>
      <w:r w:rsidR="00131059" w:rsidRPr="00131059">
        <w:rPr>
          <w:szCs w:val="20"/>
        </w:rPr>
        <w:t>research</w:t>
      </w:r>
      <w:r w:rsidR="00D21C58" w:rsidRPr="00D21C58">
        <w:rPr>
          <w:szCs w:val="20"/>
        </w:rPr>
        <w:t xml:space="preserve"> </w:t>
      </w:r>
      <w:r w:rsidR="00D21C58">
        <w:rPr>
          <w:szCs w:val="20"/>
        </w:rPr>
        <w:t xml:space="preserve">the </w:t>
      </w:r>
      <w:r w:rsidR="00D21C58" w:rsidRPr="00131059">
        <w:rPr>
          <w:szCs w:val="20"/>
        </w:rPr>
        <w:t xml:space="preserve">data </w:t>
      </w:r>
      <w:r w:rsidR="00D21C58">
        <w:rPr>
          <w:szCs w:val="20"/>
        </w:rPr>
        <w:t xml:space="preserve">would </w:t>
      </w:r>
      <w:r w:rsidR="006F7164">
        <w:rPr>
          <w:szCs w:val="20"/>
        </w:rPr>
        <w:t xml:space="preserve">enable </w:t>
      </w:r>
      <w:r w:rsidR="00EF1148">
        <w:rPr>
          <w:szCs w:val="20"/>
        </w:rPr>
        <w:t xml:space="preserve">(box </w:t>
      </w:r>
      <w:r w:rsidR="004D1621">
        <w:rPr>
          <w:szCs w:val="20"/>
        </w:rPr>
        <w:t>4</w:t>
      </w:r>
      <w:r w:rsidR="00EF1148">
        <w:rPr>
          <w:szCs w:val="20"/>
        </w:rPr>
        <w:t>)</w:t>
      </w:r>
      <w:r w:rsidR="00346765">
        <w:rPr>
          <w:szCs w:val="20"/>
        </w:rPr>
        <w:t xml:space="preserve">, and how these research activities </w:t>
      </w:r>
      <w:r w:rsidR="005F42C9">
        <w:rPr>
          <w:szCs w:val="20"/>
        </w:rPr>
        <w:t>would support monitoring progress, evaluating policies or programs, and informing decision making.</w:t>
      </w:r>
    </w:p>
    <w:p w14:paraId="60857800" w14:textId="03EB6850" w:rsidR="00EF1148" w:rsidRDefault="00EF1148">
      <w:pPr>
        <w:pStyle w:val="BoxSpaceAbove"/>
      </w:pPr>
      <w:r>
        <w:rPr>
          <w:b/>
          <w:vanish/>
          <w:color w:val="FF00FF"/>
          <w:sz w:val="14"/>
        </w:rPr>
        <w:t>Do not delete this RETURN as it gives space between the box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EF1148" w14:paraId="32542C90" w14:textId="77777777" w:rsidTr="00EF1148">
        <w:trPr>
          <w:tblHeader/>
        </w:trPr>
        <w:tc>
          <w:tcPr>
            <w:tcW w:w="8771" w:type="dxa"/>
            <w:tcBorders>
              <w:top w:val="single" w:sz="6" w:space="0" w:color="78A22F"/>
              <w:left w:val="nil"/>
              <w:bottom w:val="nil"/>
              <w:right w:val="nil"/>
            </w:tcBorders>
            <w:shd w:val="clear" w:color="auto" w:fill="F2F2F2"/>
          </w:tcPr>
          <w:p w14:paraId="7B5977C1" w14:textId="6A7EFFF2" w:rsidR="00EF1148" w:rsidRDefault="00EF1148" w:rsidP="00982F29">
            <w:pPr>
              <w:pStyle w:val="BoxTitle"/>
            </w:pPr>
            <w:r>
              <w:rPr>
                <w:b w:val="0"/>
              </w:rPr>
              <w:t xml:space="preserve">Box </w:t>
            </w:r>
            <w:r w:rsidR="00013885">
              <w:rPr>
                <w:b w:val="0"/>
                <w:noProof/>
              </w:rPr>
              <w:t>4</w:t>
            </w:r>
            <w:r>
              <w:tab/>
              <w:t>Examples of education research types</w:t>
            </w:r>
          </w:p>
        </w:tc>
      </w:tr>
      <w:tr w:rsidR="00EF1148" w14:paraId="0CA10CB1" w14:textId="77777777" w:rsidTr="00EF1148">
        <w:tc>
          <w:tcPr>
            <w:tcW w:w="8771" w:type="dxa"/>
            <w:tcBorders>
              <w:top w:val="nil"/>
              <w:left w:val="nil"/>
              <w:bottom w:val="nil"/>
              <w:right w:val="nil"/>
            </w:tcBorders>
            <w:shd w:val="clear" w:color="auto" w:fill="F2F2F2"/>
          </w:tcPr>
          <w:p w14:paraId="1EB1B150" w14:textId="4E590315" w:rsidR="00EF1148" w:rsidRPr="00131059" w:rsidRDefault="00EF1148" w:rsidP="00EF1148">
            <w:pPr>
              <w:pStyle w:val="Box"/>
            </w:pPr>
            <w:r>
              <w:t>D</w:t>
            </w:r>
            <w:r w:rsidRPr="00131059">
              <w:t>escriptive research — research that describes patterns or changes in the data, for example, research that identifies high performing schools</w:t>
            </w:r>
          </w:p>
          <w:p w14:paraId="21EC179E" w14:textId="47D821A2" w:rsidR="00EF1148" w:rsidRPr="00EF1148" w:rsidRDefault="00EF1148" w:rsidP="00EF1148">
            <w:pPr>
              <w:pStyle w:val="Box"/>
            </w:pPr>
            <w:r>
              <w:t>C</w:t>
            </w:r>
            <w:r w:rsidRPr="00EF1148">
              <w:t>orrelational research — quantitatively studying the relations between variables, for example research that examines the correlation between socioeconomic status and student performance</w:t>
            </w:r>
          </w:p>
          <w:p w14:paraId="623E571E" w14:textId="5F6648A5" w:rsidR="00EF1148" w:rsidRDefault="00EF1148" w:rsidP="00EF1148">
            <w:pPr>
              <w:pStyle w:val="Box"/>
            </w:pPr>
            <w:r>
              <w:t>E</w:t>
            </w:r>
            <w:r w:rsidRPr="00EF1148">
              <w:t>xperimental research — for example, randomised controlled trials to test the effect of a particular teaching method on student achievement</w:t>
            </w:r>
            <w:r w:rsidRPr="00131059">
              <w:t>.</w:t>
            </w:r>
          </w:p>
        </w:tc>
      </w:tr>
      <w:tr w:rsidR="00EF1148" w14:paraId="5F247CDF" w14:textId="77777777" w:rsidTr="00EF1148">
        <w:tc>
          <w:tcPr>
            <w:tcW w:w="8771" w:type="dxa"/>
            <w:tcBorders>
              <w:top w:val="nil"/>
              <w:left w:val="nil"/>
              <w:bottom w:val="single" w:sz="6" w:space="0" w:color="78A22F"/>
              <w:right w:val="nil"/>
            </w:tcBorders>
            <w:shd w:val="clear" w:color="auto" w:fill="F2F2F2"/>
          </w:tcPr>
          <w:p w14:paraId="5EC8F9D0" w14:textId="77777777" w:rsidR="00EF1148" w:rsidRDefault="00EF1148">
            <w:pPr>
              <w:pStyle w:val="Box"/>
              <w:spacing w:before="0" w:line="120" w:lineRule="exact"/>
            </w:pPr>
          </w:p>
        </w:tc>
      </w:tr>
      <w:tr w:rsidR="00EF1148" w:rsidRPr="000863A5" w14:paraId="04C35924" w14:textId="77777777" w:rsidTr="00EF1148">
        <w:trPr>
          <w:hidden/>
        </w:trPr>
        <w:tc>
          <w:tcPr>
            <w:tcW w:w="8771" w:type="dxa"/>
            <w:tcBorders>
              <w:top w:val="single" w:sz="6" w:space="0" w:color="78A22F"/>
              <w:left w:val="nil"/>
              <w:bottom w:val="nil"/>
              <w:right w:val="nil"/>
            </w:tcBorders>
          </w:tcPr>
          <w:p w14:paraId="15D76ED3" w14:textId="77777777" w:rsidR="00EF1148" w:rsidRPr="00626D32" w:rsidRDefault="00EF1148" w:rsidP="00EF1148">
            <w:pPr>
              <w:pStyle w:val="BoxSpaceBelow"/>
            </w:pPr>
            <w:r w:rsidRPr="00626D32">
              <w:rPr>
                <w:rFonts w:ascii="Times New Roman" w:hAnsi="Times New Roman"/>
                <w:b/>
                <w:vanish/>
                <w:color w:val="FF00FF"/>
              </w:rPr>
              <w:t>Do not delete this ROW as it gives space between the box and what follows it.</w:t>
            </w:r>
          </w:p>
        </w:tc>
      </w:tr>
    </w:tbl>
    <w:p w14:paraId="0047C91D" w14:textId="77777777" w:rsidR="00131059" w:rsidRPr="00131059" w:rsidRDefault="00131059" w:rsidP="00131059">
      <w:pPr>
        <w:keepNext/>
        <w:spacing w:before="560" w:line="320" w:lineRule="exact"/>
        <w:outlineLvl w:val="2"/>
        <w:rPr>
          <w:rFonts w:ascii="Arial" w:hAnsi="Arial"/>
          <w:b/>
          <w:sz w:val="26"/>
          <w:szCs w:val="20"/>
        </w:rPr>
      </w:pPr>
      <w:r w:rsidRPr="00131059">
        <w:rPr>
          <w:rFonts w:ascii="Arial" w:hAnsi="Arial"/>
          <w:b/>
          <w:sz w:val="26"/>
          <w:szCs w:val="20"/>
        </w:rPr>
        <w:t>What data characteristics are desirable?</w:t>
      </w:r>
    </w:p>
    <w:p w14:paraId="559E7BFF" w14:textId="2C406CA9" w:rsidR="00A91ECB" w:rsidRDefault="00A91ECB" w:rsidP="00131059">
      <w:pPr>
        <w:spacing w:before="240" w:line="300" w:lineRule="atLeast"/>
        <w:jc w:val="both"/>
        <w:rPr>
          <w:szCs w:val="20"/>
        </w:rPr>
      </w:pPr>
      <w:r w:rsidRPr="00131059">
        <w:rPr>
          <w:szCs w:val="20"/>
        </w:rPr>
        <w:t xml:space="preserve">The </w:t>
      </w:r>
      <w:r>
        <w:rPr>
          <w:szCs w:val="20"/>
        </w:rPr>
        <w:t xml:space="preserve">characteristics of data (box </w:t>
      </w:r>
      <w:r w:rsidR="004D1621">
        <w:rPr>
          <w:szCs w:val="20"/>
        </w:rPr>
        <w:t>5</w:t>
      </w:r>
      <w:r>
        <w:rPr>
          <w:szCs w:val="20"/>
        </w:rPr>
        <w:t xml:space="preserve">) can have a direct bearing on its utility and the </w:t>
      </w:r>
      <w:r w:rsidRPr="00131059">
        <w:rPr>
          <w:szCs w:val="20"/>
        </w:rPr>
        <w:t>Commission is seeking feedback on what characteristics</w:t>
      </w:r>
      <w:r>
        <w:rPr>
          <w:szCs w:val="20"/>
        </w:rPr>
        <w:t xml:space="preserve"> are desirable for education data</w:t>
      </w:r>
      <w:r w:rsidR="00090010">
        <w:rPr>
          <w:szCs w:val="20"/>
        </w:rPr>
        <w:t xml:space="preserve">, and the </w:t>
      </w:r>
      <w:r w:rsidRPr="00131059">
        <w:rPr>
          <w:szCs w:val="20"/>
        </w:rPr>
        <w:t>degree to which each of these characteristics should hold. For example, when it comes to comprehensiveness, do the proposed data collection</w:t>
      </w:r>
      <w:r>
        <w:rPr>
          <w:szCs w:val="20"/>
        </w:rPr>
        <w:t>/s</w:t>
      </w:r>
      <w:r w:rsidRPr="00131059">
        <w:rPr>
          <w:szCs w:val="20"/>
        </w:rPr>
        <w:t xml:space="preserve"> need to be a census of the entire population, or is a survey acceptable? When it comes to timeliness, what data should be collected monthly, annually, or every 5 years, for example? To what extent should datasets </w:t>
      </w:r>
      <w:r w:rsidR="004D0867">
        <w:rPr>
          <w:szCs w:val="20"/>
        </w:rPr>
        <w:t xml:space="preserve">be consistent in order to facilitate </w:t>
      </w:r>
      <w:r w:rsidRPr="00131059">
        <w:rPr>
          <w:szCs w:val="20"/>
        </w:rPr>
        <w:t>link</w:t>
      </w:r>
      <w:r w:rsidR="004D0867">
        <w:rPr>
          <w:szCs w:val="20"/>
        </w:rPr>
        <w:t>age</w:t>
      </w:r>
      <w:r w:rsidRPr="00131059">
        <w:rPr>
          <w:szCs w:val="20"/>
        </w:rPr>
        <w:t xml:space="preserve"> to other data sources? </w:t>
      </w:r>
    </w:p>
    <w:p w14:paraId="15C8A86D" w14:textId="77777777" w:rsidR="00A91ECB" w:rsidRDefault="00A91ECB">
      <w:pPr>
        <w:pStyle w:val="BoxSpaceAbove"/>
      </w:pPr>
      <w:r>
        <w:rPr>
          <w:b/>
          <w:vanish/>
          <w:color w:val="FF00FF"/>
          <w:sz w:val="14"/>
        </w:rPr>
        <w:lastRenderedPageBreak/>
        <w:t>Do not delete this RETURN as it gives space between the box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A91ECB" w14:paraId="5EC186D1" w14:textId="77777777" w:rsidTr="00A91ECB">
        <w:trPr>
          <w:tblHeader/>
        </w:trPr>
        <w:tc>
          <w:tcPr>
            <w:tcW w:w="8771" w:type="dxa"/>
            <w:tcBorders>
              <w:top w:val="single" w:sz="6" w:space="0" w:color="78A22F"/>
              <w:left w:val="nil"/>
              <w:bottom w:val="nil"/>
              <w:right w:val="nil"/>
            </w:tcBorders>
            <w:shd w:val="clear" w:color="auto" w:fill="F2F2F2"/>
          </w:tcPr>
          <w:p w14:paraId="4DF22D52" w14:textId="119C9197" w:rsidR="00A91ECB" w:rsidRDefault="00A91ECB" w:rsidP="00FF2860">
            <w:pPr>
              <w:pStyle w:val="BoxTitle"/>
            </w:pPr>
            <w:r>
              <w:rPr>
                <w:b w:val="0"/>
              </w:rPr>
              <w:t xml:space="preserve">Box </w:t>
            </w:r>
            <w:r w:rsidR="00FF2860">
              <w:rPr>
                <w:b w:val="0"/>
              </w:rPr>
              <w:t>5</w:t>
            </w:r>
            <w:r>
              <w:tab/>
              <w:t>Data characteristics</w:t>
            </w:r>
          </w:p>
        </w:tc>
      </w:tr>
      <w:tr w:rsidR="00A91ECB" w14:paraId="4B49856A" w14:textId="77777777" w:rsidTr="00A91ECB">
        <w:tc>
          <w:tcPr>
            <w:tcW w:w="8771" w:type="dxa"/>
            <w:tcBorders>
              <w:top w:val="nil"/>
              <w:left w:val="nil"/>
              <w:bottom w:val="nil"/>
              <w:right w:val="nil"/>
            </w:tcBorders>
            <w:shd w:val="clear" w:color="auto" w:fill="F2F2F2"/>
          </w:tcPr>
          <w:p w14:paraId="2C2E3202" w14:textId="7EB89FA2" w:rsidR="00090010" w:rsidRPr="00131059" w:rsidRDefault="00090010" w:rsidP="00090010">
            <w:pPr>
              <w:pStyle w:val="Box"/>
            </w:pPr>
            <w:r w:rsidRPr="00131059">
              <w:t xml:space="preserve">The terms of reference for this </w:t>
            </w:r>
            <w:r w:rsidR="004D0867">
              <w:t>inquiry</w:t>
            </w:r>
            <w:r w:rsidRPr="00131059">
              <w:t xml:space="preserve"> </w:t>
            </w:r>
            <w:r>
              <w:t xml:space="preserve">nominate </w:t>
            </w:r>
            <w:r w:rsidRPr="00131059">
              <w:t>several characteristics, including that data are:</w:t>
            </w:r>
          </w:p>
          <w:p w14:paraId="03413931" w14:textId="6646D933" w:rsidR="00090010" w:rsidRPr="00131059" w:rsidRDefault="00090010" w:rsidP="00090010">
            <w:pPr>
              <w:pStyle w:val="BoxListBullet"/>
            </w:pPr>
            <w:r w:rsidRPr="00131059">
              <w:t xml:space="preserve">comprehensive — all the relevant data elements </w:t>
            </w:r>
            <w:r w:rsidR="00901DDB">
              <w:t xml:space="preserve">are </w:t>
            </w:r>
            <w:r w:rsidRPr="00131059">
              <w:t>captured in the data</w:t>
            </w:r>
            <w:r w:rsidR="00901DDB">
              <w:t>set</w:t>
            </w:r>
          </w:p>
          <w:p w14:paraId="783BC4B2" w14:textId="77777777" w:rsidR="00090010" w:rsidRPr="00131059" w:rsidRDefault="00090010" w:rsidP="00090010">
            <w:pPr>
              <w:pStyle w:val="BoxListBullet"/>
            </w:pPr>
            <w:r w:rsidRPr="00131059">
              <w:t>consistent — the data are reliable and uniform as they are collected and applied, with each user seeing a consistent view of the data</w:t>
            </w:r>
          </w:p>
          <w:p w14:paraId="27F5CDD7" w14:textId="77777777" w:rsidR="00090010" w:rsidRPr="00131059" w:rsidRDefault="00090010" w:rsidP="00090010">
            <w:pPr>
              <w:pStyle w:val="BoxListBullet"/>
            </w:pPr>
            <w:r w:rsidRPr="00131059">
              <w:t>coherent — data from different sources and time periods fit together for the purpose of analysis</w:t>
            </w:r>
          </w:p>
          <w:p w14:paraId="1BE66E2D" w14:textId="77777777" w:rsidR="00090010" w:rsidRPr="00131059" w:rsidRDefault="00090010" w:rsidP="00090010">
            <w:pPr>
              <w:pStyle w:val="BoxListBullet"/>
            </w:pPr>
            <w:r w:rsidRPr="00131059">
              <w:t>accessible — researchers are easily able to access and share the data</w:t>
            </w:r>
          </w:p>
          <w:p w14:paraId="721D693F" w14:textId="77777777" w:rsidR="00090010" w:rsidRPr="00131059" w:rsidRDefault="00090010" w:rsidP="00090010">
            <w:pPr>
              <w:pStyle w:val="BoxListBullet"/>
            </w:pPr>
            <w:r w:rsidRPr="00131059">
              <w:t>linkable — the data can be linked to other data sources</w:t>
            </w:r>
          </w:p>
          <w:p w14:paraId="6D5B78DD" w14:textId="77777777" w:rsidR="00090010" w:rsidRPr="00131059" w:rsidRDefault="00090010" w:rsidP="00090010">
            <w:pPr>
              <w:pStyle w:val="BoxListBullet"/>
            </w:pPr>
            <w:r w:rsidRPr="00131059">
              <w:t>timely — the data are collected frequently enough.</w:t>
            </w:r>
          </w:p>
          <w:p w14:paraId="6938B48A" w14:textId="0BD110CD" w:rsidR="00090010" w:rsidRPr="00131059" w:rsidRDefault="00090010" w:rsidP="00090010">
            <w:pPr>
              <w:pStyle w:val="Box"/>
            </w:pPr>
            <w:r w:rsidRPr="00131059">
              <w:t>There are also a number of other criteria, for example that the data are:</w:t>
            </w:r>
          </w:p>
          <w:p w14:paraId="3F72EE85" w14:textId="77777777" w:rsidR="00090010" w:rsidRPr="00131059" w:rsidRDefault="00090010" w:rsidP="00090010">
            <w:pPr>
              <w:pStyle w:val="BoxListBullet"/>
            </w:pPr>
            <w:r w:rsidRPr="00131059">
              <w:t>accurate — the data values are correct</w:t>
            </w:r>
          </w:p>
          <w:p w14:paraId="37353CBC" w14:textId="77777777" w:rsidR="00090010" w:rsidRPr="00131059" w:rsidRDefault="00090010" w:rsidP="00090010">
            <w:pPr>
              <w:pStyle w:val="BoxListBullet"/>
            </w:pPr>
            <w:r w:rsidRPr="00131059">
              <w:t>granular — data fields are sub-divided to a useful degree</w:t>
            </w:r>
          </w:p>
          <w:p w14:paraId="415DEC92" w14:textId="29E35FF3" w:rsidR="00A91ECB" w:rsidRDefault="00090010" w:rsidP="00090010">
            <w:pPr>
              <w:pStyle w:val="BoxListBullet"/>
            </w:pPr>
            <w:r w:rsidRPr="00131059">
              <w:t xml:space="preserve">ethical — data </w:t>
            </w:r>
            <w:r>
              <w:t>are</w:t>
            </w:r>
            <w:r w:rsidRPr="00131059">
              <w:t xml:space="preserve"> collected, stored, reported and provided to others in an ethical manner</w:t>
            </w:r>
            <w:r>
              <w:t xml:space="preserve"> (for example, in a way that protects </w:t>
            </w:r>
            <w:r w:rsidR="00AD23D7">
              <w:t xml:space="preserve">individuals’ </w:t>
            </w:r>
            <w:r>
              <w:t>privacy</w:t>
            </w:r>
            <w:r w:rsidR="00AD23D7">
              <w:t xml:space="preserve"> and security</w:t>
            </w:r>
            <w:r>
              <w:t>)</w:t>
            </w:r>
            <w:r w:rsidRPr="00131059">
              <w:t>.</w:t>
            </w:r>
          </w:p>
        </w:tc>
      </w:tr>
      <w:tr w:rsidR="00A91ECB" w14:paraId="10A618FA" w14:textId="77777777" w:rsidTr="00A91ECB">
        <w:tc>
          <w:tcPr>
            <w:tcW w:w="8771" w:type="dxa"/>
            <w:tcBorders>
              <w:top w:val="nil"/>
              <w:left w:val="nil"/>
              <w:bottom w:val="single" w:sz="6" w:space="0" w:color="78A22F"/>
              <w:right w:val="nil"/>
            </w:tcBorders>
            <w:shd w:val="clear" w:color="auto" w:fill="F2F2F2"/>
          </w:tcPr>
          <w:p w14:paraId="3AC41D55" w14:textId="77777777" w:rsidR="00A91ECB" w:rsidRDefault="00A91ECB">
            <w:pPr>
              <w:pStyle w:val="Box"/>
              <w:spacing w:before="0" w:line="120" w:lineRule="exact"/>
            </w:pPr>
          </w:p>
        </w:tc>
      </w:tr>
      <w:tr w:rsidR="00A91ECB" w:rsidRPr="000863A5" w14:paraId="0B351230" w14:textId="77777777" w:rsidTr="00A91ECB">
        <w:trPr>
          <w:hidden/>
        </w:trPr>
        <w:tc>
          <w:tcPr>
            <w:tcW w:w="8771" w:type="dxa"/>
            <w:tcBorders>
              <w:top w:val="single" w:sz="6" w:space="0" w:color="78A22F"/>
              <w:left w:val="nil"/>
              <w:bottom w:val="nil"/>
              <w:right w:val="nil"/>
            </w:tcBorders>
          </w:tcPr>
          <w:p w14:paraId="4F18F328" w14:textId="77777777" w:rsidR="00A91ECB" w:rsidRPr="00626D32" w:rsidRDefault="00A91ECB" w:rsidP="00A91ECB">
            <w:pPr>
              <w:pStyle w:val="BoxSpaceBelow"/>
            </w:pPr>
            <w:r w:rsidRPr="00626D32">
              <w:rPr>
                <w:rFonts w:ascii="Times New Roman" w:hAnsi="Times New Roman"/>
                <w:b/>
                <w:vanish/>
                <w:color w:val="FF00FF"/>
              </w:rPr>
              <w:t>Do not delete this ROW as it gives space between the box and what follows it.</w:t>
            </w:r>
          </w:p>
        </w:tc>
      </w:tr>
    </w:tbl>
    <w:p w14:paraId="5AA98F4F" w14:textId="77777777" w:rsidR="00131059" w:rsidRPr="00131059" w:rsidRDefault="00131059" w:rsidP="00090010">
      <w:pPr>
        <w:pStyle w:val="Heading3"/>
        <w:rPr>
          <w:b w:val="0"/>
        </w:rPr>
      </w:pPr>
      <w:r w:rsidRPr="00131059">
        <w:t>What are the associated costs and benefits?</w:t>
      </w:r>
    </w:p>
    <w:p w14:paraId="35EB9DEB" w14:textId="77777777" w:rsidR="00131059" w:rsidRPr="00131059" w:rsidRDefault="00131059" w:rsidP="00131059">
      <w:pPr>
        <w:spacing w:before="240" w:line="300" w:lineRule="atLeast"/>
        <w:jc w:val="both"/>
        <w:rPr>
          <w:szCs w:val="20"/>
        </w:rPr>
      </w:pPr>
      <w:r w:rsidRPr="00131059">
        <w:rPr>
          <w:szCs w:val="20"/>
        </w:rPr>
        <w:t>The benefits arising from nationally collected data, as set out in the terms of reference, are that they enhance the quality and scope of education evidence, and that they can be used to monitor educational outcomes and inform policy development and evaluation. However, improvements to quality and scope are only beneficial to the extent that they enable these  developments to occur — over and above what is currently possible. In addition to identifying the new research or capacity that is created by the data, participants should identify the main users of the data (the parties who are likely to undertake the new research or policy activity), and who ultimately benefits (for example, students, parents, teachers, schools or governments).</w:t>
      </w:r>
    </w:p>
    <w:p w14:paraId="2B162081" w14:textId="73A3432B" w:rsidR="00131059" w:rsidRPr="00131059" w:rsidRDefault="00131059" w:rsidP="00131059">
      <w:pPr>
        <w:spacing w:before="240" w:line="300" w:lineRule="atLeast"/>
        <w:jc w:val="both"/>
        <w:rPr>
          <w:szCs w:val="20"/>
        </w:rPr>
      </w:pPr>
      <w:r w:rsidRPr="00131059">
        <w:rPr>
          <w:szCs w:val="20"/>
        </w:rPr>
        <w:t xml:space="preserve">The costs of collecting, administering and reporting data have the potential to fall on multiple parties including government, schools, students and the wider community. Costs include the full financial cost of any </w:t>
      </w:r>
      <w:r w:rsidR="004D0867">
        <w:rPr>
          <w:szCs w:val="20"/>
        </w:rPr>
        <w:t xml:space="preserve">resources </w:t>
      </w:r>
      <w:r w:rsidRPr="00131059">
        <w:rPr>
          <w:szCs w:val="20"/>
        </w:rPr>
        <w:t xml:space="preserve">used. This includes any direct costs (input costs directly attributable to the activity) and indirect costs (input costs which indirectly support the activity such as overheads) and the opportunity cost of those resources (the cost of forgoing the next best use of those resources). Where full estimates of the cost are not feasible, participants should provide any relevant partial estimates or information that is related to the cost </w:t>
      </w:r>
      <w:r w:rsidR="00704B55">
        <w:rPr>
          <w:szCs w:val="20"/>
        </w:rPr>
        <w:t>(f</w:t>
      </w:r>
      <w:r w:rsidRPr="00131059">
        <w:rPr>
          <w:szCs w:val="20"/>
        </w:rPr>
        <w:t>or example, estimates of the time needed to collect data</w:t>
      </w:r>
      <w:r w:rsidR="00704B55">
        <w:rPr>
          <w:szCs w:val="20"/>
        </w:rPr>
        <w:t>,</w:t>
      </w:r>
      <w:r w:rsidRPr="00131059">
        <w:rPr>
          <w:szCs w:val="20"/>
        </w:rPr>
        <w:t xml:space="preserve"> or information on whether the data could be collected in conjunction with a pre-existing collection</w:t>
      </w:r>
      <w:r w:rsidR="00704B55">
        <w:rPr>
          <w:szCs w:val="20"/>
        </w:rPr>
        <w:t>).</w:t>
      </w:r>
      <w:r w:rsidRPr="00131059">
        <w:rPr>
          <w:szCs w:val="20"/>
        </w:rPr>
        <w:t xml:space="preserve"> </w:t>
      </w:r>
    </w:p>
    <w:p w14:paraId="0AE9D06E" w14:textId="69C1FA03" w:rsidR="00131059" w:rsidRPr="00131059" w:rsidRDefault="00131059" w:rsidP="00131059">
      <w:pPr>
        <w:spacing w:before="240" w:line="300" w:lineRule="atLeast"/>
        <w:jc w:val="both"/>
        <w:rPr>
          <w:szCs w:val="20"/>
        </w:rPr>
      </w:pPr>
      <w:r w:rsidRPr="00131059">
        <w:rPr>
          <w:szCs w:val="20"/>
        </w:rPr>
        <w:t xml:space="preserve">Participants should also identify costs and benefits that fall on the broader community. </w:t>
      </w:r>
      <w:r w:rsidR="008D34B8">
        <w:rPr>
          <w:szCs w:val="20"/>
        </w:rPr>
        <w:t xml:space="preserve">For </w:t>
      </w:r>
      <w:r w:rsidRPr="00131059">
        <w:rPr>
          <w:szCs w:val="20"/>
        </w:rPr>
        <w:t>example</w:t>
      </w:r>
      <w:r w:rsidR="008D34B8">
        <w:rPr>
          <w:szCs w:val="20"/>
        </w:rPr>
        <w:t>, and</w:t>
      </w:r>
      <w:r w:rsidRPr="00131059">
        <w:rPr>
          <w:szCs w:val="20"/>
        </w:rPr>
        <w:t xml:space="preserve"> of particular relevance to this inquiry, </w:t>
      </w:r>
      <w:r w:rsidR="008D34B8">
        <w:rPr>
          <w:szCs w:val="20"/>
        </w:rPr>
        <w:t>are</w:t>
      </w:r>
      <w:r w:rsidRPr="00131059">
        <w:rPr>
          <w:szCs w:val="20"/>
        </w:rPr>
        <w:t xml:space="preserve"> the costs and benefits </w:t>
      </w:r>
      <w:r w:rsidR="008D34B8">
        <w:rPr>
          <w:szCs w:val="20"/>
        </w:rPr>
        <w:t>due to the tradeof</w:t>
      </w:r>
      <w:r w:rsidR="004D0867">
        <w:rPr>
          <w:szCs w:val="20"/>
        </w:rPr>
        <w:t>f</w:t>
      </w:r>
      <w:r w:rsidR="008D34B8">
        <w:rPr>
          <w:szCs w:val="20"/>
        </w:rPr>
        <w:t xml:space="preserve"> between data accessibility and </w:t>
      </w:r>
      <w:r w:rsidRPr="00131059">
        <w:rPr>
          <w:szCs w:val="20"/>
        </w:rPr>
        <w:t>privacy and disclosure</w:t>
      </w:r>
      <w:r w:rsidR="00AB0519">
        <w:rPr>
          <w:szCs w:val="20"/>
        </w:rPr>
        <w:t xml:space="preserve"> considerations</w:t>
      </w:r>
      <w:r w:rsidRPr="00131059">
        <w:rPr>
          <w:szCs w:val="20"/>
        </w:rPr>
        <w:t xml:space="preserve">. </w:t>
      </w:r>
    </w:p>
    <w:p w14:paraId="46EDBE16" w14:textId="77777777" w:rsidR="00131059" w:rsidRPr="00131059" w:rsidRDefault="00131059" w:rsidP="00131059">
      <w:pPr>
        <w:keepNext/>
        <w:spacing w:before="240" w:line="80" w:lineRule="exact"/>
        <w:rPr>
          <w:b/>
          <w:sz w:val="14"/>
          <w:szCs w:val="20"/>
        </w:rPr>
      </w:pPr>
      <w:r w:rsidRPr="00131059">
        <w:rPr>
          <w:b/>
          <w:vanish/>
          <w:color w:val="FF00FF"/>
          <w:sz w:val="14"/>
          <w:szCs w:val="20"/>
        </w:rPr>
        <w:lastRenderedPageBreak/>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31059" w:rsidRPr="00131059" w14:paraId="323AEDCF" w14:textId="77777777" w:rsidTr="00142843">
        <w:tc>
          <w:tcPr>
            <w:tcW w:w="8770" w:type="dxa"/>
            <w:tcBorders>
              <w:top w:val="single" w:sz="6" w:space="0" w:color="78A22F"/>
              <w:left w:val="nil"/>
              <w:bottom w:val="nil"/>
              <w:right w:val="nil"/>
            </w:tcBorders>
            <w:shd w:val="clear" w:color="auto" w:fill="auto"/>
          </w:tcPr>
          <w:p w14:paraId="29A23FB0" w14:textId="77777777" w:rsidR="00131059" w:rsidRPr="00131059" w:rsidRDefault="00131059" w:rsidP="00131059">
            <w:pPr>
              <w:keepLines/>
              <w:spacing w:before="240" w:line="280" w:lineRule="atLeast"/>
              <w:jc w:val="both"/>
              <w:rPr>
                <w:rFonts w:ascii="Arial" w:hAnsi="Arial"/>
                <w:i/>
                <w:caps/>
                <w:sz w:val="18"/>
                <w:szCs w:val="20"/>
              </w:rPr>
            </w:pPr>
            <w:r w:rsidRPr="00131059">
              <w:rPr>
                <w:rFonts w:ascii="Arial" w:hAnsi="Arial"/>
                <w:i/>
                <w:caps/>
                <w:sz w:val="18"/>
                <w:szCs w:val="20"/>
              </w:rPr>
              <w:t>Questions</w:t>
            </w:r>
          </w:p>
          <w:p w14:paraId="507219C7" w14:textId="77777777" w:rsidR="00131059" w:rsidRPr="00131059" w:rsidRDefault="00131059" w:rsidP="00131059">
            <w:pPr>
              <w:numPr>
                <w:ilvl w:val="0"/>
                <w:numId w:val="16"/>
              </w:numPr>
              <w:spacing w:before="80" w:line="280" w:lineRule="atLeast"/>
              <w:jc w:val="both"/>
            </w:pPr>
            <w:r w:rsidRPr="00131059">
              <w:rPr>
                <w:rFonts w:ascii="Arial" w:hAnsi="Arial"/>
                <w:i/>
                <w:sz w:val="22"/>
                <w:szCs w:val="20"/>
              </w:rPr>
              <w:t>What data should be collected nationally?</w:t>
            </w:r>
          </w:p>
          <w:p w14:paraId="4453D523" w14:textId="77777777" w:rsidR="00131059" w:rsidRDefault="00131059" w:rsidP="00131059">
            <w:pPr>
              <w:numPr>
                <w:ilvl w:val="0"/>
                <w:numId w:val="16"/>
              </w:numPr>
              <w:spacing w:before="80" w:line="280" w:lineRule="atLeast"/>
              <w:ind w:left="357" w:hanging="357"/>
              <w:jc w:val="both"/>
              <w:rPr>
                <w:rFonts w:ascii="Arial" w:hAnsi="Arial"/>
                <w:i/>
                <w:sz w:val="22"/>
                <w:szCs w:val="20"/>
              </w:rPr>
            </w:pPr>
            <w:r w:rsidRPr="00131059">
              <w:rPr>
                <w:rFonts w:ascii="Arial" w:hAnsi="Arial"/>
                <w:i/>
                <w:sz w:val="22"/>
                <w:szCs w:val="20"/>
              </w:rPr>
              <w:t>How would these data support the objective of improving educational outcomes?</w:t>
            </w:r>
          </w:p>
          <w:p w14:paraId="5F24847E" w14:textId="51A12D9D" w:rsidR="00131059" w:rsidRPr="00131059" w:rsidRDefault="00131059" w:rsidP="00131059">
            <w:pPr>
              <w:numPr>
                <w:ilvl w:val="0"/>
                <w:numId w:val="16"/>
              </w:numPr>
              <w:spacing w:before="80" w:line="280" w:lineRule="atLeast"/>
              <w:ind w:left="357" w:hanging="357"/>
              <w:jc w:val="both"/>
              <w:rPr>
                <w:rFonts w:ascii="Arial" w:hAnsi="Arial"/>
                <w:i/>
                <w:sz w:val="22"/>
                <w:szCs w:val="20"/>
              </w:rPr>
            </w:pPr>
            <w:r w:rsidRPr="00131059">
              <w:rPr>
                <w:rFonts w:ascii="Arial" w:hAnsi="Arial"/>
                <w:i/>
                <w:sz w:val="22"/>
                <w:szCs w:val="20"/>
              </w:rPr>
              <w:t xml:space="preserve">What characteristics should the data possess in order to support </w:t>
            </w:r>
            <w:r w:rsidRPr="00131059" w:rsidDel="00CD12BA">
              <w:rPr>
                <w:rFonts w:ascii="Arial" w:hAnsi="Arial"/>
                <w:i/>
                <w:sz w:val="22"/>
                <w:szCs w:val="20"/>
              </w:rPr>
              <w:t xml:space="preserve">the </w:t>
            </w:r>
            <w:r w:rsidR="00CD12BA">
              <w:rPr>
                <w:rFonts w:ascii="Arial" w:hAnsi="Arial"/>
                <w:i/>
                <w:sz w:val="22"/>
                <w:szCs w:val="20"/>
              </w:rPr>
              <w:t>processes of monitoring progress, evaluating policies and programs and/or informing policy development?</w:t>
            </w:r>
          </w:p>
          <w:p w14:paraId="348D5F03" w14:textId="5A3F8DC7" w:rsidR="007F3889" w:rsidRPr="00131059" w:rsidRDefault="007F3889" w:rsidP="00131059">
            <w:pPr>
              <w:numPr>
                <w:ilvl w:val="0"/>
                <w:numId w:val="16"/>
              </w:numPr>
              <w:spacing w:before="80" w:line="280" w:lineRule="atLeast"/>
              <w:ind w:left="357" w:hanging="357"/>
              <w:jc w:val="both"/>
              <w:rPr>
                <w:rFonts w:ascii="Arial" w:hAnsi="Arial"/>
                <w:i/>
                <w:sz w:val="22"/>
                <w:szCs w:val="20"/>
              </w:rPr>
            </w:pPr>
            <w:r>
              <w:rPr>
                <w:rFonts w:ascii="Arial" w:hAnsi="Arial"/>
                <w:i/>
                <w:sz w:val="22"/>
                <w:szCs w:val="20"/>
              </w:rPr>
              <w:t xml:space="preserve">Which aspects of administrative </w:t>
            </w:r>
            <w:r w:rsidR="00D96800">
              <w:rPr>
                <w:rFonts w:ascii="Arial" w:hAnsi="Arial"/>
                <w:i/>
                <w:sz w:val="22"/>
                <w:szCs w:val="20"/>
              </w:rPr>
              <w:t>datasets</w:t>
            </w:r>
            <w:r>
              <w:rPr>
                <w:rFonts w:ascii="Arial" w:hAnsi="Arial"/>
                <w:i/>
                <w:sz w:val="22"/>
                <w:szCs w:val="20"/>
              </w:rPr>
              <w:t xml:space="preserve"> are likely to be most useful to inform policy development?</w:t>
            </w:r>
          </w:p>
          <w:p w14:paraId="52503767" w14:textId="77777777" w:rsidR="00131059" w:rsidRPr="00131059" w:rsidRDefault="00131059" w:rsidP="00131059">
            <w:pPr>
              <w:numPr>
                <w:ilvl w:val="0"/>
                <w:numId w:val="16"/>
              </w:numPr>
              <w:spacing w:before="80" w:line="280" w:lineRule="atLeast"/>
              <w:ind w:left="357" w:hanging="357"/>
              <w:jc w:val="both"/>
              <w:rPr>
                <w:rFonts w:ascii="Arial" w:hAnsi="Arial"/>
                <w:i/>
                <w:sz w:val="22"/>
                <w:szCs w:val="20"/>
              </w:rPr>
            </w:pPr>
            <w:r w:rsidRPr="00131059">
              <w:rPr>
                <w:rFonts w:ascii="Arial" w:hAnsi="Arial"/>
                <w:i/>
                <w:sz w:val="22"/>
                <w:szCs w:val="20"/>
              </w:rPr>
              <w:t>What additional research or policy activity would be enabled by this data collection?</w:t>
            </w:r>
          </w:p>
          <w:p w14:paraId="6A6A48FA" w14:textId="77777777" w:rsidR="00131059" w:rsidRPr="00131059" w:rsidRDefault="00131059" w:rsidP="00131059">
            <w:pPr>
              <w:numPr>
                <w:ilvl w:val="0"/>
                <w:numId w:val="16"/>
              </w:numPr>
              <w:spacing w:before="80" w:line="280" w:lineRule="atLeast"/>
              <w:ind w:left="357" w:hanging="357"/>
              <w:jc w:val="both"/>
              <w:rPr>
                <w:rFonts w:ascii="Arial" w:hAnsi="Arial"/>
                <w:i/>
                <w:sz w:val="22"/>
                <w:szCs w:val="20"/>
              </w:rPr>
            </w:pPr>
            <w:r w:rsidRPr="00131059">
              <w:rPr>
                <w:rFonts w:ascii="Arial" w:hAnsi="Arial"/>
                <w:i/>
                <w:sz w:val="22"/>
                <w:szCs w:val="20"/>
              </w:rPr>
              <w:t>Who would use this data and who is the beneficiary of any additional activity?</w:t>
            </w:r>
          </w:p>
          <w:p w14:paraId="5735A1C6" w14:textId="77777777" w:rsidR="00131059" w:rsidRDefault="00131059" w:rsidP="00131059">
            <w:pPr>
              <w:numPr>
                <w:ilvl w:val="0"/>
                <w:numId w:val="16"/>
              </w:numPr>
              <w:spacing w:before="80" w:line="280" w:lineRule="atLeast"/>
              <w:ind w:left="357" w:hanging="357"/>
              <w:jc w:val="both"/>
              <w:rPr>
                <w:rFonts w:ascii="Arial" w:hAnsi="Arial"/>
                <w:i/>
                <w:sz w:val="22"/>
                <w:szCs w:val="20"/>
              </w:rPr>
            </w:pPr>
            <w:r w:rsidRPr="00131059">
              <w:rPr>
                <w:rFonts w:ascii="Arial" w:hAnsi="Arial"/>
                <w:i/>
                <w:sz w:val="22"/>
                <w:szCs w:val="20"/>
              </w:rPr>
              <w:t>What costs are associated with collecting and administering the data?</w:t>
            </w:r>
          </w:p>
          <w:p w14:paraId="0A7E8181" w14:textId="30BD1BCE" w:rsidR="00AC090D" w:rsidRPr="00131059" w:rsidRDefault="00AC090D" w:rsidP="00131059">
            <w:pPr>
              <w:numPr>
                <w:ilvl w:val="0"/>
                <w:numId w:val="16"/>
              </w:numPr>
              <w:spacing w:before="80" w:line="280" w:lineRule="atLeast"/>
              <w:ind w:left="357" w:hanging="357"/>
              <w:jc w:val="both"/>
              <w:rPr>
                <w:rFonts w:ascii="Arial" w:hAnsi="Arial"/>
                <w:i/>
                <w:sz w:val="22"/>
                <w:szCs w:val="20"/>
              </w:rPr>
            </w:pPr>
            <w:r>
              <w:rPr>
                <w:rFonts w:ascii="Arial" w:hAnsi="Arial"/>
                <w:i/>
                <w:sz w:val="22"/>
                <w:szCs w:val="20"/>
              </w:rPr>
              <w:t>What costs and benefits fall on the broader community?</w:t>
            </w:r>
          </w:p>
        </w:tc>
      </w:tr>
      <w:tr w:rsidR="00131059" w:rsidRPr="00131059" w14:paraId="3D6196D4" w14:textId="77777777" w:rsidTr="00142843">
        <w:tc>
          <w:tcPr>
            <w:tcW w:w="8770" w:type="dxa"/>
            <w:tcBorders>
              <w:top w:val="nil"/>
              <w:left w:val="nil"/>
              <w:bottom w:val="single" w:sz="6" w:space="0" w:color="78A22F"/>
              <w:right w:val="nil"/>
            </w:tcBorders>
            <w:shd w:val="clear" w:color="auto" w:fill="auto"/>
          </w:tcPr>
          <w:p w14:paraId="19C1DDAB" w14:textId="77777777" w:rsidR="00131059" w:rsidRPr="00131059" w:rsidRDefault="00131059" w:rsidP="00131059">
            <w:pPr>
              <w:keepLines/>
              <w:spacing w:line="120" w:lineRule="exact"/>
              <w:jc w:val="both"/>
              <w:rPr>
                <w:rFonts w:ascii="Arial" w:hAnsi="Arial"/>
                <w:sz w:val="20"/>
                <w:szCs w:val="20"/>
              </w:rPr>
            </w:pPr>
          </w:p>
        </w:tc>
      </w:tr>
      <w:tr w:rsidR="00131059" w:rsidRPr="00131059" w14:paraId="400E9C6C" w14:textId="77777777" w:rsidTr="00142843">
        <w:trPr>
          <w:hidden/>
        </w:trPr>
        <w:tc>
          <w:tcPr>
            <w:tcW w:w="8770" w:type="dxa"/>
            <w:tcBorders>
              <w:top w:val="single" w:sz="6" w:space="0" w:color="78A22F"/>
              <w:left w:val="nil"/>
              <w:bottom w:val="nil"/>
              <w:right w:val="nil"/>
            </w:tcBorders>
          </w:tcPr>
          <w:p w14:paraId="63E41536" w14:textId="77777777" w:rsidR="00131059" w:rsidRPr="00131059" w:rsidRDefault="00131059" w:rsidP="00131059">
            <w:pPr>
              <w:keepLines/>
              <w:spacing w:before="60" w:after="60" w:line="80" w:lineRule="exact"/>
              <w:jc w:val="both"/>
              <w:rPr>
                <w:rFonts w:ascii="Arial" w:hAnsi="Arial"/>
                <w:sz w:val="14"/>
                <w:szCs w:val="20"/>
              </w:rPr>
            </w:pPr>
            <w:r w:rsidRPr="00131059">
              <w:rPr>
                <w:b/>
                <w:vanish/>
                <w:color w:val="FF00FF"/>
                <w:sz w:val="14"/>
                <w:szCs w:val="20"/>
              </w:rPr>
              <w:t>Do not delete this ROW as it gives space between the info request and what follows it.</w:t>
            </w:r>
          </w:p>
        </w:tc>
      </w:tr>
    </w:tbl>
    <w:p w14:paraId="1FB085AE" w14:textId="66B0C12A" w:rsidR="0071738C" w:rsidRDefault="00013885" w:rsidP="0071738C">
      <w:pPr>
        <w:pStyle w:val="Heading2"/>
      </w:pPr>
      <w:bookmarkStart w:id="35" w:name="_Toc445126240"/>
      <w:bookmarkStart w:id="36" w:name="_Toc445283699"/>
      <w:bookmarkStart w:id="37" w:name="_Toc445286463"/>
      <w:bookmarkStart w:id="38" w:name="_Toc445300704"/>
      <w:bookmarkStart w:id="39" w:name="_Toc447277530"/>
      <w:bookmarkStart w:id="40" w:name="_Toc447713300"/>
      <w:bookmarkStart w:id="41" w:name="_Toc447720155"/>
      <w:r>
        <w:rPr>
          <w:noProof/>
        </w:rPr>
        <w:t>3</w:t>
      </w:r>
      <w:r w:rsidR="0071738C">
        <w:tab/>
      </w:r>
      <w:r w:rsidR="002A340E">
        <w:t>What do we have?</w:t>
      </w:r>
      <w:bookmarkEnd w:id="35"/>
      <w:bookmarkEnd w:id="36"/>
      <w:bookmarkEnd w:id="37"/>
      <w:bookmarkEnd w:id="38"/>
      <w:bookmarkEnd w:id="39"/>
      <w:bookmarkEnd w:id="40"/>
      <w:bookmarkEnd w:id="41"/>
    </w:p>
    <w:p w14:paraId="486B7C2D" w14:textId="2A90F59C" w:rsidR="003E53A3" w:rsidRDefault="003E53A3" w:rsidP="003E53A3">
      <w:pPr>
        <w:pStyle w:val="BodyText"/>
      </w:pPr>
      <w:r>
        <w:t>Australian federal, state and territory</w:t>
      </w:r>
      <w:r w:rsidR="00460B3F">
        <w:t>, and local</w:t>
      </w:r>
      <w:r>
        <w:t xml:space="preserve"> governments through various agencies and departments have invested considerable effort in collecting data relating to education. The data collections listed in table 1 are by no means exhaustive. </w:t>
      </w:r>
    </w:p>
    <w:p w14:paraId="5E879F8A" w14:textId="77A18C81" w:rsidR="003E53A3" w:rsidRDefault="003E53A3" w:rsidP="003E53A3">
      <w:pPr>
        <w:pStyle w:val="BodyText"/>
      </w:pPr>
      <w:r>
        <w:t>For instance, the Australian Bureau of Statistics (ABS) is involved in generating data collections such as the National Early Childhood Education and Care Collection (</w:t>
      </w:r>
      <w:proofErr w:type="spellStart"/>
      <w:r>
        <w:t>NECECC</w:t>
      </w:r>
      <w:proofErr w:type="spellEnd"/>
      <w:r>
        <w:t>) and National School Statistics Collection (</w:t>
      </w:r>
      <w:proofErr w:type="spellStart"/>
      <w:r>
        <w:t>NSSC</w:t>
      </w:r>
      <w:proofErr w:type="spellEnd"/>
      <w:r>
        <w:t xml:space="preserve">). They also collect education data through the Census of Population and Housing and a number of regular education and employment surveys, including Childhood Education and Care Survey, Learning and Work Survey, Survey of Education and Work, and Work Related Training and Adult Learning Survey </w:t>
      </w:r>
      <w:r w:rsidR="001532A8" w:rsidRPr="001532A8">
        <w:t xml:space="preserve">(Australian Bureau of Statistics </w:t>
      </w:r>
      <w:proofErr w:type="spellStart"/>
      <w:r w:rsidR="001532A8" w:rsidRPr="001532A8">
        <w:t>2013a</w:t>
      </w:r>
      <w:proofErr w:type="spellEnd"/>
      <w:r w:rsidR="001532A8" w:rsidRPr="001532A8">
        <w:t>)</w:t>
      </w:r>
      <w:r>
        <w:t>.</w:t>
      </w:r>
    </w:p>
    <w:p w14:paraId="14005F21" w14:textId="3B65C6B8" w:rsidR="003E53A3" w:rsidRDefault="003E53A3" w:rsidP="003E53A3">
      <w:pPr>
        <w:pStyle w:val="BodyText"/>
      </w:pPr>
      <w:r>
        <w:t>In addition to the Programme for International Student Assessment (PISA), students in Australia participate in other international school assessment programs, including Progress in International Reading Literacy Study (</w:t>
      </w:r>
      <w:proofErr w:type="spellStart"/>
      <w:r>
        <w:t>PIRLS</w:t>
      </w:r>
      <w:proofErr w:type="spellEnd"/>
      <w:r>
        <w:t>)</w:t>
      </w:r>
      <w:r w:rsidR="001266E2">
        <w:t>,</w:t>
      </w:r>
      <w:r>
        <w:t xml:space="preserve"> Trends in International Mathematics and Science Study (</w:t>
      </w:r>
      <w:proofErr w:type="spellStart"/>
      <w:r>
        <w:t>TIMSS</w:t>
      </w:r>
      <w:proofErr w:type="spellEnd"/>
      <w:r>
        <w:t>)</w:t>
      </w:r>
      <w:r w:rsidR="0068460A">
        <w:t>,</w:t>
      </w:r>
      <w:r>
        <w:t xml:space="preserve"> </w:t>
      </w:r>
      <w:r w:rsidR="001266E2">
        <w:t xml:space="preserve">and </w:t>
      </w:r>
      <w:r w:rsidR="00A27A5A">
        <w:t>the International Computer and Information Literacy Study (</w:t>
      </w:r>
      <w:proofErr w:type="spellStart"/>
      <w:r w:rsidR="00A27A5A">
        <w:t>ICILS</w:t>
      </w:r>
      <w:proofErr w:type="spellEnd"/>
      <w:r w:rsidR="00A27A5A">
        <w:t>)</w:t>
      </w:r>
      <w:r>
        <w:t xml:space="preserve"> that are designed to assess student achievement in reading, mathematics and science</w:t>
      </w:r>
      <w:r w:rsidR="00A27A5A">
        <w:t>, and computer and information literacy</w:t>
      </w:r>
      <w:r>
        <w:t xml:space="preserve"> </w:t>
      </w:r>
      <w:r w:rsidR="004E103C" w:rsidRPr="004E103C">
        <w:t>(International Association for the Evaluation of Educational Achievement 2016)</w:t>
      </w:r>
      <w:r>
        <w:t>.</w:t>
      </w:r>
    </w:p>
    <w:p w14:paraId="38C77A81" w14:textId="225375F2" w:rsidR="003E53A3" w:rsidRDefault="003E53A3" w:rsidP="003E53A3">
      <w:pPr>
        <w:pStyle w:val="BodyText"/>
      </w:pPr>
      <w:r>
        <w:t xml:space="preserve">Administrative records from the Commonwealth and jurisdictional departments, including the Department of Human Services — Centrelink and Medicare — contain an abundance of information on individuals </w:t>
      </w:r>
      <w:r w:rsidR="00C67BF7">
        <w:t xml:space="preserve">capable of </w:t>
      </w:r>
      <w:r>
        <w:t>form</w:t>
      </w:r>
      <w:r w:rsidR="00C67BF7">
        <w:t>ing</w:t>
      </w:r>
      <w:r>
        <w:t xml:space="preserve"> a </w:t>
      </w:r>
      <w:r w:rsidR="00C67BF7">
        <w:t xml:space="preserve">powerful </w:t>
      </w:r>
      <w:r>
        <w:t>longitudinal database. In addition, there are several institutes and research bodies such as, the Australian Institute of Health and Welfare (</w:t>
      </w:r>
      <w:proofErr w:type="spellStart"/>
      <w:r>
        <w:t>AIHW</w:t>
      </w:r>
      <w:proofErr w:type="spellEnd"/>
      <w:r>
        <w:t xml:space="preserve">), Australian Council </w:t>
      </w:r>
      <w:r w:rsidR="00B31128">
        <w:t xml:space="preserve">for </w:t>
      </w:r>
      <w:r>
        <w:t>Education</w:t>
      </w:r>
      <w:r w:rsidR="00B31128">
        <w:t>al</w:t>
      </w:r>
      <w:r>
        <w:t xml:space="preserve"> Research (ACER) and </w:t>
      </w:r>
      <w:r>
        <w:lastRenderedPageBreak/>
        <w:t>the Australian Institute of Family Studies (AIFS) that are actively involved in collecting data relating to factors that affect education outcomes.</w:t>
      </w:r>
    </w:p>
    <w:p w14:paraId="05002F75" w14:textId="409DB8E7" w:rsidR="00C95B9E" w:rsidRDefault="00C95B9E" w:rsidP="00317FCA">
      <w:pPr>
        <w:keepNext/>
        <w:spacing w:before="240" w:line="80" w:lineRule="exact"/>
      </w:pPr>
      <w:r w:rsidRPr="00131059">
        <w:rPr>
          <w:b/>
          <w:vanish/>
          <w:color w:val="FF00FF"/>
          <w:sz w:val="14"/>
          <w:szCs w:val="20"/>
        </w:rPr>
        <w:t>Do not delete this RETURN as it gives space between the info request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3E53A3" w14:paraId="632C8101" w14:textId="77777777" w:rsidTr="00902802">
        <w:tc>
          <w:tcPr>
            <w:tcW w:w="8909" w:type="dxa"/>
            <w:tcBorders>
              <w:top w:val="single" w:sz="6" w:space="0" w:color="78A22F"/>
              <w:left w:val="nil"/>
              <w:bottom w:val="nil"/>
              <w:right w:val="nil"/>
            </w:tcBorders>
            <w:shd w:val="clear" w:color="auto" w:fill="auto"/>
          </w:tcPr>
          <w:p w14:paraId="6E2D83F7" w14:textId="18E75BB9" w:rsidR="003E53A3" w:rsidRPr="00784A05" w:rsidRDefault="003E53A3" w:rsidP="00E47583">
            <w:pPr>
              <w:pStyle w:val="TableTitle"/>
            </w:pPr>
            <w:bookmarkStart w:id="42" w:name="_Ref447200955"/>
            <w:r>
              <w:rPr>
                <w:b w:val="0"/>
              </w:rPr>
              <w:t xml:space="preserve">Table </w:t>
            </w:r>
            <w:bookmarkStart w:id="43" w:name="OLE_LINK1"/>
            <w:r w:rsidR="00013885">
              <w:rPr>
                <w:b w:val="0"/>
                <w:noProof/>
              </w:rPr>
              <w:t>1</w:t>
            </w:r>
            <w:bookmarkEnd w:id="43"/>
            <w:r>
              <w:tab/>
            </w:r>
            <w:r w:rsidR="00483353">
              <w:t>A selection of</w:t>
            </w:r>
            <w:r>
              <w:t xml:space="preserve"> education </w:t>
            </w:r>
            <w:r w:rsidR="00902802">
              <w:t xml:space="preserve">and training </w:t>
            </w:r>
            <w:r>
              <w:t>data collections</w:t>
            </w:r>
            <w:bookmarkEnd w:id="42"/>
          </w:p>
        </w:tc>
      </w:tr>
      <w:tr w:rsidR="003E53A3" w14:paraId="11CFBA6B" w14:textId="77777777" w:rsidTr="00902802">
        <w:trPr>
          <w:cantSplit/>
        </w:trPr>
        <w:tc>
          <w:tcPr>
            <w:tcW w:w="8909" w:type="dxa"/>
            <w:tcBorders>
              <w:top w:val="nil"/>
              <w:left w:val="nil"/>
              <w:bottom w:val="nil"/>
              <w:right w:val="nil"/>
            </w:tcBorders>
            <w:shd w:val="clear" w:color="auto" w:fill="auto"/>
          </w:tcPr>
          <w:tbl>
            <w:tblPr>
              <w:tblW w:w="8764" w:type="dxa"/>
              <w:tblCellMar>
                <w:top w:w="28" w:type="dxa"/>
                <w:left w:w="0" w:type="dxa"/>
                <w:right w:w="0" w:type="dxa"/>
              </w:tblCellMar>
              <w:tblLook w:val="0000" w:firstRow="0" w:lastRow="0" w:firstColumn="0" w:lastColumn="0" w:noHBand="0" w:noVBand="0"/>
            </w:tblPr>
            <w:tblGrid>
              <w:gridCol w:w="1678"/>
              <w:gridCol w:w="1274"/>
              <w:gridCol w:w="4112"/>
              <w:gridCol w:w="1700"/>
            </w:tblGrid>
            <w:tr w:rsidR="003E53A3" w14:paraId="194B5202" w14:textId="77777777" w:rsidTr="00902802">
              <w:tc>
                <w:tcPr>
                  <w:tcW w:w="957" w:type="pct"/>
                  <w:tcBorders>
                    <w:top w:val="single" w:sz="6" w:space="0" w:color="BFBFBF"/>
                    <w:bottom w:val="single" w:sz="6" w:space="0" w:color="BFBFBF"/>
                  </w:tcBorders>
                  <w:shd w:val="clear" w:color="auto" w:fill="auto"/>
                  <w:tcMar>
                    <w:top w:w="28" w:type="dxa"/>
                  </w:tcMar>
                </w:tcPr>
                <w:p w14:paraId="3D5E0151" w14:textId="77777777" w:rsidR="003E53A3" w:rsidRDefault="003E53A3" w:rsidP="00902802">
                  <w:pPr>
                    <w:pStyle w:val="TableColumnHeading"/>
                    <w:jc w:val="left"/>
                  </w:pPr>
                  <w:r>
                    <w:t xml:space="preserve">Name </w:t>
                  </w:r>
                </w:p>
              </w:tc>
              <w:tc>
                <w:tcPr>
                  <w:tcW w:w="726" w:type="pct"/>
                  <w:tcBorders>
                    <w:top w:val="single" w:sz="6" w:space="0" w:color="BFBFBF"/>
                    <w:bottom w:val="single" w:sz="6" w:space="0" w:color="BFBFBF"/>
                  </w:tcBorders>
                  <w:shd w:val="clear" w:color="auto" w:fill="auto"/>
                  <w:tcMar>
                    <w:top w:w="28" w:type="dxa"/>
                  </w:tcMar>
                </w:tcPr>
                <w:p w14:paraId="5A65673A" w14:textId="77777777" w:rsidR="003E53A3" w:rsidRDefault="003E53A3" w:rsidP="00902802">
                  <w:pPr>
                    <w:pStyle w:val="TableColumnHeading"/>
                    <w:jc w:val="left"/>
                  </w:pPr>
                  <w:r>
                    <w:t>Target group</w:t>
                  </w:r>
                </w:p>
              </w:tc>
              <w:tc>
                <w:tcPr>
                  <w:tcW w:w="2346" w:type="pct"/>
                  <w:tcBorders>
                    <w:top w:val="single" w:sz="6" w:space="0" w:color="BFBFBF"/>
                    <w:bottom w:val="single" w:sz="6" w:space="0" w:color="BFBFBF"/>
                  </w:tcBorders>
                </w:tcPr>
                <w:p w14:paraId="7F35FE00" w14:textId="77777777" w:rsidR="003E53A3" w:rsidRDefault="003E53A3" w:rsidP="00902802">
                  <w:pPr>
                    <w:pStyle w:val="TableColumnHeading"/>
                    <w:ind w:right="28"/>
                    <w:jc w:val="left"/>
                  </w:pPr>
                  <w:r>
                    <w:t>Indicators and topics</w:t>
                  </w:r>
                </w:p>
              </w:tc>
              <w:tc>
                <w:tcPr>
                  <w:tcW w:w="970" w:type="pct"/>
                  <w:tcBorders>
                    <w:top w:val="single" w:sz="6" w:space="0" w:color="BFBFBF"/>
                    <w:bottom w:val="single" w:sz="6" w:space="0" w:color="BFBFBF"/>
                  </w:tcBorders>
                  <w:shd w:val="clear" w:color="auto" w:fill="auto"/>
                  <w:tcMar>
                    <w:top w:w="28" w:type="dxa"/>
                  </w:tcMar>
                </w:tcPr>
                <w:p w14:paraId="555E2F59" w14:textId="77777777" w:rsidR="003E53A3" w:rsidRDefault="003E53A3" w:rsidP="00902802">
                  <w:pPr>
                    <w:pStyle w:val="TableColumnHeading"/>
                    <w:ind w:right="28"/>
                    <w:jc w:val="left"/>
                  </w:pPr>
                  <w:r>
                    <w:t>Data custodian</w:t>
                  </w:r>
                  <w:r>
                    <w:rPr>
                      <w:rStyle w:val="NoteLabel"/>
                    </w:rPr>
                    <w:t>a</w:t>
                  </w:r>
                  <w:r>
                    <w:t xml:space="preserve"> </w:t>
                  </w:r>
                </w:p>
              </w:tc>
            </w:tr>
            <w:tr w:rsidR="003E53A3" w14:paraId="75F54653" w14:textId="77777777" w:rsidTr="002406FF">
              <w:tc>
                <w:tcPr>
                  <w:tcW w:w="957" w:type="pct"/>
                  <w:tcBorders>
                    <w:top w:val="single" w:sz="6" w:space="0" w:color="BFBFBF"/>
                  </w:tcBorders>
                </w:tcPr>
                <w:p w14:paraId="7995E70C" w14:textId="77777777" w:rsidR="003E53A3" w:rsidRDefault="003E53A3" w:rsidP="00902802">
                  <w:pPr>
                    <w:pStyle w:val="TableUnitsRow"/>
                    <w:jc w:val="left"/>
                  </w:pPr>
                  <w:r>
                    <w:t>National Assessment Program – Literacy and Numeracy (</w:t>
                  </w:r>
                  <w:proofErr w:type="spellStart"/>
                  <w:r>
                    <w:t>NAPLAN</w:t>
                  </w:r>
                  <w:proofErr w:type="spellEnd"/>
                  <w:r>
                    <w:t>)</w:t>
                  </w:r>
                </w:p>
              </w:tc>
              <w:tc>
                <w:tcPr>
                  <w:tcW w:w="727" w:type="pct"/>
                  <w:tcBorders>
                    <w:top w:val="single" w:sz="6" w:space="0" w:color="BFBFBF"/>
                  </w:tcBorders>
                </w:tcPr>
                <w:p w14:paraId="06CDACC7" w14:textId="77777777" w:rsidR="003E53A3" w:rsidRDefault="003E53A3" w:rsidP="00902802">
                  <w:pPr>
                    <w:pStyle w:val="TableUnitsRow"/>
                    <w:jc w:val="left"/>
                  </w:pPr>
                  <w:r>
                    <w:t>Years 3, 5, 7 and 9 students</w:t>
                  </w:r>
                </w:p>
              </w:tc>
              <w:tc>
                <w:tcPr>
                  <w:tcW w:w="2346" w:type="pct"/>
                  <w:tcBorders>
                    <w:top w:val="single" w:sz="6" w:space="0" w:color="BFBFBF"/>
                  </w:tcBorders>
                </w:tcPr>
                <w:p w14:paraId="1B69F3AF" w14:textId="77777777" w:rsidR="003E53A3" w:rsidRDefault="003E53A3" w:rsidP="00902802">
                  <w:pPr>
                    <w:pStyle w:val="TableBullet"/>
                  </w:pPr>
                  <w:r>
                    <w:t xml:space="preserve">Literacy (reading, writing and language conventions) </w:t>
                  </w:r>
                </w:p>
                <w:p w14:paraId="4AB64C8D" w14:textId="77777777" w:rsidR="003E53A3" w:rsidRDefault="003E53A3" w:rsidP="00902802">
                  <w:pPr>
                    <w:pStyle w:val="TableBullet"/>
                  </w:pPr>
                  <w:r>
                    <w:t>Numeracy</w:t>
                  </w:r>
                </w:p>
              </w:tc>
              <w:tc>
                <w:tcPr>
                  <w:tcW w:w="970" w:type="pct"/>
                  <w:tcBorders>
                    <w:top w:val="single" w:sz="6" w:space="0" w:color="BFBFBF"/>
                  </w:tcBorders>
                </w:tcPr>
                <w:p w14:paraId="4EA39E1B" w14:textId="77777777" w:rsidR="003E53A3" w:rsidRDefault="003E53A3" w:rsidP="00902802">
                  <w:pPr>
                    <w:pStyle w:val="TableUnitsRow"/>
                    <w:ind w:right="28"/>
                    <w:jc w:val="left"/>
                  </w:pPr>
                  <w:r>
                    <w:t>ACARA, state and territory test administration authorities</w:t>
                  </w:r>
                </w:p>
              </w:tc>
            </w:tr>
            <w:tr w:rsidR="003E53A3" w14:paraId="775EB7BA" w14:textId="77777777" w:rsidTr="002406FF">
              <w:tc>
                <w:tcPr>
                  <w:tcW w:w="957" w:type="pct"/>
                  <w:shd w:val="clear" w:color="auto" w:fill="F2F2F2" w:themeFill="background1" w:themeFillShade="F2"/>
                </w:tcPr>
                <w:p w14:paraId="5D97DA28" w14:textId="77777777" w:rsidR="003E53A3" w:rsidRDefault="003E53A3" w:rsidP="00902802">
                  <w:pPr>
                    <w:pStyle w:val="TableUnitsRow"/>
                    <w:jc w:val="left"/>
                  </w:pPr>
                  <w:r>
                    <w:t>National Assessment  Program (NAP) sample assessments</w:t>
                  </w:r>
                </w:p>
              </w:tc>
              <w:tc>
                <w:tcPr>
                  <w:tcW w:w="727" w:type="pct"/>
                  <w:shd w:val="clear" w:color="auto" w:fill="F2F2F2" w:themeFill="background1" w:themeFillShade="F2"/>
                </w:tcPr>
                <w:p w14:paraId="2599220D" w14:textId="77777777" w:rsidR="003E53A3" w:rsidRDefault="003E53A3" w:rsidP="00902802">
                  <w:pPr>
                    <w:pStyle w:val="TableUnitsRow"/>
                    <w:jc w:val="left"/>
                  </w:pPr>
                  <w:r>
                    <w:t>Years 6 and 10 students</w:t>
                  </w:r>
                </w:p>
              </w:tc>
              <w:tc>
                <w:tcPr>
                  <w:tcW w:w="2346" w:type="pct"/>
                  <w:shd w:val="clear" w:color="auto" w:fill="F2F2F2" w:themeFill="background1" w:themeFillShade="F2"/>
                </w:tcPr>
                <w:p w14:paraId="0B35DC2B" w14:textId="77777777" w:rsidR="00C67BF7" w:rsidRDefault="003E53A3" w:rsidP="00902802">
                  <w:pPr>
                    <w:pStyle w:val="TableBullet"/>
                  </w:pPr>
                  <w:r>
                    <w:t xml:space="preserve">Civics and citizenship </w:t>
                  </w:r>
                </w:p>
                <w:p w14:paraId="7EBC0750" w14:textId="2C4C221B" w:rsidR="003E53A3" w:rsidRDefault="003E53A3" w:rsidP="00902802">
                  <w:pPr>
                    <w:pStyle w:val="TableBullet"/>
                  </w:pPr>
                  <w:r>
                    <w:t>Information, communication and technology</w:t>
                  </w:r>
                </w:p>
                <w:p w14:paraId="0E7189EB" w14:textId="77777777" w:rsidR="003E53A3" w:rsidRDefault="003E53A3" w:rsidP="00902802">
                  <w:pPr>
                    <w:pStyle w:val="TableBullet"/>
                  </w:pPr>
                  <w:r>
                    <w:t>Science</w:t>
                  </w:r>
                </w:p>
              </w:tc>
              <w:tc>
                <w:tcPr>
                  <w:tcW w:w="970" w:type="pct"/>
                  <w:shd w:val="clear" w:color="auto" w:fill="F2F2F2" w:themeFill="background1" w:themeFillShade="F2"/>
                </w:tcPr>
                <w:p w14:paraId="34C4A79B" w14:textId="77777777" w:rsidR="003E53A3" w:rsidRDefault="003E53A3" w:rsidP="00902802">
                  <w:pPr>
                    <w:pStyle w:val="TableUnitsRow"/>
                    <w:ind w:right="28"/>
                    <w:jc w:val="left"/>
                  </w:pPr>
                  <w:r>
                    <w:t>ACARA, state and territory test administration authorities</w:t>
                  </w:r>
                </w:p>
              </w:tc>
            </w:tr>
            <w:tr w:rsidR="003E53A3" w14:paraId="0F46ED7F" w14:textId="77777777" w:rsidTr="002406FF">
              <w:tc>
                <w:tcPr>
                  <w:tcW w:w="957" w:type="pct"/>
                </w:tcPr>
                <w:p w14:paraId="07BB5349" w14:textId="4FEB8C10" w:rsidR="003E53A3" w:rsidRDefault="003E53A3" w:rsidP="00902802">
                  <w:pPr>
                    <w:pStyle w:val="TableUnitsRow"/>
                    <w:jc w:val="left"/>
                  </w:pPr>
                  <w:r>
                    <w:t xml:space="preserve">Longitudinal </w:t>
                  </w:r>
                  <w:r w:rsidR="00F91CEF">
                    <w:t xml:space="preserve">Study </w:t>
                  </w:r>
                  <w:r>
                    <w:t>of Australian Children (</w:t>
                  </w:r>
                  <w:proofErr w:type="spellStart"/>
                  <w:r>
                    <w:t>LSAC</w:t>
                  </w:r>
                  <w:proofErr w:type="spellEnd"/>
                  <w:r>
                    <w:t>)</w:t>
                  </w:r>
                </w:p>
              </w:tc>
              <w:tc>
                <w:tcPr>
                  <w:tcW w:w="727" w:type="pct"/>
                </w:tcPr>
                <w:p w14:paraId="3876BC9C" w14:textId="77777777" w:rsidR="003E53A3" w:rsidRDefault="003E53A3" w:rsidP="00902802">
                  <w:pPr>
                    <w:pStyle w:val="TableUnitsRow"/>
                    <w:jc w:val="left"/>
                  </w:pPr>
                  <w:r>
                    <w:t>Children aged 0–1 and 4–5 years</w:t>
                  </w:r>
                </w:p>
              </w:tc>
              <w:tc>
                <w:tcPr>
                  <w:tcW w:w="2346" w:type="pct"/>
                </w:tcPr>
                <w:p w14:paraId="3E2E8324" w14:textId="5EA4EAC0" w:rsidR="003E53A3" w:rsidRDefault="003E53A3" w:rsidP="00902802">
                  <w:pPr>
                    <w:pStyle w:val="TableBullet"/>
                  </w:pPr>
                  <w:r>
                    <w:t>Family demographics, relationships, home education, learning environment</w:t>
                  </w:r>
                  <w:r w:rsidR="002406FF">
                    <w:t>, risk factors</w:t>
                  </w:r>
                </w:p>
                <w:p w14:paraId="1969C716" w14:textId="77777777" w:rsidR="003E53A3" w:rsidRDefault="003E53A3" w:rsidP="00902802">
                  <w:pPr>
                    <w:pStyle w:val="TableBullet"/>
                  </w:pPr>
                  <w:r>
                    <w:t>Educational/care program characteristics</w:t>
                  </w:r>
                </w:p>
                <w:p w14:paraId="0A0743A7" w14:textId="43E30C5E" w:rsidR="003E53A3" w:rsidRDefault="003E53A3" w:rsidP="00902802">
                  <w:pPr>
                    <w:pStyle w:val="TableBullet"/>
                  </w:pPr>
                  <w:r>
                    <w:t xml:space="preserve">Finances, work, housing, health status </w:t>
                  </w:r>
                </w:p>
                <w:p w14:paraId="53BB1B09" w14:textId="77777777" w:rsidR="003E53A3" w:rsidRDefault="003E53A3" w:rsidP="00902802">
                  <w:pPr>
                    <w:pStyle w:val="TableBullet"/>
                  </w:pPr>
                  <w:r>
                    <w:t>Learning and cognition outcomes, social and emotional development</w:t>
                  </w:r>
                </w:p>
              </w:tc>
              <w:tc>
                <w:tcPr>
                  <w:tcW w:w="970" w:type="pct"/>
                </w:tcPr>
                <w:p w14:paraId="4C08F90B" w14:textId="77777777" w:rsidR="003E53A3" w:rsidRDefault="003E53A3" w:rsidP="00902802">
                  <w:pPr>
                    <w:pStyle w:val="TableUnitsRow"/>
                    <w:ind w:right="28"/>
                    <w:jc w:val="left"/>
                  </w:pPr>
                  <w:proofErr w:type="spellStart"/>
                  <w:r>
                    <w:t>DSS</w:t>
                  </w:r>
                  <w:proofErr w:type="spellEnd"/>
                </w:p>
              </w:tc>
            </w:tr>
            <w:tr w:rsidR="003E53A3" w14:paraId="1D1556D3" w14:textId="77777777" w:rsidTr="002406FF">
              <w:tc>
                <w:tcPr>
                  <w:tcW w:w="957" w:type="pct"/>
                  <w:shd w:val="clear" w:color="auto" w:fill="F2F2F2" w:themeFill="background1" w:themeFillShade="F2"/>
                </w:tcPr>
                <w:p w14:paraId="2F11D417" w14:textId="348E3DF4" w:rsidR="003E53A3" w:rsidRDefault="003E53A3" w:rsidP="00902802">
                  <w:pPr>
                    <w:pStyle w:val="TableUnitsRow"/>
                    <w:jc w:val="left"/>
                  </w:pPr>
                  <w:r>
                    <w:t xml:space="preserve">Longitudinal </w:t>
                  </w:r>
                  <w:r w:rsidR="00F91CEF">
                    <w:t xml:space="preserve">Study </w:t>
                  </w:r>
                  <w:r>
                    <w:t>of Indigenous Children (</w:t>
                  </w:r>
                  <w:proofErr w:type="spellStart"/>
                  <w:r>
                    <w:t>LSIC</w:t>
                  </w:r>
                  <w:proofErr w:type="spellEnd"/>
                  <w:r>
                    <w:t>)</w:t>
                  </w:r>
                </w:p>
              </w:tc>
              <w:tc>
                <w:tcPr>
                  <w:tcW w:w="727" w:type="pct"/>
                  <w:shd w:val="clear" w:color="auto" w:fill="F2F2F2" w:themeFill="background1" w:themeFillShade="F2"/>
                </w:tcPr>
                <w:p w14:paraId="5A023D9C" w14:textId="77777777" w:rsidR="003E53A3" w:rsidRDefault="003E53A3" w:rsidP="00902802">
                  <w:pPr>
                    <w:pStyle w:val="TableUnitsRow"/>
                    <w:jc w:val="left"/>
                  </w:pPr>
                  <w:r>
                    <w:t>Indigenous children 6–18 months and 3.5–5 years</w:t>
                  </w:r>
                </w:p>
              </w:tc>
              <w:tc>
                <w:tcPr>
                  <w:tcW w:w="2346" w:type="pct"/>
                  <w:shd w:val="clear" w:color="auto" w:fill="F2F2F2" w:themeFill="background1" w:themeFillShade="F2"/>
                </w:tcPr>
                <w:p w14:paraId="23027FE9" w14:textId="77777777" w:rsidR="003E53A3" w:rsidRDefault="003E53A3" w:rsidP="00902802">
                  <w:pPr>
                    <w:pStyle w:val="TableBullet"/>
                  </w:pPr>
                  <w:r>
                    <w:t>Children  — physical and mental health, social and cognitive development, family and community relationships</w:t>
                  </w:r>
                </w:p>
                <w:p w14:paraId="31F1D940" w14:textId="77777777" w:rsidR="003E53A3" w:rsidRDefault="003E53A3" w:rsidP="00902802">
                  <w:pPr>
                    <w:pStyle w:val="TableBullet"/>
                  </w:pPr>
                  <w:r>
                    <w:t>Children’s families — health, work, lifestyle, family and community relations</w:t>
                  </w:r>
                </w:p>
                <w:p w14:paraId="26282A4B" w14:textId="77777777" w:rsidR="003E53A3" w:rsidRDefault="003E53A3" w:rsidP="00902802">
                  <w:pPr>
                    <w:pStyle w:val="TableBullet"/>
                  </w:pPr>
                  <w:r>
                    <w:t>Children’s communities —  facilities, services, social and community issues</w:t>
                  </w:r>
                </w:p>
                <w:p w14:paraId="6DEB4201" w14:textId="77777777" w:rsidR="003E53A3" w:rsidRDefault="003E53A3" w:rsidP="00902802">
                  <w:pPr>
                    <w:pStyle w:val="TableBullet"/>
                  </w:pPr>
                  <w:r>
                    <w:t>Services — child care, education, health, other</w:t>
                  </w:r>
                </w:p>
              </w:tc>
              <w:tc>
                <w:tcPr>
                  <w:tcW w:w="970" w:type="pct"/>
                  <w:shd w:val="clear" w:color="auto" w:fill="F2F2F2" w:themeFill="background1" w:themeFillShade="F2"/>
                </w:tcPr>
                <w:p w14:paraId="75501A7E" w14:textId="77777777" w:rsidR="003E53A3" w:rsidRDefault="003E53A3" w:rsidP="00902802">
                  <w:pPr>
                    <w:pStyle w:val="TableUnitsRow"/>
                    <w:ind w:right="28"/>
                    <w:jc w:val="left"/>
                  </w:pPr>
                  <w:proofErr w:type="spellStart"/>
                  <w:r>
                    <w:t>DSS</w:t>
                  </w:r>
                  <w:proofErr w:type="spellEnd"/>
                </w:p>
              </w:tc>
            </w:tr>
            <w:tr w:rsidR="003E53A3" w14:paraId="3D802470" w14:textId="77777777" w:rsidTr="002406FF">
              <w:tc>
                <w:tcPr>
                  <w:tcW w:w="957" w:type="pct"/>
                </w:tcPr>
                <w:p w14:paraId="56B0AAA7" w14:textId="77777777" w:rsidR="003E53A3" w:rsidRDefault="003E53A3" w:rsidP="00902802">
                  <w:pPr>
                    <w:pStyle w:val="TableBodyText"/>
                    <w:spacing w:before="80" w:after="80"/>
                    <w:jc w:val="left"/>
                  </w:pPr>
                  <w:r>
                    <w:t>Australian Early  Development Census (</w:t>
                  </w:r>
                  <w:proofErr w:type="spellStart"/>
                  <w:r>
                    <w:t>AEDC</w:t>
                  </w:r>
                  <w:proofErr w:type="spellEnd"/>
                  <w:r>
                    <w:t>)</w:t>
                  </w:r>
                </w:p>
              </w:tc>
              <w:tc>
                <w:tcPr>
                  <w:tcW w:w="727" w:type="pct"/>
                </w:tcPr>
                <w:p w14:paraId="528FA5E1" w14:textId="77777777" w:rsidR="003E53A3" w:rsidRDefault="003E53A3" w:rsidP="00902802">
                  <w:pPr>
                    <w:pStyle w:val="TableBodyText"/>
                    <w:spacing w:before="80" w:after="80"/>
                    <w:jc w:val="left"/>
                  </w:pPr>
                  <w:r>
                    <w:t>Children in their first year of full time school</w:t>
                  </w:r>
                </w:p>
              </w:tc>
              <w:tc>
                <w:tcPr>
                  <w:tcW w:w="2346" w:type="pct"/>
                </w:tcPr>
                <w:p w14:paraId="6BDB8114" w14:textId="77777777" w:rsidR="003E53A3" w:rsidRDefault="003E53A3" w:rsidP="00902802">
                  <w:pPr>
                    <w:pStyle w:val="TableBullet"/>
                  </w:pPr>
                  <w:r>
                    <w:t>Physical health, wellbeing, emotional maturity, social competence</w:t>
                  </w:r>
                </w:p>
                <w:p w14:paraId="5EF3BC06" w14:textId="77777777" w:rsidR="003E53A3" w:rsidRDefault="003E53A3" w:rsidP="00902802">
                  <w:pPr>
                    <w:pStyle w:val="TableBullet"/>
                  </w:pPr>
                  <w:r>
                    <w:t>Communication skills, general knowledge, language and cognitive skills</w:t>
                  </w:r>
                </w:p>
              </w:tc>
              <w:tc>
                <w:tcPr>
                  <w:tcW w:w="970" w:type="pct"/>
                </w:tcPr>
                <w:p w14:paraId="47811143" w14:textId="77777777" w:rsidR="003E53A3" w:rsidRDefault="003E53A3" w:rsidP="00902802">
                  <w:pPr>
                    <w:pStyle w:val="TableBodyText"/>
                    <w:spacing w:before="80" w:after="80"/>
                    <w:ind w:right="28"/>
                    <w:jc w:val="left"/>
                  </w:pPr>
                  <w:proofErr w:type="spellStart"/>
                  <w:r>
                    <w:t>DET</w:t>
                  </w:r>
                  <w:proofErr w:type="spellEnd"/>
                </w:p>
              </w:tc>
            </w:tr>
            <w:tr w:rsidR="003E53A3" w14:paraId="3A7B616B" w14:textId="77777777" w:rsidTr="002406FF">
              <w:tc>
                <w:tcPr>
                  <w:tcW w:w="957" w:type="pct"/>
                  <w:shd w:val="clear" w:color="auto" w:fill="F2F2F2" w:themeFill="background1" w:themeFillShade="F2"/>
                </w:tcPr>
                <w:p w14:paraId="7802A225" w14:textId="1A691429" w:rsidR="003E53A3" w:rsidRDefault="003E53A3" w:rsidP="00902802">
                  <w:pPr>
                    <w:pStyle w:val="TableBodyText"/>
                    <w:spacing w:before="80" w:after="80"/>
                    <w:jc w:val="left"/>
                  </w:pPr>
                  <w:r>
                    <w:t>Longitudinal Survey of Australian Youth (</w:t>
                  </w:r>
                  <w:proofErr w:type="spellStart"/>
                  <w:r>
                    <w:t>LSAY</w:t>
                  </w:r>
                  <w:proofErr w:type="spellEnd"/>
                  <w:r>
                    <w:t>)</w:t>
                  </w:r>
                </w:p>
              </w:tc>
              <w:tc>
                <w:tcPr>
                  <w:tcW w:w="727" w:type="pct"/>
                  <w:shd w:val="clear" w:color="auto" w:fill="F2F2F2" w:themeFill="background1" w:themeFillShade="F2"/>
                </w:tcPr>
                <w:p w14:paraId="18134DE5" w14:textId="77777777" w:rsidR="003E53A3" w:rsidRDefault="003E53A3" w:rsidP="00902802">
                  <w:pPr>
                    <w:pStyle w:val="TableBodyText"/>
                    <w:spacing w:before="80" w:after="80"/>
                    <w:jc w:val="left"/>
                  </w:pPr>
                  <w:r>
                    <w:t>Individuals 15 years and over</w:t>
                  </w:r>
                </w:p>
              </w:tc>
              <w:tc>
                <w:tcPr>
                  <w:tcW w:w="2346" w:type="pct"/>
                  <w:shd w:val="clear" w:color="auto" w:fill="F2F2F2" w:themeFill="background1" w:themeFillShade="F2"/>
                </w:tcPr>
                <w:p w14:paraId="37A0059C" w14:textId="77777777" w:rsidR="003E53A3" w:rsidRDefault="003E53A3" w:rsidP="00902802">
                  <w:pPr>
                    <w:pStyle w:val="TableBullet"/>
                  </w:pPr>
                  <w:r>
                    <w:t>Participation, attainment and performance in school, VET and higher education</w:t>
                  </w:r>
                </w:p>
                <w:p w14:paraId="11040D16" w14:textId="77777777" w:rsidR="003E53A3" w:rsidRDefault="003E53A3" w:rsidP="00902802">
                  <w:pPr>
                    <w:pStyle w:val="TableBullet"/>
                  </w:pPr>
                  <w:r>
                    <w:t>Employment, job history and seeking activities</w:t>
                  </w:r>
                </w:p>
                <w:p w14:paraId="6376CF8B" w14:textId="77777777" w:rsidR="003E53A3" w:rsidRDefault="003E53A3" w:rsidP="00902802">
                  <w:pPr>
                    <w:pStyle w:val="TableBullet"/>
                  </w:pPr>
                  <w:r>
                    <w:t>Living arrangements, finance and health</w:t>
                  </w:r>
                </w:p>
              </w:tc>
              <w:tc>
                <w:tcPr>
                  <w:tcW w:w="970" w:type="pct"/>
                  <w:shd w:val="clear" w:color="auto" w:fill="F2F2F2" w:themeFill="background1" w:themeFillShade="F2"/>
                </w:tcPr>
                <w:p w14:paraId="6004FD6E" w14:textId="77777777" w:rsidR="003E53A3" w:rsidRDefault="003E53A3" w:rsidP="00902802">
                  <w:pPr>
                    <w:pStyle w:val="TableBodyText"/>
                    <w:ind w:right="28"/>
                    <w:jc w:val="left"/>
                  </w:pPr>
                  <w:r>
                    <w:t xml:space="preserve">ADA, </w:t>
                  </w:r>
                  <w:proofErr w:type="spellStart"/>
                  <w:r>
                    <w:t>NCVER</w:t>
                  </w:r>
                  <w:proofErr w:type="spellEnd"/>
                </w:p>
              </w:tc>
            </w:tr>
            <w:tr w:rsidR="00460B3F" w:rsidDel="00460B3F" w14:paraId="450D917C" w14:textId="77777777" w:rsidTr="002406FF">
              <w:tc>
                <w:tcPr>
                  <w:tcW w:w="957" w:type="pct"/>
                  <w:shd w:val="clear" w:color="auto" w:fill="auto"/>
                </w:tcPr>
                <w:p w14:paraId="423C6992" w14:textId="11E96F0D" w:rsidR="00460B3F" w:rsidDel="00460B3F" w:rsidRDefault="00460B3F" w:rsidP="00902802">
                  <w:pPr>
                    <w:pStyle w:val="TableBodyText"/>
                    <w:spacing w:before="80" w:after="80"/>
                    <w:jc w:val="left"/>
                  </w:pPr>
                  <w:r>
                    <w:t>National Early Childhood Education and Care Collection (</w:t>
                  </w:r>
                  <w:proofErr w:type="spellStart"/>
                  <w:r>
                    <w:t>NECECC</w:t>
                  </w:r>
                  <w:proofErr w:type="spellEnd"/>
                  <w:r>
                    <w:t>)</w:t>
                  </w:r>
                </w:p>
              </w:tc>
              <w:tc>
                <w:tcPr>
                  <w:tcW w:w="727" w:type="pct"/>
                  <w:shd w:val="clear" w:color="auto" w:fill="auto"/>
                </w:tcPr>
                <w:p w14:paraId="22AAD012" w14:textId="230D691F" w:rsidR="00460B3F" w:rsidDel="00460B3F" w:rsidRDefault="00460B3F" w:rsidP="00902802">
                  <w:pPr>
                    <w:pStyle w:val="TableBodyText"/>
                    <w:spacing w:before="80" w:after="80"/>
                    <w:jc w:val="left"/>
                  </w:pPr>
                  <w:r>
                    <w:t>Census of children enrolled in preschool</w:t>
                  </w:r>
                </w:p>
              </w:tc>
              <w:tc>
                <w:tcPr>
                  <w:tcW w:w="2346" w:type="pct"/>
                </w:tcPr>
                <w:p w14:paraId="5486A1C7" w14:textId="77777777" w:rsidR="00460B3F" w:rsidRDefault="00460B3F" w:rsidP="00460B3F">
                  <w:pPr>
                    <w:pStyle w:val="TableBullet"/>
                  </w:pPr>
                  <w:r>
                    <w:t>Child  — preschool hours (available, enrolled, attended), program hours and fees</w:t>
                  </w:r>
                </w:p>
                <w:p w14:paraId="4BF92F20" w14:textId="77777777" w:rsidR="00460B3F" w:rsidRDefault="00460B3F" w:rsidP="00460B3F">
                  <w:pPr>
                    <w:pStyle w:val="TableBullet"/>
                  </w:pPr>
                  <w:r>
                    <w:t>Service provider — activity type, operation information</w:t>
                  </w:r>
                </w:p>
                <w:p w14:paraId="0DFD132A" w14:textId="3191C4AE" w:rsidR="00460B3F" w:rsidDel="00460B3F" w:rsidRDefault="00460B3F" w:rsidP="00902802">
                  <w:pPr>
                    <w:pStyle w:val="TableBullet"/>
                  </w:pPr>
                  <w:r w:rsidRPr="008340A3">
                    <w:t>Worker</w:t>
                  </w:r>
                  <w:r>
                    <w:t xml:space="preserve"> — role, qualifications, hours</w:t>
                  </w:r>
                </w:p>
              </w:tc>
              <w:tc>
                <w:tcPr>
                  <w:tcW w:w="970" w:type="pct"/>
                  <w:shd w:val="clear" w:color="auto" w:fill="auto"/>
                </w:tcPr>
                <w:p w14:paraId="40D4F6D1" w14:textId="0E98AB1F" w:rsidR="00460B3F" w:rsidDel="00460B3F" w:rsidRDefault="00460B3F" w:rsidP="00902802">
                  <w:pPr>
                    <w:pStyle w:val="TableBodyText"/>
                    <w:spacing w:before="80" w:after="80"/>
                    <w:ind w:right="28"/>
                    <w:jc w:val="left"/>
                  </w:pPr>
                  <w:r>
                    <w:t xml:space="preserve">ABS, </w:t>
                  </w:r>
                  <w:proofErr w:type="spellStart"/>
                  <w:r>
                    <w:t>DET</w:t>
                  </w:r>
                  <w:proofErr w:type="spellEnd"/>
                  <w:r>
                    <w:t>, state and territory education departments</w:t>
                  </w:r>
                </w:p>
              </w:tc>
            </w:tr>
            <w:tr w:rsidR="00460B3F" w:rsidDel="00460B3F" w14:paraId="414C0E37" w14:textId="77777777" w:rsidTr="002406FF">
              <w:tc>
                <w:tcPr>
                  <w:tcW w:w="957" w:type="pct"/>
                  <w:tcBorders>
                    <w:bottom w:val="single" w:sz="4" w:space="0" w:color="BFBFBF" w:themeColor="background1" w:themeShade="BF"/>
                  </w:tcBorders>
                  <w:shd w:val="clear" w:color="auto" w:fill="F2F2F2" w:themeFill="background1" w:themeFillShade="F2"/>
                </w:tcPr>
                <w:p w14:paraId="600C00F5" w14:textId="26F0D543" w:rsidR="00460B3F" w:rsidRDefault="00460B3F" w:rsidP="00902802">
                  <w:pPr>
                    <w:pStyle w:val="TableBodyText"/>
                    <w:spacing w:before="80" w:after="80"/>
                    <w:jc w:val="left"/>
                  </w:pPr>
                  <w:r>
                    <w:t>National School Statistics Collection (</w:t>
                  </w:r>
                  <w:proofErr w:type="spellStart"/>
                  <w:r>
                    <w:t>NSSC</w:t>
                  </w:r>
                  <w:proofErr w:type="spellEnd"/>
                  <w:r>
                    <w:t>)</w:t>
                  </w:r>
                </w:p>
              </w:tc>
              <w:tc>
                <w:tcPr>
                  <w:tcW w:w="727" w:type="pct"/>
                  <w:tcBorders>
                    <w:bottom w:val="single" w:sz="4" w:space="0" w:color="BFBFBF" w:themeColor="background1" w:themeShade="BF"/>
                  </w:tcBorders>
                  <w:shd w:val="clear" w:color="auto" w:fill="F2F2F2" w:themeFill="background1" w:themeFillShade="F2"/>
                </w:tcPr>
                <w:p w14:paraId="478D962A" w14:textId="7C066E10" w:rsidR="00460B3F" w:rsidRDefault="00460B3F" w:rsidP="00902802">
                  <w:pPr>
                    <w:pStyle w:val="TableBodyText"/>
                    <w:spacing w:before="80" w:after="80"/>
                    <w:jc w:val="left"/>
                  </w:pPr>
                  <w:r>
                    <w:t>Primary and secondary students</w:t>
                  </w:r>
                </w:p>
              </w:tc>
              <w:tc>
                <w:tcPr>
                  <w:tcW w:w="2346" w:type="pct"/>
                  <w:tcBorders>
                    <w:bottom w:val="single" w:sz="4" w:space="0" w:color="BFBFBF" w:themeColor="background1" w:themeShade="BF"/>
                  </w:tcBorders>
                  <w:shd w:val="clear" w:color="auto" w:fill="F2F2F2" w:themeFill="background1" w:themeFillShade="F2"/>
                </w:tcPr>
                <w:p w14:paraId="1DB9435E" w14:textId="77777777" w:rsidR="00460B3F" w:rsidRDefault="00460B3F" w:rsidP="00460B3F">
                  <w:pPr>
                    <w:pStyle w:val="TableBullet"/>
                  </w:pPr>
                  <w:r>
                    <w:t xml:space="preserve">School — type, size of enrolments, affiliation </w:t>
                  </w:r>
                </w:p>
                <w:p w14:paraId="675A21AC" w14:textId="77777777" w:rsidR="00460B3F" w:rsidRDefault="00460B3F" w:rsidP="00460B3F">
                  <w:pPr>
                    <w:pStyle w:val="TableBullet"/>
                  </w:pPr>
                  <w:r>
                    <w:t>Student — participation, background, gender, age, school level and grade</w:t>
                  </w:r>
                </w:p>
                <w:p w14:paraId="1DC696F6" w14:textId="07CAA9FD" w:rsidR="00460B3F" w:rsidRDefault="00460B3F" w:rsidP="00460B3F">
                  <w:pPr>
                    <w:pStyle w:val="TableBullet"/>
                  </w:pPr>
                  <w:r>
                    <w:t>Staff — school level, gender, role</w:t>
                  </w:r>
                </w:p>
              </w:tc>
              <w:tc>
                <w:tcPr>
                  <w:tcW w:w="970" w:type="pct"/>
                  <w:tcBorders>
                    <w:bottom w:val="single" w:sz="4" w:space="0" w:color="BFBFBF" w:themeColor="background1" w:themeShade="BF"/>
                  </w:tcBorders>
                  <w:shd w:val="clear" w:color="auto" w:fill="F2F2F2" w:themeFill="background1" w:themeFillShade="F2"/>
                </w:tcPr>
                <w:p w14:paraId="669A1CB4" w14:textId="1E8672DA" w:rsidR="00460B3F" w:rsidRDefault="00460B3F" w:rsidP="00902802">
                  <w:pPr>
                    <w:pStyle w:val="TableBodyText"/>
                    <w:spacing w:before="80" w:after="80"/>
                    <w:ind w:right="28"/>
                    <w:jc w:val="left"/>
                  </w:pPr>
                  <w:r>
                    <w:t xml:space="preserve">ABS, </w:t>
                  </w:r>
                  <w:proofErr w:type="spellStart"/>
                  <w:r>
                    <w:t>DET</w:t>
                  </w:r>
                  <w:proofErr w:type="spellEnd"/>
                  <w:r>
                    <w:t>, state and territory education departments, Catholic and independent schools</w:t>
                  </w:r>
                </w:p>
              </w:tc>
            </w:tr>
          </w:tbl>
          <w:p w14:paraId="5275F1F2" w14:textId="77777777" w:rsidR="003E53A3" w:rsidRDefault="003E53A3" w:rsidP="00902802">
            <w:pPr>
              <w:pStyle w:val="Box"/>
              <w:jc w:val="left"/>
            </w:pPr>
          </w:p>
        </w:tc>
      </w:tr>
      <w:tr w:rsidR="003E53A3" w14:paraId="6702D3BF" w14:textId="77777777" w:rsidTr="00902802">
        <w:trPr>
          <w:cantSplit/>
        </w:trPr>
        <w:tc>
          <w:tcPr>
            <w:tcW w:w="8909" w:type="dxa"/>
            <w:tcBorders>
              <w:top w:val="nil"/>
              <w:left w:val="nil"/>
              <w:bottom w:val="single" w:sz="6" w:space="0" w:color="78A22F"/>
              <w:right w:val="nil"/>
            </w:tcBorders>
            <w:shd w:val="clear" w:color="auto" w:fill="auto"/>
          </w:tcPr>
          <w:p w14:paraId="692F44C1" w14:textId="77777777" w:rsidR="003E53A3" w:rsidRDefault="003E53A3" w:rsidP="00902802">
            <w:pPr>
              <w:pStyle w:val="Continued"/>
            </w:pPr>
            <w:r>
              <w:t>(continued next page)</w:t>
            </w:r>
          </w:p>
          <w:p w14:paraId="556D8E8E" w14:textId="77777777" w:rsidR="003E53A3" w:rsidRDefault="003E53A3" w:rsidP="00902802">
            <w:pPr>
              <w:pStyle w:val="Box"/>
              <w:spacing w:before="0" w:line="120" w:lineRule="exact"/>
            </w:pPr>
          </w:p>
        </w:tc>
      </w:tr>
      <w:tr w:rsidR="003E53A3" w:rsidRPr="000863A5" w14:paraId="07AD6521" w14:textId="77777777" w:rsidTr="00902802">
        <w:trPr>
          <w:hidden/>
        </w:trPr>
        <w:tc>
          <w:tcPr>
            <w:tcW w:w="8909" w:type="dxa"/>
            <w:tcBorders>
              <w:top w:val="single" w:sz="6" w:space="0" w:color="78A22F"/>
              <w:left w:val="nil"/>
              <w:bottom w:val="nil"/>
              <w:right w:val="nil"/>
            </w:tcBorders>
          </w:tcPr>
          <w:p w14:paraId="72823162" w14:textId="77777777" w:rsidR="003E53A3" w:rsidRPr="00626D32" w:rsidRDefault="003E53A3" w:rsidP="00902802">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14:paraId="3B59E0AD" w14:textId="77777777" w:rsidR="0068460A" w:rsidRDefault="0068460A" w:rsidP="003E53A3">
      <w:pPr>
        <w:pStyle w:val="BoxSpaceAbove"/>
        <w:rPr>
          <w:b/>
          <w:color w:val="FF00FF"/>
          <w:sz w:val="14"/>
        </w:rPr>
      </w:pPr>
    </w:p>
    <w:p w14:paraId="220D6574" w14:textId="020D317B" w:rsidR="003E53A3" w:rsidRDefault="003E53A3" w:rsidP="003E53A3">
      <w:pPr>
        <w:pStyle w:val="BoxSpaceAbove"/>
      </w:pPr>
      <w:r>
        <w:rPr>
          <w:b/>
          <w:vanish/>
          <w:color w:val="FF00FF"/>
          <w:sz w:val="14"/>
        </w:rPr>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909"/>
      </w:tblGrid>
      <w:tr w:rsidR="003E53A3" w14:paraId="67EF0570" w14:textId="77777777" w:rsidTr="00902802">
        <w:trPr>
          <w:tblHeader/>
        </w:trPr>
        <w:tc>
          <w:tcPr>
            <w:tcW w:w="8771" w:type="dxa"/>
            <w:tcBorders>
              <w:top w:val="single" w:sz="6" w:space="0" w:color="78A22F"/>
              <w:left w:val="nil"/>
              <w:bottom w:val="single" w:sz="6" w:space="0" w:color="D9D9D9" w:themeColor="background1" w:themeShade="D9"/>
              <w:right w:val="nil"/>
            </w:tcBorders>
            <w:shd w:val="clear" w:color="auto" w:fill="auto"/>
          </w:tcPr>
          <w:p w14:paraId="76F9CB09" w14:textId="1B81FB6D" w:rsidR="003E53A3" w:rsidRPr="00784A05" w:rsidRDefault="00013885" w:rsidP="00F250B0">
            <w:pPr>
              <w:pStyle w:val="TableTitle"/>
            </w:pPr>
            <w:r>
              <w:rPr>
                <w:b w:val="0"/>
              </w:rPr>
              <w:t xml:space="preserve">Table </w:t>
            </w:r>
            <w:r>
              <w:rPr>
                <w:b w:val="0"/>
                <w:noProof/>
              </w:rPr>
              <w:t>1</w:t>
            </w:r>
            <w:r w:rsidRPr="00013885">
              <w:rPr>
                <w:b w:val="0"/>
              </w:rPr>
              <w:tab/>
            </w:r>
            <w:r>
              <w:t>A selection of education and training data collections</w:t>
            </w:r>
            <w:r w:rsidR="003E53A3" w:rsidRPr="00594837">
              <w:t xml:space="preserve"> </w:t>
            </w:r>
            <w:bookmarkStart w:id="44" w:name="_1519040578"/>
            <w:bookmarkStart w:id="45" w:name="_1519026152"/>
            <w:bookmarkStart w:id="46" w:name="_1519029914"/>
            <w:bookmarkStart w:id="47" w:name="_1518955769"/>
            <w:bookmarkStart w:id="48" w:name="_1519031455"/>
            <w:bookmarkEnd w:id="44"/>
            <w:bookmarkEnd w:id="45"/>
            <w:bookmarkEnd w:id="46"/>
            <w:bookmarkEnd w:id="47"/>
            <w:bookmarkEnd w:id="48"/>
            <w:r w:rsidR="003E53A3">
              <w:t xml:space="preserve">  </w:t>
            </w:r>
            <w:r w:rsidR="003E53A3" w:rsidRPr="00F250B0">
              <w:rPr>
                <w:b w:val="0"/>
                <w:sz w:val="18"/>
                <w:szCs w:val="18"/>
              </w:rPr>
              <w:t>(continued)</w:t>
            </w:r>
          </w:p>
        </w:tc>
      </w:tr>
      <w:tr w:rsidR="003E53A3" w14:paraId="14BE9A2E" w14:textId="77777777" w:rsidTr="00902802">
        <w:tc>
          <w:tcPr>
            <w:tcW w:w="8771" w:type="dxa"/>
            <w:tcBorders>
              <w:top w:val="single" w:sz="6" w:space="0" w:color="D9D9D9" w:themeColor="background1" w:themeShade="D9"/>
              <w:left w:val="nil"/>
              <w:bottom w:val="nil"/>
              <w:right w:val="nil"/>
            </w:tcBorders>
            <w:shd w:val="clear" w:color="auto" w:fill="auto"/>
          </w:tcPr>
          <w:tbl>
            <w:tblPr>
              <w:tblW w:w="8767" w:type="dxa"/>
              <w:tblCellMar>
                <w:top w:w="28" w:type="dxa"/>
                <w:left w:w="0" w:type="dxa"/>
                <w:right w:w="0" w:type="dxa"/>
              </w:tblCellMar>
              <w:tblLook w:val="0000" w:firstRow="0" w:lastRow="0" w:firstColumn="0" w:lastColumn="0" w:noHBand="0" w:noVBand="0"/>
            </w:tblPr>
            <w:tblGrid>
              <w:gridCol w:w="1678"/>
              <w:gridCol w:w="1278"/>
              <w:gridCol w:w="4112"/>
              <w:gridCol w:w="1699"/>
            </w:tblGrid>
            <w:tr w:rsidR="006A39DD" w14:paraId="131E83D9" w14:textId="77777777" w:rsidTr="002406FF">
              <w:tc>
                <w:tcPr>
                  <w:tcW w:w="957" w:type="pct"/>
                  <w:tcBorders>
                    <w:top w:val="single" w:sz="6" w:space="0" w:color="BFBFBF"/>
                    <w:bottom w:val="single" w:sz="6" w:space="0" w:color="BFBFBF"/>
                  </w:tcBorders>
                  <w:shd w:val="clear" w:color="auto" w:fill="FFFFFF" w:themeFill="background1"/>
                </w:tcPr>
                <w:p w14:paraId="1F002C82" w14:textId="2E728488" w:rsidR="006A39DD" w:rsidRPr="006A39DD" w:rsidRDefault="006A39DD" w:rsidP="006A39DD">
                  <w:pPr>
                    <w:pStyle w:val="TableColumnHeading"/>
                    <w:jc w:val="left"/>
                  </w:pPr>
                  <w:r w:rsidRPr="006A39DD">
                    <w:t xml:space="preserve">Name </w:t>
                  </w:r>
                </w:p>
              </w:tc>
              <w:tc>
                <w:tcPr>
                  <w:tcW w:w="729" w:type="pct"/>
                  <w:tcBorders>
                    <w:top w:val="single" w:sz="6" w:space="0" w:color="BFBFBF"/>
                    <w:bottom w:val="single" w:sz="6" w:space="0" w:color="BFBFBF"/>
                  </w:tcBorders>
                  <w:shd w:val="clear" w:color="auto" w:fill="FFFFFF" w:themeFill="background1"/>
                </w:tcPr>
                <w:p w14:paraId="64B84945" w14:textId="7B21FAE5" w:rsidR="006A39DD" w:rsidRPr="006A39DD" w:rsidRDefault="006A39DD" w:rsidP="006A39DD">
                  <w:pPr>
                    <w:pStyle w:val="TableColumnHeading"/>
                    <w:jc w:val="left"/>
                  </w:pPr>
                  <w:r w:rsidRPr="006A39DD">
                    <w:t>Target group</w:t>
                  </w:r>
                </w:p>
              </w:tc>
              <w:tc>
                <w:tcPr>
                  <w:tcW w:w="2345" w:type="pct"/>
                  <w:tcBorders>
                    <w:top w:val="single" w:sz="6" w:space="0" w:color="BFBFBF"/>
                    <w:bottom w:val="single" w:sz="6" w:space="0" w:color="BFBFBF"/>
                  </w:tcBorders>
                  <w:shd w:val="clear" w:color="auto" w:fill="FFFFFF" w:themeFill="background1"/>
                </w:tcPr>
                <w:p w14:paraId="0CDFD84D" w14:textId="61A3123C" w:rsidR="006A39DD" w:rsidRPr="006A39DD" w:rsidRDefault="006A39DD" w:rsidP="006A39DD">
                  <w:pPr>
                    <w:pStyle w:val="TableColumnHeading"/>
                    <w:jc w:val="left"/>
                  </w:pPr>
                  <w:r w:rsidRPr="006A39DD">
                    <w:t>Indicators and topics</w:t>
                  </w:r>
                </w:p>
              </w:tc>
              <w:tc>
                <w:tcPr>
                  <w:tcW w:w="969" w:type="pct"/>
                  <w:tcBorders>
                    <w:top w:val="single" w:sz="6" w:space="0" w:color="BFBFBF"/>
                    <w:bottom w:val="single" w:sz="6" w:space="0" w:color="BFBFBF"/>
                  </w:tcBorders>
                  <w:shd w:val="clear" w:color="auto" w:fill="FFFFFF" w:themeFill="background1"/>
                </w:tcPr>
                <w:p w14:paraId="0279BB99" w14:textId="75718A52" w:rsidR="006A39DD" w:rsidRPr="006A39DD" w:rsidRDefault="006A39DD" w:rsidP="006A39DD">
                  <w:pPr>
                    <w:pStyle w:val="TableColumnHeading"/>
                    <w:jc w:val="left"/>
                  </w:pPr>
                  <w:r w:rsidRPr="006A39DD">
                    <w:t>Data custodian</w:t>
                  </w:r>
                  <w:r>
                    <w:rPr>
                      <w:rStyle w:val="NoteLabel"/>
                    </w:rPr>
                    <w:t>a</w:t>
                  </w:r>
                  <w:r w:rsidRPr="006A39DD">
                    <w:t xml:space="preserve"> </w:t>
                  </w:r>
                </w:p>
              </w:tc>
            </w:tr>
            <w:tr w:rsidR="006A39DD" w14:paraId="769ACE51" w14:textId="77777777" w:rsidTr="002406FF">
              <w:tc>
                <w:tcPr>
                  <w:tcW w:w="957" w:type="pct"/>
                  <w:tcBorders>
                    <w:top w:val="single" w:sz="6" w:space="0" w:color="BFBFBF"/>
                  </w:tcBorders>
                  <w:shd w:val="clear" w:color="auto" w:fill="FFFFFF" w:themeFill="background1"/>
                </w:tcPr>
                <w:p w14:paraId="1AE03089" w14:textId="47C1F5B3" w:rsidR="006A39DD" w:rsidRDefault="006A39DD" w:rsidP="00902802">
                  <w:pPr>
                    <w:pStyle w:val="TableBodyText"/>
                    <w:spacing w:before="80" w:after="80"/>
                    <w:jc w:val="left"/>
                  </w:pPr>
                  <w:r>
                    <w:t>Programme for International Student Assessment (PISA)</w:t>
                  </w:r>
                </w:p>
              </w:tc>
              <w:tc>
                <w:tcPr>
                  <w:tcW w:w="729" w:type="pct"/>
                  <w:tcBorders>
                    <w:top w:val="single" w:sz="6" w:space="0" w:color="BFBFBF"/>
                  </w:tcBorders>
                  <w:shd w:val="clear" w:color="auto" w:fill="FFFFFF" w:themeFill="background1"/>
                </w:tcPr>
                <w:p w14:paraId="25B2BDE8" w14:textId="04C71694" w:rsidR="006A39DD" w:rsidRDefault="006A39DD" w:rsidP="00902802">
                  <w:pPr>
                    <w:pStyle w:val="TableBodyText"/>
                    <w:spacing w:before="80" w:after="80"/>
                    <w:jc w:val="left"/>
                  </w:pPr>
                  <w:r>
                    <w:t>15 year old students</w:t>
                  </w:r>
                </w:p>
              </w:tc>
              <w:tc>
                <w:tcPr>
                  <w:tcW w:w="2345" w:type="pct"/>
                  <w:tcBorders>
                    <w:top w:val="single" w:sz="6" w:space="0" w:color="BFBFBF"/>
                  </w:tcBorders>
                  <w:shd w:val="clear" w:color="auto" w:fill="FFFFFF" w:themeFill="background1"/>
                </w:tcPr>
                <w:p w14:paraId="638D15D3" w14:textId="195E99D5" w:rsidR="006A39DD" w:rsidRDefault="006A39DD" w:rsidP="00460B3F">
                  <w:pPr>
                    <w:pStyle w:val="TableBullet"/>
                  </w:pPr>
                  <w:r w:rsidRPr="00562D15">
                    <w:t>Student</w:t>
                  </w:r>
                  <w:r>
                    <w:t xml:space="preserve"> assessment —  reading, mathematics and science</w:t>
                  </w:r>
                </w:p>
                <w:p w14:paraId="368B28B4" w14:textId="77777777" w:rsidR="006A39DD" w:rsidRDefault="006A39DD" w:rsidP="00460B3F">
                  <w:pPr>
                    <w:pStyle w:val="TableBullet"/>
                  </w:pPr>
                  <w:r>
                    <w:t xml:space="preserve">Student questionnaire — background, attendance, repetition, parental education and occupation, home possessions, pre-primary education, age at school entry, learning time at school (mandatory and additional), out of school learning, domain general non-cognitive outcomes (achievement motivation), domain specific non-cognitive outcomes (beliefs and strategies) </w:t>
                  </w:r>
                </w:p>
                <w:p w14:paraId="552C215B" w14:textId="71EFD8D7" w:rsidR="006A39DD" w:rsidRDefault="006A39DD" w:rsidP="00902802">
                  <w:pPr>
                    <w:pStyle w:val="TableBullet"/>
                  </w:pPr>
                  <w:r>
                    <w:t>School q</w:t>
                  </w:r>
                  <w:r w:rsidRPr="008340A3">
                    <w:t>uestionnaire</w:t>
                  </w:r>
                  <w:r>
                    <w:t xml:space="preserve"> — location, type, size, resources, social/ethnic/academic composition, class sizes, teacher qualifications, school policies, teaching and learning environment </w:t>
                  </w:r>
                </w:p>
              </w:tc>
              <w:tc>
                <w:tcPr>
                  <w:tcW w:w="969" w:type="pct"/>
                  <w:tcBorders>
                    <w:top w:val="single" w:sz="6" w:space="0" w:color="BFBFBF"/>
                  </w:tcBorders>
                  <w:shd w:val="clear" w:color="auto" w:fill="FFFFFF" w:themeFill="background1"/>
                </w:tcPr>
                <w:p w14:paraId="1908831E" w14:textId="53F826A8" w:rsidR="006A39DD" w:rsidRDefault="006A39DD" w:rsidP="00902802">
                  <w:pPr>
                    <w:pStyle w:val="TableBodyText"/>
                    <w:spacing w:before="80" w:after="80"/>
                    <w:ind w:right="28"/>
                    <w:jc w:val="left"/>
                  </w:pPr>
                  <w:r>
                    <w:t xml:space="preserve">ACER, </w:t>
                  </w:r>
                  <w:proofErr w:type="spellStart"/>
                  <w:r>
                    <w:t>DET</w:t>
                  </w:r>
                  <w:proofErr w:type="spellEnd"/>
                </w:p>
              </w:tc>
            </w:tr>
            <w:tr w:rsidR="003E53A3" w14:paraId="7BE81C0E" w14:textId="77777777" w:rsidTr="002406FF">
              <w:tc>
                <w:tcPr>
                  <w:tcW w:w="957" w:type="pct"/>
                  <w:shd w:val="clear" w:color="auto" w:fill="F2F2F2" w:themeFill="background1" w:themeFillShade="F2"/>
                </w:tcPr>
                <w:p w14:paraId="2EE0CB21" w14:textId="77777777" w:rsidR="003E53A3" w:rsidRDefault="003E53A3" w:rsidP="00902802">
                  <w:pPr>
                    <w:pStyle w:val="TableUnitsRow"/>
                    <w:jc w:val="left"/>
                  </w:pPr>
                  <w:r>
                    <w:t>The Australian Curriculum, Assessment and Reporting Authority (ACARA) National Data Collection</w:t>
                  </w:r>
                </w:p>
              </w:tc>
              <w:tc>
                <w:tcPr>
                  <w:tcW w:w="729" w:type="pct"/>
                  <w:shd w:val="clear" w:color="auto" w:fill="F2F2F2" w:themeFill="background1" w:themeFillShade="F2"/>
                </w:tcPr>
                <w:p w14:paraId="00DD757A" w14:textId="77777777" w:rsidR="003E53A3" w:rsidRDefault="003E53A3" w:rsidP="00902802">
                  <w:pPr>
                    <w:pStyle w:val="TableUnitsRow"/>
                    <w:jc w:val="left"/>
                  </w:pPr>
                  <w:r>
                    <w:t>Students in state and territory government, independent and Catholic schools</w:t>
                  </w:r>
                </w:p>
              </w:tc>
              <w:tc>
                <w:tcPr>
                  <w:tcW w:w="2345" w:type="pct"/>
                  <w:shd w:val="clear" w:color="auto" w:fill="F2F2F2" w:themeFill="background1" w:themeFillShade="F2"/>
                </w:tcPr>
                <w:p w14:paraId="4AF07D8C" w14:textId="77777777" w:rsidR="003E53A3" w:rsidRDefault="003E53A3" w:rsidP="00902802">
                  <w:pPr>
                    <w:pStyle w:val="TableBullet"/>
                    <w:numPr>
                      <w:ilvl w:val="0"/>
                      <w:numId w:val="0"/>
                    </w:numPr>
                    <w:ind w:left="170" w:hanging="170"/>
                  </w:pPr>
                  <w:r w:rsidRPr="004F2A74">
                    <w:t>Student</w:t>
                  </w:r>
                  <w:r>
                    <w:t>:</w:t>
                  </w:r>
                </w:p>
                <w:p w14:paraId="070D2E7E" w14:textId="77777777" w:rsidR="003E53A3" w:rsidRPr="004F2A74" w:rsidRDefault="003E53A3" w:rsidP="00902802">
                  <w:pPr>
                    <w:pStyle w:val="TableBullet"/>
                  </w:pPr>
                  <w:r w:rsidRPr="004F2A74">
                    <w:t>Participation — attendance rate and level, participation in NAP assessments</w:t>
                  </w:r>
                </w:p>
                <w:p w14:paraId="1FBD536B" w14:textId="77777777" w:rsidR="003E53A3" w:rsidRDefault="003E53A3" w:rsidP="00902802">
                  <w:pPr>
                    <w:pStyle w:val="TableBullet"/>
                  </w:pPr>
                  <w:r w:rsidRPr="004F2A74">
                    <w:t xml:space="preserve">Background — Indigenous status, gender, geographic location, socioeconomic and language background  </w:t>
                  </w:r>
                </w:p>
                <w:p w14:paraId="3D35F9D3" w14:textId="77777777" w:rsidR="003E53A3" w:rsidRDefault="003E53A3" w:rsidP="00902802">
                  <w:pPr>
                    <w:pStyle w:val="TableBullet"/>
                    <w:numPr>
                      <w:ilvl w:val="0"/>
                      <w:numId w:val="0"/>
                    </w:numPr>
                  </w:pPr>
                  <w:r>
                    <w:t>School:</w:t>
                  </w:r>
                </w:p>
                <w:p w14:paraId="5ABDF834" w14:textId="77777777" w:rsidR="003E53A3" w:rsidRDefault="003E53A3" w:rsidP="00902802">
                  <w:pPr>
                    <w:pStyle w:val="TableBullet"/>
                  </w:pPr>
                  <w:r>
                    <w:t>Profile — school type, year range, enrolments, teaching staff, finances</w:t>
                  </w:r>
                </w:p>
                <w:p w14:paraId="44E7D9F4" w14:textId="77777777" w:rsidR="003E53A3" w:rsidRDefault="003E53A3" w:rsidP="00902802">
                  <w:pPr>
                    <w:pStyle w:val="TableBullet"/>
                  </w:pPr>
                  <w:r>
                    <w:t xml:space="preserve">Student outcomes/destination —Secondary School Certificates of Education awarded, VET enrolments and qualifications completed, post-school destination of students </w:t>
                  </w:r>
                </w:p>
              </w:tc>
              <w:tc>
                <w:tcPr>
                  <w:tcW w:w="969" w:type="pct"/>
                  <w:shd w:val="clear" w:color="auto" w:fill="F2F2F2" w:themeFill="background1" w:themeFillShade="F2"/>
                </w:tcPr>
                <w:p w14:paraId="0DA1312C" w14:textId="77777777" w:rsidR="003E53A3" w:rsidRDefault="003E53A3" w:rsidP="00902802">
                  <w:pPr>
                    <w:pStyle w:val="TableUnitsRow"/>
                    <w:ind w:right="28"/>
                    <w:jc w:val="left"/>
                  </w:pPr>
                  <w:r>
                    <w:t>ACARA</w:t>
                  </w:r>
                </w:p>
              </w:tc>
            </w:tr>
            <w:tr w:rsidR="003E53A3" w14:paraId="0C16CCEF" w14:textId="77777777" w:rsidTr="00483353">
              <w:tc>
                <w:tcPr>
                  <w:tcW w:w="957" w:type="pct"/>
                  <w:tcBorders>
                    <w:bottom w:val="single" w:sz="6" w:space="0" w:color="BFBFBF"/>
                  </w:tcBorders>
                  <w:shd w:val="clear" w:color="auto" w:fill="FFFFFF" w:themeFill="background1"/>
                </w:tcPr>
                <w:p w14:paraId="12893256" w14:textId="77777777" w:rsidR="003E53A3" w:rsidRDefault="003E53A3" w:rsidP="00902802">
                  <w:pPr>
                    <w:pStyle w:val="TableBodyText"/>
                    <w:jc w:val="left"/>
                  </w:pPr>
                  <w:r>
                    <w:t>School Teacher Workforce Data</w:t>
                  </w:r>
                </w:p>
                <w:p w14:paraId="345CBA46" w14:textId="77777777" w:rsidR="003E53A3" w:rsidRDefault="003E53A3" w:rsidP="00902802">
                  <w:pPr>
                    <w:pStyle w:val="TableBullet"/>
                    <w:numPr>
                      <w:ilvl w:val="0"/>
                      <w:numId w:val="0"/>
                    </w:numPr>
                  </w:pPr>
                </w:p>
              </w:tc>
              <w:tc>
                <w:tcPr>
                  <w:tcW w:w="729" w:type="pct"/>
                  <w:tcBorders>
                    <w:bottom w:val="single" w:sz="6" w:space="0" w:color="BFBFBF"/>
                  </w:tcBorders>
                  <w:shd w:val="clear" w:color="auto" w:fill="FFFFFF" w:themeFill="background1"/>
                </w:tcPr>
                <w:p w14:paraId="6462EFA3" w14:textId="77777777" w:rsidR="003E53A3" w:rsidRDefault="003E53A3" w:rsidP="00902802">
                  <w:pPr>
                    <w:pStyle w:val="TableBodyText"/>
                    <w:jc w:val="left"/>
                  </w:pPr>
                  <w:r>
                    <w:t>Primary and secondary school teachers</w:t>
                  </w:r>
                </w:p>
              </w:tc>
              <w:tc>
                <w:tcPr>
                  <w:tcW w:w="2345" w:type="pct"/>
                  <w:tcBorders>
                    <w:bottom w:val="single" w:sz="6" w:space="0" w:color="BFBFBF"/>
                  </w:tcBorders>
                  <w:shd w:val="clear" w:color="auto" w:fill="FFFFFF" w:themeFill="background1"/>
                </w:tcPr>
                <w:p w14:paraId="429022BF" w14:textId="6C789EC8" w:rsidR="003E53A3" w:rsidRDefault="003E53A3" w:rsidP="00902802">
                  <w:pPr>
                    <w:pStyle w:val="TableBullet"/>
                  </w:pPr>
                  <w:r>
                    <w:t xml:space="preserve">Staff in Australia’s </w:t>
                  </w:r>
                  <w:r w:rsidR="006A39DD">
                    <w:t>School</w:t>
                  </w:r>
                  <w:r w:rsidR="00702199">
                    <w:t>s</w:t>
                  </w:r>
                  <w:r>
                    <w:t xml:space="preserve"> Survey — initial teacher education, employment status, job satisfaction, principal authority, teacher appraisal, career paths and intentions</w:t>
                  </w:r>
                </w:p>
                <w:p w14:paraId="2E91CDC2" w14:textId="77777777" w:rsidR="003E53A3" w:rsidRDefault="003E53A3" w:rsidP="00902802">
                  <w:pPr>
                    <w:pStyle w:val="TableBullet"/>
                  </w:pPr>
                  <w:r>
                    <w:t>The OECD Teaching and Learning International Survey — learning environment and working conditions</w:t>
                  </w:r>
                </w:p>
                <w:p w14:paraId="2A8F532F" w14:textId="77777777" w:rsidR="003E53A3" w:rsidRDefault="003E53A3" w:rsidP="00902802">
                  <w:pPr>
                    <w:pStyle w:val="TableBullet"/>
                  </w:pPr>
                  <w:r>
                    <w:t>The National Teaching Workforce Dataset  — demographics, qualifications, registration status, current employment</w:t>
                  </w:r>
                </w:p>
              </w:tc>
              <w:tc>
                <w:tcPr>
                  <w:tcW w:w="969" w:type="pct"/>
                  <w:tcBorders>
                    <w:bottom w:val="single" w:sz="6" w:space="0" w:color="BFBFBF"/>
                  </w:tcBorders>
                  <w:shd w:val="clear" w:color="auto" w:fill="FFFFFF" w:themeFill="background1"/>
                </w:tcPr>
                <w:p w14:paraId="57770565" w14:textId="77777777" w:rsidR="003E53A3" w:rsidRDefault="003E53A3" w:rsidP="00902802">
                  <w:pPr>
                    <w:pStyle w:val="TableBodyText"/>
                    <w:ind w:right="28"/>
                    <w:jc w:val="left"/>
                  </w:pPr>
                  <w:proofErr w:type="spellStart"/>
                  <w:r>
                    <w:t>DET</w:t>
                  </w:r>
                  <w:proofErr w:type="spellEnd"/>
                </w:p>
              </w:tc>
            </w:tr>
          </w:tbl>
          <w:p w14:paraId="300D994B" w14:textId="77777777" w:rsidR="003E53A3" w:rsidRDefault="003E53A3" w:rsidP="00902802">
            <w:pPr>
              <w:pStyle w:val="Box"/>
            </w:pPr>
          </w:p>
        </w:tc>
      </w:tr>
      <w:tr w:rsidR="003E53A3" w14:paraId="43430C47" w14:textId="77777777" w:rsidTr="00902802">
        <w:tc>
          <w:tcPr>
            <w:tcW w:w="8771" w:type="dxa"/>
            <w:tcBorders>
              <w:top w:val="nil"/>
              <w:left w:val="nil"/>
              <w:bottom w:val="nil"/>
              <w:right w:val="nil"/>
            </w:tcBorders>
            <w:shd w:val="clear" w:color="auto" w:fill="auto"/>
          </w:tcPr>
          <w:p w14:paraId="6F2D9892" w14:textId="52D51143" w:rsidR="003E53A3" w:rsidRDefault="003E53A3" w:rsidP="00902802">
            <w:pPr>
              <w:pStyle w:val="Note"/>
              <w:rPr>
                <w:i/>
              </w:rPr>
            </w:pPr>
            <w:bookmarkStart w:id="49" w:name="OLE_LINK2"/>
            <w:r w:rsidRPr="008E77FE">
              <w:rPr>
                <w:rStyle w:val="NoteLabel"/>
              </w:rPr>
              <w:t>a</w:t>
            </w:r>
            <w:bookmarkEnd w:id="49"/>
            <w:r>
              <w:t xml:space="preserve"> Australian Bureau of Statistics (ABS), The Australian Curriculum, Assessment and Reporting Authority (ACARA), Australian Council </w:t>
            </w:r>
            <w:r w:rsidR="00E551F4">
              <w:t>for Educational</w:t>
            </w:r>
            <w:r>
              <w:t xml:space="preserve"> Research (ACER), Australian Data Archive (ADA), Australian Institute of Family Studies (AIFS), Australian Government Department of Education and Training (</w:t>
            </w:r>
            <w:proofErr w:type="spellStart"/>
            <w:r>
              <w:t>DET</w:t>
            </w:r>
            <w:proofErr w:type="spellEnd"/>
            <w:r>
              <w:t>), Australian Government Department of Social Services (</w:t>
            </w:r>
            <w:proofErr w:type="spellStart"/>
            <w:r>
              <w:t>DSS</w:t>
            </w:r>
            <w:proofErr w:type="spellEnd"/>
            <w:r>
              <w:t xml:space="preserve">), National Centre </w:t>
            </w:r>
            <w:r w:rsidR="00E551F4">
              <w:t>for</w:t>
            </w:r>
            <w:r>
              <w:t xml:space="preserve"> Vocational Education Research (</w:t>
            </w:r>
            <w:proofErr w:type="spellStart"/>
            <w:r>
              <w:t>NCVER</w:t>
            </w:r>
            <w:proofErr w:type="spellEnd"/>
            <w:r>
              <w:t>).</w:t>
            </w:r>
          </w:p>
        </w:tc>
      </w:tr>
      <w:tr w:rsidR="003E53A3" w14:paraId="34D29578" w14:textId="77777777" w:rsidTr="00902802">
        <w:tc>
          <w:tcPr>
            <w:tcW w:w="8771" w:type="dxa"/>
            <w:tcBorders>
              <w:top w:val="nil"/>
              <w:left w:val="nil"/>
              <w:bottom w:val="nil"/>
              <w:right w:val="nil"/>
            </w:tcBorders>
            <w:shd w:val="clear" w:color="auto" w:fill="auto"/>
          </w:tcPr>
          <w:p w14:paraId="7E3AE791" w14:textId="2FFD403D" w:rsidR="003E53A3" w:rsidRDefault="003E53A3" w:rsidP="00902802">
            <w:pPr>
              <w:pStyle w:val="Source"/>
            </w:pPr>
            <w:r w:rsidRPr="0031211A">
              <w:rPr>
                <w:i/>
              </w:rPr>
              <w:t>Sources:</w:t>
            </w:r>
            <w:r>
              <w:rPr>
                <w:i/>
              </w:rPr>
              <w:t xml:space="preserve"> </w:t>
            </w:r>
            <w:r>
              <w:t xml:space="preserve">ABS </w:t>
            </w:r>
            <w:r w:rsidR="006951C0" w:rsidRPr="006951C0">
              <w:rPr>
                <w:rFonts w:cs="Arial"/>
              </w:rPr>
              <w:t>(</w:t>
            </w:r>
            <w:proofErr w:type="spellStart"/>
            <w:r w:rsidR="006951C0" w:rsidRPr="006951C0">
              <w:rPr>
                <w:rFonts w:cs="Arial"/>
              </w:rPr>
              <w:t>2013b</w:t>
            </w:r>
            <w:proofErr w:type="spellEnd"/>
            <w:r w:rsidR="006951C0" w:rsidRPr="006951C0">
              <w:rPr>
                <w:rFonts w:cs="Arial"/>
              </w:rPr>
              <w:t xml:space="preserve">, </w:t>
            </w:r>
            <w:proofErr w:type="spellStart"/>
            <w:r w:rsidR="006951C0" w:rsidRPr="006951C0">
              <w:rPr>
                <w:rFonts w:cs="Arial"/>
              </w:rPr>
              <w:t>2015b</w:t>
            </w:r>
            <w:proofErr w:type="spellEnd"/>
            <w:r w:rsidR="006951C0" w:rsidRPr="006951C0">
              <w:rPr>
                <w:rFonts w:cs="Arial"/>
              </w:rPr>
              <w:t>)</w:t>
            </w:r>
            <w:r>
              <w:t xml:space="preserve">; </w:t>
            </w:r>
            <w:proofErr w:type="spellStart"/>
            <w:r>
              <w:t>ACARA</w:t>
            </w:r>
            <w:proofErr w:type="spellEnd"/>
            <w:r>
              <w:t xml:space="preserve"> </w:t>
            </w:r>
            <w:r w:rsidR="008B3B69" w:rsidRPr="008B3B69">
              <w:rPr>
                <w:rFonts w:cs="Arial"/>
              </w:rPr>
              <w:t>(2013)</w:t>
            </w:r>
            <w:r>
              <w:t xml:space="preserve">; ACER </w:t>
            </w:r>
            <w:r w:rsidRPr="00556A1B">
              <w:rPr>
                <w:rFonts w:cs="Arial"/>
              </w:rPr>
              <w:t>(2016)</w:t>
            </w:r>
            <w:r>
              <w:t xml:space="preserve">; </w:t>
            </w:r>
            <w:proofErr w:type="spellStart"/>
            <w:r>
              <w:t>DET</w:t>
            </w:r>
            <w:proofErr w:type="spellEnd"/>
            <w:r>
              <w:t xml:space="preserve"> </w:t>
            </w:r>
            <w:r w:rsidR="001532A8" w:rsidRPr="001532A8">
              <w:rPr>
                <w:rFonts w:cs="Arial"/>
              </w:rPr>
              <w:t xml:space="preserve">(2015, </w:t>
            </w:r>
            <w:proofErr w:type="spellStart"/>
            <w:r w:rsidR="001532A8" w:rsidRPr="001532A8">
              <w:rPr>
                <w:rFonts w:cs="Arial"/>
              </w:rPr>
              <w:t>2016a</w:t>
            </w:r>
            <w:proofErr w:type="spellEnd"/>
            <w:r w:rsidR="001532A8" w:rsidRPr="001532A8">
              <w:rPr>
                <w:rFonts w:cs="Arial"/>
              </w:rPr>
              <w:t xml:space="preserve">, </w:t>
            </w:r>
            <w:proofErr w:type="spellStart"/>
            <w:r w:rsidR="001532A8" w:rsidRPr="001532A8">
              <w:rPr>
                <w:rFonts w:cs="Arial"/>
              </w:rPr>
              <w:t>2016b</w:t>
            </w:r>
            <w:proofErr w:type="spellEnd"/>
            <w:r w:rsidR="001532A8" w:rsidRPr="001532A8">
              <w:rPr>
                <w:rFonts w:cs="Arial"/>
              </w:rPr>
              <w:t>)</w:t>
            </w:r>
            <w:r>
              <w:t xml:space="preserve">; </w:t>
            </w:r>
            <w:proofErr w:type="spellStart"/>
            <w:r w:rsidRPr="00556A1B">
              <w:t>DSS</w:t>
            </w:r>
            <w:proofErr w:type="spellEnd"/>
            <w:r w:rsidRPr="00556A1B">
              <w:t xml:space="preserve"> </w:t>
            </w:r>
            <w:r w:rsidRPr="00556A1B">
              <w:rPr>
                <w:rFonts w:cs="Arial"/>
              </w:rPr>
              <w:t>(</w:t>
            </w:r>
            <w:proofErr w:type="spellStart"/>
            <w:r w:rsidRPr="00556A1B">
              <w:rPr>
                <w:rFonts w:cs="Arial"/>
              </w:rPr>
              <w:t>2015a</w:t>
            </w:r>
            <w:proofErr w:type="spellEnd"/>
            <w:r w:rsidRPr="00556A1B">
              <w:rPr>
                <w:rFonts w:cs="Arial"/>
              </w:rPr>
              <w:t xml:space="preserve">, </w:t>
            </w:r>
            <w:proofErr w:type="spellStart"/>
            <w:r w:rsidRPr="00556A1B">
              <w:rPr>
                <w:rFonts w:cs="Arial"/>
              </w:rPr>
              <w:t>2015b</w:t>
            </w:r>
            <w:proofErr w:type="spellEnd"/>
            <w:r w:rsidRPr="00556A1B">
              <w:rPr>
                <w:rFonts w:cs="Arial"/>
              </w:rPr>
              <w:t>)</w:t>
            </w:r>
            <w:r>
              <w:t xml:space="preserve">; </w:t>
            </w:r>
            <w:r w:rsidRPr="00556A1B">
              <w:t xml:space="preserve">Edwards </w:t>
            </w:r>
            <w:r w:rsidRPr="00556A1B">
              <w:rPr>
                <w:rFonts w:cs="Arial"/>
              </w:rPr>
              <w:t>(2012)</w:t>
            </w:r>
            <w:r>
              <w:t xml:space="preserve">; </w:t>
            </w:r>
            <w:proofErr w:type="spellStart"/>
            <w:r>
              <w:t>FaHCSIA</w:t>
            </w:r>
            <w:proofErr w:type="spellEnd"/>
            <w:r>
              <w:t xml:space="preserve"> </w:t>
            </w:r>
            <w:r w:rsidRPr="00556A1B">
              <w:rPr>
                <w:rFonts w:cs="Arial"/>
              </w:rPr>
              <w:t>(2013)</w:t>
            </w:r>
            <w:r>
              <w:t xml:space="preserve">; NAP </w:t>
            </w:r>
            <w:r w:rsidRPr="00556A1B">
              <w:rPr>
                <w:rFonts w:cs="Arial"/>
              </w:rPr>
              <w:t>(</w:t>
            </w:r>
            <w:proofErr w:type="spellStart"/>
            <w:r w:rsidRPr="00556A1B">
              <w:rPr>
                <w:rFonts w:cs="Arial"/>
              </w:rPr>
              <w:t>2016a</w:t>
            </w:r>
            <w:proofErr w:type="spellEnd"/>
            <w:r w:rsidRPr="00556A1B">
              <w:rPr>
                <w:rFonts w:cs="Arial"/>
              </w:rPr>
              <w:t xml:space="preserve">, </w:t>
            </w:r>
            <w:proofErr w:type="spellStart"/>
            <w:r w:rsidRPr="00556A1B">
              <w:rPr>
                <w:rFonts w:cs="Arial"/>
              </w:rPr>
              <w:t>2016b</w:t>
            </w:r>
            <w:proofErr w:type="spellEnd"/>
            <w:r w:rsidRPr="00556A1B">
              <w:rPr>
                <w:rFonts w:cs="Arial"/>
              </w:rPr>
              <w:t>)</w:t>
            </w:r>
            <w:r>
              <w:t xml:space="preserve">; </w:t>
            </w:r>
            <w:r w:rsidRPr="00556A1B">
              <w:t>Nguyen et al.</w:t>
            </w:r>
            <w:r>
              <w:t xml:space="preserve"> </w:t>
            </w:r>
            <w:r w:rsidRPr="00556A1B">
              <w:rPr>
                <w:rFonts w:cs="Arial"/>
              </w:rPr>
              <w:t>(2010)</w:t>
            </w:r>
            <w:r>
              <w:t xml:space="preserve">; OECD </w:t>
            </w:r>
            <w:r w:rsidRPr="00305E56">
              <w:rPr>
                <w:rFonts w:cs="Arial"/>
              </w:rPr>
              <w:t>(2015)</w:t>
            </w:r>
            <w:r>
              <w:t xml:space="preserve">. </w:t>
            </w:r>
          </w:p>
        </w:tc>
      </w:tr>
      <w:tr w:rsidR="003E53A3" w14:paraId="2552517B" w14:textId="77777777" w:rsidTr="00902802">
        <w:tc>
          <w:tcPr>
            <w:tcW w:w="8771" w:type="dxa"/>
            <w:tcBorders>
              <w:top w:val="nil"/>
              <w:left w:val="nil"/>
              <w:bottom w:val="single" w:sz="6" w:space="0" w:color="78A22F"/>
              <w:right w:val="nil"/>
            </w:tcBorders>
            <w:shd w:val="clear" w:color="auto" w:fill="auto"/>
          </w:tcPr>
          <w:p w14:paraId="0DBCF6BC" w14:textId="77777777" w:rsidR="003E53A3" w:rsidRDefault="003E53A3" w:rsidP="00902802">
            <w:pPr>
              <w:pStyle w:val="Box"/>
              <w:spacing w:before="0" w:line="120" w:lineRule="exact"/>
            </w:pPr>
          </w:p>
        </w:tc>
      </w:tr>
      <w:tr w:rsidR="003E53A3" w:rsidRPr="000863A5" w14:paraId="1A130495" w14:textId="77777777" w:rsidTr="00902802">
        <w:trPr>
          <w:hidden/>
        </w:trPr>
        <w:tc>
          <w:tcPr>
            <w:tcW w:w="8771" w:type="dxa"/>
            <w:tcBorders>
              <w:top w:val="single" w:sz="6" w:space="0" w:color="78A22F"/>
              <w:left w:val="nil"/>
              <w:bottom w:val="nil"/>
              <w:right w:val="nil"/>
            </w:tcBorders>
          </w:tcPr>
          <w:p w14:paraId="620CA496" w14:textId="77777777" w:rsidR="003E53A3" w:rsidRPr="00626D32" w:rsidRDefault="003E53A3" w:rsidP="00902802">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14:paraId="1FB085B1" w14:textId="2513B6F6" w:rsidR="004A27C8" w:rsidRDefault="00013885" w:rsidP="004A27C8">
      <w:pPr>
        <w:pStyle w:val="Heading2"/>
      </w:pPr>
      <w:bookmarkStart w:id="50" w:name="_Toc445126241"/>
      <w:bookmarkStart w:id="51" w:name="_Toc445283700"/>
      <w:bookmarkStart w:id="52" w:name="_Toc445286464"/>
      <w:bookmarkStart w:id="53" w:name="_Toc445300705"/>
      <w:bookmarkStart w:id="54" w:name="_Toc447277531"/>
      <w:bookmarkStart w:id="55" w:name="_Toc447713301"/>
      <w:bookmarkStart w:id="56" w:name="_Toc447720156"/>
      <w:r>
        <w:rPr>
          <w:noProof/>
        </w:rPr>
        <w:lastRenderedPageBreak/>
        <w:t>4</w:t>
      </w:r>
      <w:r w:rsidR="004A27C8">
        <w:tab/>
      </w:r>
      <w:r w:rsidR="007150BA">
        <w:t>Issues and</w:t>
      </w:r>
      <w:r w:rsidR="004A27C8">
        <w:t xml:space="preserve"> opportunities</w:t>
      </w:r>
      <w:bookmarkEnd w:id="50"/>
      <w:bookmarkEnd w:id="51"/>
      <w:bookmarkEnd w:id="52"/>
      <w:bookmarkEnd w:id="53"/>
      <w:bookmarkEnd w:id="54"/>
      <w:bookmarkEnd w:id="55"/>
      <w:bookmarkEnd w:id="56"/>
    </w:p>
    <w:p w14:paraId="67A868AE" w14:textId="6C33388C" w:rsidR="00DA440C" w:rsidRDefault="00DA440C" w:rsidP="00DA440C">
      <w:pPr>
        <w:pStyle w:val="BodyText"/>
      </w:pPr>
      <w:r>
        <w:t xml:space="preserve">The terms of reference ask the Commission to report and make recommendations about factors that inhibit access to, and consistency of, education-relevant data to support analysis and evidence-based policy development. The main </w:t>
      </w:r>
      <w:r w:rsidR="00782959">
        <w:t xml:space="preserve">considerations discussed </w:t>
      </w:r>
      <w:r>
        <w:t>in this Issues Paper involve:</w:t>
      </w:r>
    </w:p>
    <w:p w14:paraId="42C4BF04" w14:textId="4C759368" w:rsidR="00DA440C" w:rsidRDefault="00DA440C" w:rsidP="00DA440C">
      <w:pPr>
        <w:pStyle w:val="ListBullet"/>
      </w:pPr>
      <w:r>
        <w:t xml:space="preserve">Data </w:t>
      </w:r>
      <w:r w:rsidR="00C1633E">
        <w:t xml:space="preserve">sharing </w:t>
      </w:r>
      <w:r>
        <w:t xml:space="preserve">(institutional, governance, </w:t>
      </w:r>
      <w:r w:rsidR="000847B4">
        <w:t xml:space="preserve">capacity </w:t>
      </w:r>
      <w:r>
        <w:t>issues)</w:t>
      </w:r>
    </w:p>
    <w:p w14:paraId="10E0D433" w14:textId="4C9D52B7" w:rsidR="00DA440C" w:rsidRDefault="00C1633E" w:rsidP="00DA440C">
      <w:pPr>
        <w:pStyle w:val="ListBullet"/>
      </w:pPr>
      <w:r>
        <w:t>P</w:t>
      </w:r>
      <w:r w:rsidR="00DA440C">
        <w:t>rivacy</w:t>
      </w:r>
      <w:r>
        <w:t xml:space="preserve"> (</w:t>
      </w:r>
      <w:r w:rsidR="00DA440C">
        <w:t>confidentiality, data security issues)</w:t>
      </w:r>
    </w:p>
    <w:p w14:paraId="1C39508B" w14:textId="6CDB1DF5" w:rsidR="00DA440C" w:rsidRDefault="00DA440C" w:rsidP="00DA440C">
      <w:pPr>
        <w:pStyle w:val="ListBullet"/>
      </w:pPr>
      <w:r>
        <w:t>Data comparability across jurisdictions (</w:t>
      </w:r>
      <w:r w:rsidR="00D90646">
        <w:t>consistency, definitions and gaps)</w:t>
      </w:r>
    </w:p>
    <w:p w14:paraId="19743D64" w14:textId="033C6BA3" w:rsidR="00DA440C" w:rsidRDefault="00DA440C" w:rsidP="00DA440C">
      <w:pPr>
        <w:pStyle w:val="ListBullet"/>
      </w:pPr>
      <w:r>
        <w:t xml:space="preserve">Data </w:t>
      </w:r>
      <w:r w:rsidR="00BE034D">
        <w:t>capture,</w:t>
      </w:r>
      <w:r w:rsidR="005422E5">
        <w:t xml:space="preserve"> </w:t>
      </w:r>
      <w:r>
        <w:t>processing</w:t>
      </w:r>
      <w:r w:rsidR="00BE034D">
        <w:t xml:space="preserve"> and management</w:t>
      </w:r>
      <w:r>
        <w:t xml:space="preserve"> (technological adaptation)</w:t>
      </w:r>
    </w:p>
    <w:p w14:paraId="10F80E24" w14:textId="77777777" w:rsidR="001A6AFF" w:rsidRDefault="001A6AFF" w:rsidP="001A6AFF">
      <w:pPr>
        <w:pStyle w:val="ListBullet"/>
      </w:pPr>
      <w:r>
        <w:t>Technology (scope to improve data collection and dissemination)</w:t>
      </w:r>
    </w:p>
    <w:p w14:paraId="1B63E099" w14:textId="77777777" w:rsidR="00DA440C" w:rsidRDefault="00DA440C" w:rsidP="00DA440C">
      <w:pPr>
        <w:pStyle w:val="ListBullet"/>
      </w:pPr>
      <w:r>
        <w:t>Research capacity (skills, resourcing, infrastructure).</w:t>
      </w:r>
    </w:p>
    <w:p w14:paraId="61AC1B0E" w14:textId="527BD75F" w:rsidR="00DA440C" w:rsidRPr="00895540" w:rsidRDefault="00DA440C" w:rsidP="00DA440C">
      <w:pPr>
        <w:pStyle w:val="Heading3"/>
      </w:pPr>
      <w:r>
        <w:t xml:space="preserve">Data </w:t>
      </w:r>
      <w:r w:rsidR="00C1633E">
        <w:t>sharing</w:t>
      </w:r>
    </w:p>
    <w:p w14:paraId="1B238705" w14:textId="16776F44" w:rsidR="000D6320" w:rsidRDefault="000D6320" w:rsidP="000D6320">
      <w:pPr>
        <w:pStyle w:val="BodyText"/>
      </w:pPr>
      <w:r>
        <w:t xml:space="preserve">At the present time, data collected on the early childhood, education and training sectors is fragmented and sector-specific with data collected from (and held by) a variety of sources (table 2). While there is a large amount of data collected, much of it is not currently linked with potential explanatory data held in other collections or in non-education data bases. Institutional and governance arrangements and certain regulatory barriers to accessing data (including issues related to data ‘ownership’) may be factors. Risk aversion by agencies </w:t>
      </w:r>
      <w:r w:rsidR="00F07F28">
        <w:t>could</w:t>
      </w:r>
      <w:r>
        <w:t xml:space="preserve"> also </w:t>
      </w:r>
      <w:r w:rsidR="00F07F28">
        <w:t xml:space="preserve">be </w:t>
      </w:r>
      <w:r>
        <w:t xml:space="preserve">present, based on previous experience in other </w:t>
      </w:r>
      <w:r w:rsidR="00F07F28">
        <w:t xml:space="preserve">Commission </w:t>
      </w:r>
      <w:r>
        <w:t>inquiries. Addressing these effectively will be an important aspect of this inquiry.</w:t>
      </w:r>
    </w:p>
    <w:p w14:paraId="114BFCB7" w14:textId="334A285B" w:rsidR="00DA440C" w:rsidRDefault="00DA440C" w:rsidP="00DA440C">
      <w:pPr>
        <w:pStyle w:val="BodyText"/>
      </w:pPr>
      <w:r>
        <w:t xml:space="preserve">Although some initiatives to link education data are underway, </w:t>
      </w:r>
      <w:r w:rsidR="00EE612D">
        <w:t>the Commission is unaware of any</w:t>
      </w:r>
      <w:r>
        <w:t xml:space="preserve"> </w:t>
      </w:r>
      <w:r w:rsidR="00EE612D">
        <w:t>linked research datasets</w:t>
      </w:r>
      <w:r>
        <w:t xml:space="preserve"> that integrate data sources across the different </w:t>
      </w:r>
      <w:r w:rsidR="00C1633E">
        <w:t xml:space="preserve">jurisdictions and </w:t>
      </w:r>
      <w:r>
        <w:t xml:space="preserve">education sectors for statistical and research purposes. However, according to the </w:t>
      </w:r>
      <w:r w:rsidR="00B357CF">
        <w:t>ABS</w:t>
      </w:r>
      <w:r>
        <w:t>, unit record collections are being (</w:t>
      </w:r>
      <w:r w:rsidR="00B357CF">
        <w:t xml:space="preserve">or </w:t>
      </w:r>
      <w:r>
        <w:t xml:space="preserve">have been) developed for the two national education data collections – the </w:t>
      </w:r>
      <w:r w:rsidR="005B58C3">
        <w:t xml:space="preserve">National </w:t>
      </w:r>
      <w:r>
        <w:t xml:space="preserve">Early Childhood Education and Care </w:t>
      </w:r>
      <w:r w:rsidR="00D93023">
        <w:t>C</w:t>
      </w:r>
      <w:r>
        <w:t>ollection</w:t>
      </w:r>
      <w:r w:rsidR="005B58C3">
        <w:t xml:space="preserve"> (</w:t>
      </w:r>
      <w:proofErr w:type="spellStart"/>
      <w:r w:rsidR="005B58C3">
        <w:t>NECECC</w:t>
      </w:r>
      <w:proofErr w:type="spellEnd"/>
      <w:r w:rsidR="005B58C3">
        <w:t xml:space="preserve">) </w:t>
      </w:r>
      <w:r>
        <w:t>and National Schools Statistics Collection (</w:t>
      </w:r>
      <w:proofErr w:type="spellStart"/>
      <w:r>
        <w:t>NSS</w:t>
      </w:r>
      <w:r w:rsidR="00391A15">
        <w:t>C</w:t>
      </w:r>
      <w:proofErr w:type="spellEnd"/>
      <w:r>
        <w:t>) – and options for data linkage between and within these collections are being (</w:t>
      </w:r>
      <w:r w:rsidR="00B357CF">
        <w:t xml:space="preserve">or </w:t>
      </w:r>
      <w:r>
        <w:t>have been) tested. The associated development and</w:t>
      </w:r>
      <w:r w:rsidDel="00C33B8A">
        <w:t xml:space="preserve"> </w:t>
      </w:r>
      <w:r w:rsidR="00C33B8A">
        <w:t xml:space="preserve">application </w:t>
      </w:r>
      <w:r>
        <w:t>of uniform standards would also potentially provide nationally comparable statistics (see below).</w:t>
      </w:r>
    </w:p>
    <w:p w14:paraId="1C5556C4" w14:textId="38F1FFA4" w:rsidR="00DA440C" w:rsidRDefault="00DA440C" w:rsidP="00DA440C">
      <w:pPr>
        <w:pStyle w:val="BodyText"/>
      </w:pPr>
      <w:r>
        <w:t xml:space="preserve">The </w:t>
      </w:r>
      <w:proofErr w:type="spellStart"/>
      <w:r w:rsidR="00F80888">
        <w:t>ABS’s</w:t>
      </w:r>
      <w:proofErr w:type="spellEnd"/>
      <w:r w:rsidR="00F80888">
        <w:t xml:space="preserve"> </w:t>
      </w:r>
      <w:r>
        <w:t>intention</w:t>
      </w:r>
      <w:r w:rsidDel="00C1633E">
        <w:t xml:space="preserve"> </w:t>
      </w:r>
      <w:r w:rsidR="00C1633E">
        <w:t xml:space="preserve">has been </w:t>
      </w:r>
      <w:r>
        <w:t xml:space="preserve">to </w:t>
      </w:r>
      <w:r w:rsidR="00C1633E">
        <w:t xml:space="preserve">eventually </w:t>
      </w:r>
      <w:r>
        <w:t>develop an enduring database of education and socio-demographic statistical information constructed from existing data sources to be known as the Australian Longitudinal Learning Database (</w:t>
      </w:r>
      <w:proofErr w:type="spellStart"/>
      <w:r>
        <w:t>ALLD</w:t>
      </w:r>
      <w:proofErr w:type="spellEnd"/>
      <w:r>
        <w:t xml:space="preserve">). As proposed, the </w:t>
      </w:r>
      <w:proofErr w:type="spellStart"/>
      <w:r>
        <w:t>ALLD</w:t>
      </w:r>
      <w:proofErr w:type="spellEnd"/>
      <w:r>
        <w:t xml:space="preserve"> would be constructed primarily using linkage techniques — making use of variables such as age, sex, geographic location and other socio-demographic characteristics to match records from one dataset to those in another — without identifying individual students </w:t>
      </w:r>
      <w:r w:rsidR="001558FA">
        <w:t xml:space="preserve">(box </w:t>
      </w:r>
      <w:r w:rsidR="004D1621">
        <w:t>6</w:t>
      </w:r>
      <w:r w:rsidR="00A94FC7">
        <w:t>)</w:t>
      </w:r>
      <w:r w:rsidR="001558FA">
        <w:t xml:space="preserve">, </w:t>
      </w:r>
      <w:r>
        <w:t xml:space="preserve">(National Statistical Service 2012). Other elements of the </w:t>
      </w:r>
      <w:proofErr w:type="spellStart"/>
      <w:r>
        <w:t>ALLD</w:t>
      </w:r>
      <w:proofErr w:type="spellEnd"/>
      <w:r>
        <w:t xml:space="preserve"> were expected to link education data to the ABS Census of Population and Housing and potentially </w:t>
      </w:r>
      <w:r w:rsidR="005742CD">
        <w:t xml:space="preserve">to </w:t>
      </w:r>
      <w:r>
        <w:t xml:space="preserve">survey </w:t>
      </w:r>
      <w:r>
        <w:lastRenderedPageBreak/>
        <w:t xml:space="preserve">data; integrate </w:t>
      </w:r>
      <w:r w:rsidR="005B58C3">
        <w:t>early childhood education and care</w:t>
      </w:r>
      <w:r>
        <w:t xml:space="preserve">, schools and Census data with educational performance measures; link to vocational and higher education data; and integrate </w:t>
      </w:r>
      <w:r w:rsidR="00D96800">
        <w:t>datasets</w:t>
      </w:r>
      <w:r>
        <w:t xml:space="preserve"> from other areas (such as health and community services</w:t>
      </w:r>
      <w:r w:rsidR="004F4109">
        <w:t>)</w:t>
      </w:r>
      <w:r>
        <w:t xml:space="preserve">. However, </w:t>
      </w:r>
      <w:r w:rsidR="0087687C">
        <w:t>further progress with</w:t>
      </w:r>
      <w:r>
        <w:t xml:space="preserve"> the </w:t>
      </w:r>
      <w:proofErr w:type="spellStart"/>
      <w:r w:rsidR="002E13BA">
        <w:t>ALLD</w:t>
      </w:r>
      <w:proofErr w:type="spellEnd"/>
      <w:r w:rsidR="002E13BA">
        <w:t xml:space="preserve"> has stalled</w:t>
      </w:r>
      <w:r w:rsidR="00C33B8A">
        <w:t>.</w:t>
      </w:r>
    </w:p>
    <w:p w14:paraId="6963E077" w14:textId="219188E4" w:rsidR="0029279A" w:rsidRDefault="00DA440C" w:rsidP="00DA440C">
      <w:pPr>
        <w:pStyle w:val="BodyText"/>
      </w:pPr>
      <w:r>
        <w:t xml:space="preserve">This development </w:t>
      </w:r>
      <w:r w:rsidR="005742CD">
        <w:t xml:space="preserve">may </w:t>
      </w:r>
      <w:r w:rsidR="0013569D">
        <w:t xml:space="preserve">in part </w:t>
      </w:r>
      <w:r>
        <w:t xml:space="preserve">reflect </w:t>
      </w:r>
      <w:r w:rsidR="00C33B8A">
        <w:t xml:space="preserve">differences in resource capacity of </w:t>
      </w:r>
      <w:r w:rsidR="0087687C">
        <w:t>stakeholders (</w:t>
      </w:r>
      <w:r w:rsidR="00D93EA0">
        <w:t xml:space="preserve">across </w:t>
      </w:r>
      <w:r w:rsidR="00C33B8A">
        <w:t xml:space="preserve">jurisdictions and </w:t>
      </w:r>
      <w:r w:rsidR="00D93EA0">
        <w:t xml:space="preserve">across and within </w:t>
      </w:r>
      <w:r w:rsidR="00C33B8A">
        <w:t xml:space="preserve">school sectors) </w:t>
      </w:r>
      <w:r>
        <w:t xml:space="preserve">involved in </w:t>
      </w:r>
      <w:r w:rsidR="0087687C">
        <w:t xml:space="preserve">collecting </w:t>
      </w:r>
      <w:r w:rsidR="0013569D">
        <w:t xml:space="preserve">and holding </w:t>
      </w:r>
      <w:r w:rsidR="0087687C">
        <w:t>education data.</w:t>
      </w:r>
      <w:r w:rsidDel="00146D0A">
        <w:t xml:space="preserve"> </w:t>
      </w:r>
      <w:r w:rsidR="005422E5">
        <w:t>In addition,</w:t>
      </w:r>
      <w:r>
        <w:t xml:space="preserve"> </w:t>
      </w:r>
      <w:r w:rsidR="00B357CF">
        <w:t xml:space="preserve">the </w:t>
      </w:r>
      <w:r>
        <w:t xml:space="preserve">multiplicity of </w:t>
      </w:r>
      <w:r w:rsidR="0029279A">
        <w:t xml:space="preserve">data custodians and </w:t>
      </w:r>
      <w:r>
        <w:t xml:space="preserve">ethics committees; complexities of retaining data over long time periods; privacy and legislative constraints; </w:t>
      </w:r>
      <w:r w:rsidR="00877273">
        <w:t>requirement</w:t>
      </w:r>
      <w:r w:rsidR="0029279A">
        <w:t>s</w:t>
      </w:r>
      <w:r>
        <w:t xml:space="preserve"> for making data available to external researchers; and differences in data linkage capabilities between jurisdictions represent significant challenges to linkage </w:t>
      </w:r>
      <w:r w:rsidRPr="007726BD">
        <w:t>programs</w:t>
      </w:r>
      <w:r w:rsidR="005422E5" w:rsidRPr="007726BD">
        <w:rPr>
          <w:i/>
        </w:rPr>
        <w:t xml:space="preserve"> </w:t>
      </w:r>
      <w:r w:rsidR="00161C76" w:rsidRPr="007726BD">
        <w:rPr>
          <w:rFonts w:cs="Arial"/>
        </w:rPr>
        <w:t>(</w:t>
      </w:r>
      <w:r w:rsidR="00976245" w:rsidRPr="007726BD">
        <w:rPr>
          <w:rFonts w:cs="Arial"/>
        </w:rPr>
        <w:t>Australian Institute of Health and Welfare</w:t>
      </w:r>
      <w:r w:rsidR="00161C76" w:rsidRPr="007726BD">
        <w:rPr>
          <w:rFonts w:cs="Arial"/>
        </w:rPr>
        <w:t xml:space="preserve"> 2014, p. 25)</w:t>
      </w:r>
      <w:r w:rsidRPr="007726BD">
        <w:t>. Current</w:t>
      </w:r>
      <w:r>
        <w:t xml:space="preserve"> requirements for accessing </w:t>
      </w:r>
      <w:r w:rsidR="001558FA">
        <w:t xml:space="preserve">selected </w:t>
      </w:r>
      <w:r>
        <w:t>jurisdictional datasets</w:t>
      </w:r>
      <w:r w:rsidR="008033BC">
        <w:t xml:space="preserve"> are summarised in table </w:t>
      </w:r>
      <w:r w:rsidR="00421FC1">
        <w:t>2</w:t>
      </w:r>
      <w:r w:rsidR="008C126B">
        <w:t>.</w:t>
      </w:r>
    </w:p>
    <w:p w14:paraId="33BB1664" w14:textId="77777777" w:rsidR="001558FA" w:rsidRDefault="001558FA">
      <w:pPr>
        <w:pStyle w:val="BoxSpaceAbove"/>
      </w:pPr>
      <w:r>
        <w:rPr>
          <w:b/>
          <w:vanish/>
          <w:color w:val="FF00FF"/>
          <w:sz w:val="14"/>
        </w:rPr>
        <w:t>Do not delete this RETURN as it gives space between the box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1558FA" w14:paraId="3B643AD2" w14:textId="77777777" w:rsidTr="001558FA">
        <w:trPr>
          <w:tblHeader/>
        </w:trPr>
        <w:tc>
          <w:tcPr>
            <w:tcW w:w="8771" w:type="dxa"/>
            <w:tcBorders>
              <w:top w:val="single" w:sz="6" w:space="0" w:color="78A22F"/>
              <w:left w:val="nil"/>
              <w:bottom w:val="nil"/>
              <w:right w:val="nil"/>
            </w:tcBorders>
            <w:shd w:val="clear" w:color="auto" w:fill="F2F2F2"/>
          </w:tcPr>
          <w:p w14:paraId="2B56C8DB" w14:textId="254584B6" w:rsidR="001558FA" w:rsidRDefault="001558FA" w:rsidP="00582D7D">
            <w:pPr>
              <w:pStyle w:val="BoxTitle"/>
            </w:pPr>
            <w:r>
              <w:rPr>
                <w:b w:val="0"/>
              </w:rPr>
              <w:t>Box</w:t>
            </w:r>
            <w:r w:rsidR="00582D7D">
              <w:rPr>
                <w:b w:val="0"/>
              </w:rPr>
              <w:t xml:space="preserve"> 6</w:t>
            </w:r>
            <w:r>
              <w:tab/>
            </w:r>
            <w:r w:rsidR="006C366B">
              <w:t>Data linkage methods used to protect privacy</w:t>
            </w:r>
          </w:p>
        </w:tc>
      </w:tr>
      <w:tr w:rsidR="001558FA" w14:paraId="760EA9D2" w14:textId="77777777" w:rsidTr="001558FA">
        <w:tc>
          <w:tcPr>
            <w:tcW w:w="8771" w:type="dxa"/>
            <w:tcBorders>
              <w:top w:val="nil"/>
              <w:left w:val="nil"/>
              <w:bottom w:val="nil"/>
              <w:right w:val="nil"/>
            </w:tcBorders>
            <w:shd w:val="clear" w:color="auto" w:fill="F2F2F2"/>
          </w:tcPr>
          <w:p w14:paraId="505D1773" w14:textId="05B2DC69" w:rsidR="001558FA" w:rsidRDefault="001558FA" w:rsidP="00317FCA">
            <w:pPr>
              <w:pStyle w:val="Box"/>
            </w:pPr>
            <w:r>
              <w:t>There are two main methods used to link datasets</w:t>
            </w:r>
            <w:r w:rsidR="006C366B">
              <w:t xml:space="preserve"> </w:t>
            </w:r>
            <w:r w:rsidR="004F223D">
              <w:t>in a way that protects the identity of individuals — deterministic and probabilistic linkage.</w:t>
            </w:r>
          </w:p>
          <w:p w14:paraId="29EDFC75" w14:textId="57AB32BE" w:rsidR="001558FA" w:rsidRDefault="001558FA" w:rsidP="00317FCA">
            <w:pPr>
              <w:pStyle w:val="Box"/>
            </w:pPr>
            <w:r>
              <w:t>Deterministic link</w:t>
            </w:r>
            <w:r w:rsidR="0013569D">
              <w:t xml:space="preserve">age </w:t>
            </w:r>
            <w:r>
              <w:t xml:space="preserve">involves exact matching of information to identify records in different </w:t>
            </w:r>
            <w:r w:rsidR="00D96800">
              <w:t>datasets</w:t>
            </w:r>
            <w:r>
              <w:t xml:space="preserve"> that refer to the same person. In its simplest form, it uses a unique identifier such as a tax file number to link records </w:t>
            </w:r>
            <w:r w:rsidR="001532A8" w:rsidRPr="001532A8">
              <w:t xml:space="preserve">(National Statistical Service </w:t>
            </w:r>
            <w:proofErr w:type="spellStart"/>
            <w:r w:rsidR="001532A8" w:rsidRPr="001532A8">
              <w:t>2016a</w:t>
            </w:r>
            <w:proofErr w:type="spellEnd"/>
            <w:r w:rsidR="001532A8" w:rsidRPr="001532A8">
              <w:t>)</w:t>
            </w:r>
            <w:r>
              <w:t xml:space="preserve">. The Government has introduced a Unique Student Identifier for VET students, which could be used for deterministic linking </w:t>
            </w:r>
            <w:r w:rsidR="001532A8" w:rsidRPr="001532A8">
              <w:t>(Fowler 2016)</w:t>
            </w:r>
            <w:r>
              <w:t xml:space="preserve">. </w:t>
            </w:r>
          </w:p>
          <w:p w14:paraId="18F2A548" w14:textId="4F842F42" w:rsidR="006C383A" w:rsidRDefault="001558FA" w:rsidP="00317FCA">
            <w:pPr>
              <w:pStyle w:val="Box"/>
              <w:rPr>
                <w:szCs w:val="24"/>
              </w:rPr>
            </w:pPr>
            <w:r>
              <w:t>Probabilistic link</w:t>
            </w:r>
            <w:r w:rsidR="0013569D">
              <w:t>age</w:t>
            </w:r>
            <w:r>
              <w:t xml:space="preserve"> </w:t>
            </w:r>
            <w:r w:rsidR="0013569D">
              <w:t>combines</w:t>
            </w:r>
            <w:r>
              <w:t xml:space="preserve"> records in different </w:t>
            </w:r>
            <w:r w:rsidR="00D96800">
              <w:t>datasets</w:t>
            </w:r>
            <w:r>
              <w:t xml:space="preserve"> that have the greatest probability of referring to the same person. Rather than a unique identifier, it uses a combination of identifiers such as name and address to identify and evaluate links </w:t>
            </w:r>
            <w:r w:rsidR="001532A8" w:rsidRPr="001532A8">
              <w:t xml:space="preserve">(National Statistical Service </w:t>
            </w:r>
            <w:proofErr w:type="spellStart"/>
            <w:r w:rsidR="001532A8" w:rsidRPr="001532A8">
              <w:t>2016b</w:t>
            </w:r>
            <w:proofErr w:type="spellEnd"/>
            <w:r w:rsidR="001532A8" w:rsidRPr="001532A8">
              <w:t>)</w:t>
            </w:r>
            <w:r>
              <w:t xml:space="preserve">. </w:t>
            </w:r>
          </w:p>
          <w:p w14:paraId="0F316C26" w14:textId="11E32254" w:rsidR="001558FA" w:rsidRDefault="001558FA" w:rsidP="00317FCA">
            <w:pPr>
              <w:pStyle w:val="Box"/>
              <w:rPr>
                <w:szCs w:val="24"/>
              </w:rPr>
            </w:pPr>
            <w:r>
              <w:t xml:space="preserve">Both </w:t>
            </w:r>
            <w:r w:rsidR="006C383A">
              <w:t xml:space="preserve">deterministic and probabilistic linkage </w:t>
            </w:r>
            <w:r>
              <w:t>methods have been used recently in projects linking education data</w:t>
            </w:r>
            <w:r w:rsidR="006C366B">
              <w:t>.</w:t>
            </w:r>
          </w:p>
        </w:tc>
      </w:tr>
      <w:tr w:rsidR="001558FA" w14:paraId="2C767DF1" w14:textId="77777777" w:rsidTr="001558FA">
        <w:tc>
          <w:tcPr>
            <w:tcW w:w="8771" w:type="dxa"/>
            <w:tcBorders>
              <w:top w:val="nil"/>
              <w:left w:val="nil"/>
              <w:bottom w:val="nil"/>
              <w:right w:val="nil"/>
            </w:tcBorders>
            <w:shd w:val="clear" w:color="auto" w:fill="F2F2F2"/>
          </w:tcPr>
          <w:p w14:paraId="2B95CA16" w14:textId="2BFF6918" w:rsidR="001558FA" w:rsidRDefault="001558FA" w:rsidP="00FF71F5">
            <w:pPr>
              <w:pStyle w:val="BoxSource"/>
            </w:pPr>
            <w:r>
              <w:rPr>
                <w:i/>
              </w:rPr>
              <w:t>Source(s)</w:t>
            </w:r>
            <w:r w:rsidRPr="00167F06">
              <w:t xml:space="preserve">: </w:t>
            </w:r>
            <w:r w:rsidR="00FF71F5" w:rsidRPr="00FF71F5">
              <w:rPr>
                <w:rFonts w:cs="Arial"/>
              </w:rPr>
              <w:t>(Fowler 2016; National Statistical Service 2016a, 2016b)</w:t>
            </w:r>
          </w:p>
        </w:tc>
      </w:tr>
      <w:tr w:rsidR="001558FA" w:rsidRPr="00776C7B" w14:paraId="65C9DA8B" w14:textId="77777777" w:rsidTr="001558FA">
        <w:tc>
          <w:tcPr>
            <w:tcW w:w="8771" w:type="dxa"/>
            <w:tcBorders>
              <w:top w:val="nil"/>
              <w:left w:val="nil"/>
              <w:bottom w:val="single" w:sz="6" w:space="0" w:color="78A22F"/>
              <w:right w:val="nil"/>
            </w:tcBorders>
            <w:shd w:val="clear" w:color="auto" w:fill="F2F2F2"/>
          </w:tcPr>
          <w:p w14:paraId="58CA591F" w14:textId="77777777" w:rsidR="001558FA" w:rsidRPr="00776C7B" w:rsidRDefault="001558FA">
            <w:pPr>
              <w:pStyle w:val="Box"/>
              <w:spacing w:before="0" w:line="120" w:lineRule="exact"/>
              <w:rPr>
                <w:b/>
              </w:rPr>
            </w:pPr>
          </w:p>
        </w:tc>
      </w:tr>
      <w:tr w:rsidR="001558FA" w:rsidRPr="000863A5" w14:paraId="0FF0D9E3" w14:textId="77777777" w:rsidTr="001558FA">
        <w:trPr>
          <w:hidden/>
        </w:trPr>
        <w:tc>
          <w:tcPr>
            <w:tcW w:w="8771" w:type="dxa"/>
            <w:tcBorders>
              <w:top w:val="single" w:sz="6" w:space="0" w:color="78A22F"/>
              <w:left w:val="nil"/>
              <w:bottom w:val="nil"/>
              <w:right w:val="nil"/>
            </w:tcBorders>
          </w:tcPr>
          <w:p w14:paraId="0BD1F000" w14:textId="77777777" w:rsidR="001558FA" w:rsidRPr="00626D32" w:rsidRDefault="001558FA" w:rsidP="001558FA">
            <w:pPr>
              <w:pStyle w:val="BoxSpaceBelow"/>
            </w:pPr>
            <w:r w:rsidRPr="00626D32">
              <w:rPr>
                <w:rFonts w:ascii="Times New Roman" w:hAnsi="Times New Roman"/>
                <w:b/>
                <w:vanish/>
                <w:color w:val="FF00FF"/>
              </w:rPr>
              <w:t>Do not delete this ROW as it gives space between the box and what follows it.</w:t>
            </w:r>
          </w:p>
        </w:tc>
      </w:tr>
    </w:tbl>
    <w:p w14:paraId="5FC7BD7C" w14:textId="77777777" w:rsidR="001558FA" w:rsidRDefault="001558FA" w:rsidP="00DA440C">
      <w:pPr>
        <w:pStyle w:val="BodyText"/>
      </w:pPr>
    </w:p>
    <w:p w14:paraId="4DE37F76" w14:textId="00D979F3" w:rsidR="003F45E0" w:rsidRDefault="003F45E0" w:rsidP="00DA440C">
      <w:pPr>
        <w:pStyle w:val="BodyText"/>
      </w:pPr>
    </w:p>
    <w:p w14:paraId="6FB02890" w14:textId="77777777" w:rsidR="0029279A" w:rsidRDefault="0029279A" w:rsidP="0029279A">
      <w:pPr>
        <w:pStyle w:val="BoxSpaceAbove"/>
      </w:pPr>
      <w:r>
        <w:rPr>
          <w:b/>
          <w:vanish/>
          <w:color w:val="FF00FF"/>
          <w:sz w:val="14"/>
        </w:rPr>
        <w:lastRenderedPageBreak/>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design element: contains a nested table with data/information."/>
      </w:tblPr>
      <w:tblGrid>
        <w:gridCol w:w="8771"/>
      </w:tblGrid>
      <w:tr w:rsidR="0029279A" w14:paraId="2BF08E9F" w14:textId="77777777" w:rsidTr="00E30DDE">
        <w:trPr>
          <w:tblHeader/>
        </w:trPr>
        <w:tc>
          <w:tcPr>
            <w:tcW w:w="8771" w:type="dxa"/>
            <w:tcBorders>
              <w:top w:val="single" w:sz="6" w:space="0" w:color="78A22F"/>
              <w:left w:val="nil"/>
              <w:bottom w:val="nil"/>
              <w:right w:val="nil"/>
            </w:tcBorders>
            <w:shd w:val="clear" w:color="auto" w:fill="auto"/>
          </w:tcPr>
          <w:p w14:paraId="541104C3" w14:textId="5022290A" w:rsidR="0029279A" w:rsidRPr="00784A05" w:rsidRDefault="00E47583" w:rsidP="00E30DDE">
            <w:pPr>
              <w:pStyle w:val="TableTitle"/>
            </w:pPr>
            <w:r>
              <w:rPr>
                <w:b w:val="0"/>
              </w:rPr>
              <w:t xml:space="preserve">Table </w:t>
            </w:r>
            <w:r w:rsidR="00421FC1">
              <w:rPr>
                <w:b w:val="0"/>
              </w:rPr>
              <w:t>2</w:t>
            </w:r>
            <w:r w:rsidR="0029279A">
              <w:tab/>
            </w:r>
            <w:r w:rsidR="001E5EFF">
              <w:t>Selected d</w:t>
            </w:r>
            <w:r w:rsidR="0029279A">
              <w:t>ata access requirements by jurisdiction</w:t>
            </w:r>
            <w:r w:rsidR="0029279A" w:rsidRPr="00F32D2D">
              <w:rPr>
                <w:rStyle w:val="NoteLabel"/>
              </w:rPr>
              <w:t>a</w:t>
            </w:r>
          </w:p>
        </w:tc>
      </w:tr>
      <w:tr w:rsidR="0029279A" w14:paraId="524130FF" w14:textId="77777777" w:rsidTr="00E30DDE">
        <w:tc>
          <w:tcPr>
            <w:tcW w:w="8771" w:type="dxa"/>
            <w:tcBorders>
              <w:top w:val="nil"/>
              <w:left w:val="nil"/>
              <w:bottom w:val="nil"/>
              <w:right w:val="nil"/>
            </w:tcBorders>
            <w:shd w:val="clear" w:color="auto" w:fill="auto"/>
          </w:tcPr>
          <w:tbl>
            <w:tblPr>
              <w:tblW w:w="9360" w:type="dxa"/>
              <w:tblLayout w:type="fixed"/>
              <w:tblCellMar>
                <w:top w:w="28" w:type="dxa"/>
                <w:left w:w="0" w:type="dxa"/>
                <w:right w:w="0" w:type="dxa"/>
              </w:tblCellMar>
              <w:tblLook w:val="0000" w:firstRow="0" w:lastRow="0" w:firstColumn="0" w:lastColumn="0" w:noHBand="0" w:noVBand="0"/>
            </w:tblPr>
            <w:tblGrid>
              <w:gridCol w:w="4513"/>
              <w:gridCol w:w="753"/>
              <w:gridCol w:w="586"/>
              <w:gridCol w:w="586"/>
              <w:gridCol w:w="586"/>
              <w:gridCol w:w="586"/>
              <w:gridCol w:w="586"/>
              <w:gridCol w:w="586"/>
              <w:gridCol w:w="578"/>
            </w:tblGrid>
            <w:tr w:rsidR="0029279A" w14:paraId="2D99C5B7" w14:textId="77777777" w:rsidTr="000D6320">
              <w:trPr>
                <w:tblHeader/>
              </w:trPr>
              <w:tc>
                <w:tcPr>
                  <w:tcW w:w="2186" w:type="pct"/>
                  <w:tcBorders>
                    <w:top w:val="single" w:sz="6" w:space="0" w:color="BFBFBF"/>
                    <w:bottom w:val="single" w:sz="6" w:space="0" w:color="BFBFBF"/>
                  </w:tcBorders>
                  <w:shd w:val="clear" w:color="auto" w:fill="auto"/>
                  <w:tcMar>
                    <w:top w:w="28" w:type="dxa"/>
                  </w:tcMar>
                </w:tcPr>
                <w:p w14:paraId="469C452D" w14:textId="77777777" w:rsidR="0029279A" w:rsidRDefault="0029279A" w:rsidP="00E30DDE">
                  <w:pPr>
                    <w:pStyle w:val="TableColumnHeading"/>
                    <w:jc w:val="left"/>
                  </w:pPr>
                  <w:r>
                    <w:t>Pre-school data</w:t>
                  </w:r>
                  <w:r>
                    <w:rPr>
                      <w:rStyle w:val="NoteLabel"/>
                    </w:rPr>
                    <w:t xml:space="preserve"> b</w:t>
                  </w:r>
                </w:p>
              </w:tc>
              <w:tc>
                <w:tcPr>
                  <w:tcW w:w="365" w:type="pct"/>
                  <w:tcBorders>
                    <w:top w:val="single" w:sz="6" w:space="0" w:color="BFBFBF"/>
                    <w:bottom w:val="single" w:sz="6" w:space="0" w:color="BFBFBF"/>
                  </w:tcBorders>
                  <w:shd w:val="clear" w:color="auto" w:fill="auto"/>
                  <w:tcMar>
                    <w:top w:w="28" w:type="dxa"/>
                  </w:tcMar>
                </w:tcPr>
                <w:p w14:paraId="741699E6" w14:textId="77777777" w:rsidR="0029279A" w:rsidRDefault="0029279A" w:rsidP="00E30DDE">
                  <w:pPr>
                    <w:pStyle w:val="TableColumnHeading"/>
                  </w:pPr>
                  <w:r>
                    <w:t>NSW</w:t>
                  </w:r>
                </w:p>
              </w:tc>
              <w:tc>
                <w:tcPr>
                  <w:tcW w:w="284" w:type="pct"/>
                  <w:tcBorders>
                    <w:top w:val="single" w:sz="6" w:space="0" w:color="BFBFBF"/>
                    <w:bottom w:val="single" w:sz="6" w:space="0" w:color="BFBFBF"/>
                  </w:tcBorders>
                  <w:shd w:val="clear" w:color="auto" w:fill="auto"/>
                  <w:tcMar>
                    <w:top w:w="28" w:type="dxa"/>
                  </w:tcMar>
                </w:tcPr>
                <w:p w14:paraId="221B027E" w14:textId="77777777" w:rsidR="0029279A" w:rsidRDefault="0029279A" w:rsidP="00E30DDE">
                  <w:pPr>
                    <w:pStyle w:val="TableColumnHeading"/>
                    <w:ind w:right="28"/>
                  </w:pPr>
                  <w:r>
                    <w:t>Vic</w:t>
                  </w:r>
                </w:p>
              </w:tc>
              <w:tc>
                <w:tcPr>
                  <w:tcW w:w="284" w:type="pct"/>
                  <w:tcBorders>
                    <w:top w:val="single" w:sz="6" w:space="0" w:color="BFBFBF"/>
                    <w:bottom w:val="single" w:sz="6" w:space="0" w:color="BFBFBF"/>
                  </w:tcBorders>
                </w:tcPr>
                <w:p w14:paraId="013B71DF" w14:textId="77777777" w:rsidR="0029279A" w:rsidRDefault="0029279A" w:rsidP="00E30DDE">
                  <w:pPr>
                    <w:pStyle w:val="TableColumnHeading"/>
                    <w:ind w:right="28"/>
                  </w:pPr>
                  <w:r>
                    <w:t>Qld</w:t>
                  </w:r>
                </w:p>
              </w:tc>
              <w:tc>
                <w:tcPr>
                  <w:tcW w:w="284" w:type="pct"/>
                  <w:tcBorders>
                    <w:top w:val="single" w:sz="6" w:space="0" w:color="BFBFBF"/>
                    <w:bottom w:val="single" w:sz="6" w:space="0" w:color="BFBFBF"/>
                  </w:tcBorders>
                </w:tcPr>
                <w:p w14:paraId="608C202C" w14:textId="77777777" w:rsidR="0029279A" w:rsidRDefault="0029279A" w:rsidP="00E30DDE">
                  <w:pPr>
                    <w:pStyle w:val="TableColumnHeading"/>
                    <w:ind w:right="28"/>
                  </w:pPr>
                  <w:r>
                    <w:t>WA</w:t>
                  </w:r>
                </w:p>
              </w:tc>
              <w:tc>
                <w:tcPr>
                  <w:tcW w:w="284" w:type="pct"/>
                  <w:tcBorders>
                    <w:top w:val="single" w:sz="6" w:space="0" w:color="BFBFBF"/>
                    <w:bottom w:val="single" w:sz="6" w:space="0" w:color="BFBFBF"/>
                  </w:tcBorders>
                </w:tcPr>
                <w:p w14:paraId="7ABB1F9C" w14:textId="77777777" w:rsidR="0029279A" w:rsidRDefault="0029279A" w:rsidP="00E30DDE">
                  <w:pPr>
                    <w:pStyle w:val="TableColumnHeading"/>
                    <w:ind w:right="28"/>
                  </w:pPr>
                  <w:r>
                    <w:t>SA</w:t>
                  </w:r>
                </w:p>
              </w:tc>
              <w:tc>
                <w:tcPr>
                  <w:tcW w:w="284" w:type="pct"/>
                  <w:tcBorders>
                    <w:top w:val="single" w:sz="6" w:space="0" w:color="BFBFBF"/>
                    <w:bottom w:val="single" w:sz="6" w:space="0" w:color="BFBFBF"/>
                  </w:tcBorders>
                </w:tcPr>
                <w:p w14:paraId="77B890FD" w14:textId="77777777" w:rsidR="0029279A" w:rsidRDefault="0029279A" w:rsidP="00E30DDE">
                  <w:pPr>
                    <w:pStyle w:val="TableColumnHeading"/>
                    <w:ind w:right="28"/>
                  </w:pPr>
                  <w:r>
                    <w:t>Tas</w:t>
                  </w:r>
                </w:p>
              </w:tc>
              <w:tc>
                <w:tcPr>
                  <w:tcW w:w="284" w:type="pct"/>
                  <w:tcBorders>
                    <w:top w:val="single" w:sz="6" w:space="0" w:color="BFBFBF"/>
                    <w:bottom w:val="single" w:sz="6" w:space="0" w:color="BFBFBF"/>
                  </w:tcBorders>
                </w:tcPr>
                <w:p w14:paraId="7E9F3AB5" w14:textId="77777777" w:rsidR="0029279A" w:rsidRDefault="0029279A" w:rsidP="00E30DDE">
                  <w:pPr>
                    <w:pStyle w:val="TableColumnHeading"/>
                    <w:ind w:right="28"/>
                  </w:pPr>
                  <w:r>
                    <w:t>ACT</w:t>
                  </w:r>
                </w:p>
              </w:tc>
              <w:tc>
                <w:tcPr>
                  <w:tcW w:w="280" w:type="pct"/>
                  <w:tcBorders>
                    <w:top w:val="single" w:sz="6" w:space="0" w:color="BFBFBF"/>
                    <w:bottom w:val="single" w:sz="6" w:space="0" w:color="BFBFBF"/>
                  </w:tcBorders>
                </w:tcPr>
                <w:p w14:paraId="3D9C3B3F" w14:textId="77777777" w:rsidR="0029279A" w:rsidRDefault="0029279A" w:rsidP="00E30DDE">
                  <w:pPr>
                    <w:pStyle w:val="TableColumnHeading"/>
                    <w:ind w:right="28"/>
                  </w:pPr>
                  <w:r>
                    <w:t>NT</w:t>
                  </w:r>
                </w:p>
              </w:tc>
            </w:tr>
            <w:tr w:rsidR="0029279A" w:rsidRPr="007213B3" w14:paraId="03935409" w14:textId="77777777" w:rsidTr="000D6320">
              <w:tc>
                <w:tcPr>
                  <w:tcW w:w="2186" w:type="pct"/>
                  <w:tcBorders>
                    <w:top w:val="single" w:sz="6" w:space="0" w:color="BFBFBF"/>
                  </w:tcBorders>
                </w:tcPr>
                <w:p w14:paraId="7F42D18C" w14:textId="77777777" w:rsidR="0029279A" w:rsidRPr="007213B3" w:rsidRDefault="0029279A" w:rsidP="00E30DDE">
                  <w:pPr>
                    <w:pStyle w:val="TableUnitsRow"/>
                    <w:jc w:val="left"/>
                    <w:rPr>
                      <w:b/>
                    </w:rPr>
                  </w:pPr>
                  <w:r w:rsidRPr="007213B3">
                    <w:rPr>
                      <w:b/>
                    </w:rPr>
                    <w:t>Mandatory requirements</w:t>
                  </w:r>
                </w:p>
              </w:tc>
              <w:tc>
                <w:tcPr>
                  <w:tcW w:w="365" w:type="pct"/>
                  <w:tcBorders>
                    <w:top w:val="single" w:sz="6" w:space="0" w:color="BFBFBF"/>
                  </w:tcBorders>
                </w:tcPr>
                <w:p w14:paraId="416DE06B" w14:textId="77777777" w:rsidR="0029279A" w:rsidRPr="007213B3" w:rsidRDefault="0029279A" w:rsidP="00E30DDE">
                  <w:pPr>
                    <w:pStyle w:val="TableUnitsRow"/>
                    <w:rPr>
                      <w:b/>
                    </w:rPr>
                  </w:pPr>
                </w:p>
              </w:tc>
              <w:tc>
                <w:tcPr>
                  <w:tcW w:w="284" w:type="pct"/>
                  <w:tcBorders>
                    <w:top w:val="single" w:sz="6" w:space="0" w:color="BFBFBF"/>
                  </w:tcBorders>
                </w:tcPr>
                <w:p w14:paraId="2F474CC0" w14:textId="77777777" w:rsidR="0029279A" w:rsidRPr="007213B3" w:rsidRDefault="0029279A" w:rsidP="00E30DDE">
                  <w:pPr>
                    <w:pStyle w:val="TableUnitsRow"/>
                    <w:ind w:right="28"/>
                    <w:rPr>
                      <w:b/>
                    </w:rPr>
                  </w:pPr>
                </w:p>
              </w:tc>
              <w:tc>
                <w:tcPr>
                  <w:tcW w:w="284" w:type="pct"/>
                  <w:tcBorders>
                    <w:top w:val="single" w:sz="6" w:space="0" w:color="BFBFBF"/>
                  </w:tcBorders>
                </w:tcPr>
                <w:p w14:paraId="5D584075" w14:textId="77777777" w:rsidR="0029279A" w:rsidRPr="007213B3" w:rsidRDefault="0029279A" w:rsidP="00E30DDE">
                  <w:pPr>
                    <w:pStyle w:val="TableUnitsRow"/>
                    <w:ind w:right="28"/>
                    <w:rPr>
                      <w:b/>
                    </w:rPr>
                  </w:pPr>
                </w:p>
              </w:tc>
              <w:tc>
                <w:tcPr>
                  <w:tcW w:w="284" w:type="pct"/>
                  <w:tcBorders>
                    <w:top w:val="single" w:sz="6" w:space="0" w:color="BFBFBF"/>
                  </w:tcBorders>
                </w:tcPr>
                <w:p w14:paraId="1DADB920" w14:textId="77777777" w:rsidR="0029279A" w:rsidRPr="007213B3" w:rsidRDefault="0029279A" w:rsidP="00E30DDE">
                  <w:pPr>
                    <w:pStyle w:val="TableUnitsRow"/>
                    <w:ind w:right="28"/>
                    <w:rPr>
                      <w:b/>
                    </w:rPr>
                  </w:pPr>
                </w:p>
              </w:tc>
              <w:tc>
                <w:tcPr>
                  <w:tcW w:w="284" w:type="pct"/>
                  <w:tcBorders>
                    <w:top w:val="single" w:sz="6" w:space="0" w:color="BFBFBF"/>
                  </w:tcBorders>
                </w:tcPr>
                <w:p w14:paraId="2CA3B454" w14:textId="77777777" w:rsidR="0029279A" w:rsidRPr="007213B3" w:rsidRDefault="0029279A" w:rsidP="00E30DDE">
                  <w:pPr>
                    <w:pStyle w:val="TableUnitsRow"/>
                    <w:ind w:right="28"/>
                    <w:rPr>
                      <w:b/>
                    </w:rPr>
                  </w:pPr>
                </w:p>
              </w:tc>
              <w:tc>
                <w:tcPr>
                  <w:tcW w:w="284" w:type="pct"/>
                  <w:tcBorders>
                    <w:top w:val="single" w:sz="6" w:space="0" w:color="BFBFBF"/>
                  </w:tcBorders>
                </w:tcPr>
                <w:p w14:paraId="1F49BABB" w14:textId="77777777" w:rsidR="0029279A" w:rsidRPr="007213B3" w:rsidRDefault="0029279A" w:rsidP="00E30DDE">
                  <w:pPr>
                    <w:pStyle w:val="TableUnitsRow"/>
                    <w:ind w:right="28"/>
                    <w:rPr>
                      <w:b/>
                    </w:rPr>
                  </w:pPr>
                </w:p>
              </w:tc>
              <w:tc>
                <w:tcPr>
                  <w:tcW w:w="284" w:type="pct"/>
                  <w:tcBorders>
                    <w:top w:val="single" w:sz="6" w:space="0" w:color="BFBFBF"/>
                  </w:tcBorders>
                </w:tcPr>
                <w:p w14:paraId="6A8D64F5" w14:textId="77777777" w:rsidR="0029279A" w:rsidRPr="007213B3" w:rsidRDefault="0029279A" w:rsidP="00E30DDE">
                  <w:pPr>
                    <w:pStyle w:val="TableUnitsRow"/>
                    <w:ind w:right="28"/>
                    <w:rPr>
                      <w:b/>
                    </w:rPr>
                  </w:pPr>
                </w:p>
              </w:tc>
              <w:tc>
                <w:tcPr>
                  <w:tcW w:w="280" w:type="pct"/>
                  <w:tcBorders>
                    <w:top w:val="single" w:sz="6" w:space="0" w:color="BFBFBF"/>
                  </w:tcBorders>
                </w:tcPr>
                <w:p w14:paraId="4D6700B7" w14:textId="77777777" w:rsidR="0029279A" w:rsidRPr="007213B3" w:rsidRDefault="0029279A" w:rsidP="00E30DDE">
                  <w:pPr>
                    <w:pStyle w:val="TableUnitsRow"/>
                    <w:ind w:right="28"/>
                    <w:rPr>
                      <w:b/>
                    </w:rPr>
                  </w:pPr>
                </w:p>
              </w:tc>
            </w:tr>
            <w:tr w:rsidR="0029279A" w14:paraId="042F9899" w14:textId="77777777" w:rsidTr="000D6320">
              <w:tc>
                <w:tcPr>
                  <w:tcW w:w="2186" w:type="pct"/>
                </w:tcPr>
                <w:p w14:paraId="460B91CB" w14:textId="77777777" w:rsidR="0029279A" w:rsidRDefault="0029279A" w:rsidP="00E30DDE">
                  <w:pPr>
                    <w:pStyle w:val="TableBodyText"/>
                    <w:jc w:val="left"/>
                  </w:pPr>
                  <w:r>
                    <w:t>Review by Human Research Ethics Committee</w:t>
                  </w:r>
                </w:p>
              </w:tc>
              <w:tc>
                <w:tcPr>
                  <w:tcW w:w="365" w:type="pct"/>
                </w:tcPr>
                <w:p w14:paraId="44E4FF3F" w14:textId="77777777" w:rsidR="0029279A" w:rsidRDefault="0029279A" w:rsidP="00E30DDE">
                  <w:pPr>
                    <w:pStyle w:val="TableBodyText"/>
                  </w:pPr>
                </w:p>
              </w:tc>
              <w:tc>
                <w:tcPr>
                  <w:tcW w:w="284" w:type="pct"/>
                </w:tcPr>
                <w:p w14:paraId="2021004F" w14:textId="77777777" w:rsidR="0029279A" w:rsidRDefault="0029279A" w:rsidP="00E30DDE">
                  <w:pPr>
                    <w:pStyle w:val="TableBodyText"/>
                    <w:ind w:right="28"/>
                  </w:pPr>
                </w:p>
              </w:tc>
              <w:tc>
                <w:tcPr>
                  <w:tcW w:w="284" w:type="pct"/>
                </w:tcPr>
                <w:p w14:paraId="2D15AA2C" w14:textId="77777777" w:rsidR="0029279A" w:rsidRDefault="0029279A" w:rsidP="00E30DDE">
                  <w:pPr>
                    <w:pStyle w:val="TableBodyText"/>
                    <w:ind w:right="28"/>
                  </w:pPr>
                </w:p>
              </w:tc>
              <w:tc>
                <w:tcPr>
                  <w:tcW w:w="284" w:type="pct"/>
                </w:tcPr>
                <w:p w14:paraId="332E1ACC" w14:textId="77777777" w:rsidR="0029279A" w:rsidRDefault="0029279A" w:rsidP="00E30DDE">
                  <w:pPr>
                    <w:pStyle w:val="TableBodyText"/>
                    <w:ind w:right="28"/>
                  </w:pPr>
                </w:p>
              </w:tc>
              <w:tc>
                <w:tcPr>
                  <w:tcW w:w="284" w:type="pct"/>
                </w:tcPr>
                <w:p w14:paraId="0AC6E286" w14:textId="77777777" w:rsidR="0029279A" w:rsidRDefault="0029279A" w:rsidP="00E30DDE">
                  <w:pPr>
                    <w:pStyle w:val="TableBodyText"/>
                    <w:ind w:right="28"/>
                  </w:pPr>
                </w:p>
              </w:tc>
              <w:tc>
                <w:tcPr>
                  <w:tcW w:w="284" w:type="pct"/>
                </w:tcPr>
                <w:p w14:paraId="0AECDD10" w14:textId="77777777" w:rsidR="0029279A" w:rsidRDefault="0029279A" w:rsidP="00E30DDE">
                  <w:pPr>
                    <w:pStyle w:val="TableBodyText"/>
                    <w:ind w:right="28"/>
                  </w:pPr>
                </w:p>
              </w:tc>
              <w:tc>
                <w:tcPr>
                  <w:tcW w:w="284" w:type="pct"/>
                </w:tcPr>
                <w:p w14:paraId="3BE972FF" w14:textId="77777777" w:rsidR="0029279A" w:rsidRDefault="0029279A" w:rsidP="00E30DDE">
                  <w:pPr>
                    <w:pStyle w:val="TableBodyText"/>
                    <w:ind w:right="28"/>
                  </w:pPr>
                </w:p>
              </w:tc>
              <w:tc>
                <w:tcPr>
                  <w:tcW w:w="280" w:type="pct"/>
                </w:tcPr>
                <w:p w14:paraId="05ED85B8" w14:textId="77777777" w:rsidR="0029279A" w:rsidRDefault="0029279A" w:rsidP="00E30DDE">
                  <w:pPr>
                    <w:pStyle w:val="TableBodyText"/>
                    <w:ind w:right="28"/>
                  </w:pPr>
                </w:p>
              </w:tc>
            </w:tr>
            <w:tr w:rsidR="0029279A" w14:paraId="51E41A93" w14:textId="77777777" w:rsidTr="000D6320">
              <w:tc>
                <w:tcPr>
                  <w:tcW w:w="2186" w:type="pct"/>
                </w:tcPr>
                <w:p w14:paraId="30FDD443" w14:textId="77777777" w:rsidR="0029279A" w:rsidRDefault="0029279A" w:rsidP="00E30DDE">
                  <w:pPr>
                    <w:pStyle w:val="TableBodyText"/>
                    <w:jc w:val="left"/>
                  </w:pPr>
                  <w:r>
                    <w:t>Request for data to data custodian</w:t>
                  </w:r>
                </w:p>
              </w:tc>
              <w:tc>
                <w:tcPr>
                  <w:tcW w:w="365" w:type="pct"/>
                </w:tcPr>
                <w:p w14:paraId="14C4EE67" w14:textId="77777777" w:rsidR="0029279A" w:rsidRDefault="0029279A" w:rsidP="00E30DDE">
                  <w:pPr>
                    <w:pStyle w:val="TableBodyText"/>
                  </w:pPr>
                  <w:r>
                    <w:sym w:font="Wingdings" w:char="F0FC"/>
                  </w:r>
                </w:p>
              </w:tc>
              <w:tc>
                <w:tcPr>
                  <w:tcW w:w="284" w:type="pct"/>
                </w:tcPr>
                <w:p w14:paraId="61FA93A6" w14:textId="77777777" w:rsidR="0029279A" w:rsidRPr="00367A0F" w:rsidRDefault="0029279A" w:rsidP="00E30DDE">
                  <w:pPr>
                    <w:pStyle w:val="TableBodyText"/>
                    <w:ind w:right="28"/>
                  </w:pPr>
                  <w:r>
                    <w:sym w:font="Wingdings" w:char="F0FC"/>
                  </w:r>
                </w:p>
              </w:tc>
              <w:tc>
                <w:tcPr>
                  <w:tcW w:w="284" w:type="pct"/>
                </w:tcPr>
                <w:p w14:paraId="64FF23EA" w14:textId="77777777" w:rsidR="0029279A" w:rsidRDefault="0029279A" w:rsidP="00E30DDE">
                  <w:pPr>
                    <w:pStyle w:val="TableBodyText"/>
                    <w:ind w:right="28"/>
                  </w:pPr>
                  <w:r>
                    <w:sym w:font="Wingdings" w:char="F0FC"/>
                  </w:r>
                </w:p>
              </w:tc>
              <w:tc>
                <w:tcPr>
                  <w:tcW w:w="284" w:type="pct"/>
                </w:tcPr>
                <w:p w14:paraId="2B11B554" w14:textId="77777777" w:rsidR="0029279A" w:rsidRDefault="0029279A" w:rsidP="00E30DDE">
                  <w:pPr>
                    <w:pStyle w:val="TableBodyText"/>
                    <w:ind w:right="28"/>
                  </w:pPr>
                  <w:r>
                    <w:sym w:font="Wingdings" w:char="F0FC"/>
                  </w:r>
                </w:p>
              </w:tc>
              <w:tc>
                <w:tcPr>
                  <w:tcW w:w="284" w:type="pct"/>
                </w:tcPr>
                <w:p w14:paraId="616631E1" w14:textId="77777777" w:rsidR="0029279A" w:rsidRDefault="0029279A" w:rsidP="00E30DDE">
                  <w:pPr>
                    <w:pStyle w:val="TableBodyText"/>
                    <w:ind w:right="28"/>
                  </w:pPr>
                  <w:r>
                    <w:sym w:font="Wingdings" w:char="F0FC"/>
                  </w:r>
                </w:p>
              </w:tc>
              <w:tc>
                <w:tcPr>
                  <w:tcW w:w="284" w:type="pct"/>
                </w:tcPr>
                <w:p w14:paraId="289460D4" w14:textId="77777777" w:rsidR="0029279A" w:rsidRDefault="0029279A" w:rsidP="00E30DDE">
                  <w:pPr>
                    <w:pStyle w:val="TableBodyText"/>
                    <w:ind w:right="28"/>
                  </w:pPr>
                  <w:r>
                    <w:sym w:font="Wingdings" w:char="F0FC"/>
                  </w:r>
                </w:p>
              </w:tc>
              <w:tc>
                <w:tcPr>
                  <w:tcW w:w="284" w:type="pct"/>
                </w:tcPr>
                <w:p w14:paraId="5F53618E" w14:textId="77777777" w:rsidR="0029279A" w:rsidRDefault="0029279A" w:rsidP="00E30DDE">
                  <w:pPr>
                    <w:pStyle w:val="TableBodyText"/>
                    <w:ind w:right="28"/>
                  </w:pPr>
                  <w:r>
                    <w:sym w:font="Wingdings" w:char="F0FC"/>
                  </w:r>
                </w:p>
              </w:tc>
              <w:tc>
                <w:tcPr>
                  <w:tcW w:w="280" w:type="pct"/>
                </w:tcPr>
                <w:p w14:paraId="1CD27BCD" w14:textId="77777777" w:rsidR="0029279A" w:rsidRDefault="0029279A" w:rsidP="00E30DDE">
                  <w:pPr>
                    <w:pStyle w:val="TableBodyText"/>
                    <w:ind w:right="28"/>
                  </w:pPr>
                  <w:r>
                    <w:sym w:font="Wingdings" w:char="F0FC"/>
                  </w:r>
                </w:p>
              </w:tc>
            </w:tr>
            <w:tr w:rsidR="0029279A" w14:paraId="6A0E4479" w14:textId="77777777" w:rsidTr="000D6320">
              <w:tc>
                <w:tcPr>
                  <w:tcW w:w="2186" w:type="pct"/>
                </w:tcPr>
                <w:p w14:paraId="36DC4E99" w14:textId="77777777" w:rsidR="0029279A" w:rsidRDefault="0029279A" w:rsidP="00E30DDE">
                  <w:pPr>
                    <w:pStyle w:val="TableBodyText"/>
                    <w:jc w:val="left"/>
                  </w:pPr>
                  <w:r>
                    <w:t>Data custodian approval (in-principle)</w:t>
                  </w:r>
                </w:p>
              </w:tc>
              <w:tc>
                <w:tcPr>
                  <w:tcW w:w="365" w:type="pct"/>
                </w:tcPr>
                <w:p w14:paraId="3CC00B37" w14:textId="77777777" w:rsidR="0029279A" w:rsidRDefault="0029279A" w:rsidP="00E30DDE">
                  <w:pPr>
                    <w:pStyle w:val="TableBodyText"/>
                  </w:pPr>
                  <w:r>
                    <w:sym w:font="Wingdings" w:char="F0FC"/>
                  </w:r>
                </w:p>
              </w:tc>
              <w:tc>
                <w:tcPr>
                  <w:tcW w:w="284" w:type="pct"/>
                </w:tcPr>
                <w:p w14:paraId="2E7B0955" w14:textId="77777777" w:rsidR="0029279A" w:rsidRDefault="0029279A" w:rsidP="00E30DDE">
                  <w:pPr>
                    <w:pStyle w:val="TableBodyText"/>
                    <w:ind w:right="28"/>
                  </w:pPr>
                  <w:r>
                    <w:sym w:font="Wingdings" w:char="F0FC"/>
                  </w:r>
                </w:p>
              </w:tc>
              <w:tc>
                <w:tcPr>
                  <w:tcW w:w="284" w:type="pct"/>
                </w:tcPr>
                <w:p w14:paraId="4121DF3D" w14:textId="77777777" w:rsidR="0029279A" w:rsidRDefault="0029279A" w:rsidP="00E30DDE">
                  <w:pPr>
                    <w:pStyle w:val="TableBodyText"/>
                    <w:ind w:right="28"/>
                  </w:pPr>
                  <w:r>
                    <w:sym w:font="Wingdings" w:char="F0FC"/>
                  </w:r>
                </w:p>
              </w:tc>
              <w:tc>
                <w:tcPr>
                  <w:tcW w:w="284" w:type="pct"/>
                </w:tcPr>
                <w:p w14:paraId="4B7E0D70" w14:textId="77777777" w:rsidR="0029279A" w:rsidRDefault="0029279A" w:rsidP="00E30DDE">
                  <w:pPr>
                    <w:pStyle w:val="TableBodyText"/>
                    <w:ind w:right="28"/>
                  </w:pPr>
                  <w:r>
                    <w:sym w:font="Wingdings" w:char="F0FC"/>
                  </w:r>
                </w:p>
              </w:tc>
              <w:tc>
                <w:tcPr>
                  <w:tcW w:w="284" w:type="pct"/>
                </w:tcPr>
                <w:p w14:paraId="3DD65934" w14:textId="77777777" w:rsidR="0029279A" w:rsidRDefault="0029279A" w:rsidP="00E30DDE">
                  <w:pPr>
                    <w:pStyle w:val="TableBodyText"/>
                    <w:ind w:right="28"/>
                  </w:pPr>
                  <w:r>
                    <w:sym w:font="Wingdings" w:char="F0FC"/>
                  </w:r>
                </w:p>
              </w:tc>
              <w:tc>
                <w:tcPr>
                  <w:tcW w:w="284" w:type="pct"/>
                </w:tcPr>
                <w:p w14:paraId="6328FFB9" w14:textId="77777777" w:rsidR="0029279A" w:rsidRDefault="0029279A" w:rsidP="00E30DDE">
                  <w:pPr>
                    <w:pStyle w:val="TableBodyText"/>
                    <w:ind w:right="28"/>
                  </w:pPr>
                  <w:r>
                    <w:sym w:font="Wingdings" w:char="F0FC"/>
                  </w:r>
                </w:p>
              </w:tc>
              <w:tc>
                <w:tcPr>
                  <w:tcW w:w="284" w:type="pct"/>
                </w:tcPr>
                <w:p w14:paraId="36E74243" w14:textId="77777777" w:rsidR="0029279A" w:rsidRDefault="0029279A" w:rsidP="00E30DDE">
                  <w:pPr>
                    <w:pStyle w:val="TableBodyText"/>
                    <w:ind w:right="28"/>
                  </w:pPr>
                  <w:r>
                    <w:sym w:font="Wingdings" w:char="F0FC"/>
                  </w:r>
                </w:p>
              </w:tc>
              <w:tc>
                <w:tcPr>
                  <w:tcW w:w="280" w:type="pct"/>
                </w:tcPr>
                <w:p w14:paraId="60E5C6F3" w14:textId="77777777" w:rsidR="0029279A" w:rsidRDefault="0029279A" w:rsidP="00E30DDE">
                  <w:pPr>
                    <w:pStyle w:val="TableBodyText"/>
                    <w:ind w:right="28"/>
                  </w:pPr>
                  <w:r>
                    <w:sym w:font="Wingdings" w:char="F0FC"/>
                  </w:r>
                </w:p>
              </w:tc>
            </w:tr>
            <w:tr w:rsidR="0029279A" w14:paraId="0DFC81B9" w14:textId="77777777" w:rsidTr="000D6320">
              <w:tc>
                <w:tcPr>
                  <w:tcW w:w="2186" w:type="pct"/>
                </w:tcPr>
                <w:p w14:paraId="4065BAE3" w14:textId="77777777" w:rsidR="0029279A" w:rsidRDefault="0029279A" w:rsidP="00E30DDE">
                  <w:pPr>
                    <w:pStyle w:val="TableBodyText"/>
                    <w:jc w:val="left"/>
                  </w:pPr>
                  <w:r>
                    <w:t xml:space="preserve">Contract or </w:t>
                  </w:r>
                  <w:proofErr w:type="spellStart"/>
                  <w:r>
                    <w:t>MoU</w:t>
                  </w:r>
                  <w:proofErr w:type="spellEnd"/>
                  <w:r>
                    <w:t xml:space="preserve"> required</w:t>
                  </w:r>
                </w:p>
              </w:tc>
              <w:tc>
                <w:tcPr>
                  <w:tcW w:w="365" w:type="pct"/>
                </w:tcPr>
                <w:p w14:paraId="19BF63A5" w14:textId="77777777" w:rsidR="0029279A" w:rsidRDefault="0029279A" w:rsidP="00E30DDE">
                  <w:pPr>
                    <w:pStyle w:val="TableBodyText"/>
                  </w:pPr>
                  <w:r>
                    <w:t>*</w:t>
                  </w:r>
                </w:p>
              </w:tc>
              <w:tc>
                <w:tcPr>
                  <w:tcW w:w="284" w:type="pct"/>
                </w:tcPr>
                <w:p w14:paraId="5E5E67DD" w14:textId="77777777" w:rsidR="0029279A" w:rsidRDefault="0029279A" w:rsidP="00E30DDE">
                  <w:pPr>
                    <w:pStyle w:val="TableBodyText"/>
                    <w:ind w:right="28"/>
                  </w:pPr>
                  <w:r>
                    <w:sym w:font="Wingdings" w:char="F0FC"/>
                  </w:r>
                </w:p>
              </w:tc>
              <w:tc>
                <w:tcPr>
                  <w:tcW w:w="284" w:type="pct"/>
                </w:tcPr>
                <w:p w14:paraId="66C36898" w14:textId="77777777" w:rsidR="0029279A" w:rsidRDefault="0029279A" w:rsidP="00E30DDE">
                  <w:pPr>
                    <w:pStyle w:val="TableBodyText"/>
                    <w:ind w:right="28"/>
                  </w:pPr>
                  <w:r>
                    <w:sym w:font="Wingdings" w:char="F0FC"/>
                  </w:r>
                </w:p>
              </w:tc>
              <w:tc>
                <w:tcPr>
                  <w:tcW w:w="284" w:type="pct"/>
                </w:tcPr>
                <w:p w14:paraId="71906ADA" w14:textId="77777777" w:rsidR="0029279A" w:rsidRDefault="0029279A" w:rsidP="00E30DDE">
                  <w:pPr>
                    <w:pStyle w:val="TableBodyText"/>
                    <w:ind w:right="28"/>
                  </w:pPr>
                  <w:r>
                    <w:t>*</w:t>
                  </w:r>
                </w:p>
              </w:tc>
              <w:tc>
                <w:tcPr>
                  <w:tcW w:w="284" w:type="pct"/>
                </w:tcPr>
                <w:p w14:paraId="4C603304" w14:textId="77777777" w:rsidR="0029279A" w:rsidRDefault="0029279A" w:rsidP="00E30DDE">
                  <w:pPr>
                    <w:pStyle w:val="TableBodyText"/>
                    <w:ind w:right="28"/>
                  </w:pPr>
                  <w:r>
                    <w:sym w:font="Wingdings" w:char="F0FC"/>
                  </w:r>
                </w:p>
              </w:tc>
              <w:tc>
                <w:tcPr>
                  <w:tcW w:w="284" w:type="pct"/>
                </w:tcPr>
                <w:p w14:paraId="21920A07" w14:textId="77777777" w:rsidR="0029279A" w:rsidRDefault="0029279A" w:rsidP="00E30DDE">
                  <w:pPr>
                    <w:pStyle w:val="TableBodyText"/>
                    <w:ind w:right="28"/>
                  </w:pPr>
                  <w:r>
                    <w:sym w:font="Wingdings" w:char="F0FC"/>
                  </w:r>
                </w:p>
              </w:tc>
              <w:tc>
                <w:tcPr>
                  <w:tcW w:w="284" w:type="pct"/>
                </w:tcPr>
                <w:p w14:paraId="7A9785C2" w14:textId="77777777" w:rsidR="0029279A" w:rsidRDefault="0029279A" w:rsidP="00E30DDE">
                  <w:pPr>
                    <w:pStyle w:val="TableBodyText"/>
                    <w:ind w:right="28"/>
                  </w:pPr>
                  <w:r>
                    <w:t>*</w:t>
                  </w:r>
                </w:p>
              </w:tc>
              <w:tc>
                <w:tcPr>
                  <w:tcW w:w="280" w:type="pct"/>
                </w:tcPr>
                <w:p w14:paraId="21F34DCD" w14:textId="77777777" w:rsidR="0029279A" w:rsidRDefault="0029279A" w:rsidP="00E30DDE">
                  <w:pPr>
                    <w:pStyle w:val="TableBodyText"/>
                    <w:ind w:right="28"/>
                  </w:pPr>
                  <w:r>
                    <w:sym w:font="Wingdings" w:char="F0FC"/>
                  </w:r>
                </w:p>
              </w:tc>
            </w:tr>
            <w:tr w:rsidR="0029279A" w14:paraId="1F48DDDD" w14:textId="77777777" w:rsidTr="000D6320">
              <w:tc>
                <w:tcPr>
                  <w:tcW w:w="2186" w:type="pct"/>
                </w:tcPr>
                <w:p w14:paraId="2B095E4A" w14:textId="77777777" w:rsidR="0029279A" w:rsidRDefault="0029279A" w:rsidP="00E30DDE">
                  <w:pPr>
                    <w:pStyle w:val="TableBodyText"/>
                    <w:jc w:val="left"/>
                  </w:pPr>
                  <w:r>
                    <w:t>Data held by jurisdictional linkage unit</w:t>
                  </w:r>
                </w:p>
              </w:tc>
              <w:tc>
                <w:tcPr>
                  <w:tcW w:w="365" w:type="pct"/>
                </w:tcPr>
                <w:p w14:paraId="21730CAF" w14:textId="77777777" w:rsidR="0029279A" w:rsidRDefault="0029279A" w:rsidP="00E30DDE">
                  <w:pPr>
                    <w:pStyle w:val="TableBodyText"/>
                  </w:pPr>
                </w:p>
              </w:tc>
              <w:tc>
                <w:tcPr>
                  <w:tcW w:w="284" w:type="pct"/>
                </w:tcPr>
                <w:p w14:paraId="55BA5A35" w14:textId="77777777" w:rsidR="0029279A" w:rsidRDefault="0029279A" w:rsidP="00E30DDE">
                  <w:pPr>
                    <w:pStyle w:val="TableBodyText"/>
                    <w:ind w:right="28"/>
                  </w:pPr>
                </w:p>
              </w:tc>
              <w:tc>
                <w:tcPr>
                  <w:tcW w:w="284" w:type="pct"/>
                </w:tcPr>
                <w:p w14:paraId="69238BC7" w14:textId="77777777" w:rsidR="0029279A" w:rsidRDefault="0029279A" w:rsidP="00E30DDE">
                  <w:pPr>
                    <w:pStyle w:val="TableBodyText"/>
                    <w:ind w:right="28"/>
                  </w:pPr>
                </w:p>
              </w:tc>
              <w:tc>
                <w:tcPr>
                  <w:tcW w:w="284" w:type="pct"/>
                </w:tcPr>
                <w:p w14:paraId="13B63A0C" w14:textId="77777777" w:rsidR="0029279A" w:rsidRDefault="0029279A" w:rsidP="00E30DDE">
                  <w:pPr>
                    <w:pStyle w:val="TableBodyText"/>
                    <w:ind w:right="28"/>
                  </w:pPr>
                </w:p>
              </w:tc>
              <w:tc>
                <w:tcPr>
                  <w:tcW w:w="284" w:type="pct"/>
                </w:tcPr>
                <w:p w14:paraId="50DD8F49" w14:textId="77777777" w:rsidR="0029279A" w:rsidRDefault="0029279A" w:rsidP="00E30DDE">
                  <w:pPr>
                    <w:pStyle w:val="TableBodyText"/>
                    <w:ind w:right="28"/>
                  </w:pPr>
                </w:p>
              </w:tc>
              <w:tc>
                <w:tcPr>
                  <w:tcW w:w="284" w:type="pct"/>
                </w:tcPr>
                <w:p w14:paraId="5ECED4CF" w14:textId="77777777" w:rsidR="0029279A" w:rsidRDefault="0029279A" w:rsidP="00E30DDE">
                  <w:pPr>
                    <w:pStyle w:val="TableBodyText"/>
                    <w:ind w:right="28"/>
                  </w:pPr>
                </w:p>
              </w:tc>
              <w:tc>
                <w:tcPr>
                  <w:tcW w:w="284" w:type="pct"/>
                </w:tcPr>
                <w:p w14:paraId="3FC6FB9D" w14:textId="77777777" w:rsidR="0029279A" w:rsidRDefault="0029279A" w:rsidP="00E30DDE">
                  <w:pPr>
                    <w:pStyle w:val="TableBodyText"/>
                    <w:ind w:right="28"/>
                  </w:pPr>
                </w:p>
              </w:tc>
              <w:tc>
                <w:tcPr>
                  <w:tcW w:w="280" w:type="pct"/>
                </w:tcPr>
                <w:p w14:paraId="4FAF9DE3" w14:textId="77777777" w:rsidR="0029279A" w:rsidRDefault="0029279A" w:rsidP="00E30DDE">
                  <w:pPr>
                    <w:pStyle w:val="TableBodyText"/>
                    <w:ind w:right="28"/>
                  </w:pPr>
                </w:p>
              </w:tc>
            </w:tr>
            <w:tr w:rsidR="0029279A" w14:paraId="3223650E" w14:textId="77777777" w:rsidTr="000D6320">
              <w:tc>
                <w:tcPr>
                  <w:tcW w:w="2186" w:type="pct"/>
                </w:tcPr>
                <w:p w14:paraId="49743D4D" w14:textId="77777777" w:rsidR="0029279A" w:rsidRDefault="0029279A" w:rsidP="00E30DDE">
                  <w:pPr>
                    <w:pStyle w:val="TableBodyText"/>
                    <w:jc w:val="left"/>
                  </w:pPr>
                  <w:r>
                    <w:t>Brokerage available by linkage unit</w:t>
                  </w:r>
                </w:p>
              </w:tc>
              <w:tc>
                <w:tcPr>
                  <w:tcW w:w="365" w:type="pct"/>
                </w:tcPr>
                <w:p w14:paraId="0B60A0E5" w14:textId="77777777" w:rsidR="0029279A" w:rsidRDefault="0029279A" w:rsidP="00E30DDE">
                  <w:pPr>
                    <w:pStyle w:val="TableBodyText"/>
                  </w:pPr>
                </w:p>
              </w:tc>
              <w:tc>
                <w:tcPr>
                  <w:tcW w:w="284" w:type="pct"/>
                </w:tcPr>
                <w:p w14:paraId="15093694" w14:textId="77777777" w:rsidR="0029279A" w:rsidRDefault="0029279A" w:rsidP="00E30DDE">
                  <w:pPr>
                    <w:pStyle w:val="TableBodyText"/>
                    <w:ind w:right="28"/>
                  </w:pPr>
                </w:p>
              </w:tc>
              <w:tc>
                <w:tcPr>
                  <w:tcW w:w="284" w:type="pct"/>
                </w:tcPr>
                <w:p w14:paraId="1D7F86E3" w14:textId="77777777" w:rsidR="0029279A" w:rsidRDefault="0029279A" w:rsidP="00E30DDE">
                  <w:pPr>
                    <w:pStyle w:val="TableBodyText"/>
                    <w:ind w:right="28"/>
                  </w:pPr>
                </w:p>
              </w:tc>
              <w:tc>
                <w:tcPr>
                  <w:tcW w:w="284" w:type="pct"/>
                </w:tcPr>
                <w:p w14:paraId="40667201" w14:textId="77777777" w:rsidR="0029279A" w:rsidRDefault="0029279A" w:rsidP="00E30DDE">
                  <w:pPr>
                    <w:pStyle w:val="TableBodyText"/>
                    <w:ind w:right="28"/>
                  </w:pPr>
                </w:p>
              </w:tc>
              <w:tc>
                <w:tcPr>
                  <w:tcW w:w="284" w:type="pct"/>
                </w:tcPr>
                <w:p w14:paraId="35306B67" w14:textId="77777777" w:rsidR="0029279A" w:rsidRDefault="0029279A" w:rsidP="00E30DDE">
                  <w:pPr>
                    <w:pStyle w:val="TableBodyText"/>
                    <w:ind w:right="28"/>
                  </w:pPr>
                </w:p>
              </w:tc>
              <w:tc>
                <w:tcPr>
                  <w:tcW w:w="284" w:type="pct"/>
                </w:tcPr>
                <w:p w14:paraId="1D951C7F" w14:textId="77777777" w:rsidR="0029279A" w:rsidRDefault="0029279A" w:rsidP="00E30DDE">
                  <w:pPr>
                    <w:pStyle w:val="TableBodyText"/>
                    <w:ind w:right="28"/>
                  </w:pPr>
                </w:p>
              </w:tc>
              <w:tc>
                <w:tcPr>
                  <w:tcW w:w="284" w:type="pct"/>
                </w:tcPr>
                <w:p w14:paraId="7C72F1F3" w14:textId="77777777" w:rsidR="0029279A" w:rsidRDefault="0029279A" w:rsidP="00E30DDE">
                  <w:pPr>
                    <w:pStyle w:val="TableBodyText"/>
                    <w:ind w:right="28"/>
                  </w:pPr>
                </w:p>
              </w:tc>
              <w:tc>
                <w:tcPr>
                  <w:tcW w:w="280" w:type="pct"/>
                </w:tcPr>
                <w:p w14:paraId="60B8F1DC" w14:textId="77777777" w:rsidR="0029279A" w:rsidRDefault="0029279A" w:rsidP="00E30DDE">
                  <w:pPr>
                    <w:pStyle w:val="TableBodyText"/>
                    <w:ind w:right="28"/>
                  </w:pPr>
                </w:p>
              </w:tc>
            </w:tr>
            <w:tr w:rsidR="0029279A" w14:paraId="6248DA2E" w14:textId="77777777" w:rsidTr="000D6320">
              <w:tc>
                <w:tcPr>
                  <w:tcW w:w="2186" w:type="pct"/>
                </w:tcPr>
                <w:p w14:paraId="12E8A5A7" w14:textId="77777777" w:rsidR="0029279A" w:rsidRDefault="0029279A" w:rsidP="00E30DDE">
                  <w:pPr>
                    <w:pStyle w:val="TableBodyText"/>
                    <w:jc w:val="left"/>
                  </w:pPr>
                </w:p>
              </w:tc>
              <w:tc>
                <w:tcPr>
                  <w:tcW w:w="365" w:type="pct"/>
                </w:tcPr>
                <w:p w14:paraId="0227A9CD" w14:textId="77777777" w:rsidR="0029279A" w:rsidRDefault="0029279A" w:rsidP="00E30DDE">
                  <w:pPr>
                    <w:pStyle w:val="TableBodyText"/>
                  </w:pPr>
                </w:p>
              </w:tc>
              <w:tc>
                <w:tcPr>
                  <w:tcW w:w="284" w:type="pct"/>
                </w:tcPr>
                <w:p w14:paraId="46A9BE71" w14:textId="77777777" w:rsidR="0029279A" w:rsidRDefault="0029279A" w:rsidP="00E30DDE">
                  <w:pPr>
                    <w:pStyle w:val="TableBodyText"/>
                    <w:ind w:right="28"/>
                  </w:pPr>
                </w:p>
              </w:tc>
              <w:tc>
                <w:tcPr>
                  <w:tcW w:w="284" w:type="pct"/>
                </w:tcPr>
                <w:p w14:paraId="78FBCBE4" w14:textId="77777777" w:rsidR="0029279A" w:rsidRDefault="0029279A" w:rsidP="00E30DDE">
                  <w:pPr>
                    <w:pStyle w:val="TableBodyText"/>
                    <w:ind w:right="28"/>
                  </w:pPr>
                </w:p>
              </w:tc>
              <w:tc>
                <w:tcPr>
                  <w:tcW w:w="284" w:type="pct"/>
                </w:tcPr>
                <w:p w14:paraId="6EC9EEAC" w14:textId="77777777" w:rsidR="0029279A" w:rsidRDefault="0029279A" w:rsidP="00E30DDE">
                  <w:pPr>
                    <w:pStyle w:val="TableBodyText"/>
                    <w:ind w:right="28"/>
                  </w:pPr>
                </w:p>
              </w:tc>
              <w:tc>
                <w:tcPr>
                  <w:tcW w:w="284" w:type="pct"/>
                </w:tcPr>
                <w:p w14:paraId="53D63EA2" w14:textId="77777777" w:rsidR="0029279A" w:rsidRDefault="0029279A" w:rsidP="00E30DDE">
                  <w:pPr>
                    <w:pStyle w:val="TableBodyText"/>
                    <w:ind w:right="28"/>
                  </w:pPr>
                </w:p>
              </w:tc>
              <w:tc>
                <w:tcPr>
                  <w:tcW w:w="284" w:type="pct"/>
                </w:tcPr>
                <w:p w14:paraId="5D2DBA52" w14:textId="77777777" w:rsidR="0029279A" w:rsidRDefault="0029279A" w:rsidP="00E30DDE">
                  <w:pPr>
                    <w:pStyle w:val="TableBodyText"/>
                    <w:ind w:right="28"/>
                  </w:pPr>
                </w:p>
              </w:tc>
              <w:tc>
                <w:tcPr>
                  <w:tcW w:w="284" w:type="pct"/>
                </w:tcPr>
                <w:p w14:paraId="3E51C417" w14:textId="77777777" w:rsidR="0029279A" w:rsidRDefault="0029279A" w:rsidP="00E30DDE">
                  <w:pPr>
                    <w:pStyle w:val="TableBodyText"/>
                    <w:ind w:right="28"/>
                  </w:pPr>
                </w:p>
              </w:tc>
              <w:tc>
                <w:tcPr>
                  <w:tcW w:w="280" w:type="pct"/>
                </w:tcPr>
                <w:p w14:paraId="61DC7A33" w14:textId="77777777" w:rsidR="0029279A" w:rsidRDefault="0029279A" w:rsidP="00E30DDE">
                  <w:pPr>
                    <w:pStyle w:val="TableBodyText"/>
                    <w:ind w:right="28"/>
                  </w:pPr>
                </w:p>
              </w:tc>
            </w:tr>
            <w:tr w:rsidR="0029279A" w14:paraId="31B5170E" w14:textId="77777777" w:rsidTr="000D6320">
              <w:trPr>
                <w:tblHeader/>
              </w:trPr>
              <w:tc>
                <w:tcPr>
                  <w:tcW w:w="2186" w:type="pct"/>
                  <w:tcBorders>
                    <w:top w:val="single" w:sz="6" w:space="0" w:color="BFBFBF"/>
                    <w:bottom w:val="single" w:sz="6" w:space="0" w:color="BFBFBF"/>
                  </w:tcBorders>
                  <w:shd w:val="clear" w:color="auto" w:fill="auto"/>
                  <w:tcMar>
                    <w:top w:w="28" w:type="dxa"/>
                  </w:tcMar>
                </w:tcPr>
                <w:p w14:paraId="7D0A0A49" w14:textId="77777777" w:rsidR="0029279A" w:rsidRDefault="0029279A" w:rsidP="00E30DDE">
                  <w:pPr>
                    <w:pStyle w:val="TableColumnHeading"/>
                    <w:jc w:val="left"/>
                  </w:pPr>
                  <w:r>
                    <w:t>Perinatal data</w:t>
                  </w:r>
                </w:p>
              </w:tc>
              <w:tc>
                <w:tcPr>
                  <w:tcW w:w="365" w:type="pct"/>
                  <w:tcBorders>
                    <w:top w:val="single" w:sz="6" w:space="0" w:color="BFBFBF"/>
                    <w:bottom w:val="single" w:sz="6" w:space="0" w:color="BFBFBF"/>
                  </w:tcBorders>
                  <w:shd w:val="clear" w:color="auto" w:fill="auto"/>
                  <w:tcMar>
                    <w:top w:w="28" w:type="dxa"/>
                  </w:tcMar>
                </w:tcPr>
                <w:p w14:paraId="05399DBD" w14:textId="77777777" w:rsidR="0029279A" w:rsidRDefault="0029279A" w:rsidP="00E30DDE">
                  <w:pPr>
                    <w:pStyle w:val="TableColumnHeading"/>
                  </w:pPr>
                </w:p>
              </w:tc>
              <w:tc>
                <w:tcPr>
                  <w:tcW w:w="284" w:type="pct"/>
                  <w:tcBorders>
                    <w:top w:val="single" w:sz="6" w:space="0" w:color="BFBFBF"/>
                    <w:bottom w:val="single" w:sz="6" w:space="0" w:color="BFBFBF"/>
                  </w:tcBorders>
                  <w:shd w:val="clear" w:color="auto" w:fill="auto"/>
                  <w:tcMar>
                    <w:top w:w="28" w:type="dxa"/>
                  </w:tcMar>
                </w:tcPr>
                <w:p w14:paraId="0E6521DF" w14:textId="77777777" w:rsidR="0029279A" w:rsidRDefault="0029279A" w:rsidP="00E30DDE">
                  <w:pPr>
                    <w:pStyle w:val="TableColumnHeading"/>
                    <w:ind w:right="28"/>
                  </w:pPr>
                </w:p>
              </w:tc>
              <w:tc>
                <w:tcPr>
                  <w:tcW w:w="284" w:type="pct"/>
                  <w:tcBorders>
                    <w:top w:val="single" w:sz="6" w:space="0" w:color="BFBFBF"/>
                    <w:bottom w:val="single" w:sz="6" w:space="0" w:color="BFBFBF"/>
                  </w:tcBorders>
                </w:tcPr>
                <w:p w14:paraId="58D1230E" w14:textId="77777777" w:rsidR="0029279A" w:rsidRDefault="0029279A" w:rsidP="00E30DDE">
                  <w:pPr>
                    <w:pStyle w:val="TableColumnHeading"/>
                    <w:ind w:right="28"/>
                  </w:pPr>
                </w:p>
              </w:tc>
              <w:tc>
                <w:tcPr>
                  <w:tcW w:w="284" w:type="pct"/>
                  <w:tcBorders>
                    <w:top w:val="single" w:sz="6" w:space="0" w:color="BFBFBF"/>
                    <w:bottom w:val="single" w:sz="6" w:space="0" w:color="BFBFBF"/>
                  </w:tcBorders>
                </w:tcPr>
                <w:p w14:paraId="6A3AAF05" w14:textId="77777777" w:rsidR="0029279A" w:rsidRDefault="0029279A" w:rsidP="00E30DDE">
                  <w:pPr>
                    <w:pStyle w:val="TableColumnHeading"/>
                    <w:ind w:right="28"/>
                  </w:pPr>
                </w:p>
              </w:tc>
              <w:tc>
                <w:tcPr>
                  <w:tcW w:w="284" w:type="pct"/>
                  <w:tcBorders>
                    <w:top w:val="single" w:sz="6" w:space="0" w:color="BFBFBF"/>
                    <w:bottom w:val="single" w:sz="6" w:space="0" w:color="BFBFBF"/>
                  </w:tcBorders>
                </w:tcPr>
                <w:p w14:paraId="685931F9" w14:textId="77777777" w:rsidR="0029279A" w:rsidRDefault="0029279A" w:rsidP="00E30DDE">
                  <w:pPr>
                    <w:pStyle w:val="TableColumnHeading"/>
                    <w:ind w:right="28"/>
                  </w:pPr>
                </w:p>
              </w:tc>
              <w:tc>
                <w:tcPr>
                  <w:tcW w:w="284" w:type="pct"/>
                  <w:tcBorders>
                    <w:top w:val="single" w:sz="6" w:space="0" w:color="BFBFBF"/>
                    <w:bottom w:val="single" w:sz="6" w:space="0" w:color="BFBFBF"/>
                  </w:tcBorders>
                </w:tcPr>
                <w:p w14:paraId="40DF1185" w14:textId="77777777" w:rsidR="0029279A" w:rsidRDefault="0029279A" w:rsidP="00E30DDE">
                  <w:pPr>
                    <w:pStyle w:val="TableColumnHeading"/>
                    <w:ind w:right="28"/>
                  </w:pPr>
                </w:p>
              </w:tc>
              <w:tc>
                <w:tcPr>
                  <w:tcW w:w="284" w:type="pct"/>
                  <w:tcBorders>
                    <w:top w:val="single" w:sz="6" w:space="0" w:color="BFBFBF"/>
                    <w:bottom w:val="single" w:sz="6" w:space="0" w:color="BFBFBF"/>
                  </w:tcBorders>
                </w:tcPr>
                <w:p w14:paraId="48B00304" w14:textId="77777777" w:rsidR="0029279A" w:rsidRDefault="0029279A" w:rsidP="00E30DDE">
                  <w:pPr>
                    <w:pStyle w:val="TableColumnHeading"/>
                    <w:ind w:right="28"/>
                  </w:pPr>
                </w:p>
              </w:tc>
              <w:tc>
                <w:tcPr>
                  <w:tcW w:w="280" w:type="pct"/>
                  <w:tcBorders>
                    <w:top w:val="single" w:sz="6" w:space="0" w:color="BFBFBF"/>
                    <w:bottom w:val="single" w:sz="6" w:space="0" w:color="BFBFBF"/>
                  </w:tcBorders>
                </w:tcPr>
                <w:p w14:paraId="23709948" w14:textId="77777777" w:rsidR="0029279A" w:rsidRDefault="0029279A" w:rsidP="00E30DDE">
                  <w:pPr>
                    <w:pStyle w:val="TableColumnHeading"/>
                    <w:ind w:right="28"/>
                  </w:pPr>
                </w:p>
              </w:tc>
            </w:tr>
            <w:tr w:rsidR="0029279A" w:rsidRPr="007213B3" w14:paraId="0E3E1004" w14:textId="77777777" w:rsidTr="000D6320">
              <w:tc>
                <w:tcPr>
                  <w:tcW w:w="2186" w:type="pct"/>
                  <w:tcBorders>
                    <w:top w:val="single" w:sz="6" w:space="0" w:color="BFBFBF"/>
                  </w:tcBorders>
                </w:tcPr>
                <w:p w14:paraId="0B423AE6" w14:textId="77777777" w:rsidR="0029279A" w:rsidRPr="007213B3" w:rsidRDefault="0029279A" w:rsidP="00E30DDE">
                  <w:pPr>
                    <w:pStyle w:val="TableUnitsRow"/>
                    <w:jc w:val="left"/>
                    <w:rPr>
                      <w:b/>
                    </w:rPr>
                  </w:pPr>
                  <w:r w:rsidRPr="007213B3">
                    <w:rPr>
                      <w:b/>
                    </w:rPr>
                    <w:t>Mandatory requirements</w:t>
                  </w:r>
                </w:p>
              </w:tc>
              <w:tc>
                <w:tcPr>
                  <w:tcW w:w="365" w:type="pct"/>
                  <w:tcBorders>
                    <w:top w:val="single" w:sz="6" w:space="0" w:color="BFBFBF"/>
                  </w:tcBorders>
                </w:tcPr>
                <w:p w14:paraId="06DA2F9F" w14:textId="77777777" w:rsidR="0029279A" w:rsidRPr="007213B3" w:rsidRDefault="0029279A" w:rsidP="00E30DDE">
                  <w:pPr>
                    <w:pStyle w:val="TableUnitsRow"/>
                    <w:rPr>
                      <w:b/>
                    </w:rPr>
                  </w:pPr>
                </w:p>
              </w:tc>
              <w:tc>
                <w:tcPr>
                  <w:tcW w:w="284" w:type="pct"/>
                  <w:tcBorders>
                    <w:top w:val="single" w:sz="6" w:space="0" w:color="BFBFBF"/>
                  </w:tcBorders>
                </w:tcPr>
                <w:p w14:paraId="7B61A4B9" w14:textId="77777777" w:rsidR="0029279A" w:rsidRPr="007213B3" w:rsidRDefault="0029279A" w:rsidP="00E30DDE">
                  <w:pPr>
                    <w:pStyle w:val="TableUnitsRow"/>
                    <w:ind w:right="28"/>
                    <w:rPr>
                      <w:b/>
                    </w:rPr>
                  </w:pPr>
                </w:p>
              </w:tc>
              <w:tc>
                <w:tcPr>
                  <w:tcW w:w="284" w:type="pct"/>
                  <w:tcBorders>
                    <w:top w:val="single" w:sz="6" w:space="0" w:color="BFBFBF"/>
                  </w:tcBorders>
                </w:tcPr>
                <w:p w14:paraId="6BF955B9" w14:textId="77777777" w:rsidR="0029279A" w:rsidRPr="007213B3" w:rsidRDefault="0029279A" w:rsidP="00E30DDE">
                  <w:pPr>
                    <w:pStyle w:val="TableUnitsRow"/>
                    <w:ind w:right="28"/>
                    <w:rPr>
                      <w:b/>
                    </w:rPr>
                  </w:pPr>
                </w:p>
              </w:tc>
              <w:tc>
                <w:tcPr>
                  <w:tcW w:w="284" w:type="pct"/>
                  <w:tcBorders>
                    <w:top w:val="single" w:sz="6" w:space="0" w:color="BFBFBF"/>
                  </w:tcBorders>
                </w:tcPr>
                <w:p w14:paraId="575A9876" w14:textId="77777777" w:rsidR="0029279A" w:rsidRPr="007213B3" w:rsidRDefault="0029279A" w:rsidP="00E30DDE">
                  <w:pPr>
                    <w:pStyle w:val="TableUnitsRow"/>
                    <w:ind w:right="28"/>
                    <w:rPr>
                      <w:b/>
                    </w:rPr>
                  </w:pPr>
                </w:p>
              </w:tc>
              <w:tc>
                <w:tcPr>
                  <w:tcW w:w="284" w:type="pct"/>
                  <w:tcBorders>
                    <w:top w:val="single" w:sz="6" w:space="0" w:color="BFBFBF"/>
                  </w:tcBorders>
                </w:tcPr>
                <w:p w14:paraId="4997C341" w14:textId="77777777" w:rsidR="0029279A" w:rsidRPr="007213B3" w:rsidRDefault="0029279A" w:rsidP="00E30DDE">
                  <w:pPr>
                    <w:pStyle w:val="TableUnitsRow"/>
                    <w:ind w:right="28"/>
                    <w:rPr>
                      <w:b/>
                    </w:rPr>
                  </w:pPr>
                </w:p>
              </w:tc>
              <w:tc>
                <w:tcPr>
                  <w:tcW w:w="284" w:type="pct"/>
                  <w:tcBorders>
                    <w:top w:val="single" w:sz="6" w:space="0" w:color="BFBFBF"/>
                  </w:tcBorders>
                </w:tcPr>
                <w:p w14:paraId="5E2A6D07" w14:textId="77777777" w:rsidR="0029279A" w:rsidRPr="007213B3" w:rsidRDefault="0029279A" w:rsidP="00E30DDE">
                  <w:pPr>
                    <w:pStyle w:val="TableUnitsRow"/>
                    <w:ind w:right="28"/>
                    <w:rPr>
                      <w:b/>
                    </w:rPr>
                  </w:pPr>
                </w:p>
              </w:tc>
              <w:tc>
                <w:tcPr>
                  <w:tcW w:w="284" w:type="pct"/>
                  <w:tcBorders>
                    <w:top w:val="single" w:sz="6" w:space="0" w:color="BFBFBF"/>
                  </w:tcBorders>
                </w:tcPr>
                <w:p w14:paraId="1CA58C46" w14:textId="77777777" w:rsidR="0029279A" w:rsidRPr="007213B3" w:rsidRDefault="0029279A" w:rsidP="00E30DDE">
                  <w:pPr>
                    <w:pStyle w:val="TableUnitsRow"/>
                    <w:ind w:right="28"/>
                    <w:rPr>
                      <w:b/>
                    </w:rPr>
                  </w:pPr>
                </w:p>
              </w:tc>
              <w:tc>
                <w:tcPr>
                  <w:tcW w:w="280" w:type="pct"/>
                  <w:tcBorders>
                    <w:top w:val="single" w:sz="6" w:space="0" w:color="BFBFBF"/>
                  </w:tcBorders>
                </w:tcPr>
                <w:p w14:paraId="16030E08" w14:textId="77777777" w:rsidR="0029279A" w:rsidRPr="007213B3" w:rsidRDefault="0029279A" w:rsidP="00E30DDE">
                  <w:pPr>
                    <w:pStyle w:val="TableUnitsRow"/>
                    <w:ind w:right="28"/>
                    <w:rPr>
                      <w:b/>
                    </w:rPr>
                  </w:pPr>
                </w:p>
              </w:tc>
            </w:tr>
            <w:tr w:rsidR="0029279A" w14:paraId="5C6D9990" w14:textId="77777777" w:rsidTr="000D6320">
              <w:tc>
                <w:tcPr>
                  <w:tcW w:w="2186" w:type="pct"/>
                </w:tcPr>
                <w:p w14:paraId="7DF92B63" w14:textId="77777777" w:rsidR="0029279A" w:rsidRDefault="0029279A" w:rsidP="00E30DDE">
                  <w:pPr>
                    <w:pStyle w:val="TableBodyText"/>
                    <w:jc w:val="left"/>
                  </w:pPr>
                  <w:r>
                    <w:t>Review by Human Research Ethics Committee</w:t>
                  </w:r>
                </w:p>
              </w:tc>
              <w:tc>
                <w:tcPr>
                  <w:tcW w:w="365" w:type="pct"/>
                </w:tcPr>
                <w:p w14:paraId="5B026F2C" w14:textId="77777777" w:rsidR="0029279A" w:rsidRDefault="0029279A" w:rsidP="00E30DDE">
                  <w:pPr>
                    <w:pStyle w:val="TableBodyText"/>
                  </w:pPr>
                  <w:r>
                    <w:sym w:font="Wingdings" w:char="F0FC"/>
                  </w:r>
                </w:p>
              </w:tc>
              <w:tc>
                <w:tcPr>
                  <w:tcW w:w="284" w:type="pct"/>
                </w:tcPr>
                <w:p w14:paraId="076FCEB8" w14:textId="77777777" w:rsidR="0029279A" w:rsidRDefault="0029279A" w:rsidP="00E30DDE">
                  <w:pPr>
                    <w:pStyle w:val="TableBodyText"/>
                    <w:ind w:right="28"/>
                  </w:pPr>
                  <w:r>
                    <w:sym w:font="Wingdings" w:char="F0FC"/>
                  </w:r>
                </w:p>
              </w:tc>
              <w:tc>
                <w:tcPr>
                  <w:tcW w:w="284" w:type="pct"/>
                </w:tcPr>
                <w:p w14:paraId="675A1340" w14:textId="77777777" w:rsidR="0029279A" w:rsidRDefault="0029279A" w:rsidP="00E30DDE">
                  <w:pPr>
                    <w:pStyle w:val="TableBodyText"/>
                    <w:ind w:right="28"/>
                  </w:pPr>
                  <w:r>
                    <w:sym w:font="Wingdings" w:char="F0FC"/>
                  </w:r>
                </w:p>
              </w:tc>
              <w:tc>
                <w:tcPr>
                  <w:tcW w:w="284" w:type="pct"/>
                </w:tcPr>
                <w:p w14:paraId="05A1771D" w14:textId="77777777" w:rsidR="0029279A" w:rsidRDefault="0029279A" w:rsidP="00E30DDE">
                  <w:pPr>
                    <w:pStyle w:val="TableBodyText"/>
                    <w:ind w:right="28"/>
                  </w:pPr>
                  <w:r>
                    <w:sym w:font="Wingdings" w:char="F0FC"/>
                  </w:r>
                </w:p>
              </w:tc>
              <w:tc>
                <w:tcPr>
                  <w:tcW w:w="284" w:type="pct"/>
                </w:tcPr>
                <w:p w14:paraId="1E63467D" w14:textId="77777777" w:rsidR="0029279A" w:rsidRDefault="0029279A" w:rsidP="00E30DDE">
                  <w:pPr>
                    <w:pStyle w:val="TableBodyText"/>
                    <w:ind w:right="28"/>
                  </w:pPr>
                  <w:r>
                    <w:sym w:font="Wingdings" w:char="F0FC"/>
                  </w:r>
                </w:p>
              </w:tc>
              <w:tc>
                <w:tcPr>
                  <w:tcW w:w="284" w:type="pct"/>
                </w:tcPr>
                <w:p w14:paraId="6193F0AA" w14:textId="77777777" w:rsidR="0029279A" w:rsidRDefault="0029279A" w:rsidP="00E30DDE">
                  <w:pPr>
                    <w:pStyle w:val="TableBodyText"/>
                    <w:ind w:right="28"/>
                  </w:pPr>
                  <w:r>
                    <w:sym w:font="Wingdings" w:char="F0FC"/>
                  </w:r>
                </w:p>
              </w:tc>
              <w:tc>
                <w:tcPr>
                  <w:tcW w:w="284" w:type="pct"/>
                </w:tcPr>
                <w:p w14:paraId="0384A000" w14:textId="77777777" w:rsidR="0029279A" w:rsidRDefault="0029279A" w:rsidP="00E30DDE">
                  <w:pPr>
                    <w:pStyle w:val="TableBodyText"/>
                    <w:ind w:right="28"/>
                  </w:pPr>
                  <w:r>
                    <w:sym w:font="Wingdings" w:char="F0FC"/>
                  </w:r>
                </w:p>
              </w:tc>
              <w:tc>
                <w:tcPr>
                  <w:tcW w:w="280" w:type="pct"/>
                </w:tcPr>
                <w:p w14:paraId="11FAC53E" w14:textId="77777777" w:rsidR="0029279A" w:rsidRDefault="0029279A" w:rsidP="00E30DDE">
                  <w:pPr>
                    <w:pStyle w:val="TableBodyText"/>
                    <w:ind w:right="28"/>
                  </w:pPr>
                  <w:r>
                    <w:sym w:font="Wingdings" w:char="F0FC"/>
                  </w:r>
                </w:p>
              </w:tc>
            </w:tr>
            <w:tr w:rsidR="0029279A" w14:paraId="4397F7B4" w14:textId="77777777" w:rsidTr="000D6320">
              <w:tc>
                <w:tcPr>
                  <w:tcW w:w="2186" w:type="pct"/>
                </w:tcPr>
                <w:p w14:paraId="73A9126F" w14:textId="77777777" w:rsidR="0029279A" w:rsidRDefault="0029279A" w:rsidP="00E30DDE">
                  <w:pPr>
                    <w:pStyle w:val="TableBodyText"/>
                    <w:jc w:val="left"/>
                  </w:pPr>
                  <w:r>
                    <w:t>Request for data to data custodian</w:t>
                  </w:r>
                </w:p>
              </w:tc>
              <w:tc>
                <w:tcPr>
                  <w:tcW w:w="365" w:type="pct"/>
                </w:tcPr>
                <w:p w14:paraId="38352675" w14:textId="77777777" w:rsidR="0029279A" w:rsidRDefault="0029279A" w:rsidP="00E30DDE">
                  <w:pPr>
                    <w:pStyle w:val="TableBodyText"/>
                  </w:pPr>
                  <w:r>
                    <w:sym w:font="Wingdings" w:char="F0FC"/>
                  </w:r>
                </w:p>
              </w:tc>
              <w:tc>
                <w:tcPr>
                  <w:tcW w:w="284" w:type="pct"/>
                </w:tcPr>
                <w:p w14:paraId="6A113330" w14:textId="77777777" w:rsidR="0029279A" w:rsidRDefault="0029279A" w:rsidP="00E30DDE">
                  <w:pPr>
                    <w:pStyle w:val="TableBodyText"/>
                    <w:ind w:right="28"/>
                  </w:pPr>
                  <w:r>
                    <w:sym w:font="Wingdings" w:char="F0FC"/>
                  </w:r>
                </w:p>
              </w:tc>
              <w:tc>
                <w:tcPr>
                  <w:tcW w:w="284" w:type="pct"/>
                </w:tcPr>
                <w:p w14:paraId="30E5ACBA" w14:textId="77777777" w:rsidR="0029279A" w:rsidRDefault="0029279A" w:rsidP="00E30DDE">
                  <w:pPr>
                    <w:pStyle w:val="TableBodyText"/>
                    <w:ind w:right="28"/>
                  </w:pPr>
                  <w:r>
                    <w:sym w:font="Wingdings" w:char="F0FC"/>
                  </w:r>
                </w:p>
              </w:tc>
              <w:tc>
                <w:tcPr>
                  <w:tcW w:w="284" w:type="pct"/>
                </w:tcPr>
                <w:p w14:paraId="762031CF" w14:textId="77777777" w:rsidR="0029279A" w:rsidRDefault="0029279A" w:rsidP="00E30DDE">
                  <w:pPr>
                    <w:pStyle w:val="TableBodyText"/>
                    <w:ind w:right="28"/>
                  </w:pPr>
                  <w:r>
                    <w:sym w:font="Wingdings" w:char="F0FC"/>
                  </w:r>
                </w:p>
              </w:tc>
              <w:tc>
                <w:tcPr>
                  <w:tcW w:w="284" w:type="pct"/>
                </w:tcPr>
                <w:p w14:paraId="4C23D506" w14:textId="77777777" w:rsidR="0029279A" w:rsidRDefault="0029279A" w:rsidP="00E30DDE">
                  <w:pPr>
                    <w:pStyle w:val="TableBodyText"/>
                    <w:ind w:right="28"/>
                  </w:pPr>
                  <w:r>
                    <w:sym w:font="Wingdings" w:char="F0FC"/>
                  </w:r>
                </w:p>
              </w:tc>
              <w:tc>
                <w:tcPr>
                  <w:tcW w:w="284" w:type="pct"/>
                </w:tcPr>
                <w:p w14:paraId="15B02691" w14:textId="77777777" w:rsidR="0029279A" w:rsidRDefault="0029279A" w:rsidP="00E30DDE">
                  <w:pPr>
                    <w:pStyle w:val="TableBodyText"/>
                    <w:ind w:right="28"/>
                  </w:pPr>
                  <w:r>
                    <w:sym w:font="Wingdings" w:char="F0FC"/>
                  </w:r>
                </w:p>
              </w:tc>
              <w:tc>
                <w:tcPr>
                  <w:tcW w:w="284" w:type="pct"/>
                </w:tcPr>
                <w:p w14:paraId="21C444EC" w14:textId="77777777" w:rsidR="0029279A" w:rsidRDefault="0029279A" w:rsidP="00E30DDE">
                  <w:pPr>
                    <w:pStyle w:val="TableBodyText"/>
                    <w:ind w:right="28"/>
                  </w:pPr>
                  <w:r>
                    <w:sym w:font="Wingdings" w:char="F0FC"/>
                  </w:r>
                </w:p>
              </w:tc>
              <w:tc>
                <w:tcPr>
                  <w:tcW w:w="280" w:type="pct"/>
                </w:tcPr>
                <w:p w14:paraId="0194C6B6" w14:textId="77777777" w:rsidR="0029279A" w:rsidRDefault="0029279A" w:rsidP="00E30DDE">
                  <w:pPr>
                    <w:pStyle w:val="TableBodyText"/>
                    <w:ind w:right="28"/>
                  </w:pPr>
                  <w:r>
                    <w:sym w:font="Wingdings" w:char="F0FC"/>
                  </w:r>
                </w:p>
              </w:tc>
            </w:tr>
            <w:tr w:rsidR="0029279A" w14:paraId="6CABA791" w14:textId="77777777" w:rsidTr="000D6320">
              <w:tc>
                <w:tcPr>
                  <w:tcW w:w="2186" w:type="pct"/>
                </w:tcPr>
                <w:p w14:paraId="38068816" w14:textId="77777777" w:rsidR="0029279A" w:rsidRDefault="0029279A" w:rsidP="00E30DDE">
                  <w:pPr>
                    <w:pStyle w:val="TableBodyText"/>
                    <w:jc w:val="left"/>
                  </w:pPr>
                  <w:r>
                    <w:t>Data custodian approval (in-principle)</w:t>
                  </w:r>
                </w:p>
              </w:tc>
              <w:tc>
                <w:tcPr>
                  <w:tcW w:w="365" w:type="pct"/>
                </w:tcPr>
                <w:p w14:paraId="6D9F952C" w14:textId="77777777" w:rsidR="0029279A" w:rsidRDefault="0029279A" w:rsidP="00E30DDE">
                  <w:pPr>
                    <w:pStyle w:val="TableBodyText"/>
                  </w:pPr>
                  <w:r>
                    <w:sym w:font="Wingdings" w:char="F0FC"/>
                  </w:r>
                </w:p>
              </w:tc>
              <w:tc>
                <w:tcPr>
                  <w:tcW w:w="284" w:type="pct"/>
                </w:tcPr>
                <w:p w14:paraId="1E2AA961" w14:textId="77777777" w:rsidR="0029279A" w:rsidRDefault="0029279A" w:rsidP="00E30DDE">
                  <w:pPr>
                    <w:pStyle w:val="TableBodyText"/>
                    <w:ind w:right="28"/>
                  </w:pPr>
                  <w:r>
                    <w:sym w:font="Wingdings" w:char="F0FC"/>
                  </w:r>
                </w:p>
              </w:tc>
              <w:tc>
                <w:tcPr>
                  <w:tcW w:w="284" w:type="pct"/>
                </w:tcPr>
                <w:p w14:paraId="65B0B365" w14:textId="77777777" w:rsidR="0029279A" w:rsidRDefault="0029279A" w:rsidP="00E30DDE">
                  <w:pPr>
                    <w:pStyle w:val="TableBodyText"/>
                    <w:ind w:right="28"/>
                  </w:pPr>
                  <w:r>
                    <w:sym w:font="Wingdings" w:char="F0FC"/>
                  </w:r>
                </w:p>
              </w:tc>
              <w:tc>
                <w:tcPr>
                  <w:tcW w:w="284" w:type="pct"/>
                </w:tcPr>
                <w:p w14:paraId="46DF1CA2" w14:textId="77777777" w:rsidR="0029279A" w:rsidRDefault="0029279A" w:rsidP="00E30DDE">
                  <w:pPr>
                    <w:pStyle w:val="TableBodyText"/>
                    <w:ind w:right="28"/>
                  </w:pPr>
                  <w:r>
                    <w:sym w:font="Wingdings" w:char="F0FC"/>
                  </w:r>
                </w:p>
              </w:tc>
              <w:tc>
                <w:tcPr>
                  <w:tcW w:w="284" w:type="pct"/>
                </w:tcPr>
                <w:p w14:paraId="785A3EC0" w14:textId="77777777" w:rsidR="0029279A" w:rsidRDefault="0029279A" w:rsidP="00E30DDE">
                  <w:pPr>
                    <w:pStyle w:val="TableBodyText"/>
                    <w:ind w:right="28"/>
                  </w:pPr>
                  <w:r>
                    <w:sym w:font="Wingdings" w:char="F0FC"/>
                  </w:r>
                </w:p>
              </w:tc>
              <w:tc>
                <w:tcPr>
                  <w:tcW w:w="284" w:type="pct"/>
                </w:tcPr>
                <w:p w14:paraId="39264C07" w14:textId="77777777" w:rsidR="0029279A" w:rsidRDefault="0029279A" w:rsidP="00E30DDE">
                  <w:pPr>
                    <w:pStyle w:val="TableBodyText"/>
                    <w:ind w:right="28"/>
                  </w:pPr>
                  <w:r>
                    <w:sym w:font="Wingdings" w:char="F0FC"/>
                  </w:r>
                </w:p>
              </w:tc>
              <w:tc>
                <w:tcPr>
                  <w:tcW w:w="284" w:type="pct"/>
                </w:tcPr>
                <w:p w14:paraId="0D3F8130" w14:textId="77777777" w:rsidR="0029279A" w:rsidRDefault="0029279A" w:rsidP="00E30DDE">
                  <w:pPr>
                    <w:pStyle w:val="TableBodyText"/>
                    <w:ind w:right="28"/>
                  </w:pPr>
                  <w:r>
                    <w:sym w:font="Wingdings" w:char="F0FC"/>
                  </w:r>
                </w:p>
              </w:tc>
              <w:tc>
                <w:tcPr>
                  <w:tcW w:w="280" w:type="pct"/>
                </w:tcPr>
                <w:p w14:paraId="584BBD57" w14:textId="77777777" w:rsidR="0029279A" w:rsidRDefault="0029279A" w:rsidP="00E30DDE">
                  <w:pPr>
                    <w:pStyle w:val="TableBodyText"/>
                    <w:ind w:right="28"/>
                  </w:pPr>
                  <w:r>
                    <w:sym w:font="Wingdings" w:char="F0FC"/>
                  </w:r>
                </w:p>
              </w:tc>
            </w:tr>
            <w:tr w:rsidR="0029279A" w14:paraId="159BF7D2" w14:textId="77777777" w:rsidTr="000D6320">
              <w:tc>
                <w:tcPr>
                  <w:tcW w:w="2186" w:type="pct"/>
                </w:tcPr>
                <w:p w14:paraId="10485446" w14:textId="77777777" w:rsidR="0029279A" w:rsidRDefault="0029279A" w:rsidP="00E30DDE">
                  <w:pPr>
                    <w:pStyle w:val="TableBodyText"/>
                    <w:jc w:val="left"/>
                  </w:pPr>
                  <w:r>
                    <w:t xml:space="preserve">Contract or </w:t>
                  </w:r>
                  <w:proofErr w:type="spellStart"/>
                  <w:r>
                    <w:t>MoU</w:t>
                  </w:r>
                  <w:proofErr w:type="spellEnd"/>
                  <w:r>
                    <w:t xml:space="preserve"> required</w:t>
                  </w:r>
                </w:p>
              </w:tc>
              <w:tc>
                <w:tcPr>
                  <w:tcW w:w="365" w:type="pct"/>
                </w:tcPr>
                <w:p w14:paraId="41D5B8CD" w14:textId="77777777" w:rsidR="0029279A" w:rsidRDefault="0029279A" w:rsidP="00E30DDE">
                  <w:pPr>
                    <w:pStyle w:val="TableBodyText"/>
                  </w:pPr>
                  <w:r>
                    <w:sym w:font="Wingdings" w:char="F0FC"/>
                  </w:r>
                </w:p>
              </w:tc>
              <w:tc>
                <w:tcPr>
                  <w:tcW w:w="284" w:type="pct"/>
                </w:tcPr>
                <w:p w14:paraId="3F1F733B" w14:textId="77777777" w:rsidR="0029279A" w:rsidRDefault="0029279A" w:rsidP="00E30DDE">
                  <w:pPr>
                    <w:pStyle w:val="TableBodyText"/>
                    <w:ind w:right="28"/>
                  </w:pPr>
                  <w:r>
                    <w:t>*</w:t>
                  </w:r>
                </w:p>
              </w:tc>
              <w:tc>
                <w:tcPr>
                  <w:tcW w:w="284" w:type="pct"/>
                </w:tcPr>
                <w:p w14:paraId="34946158" w14:textId="77777777" w:rsidR="0029279A" w:rsidRDefault="0029279A" w:rsidP="00E30DDE">
                  <w:pPr>
                    <w:pStyle w:val="TableBodyText"/>
                    <w:ind w:right="28"/>
                  </w:pPr>
                  <w:r>
                    <w:t>*</w:t>
                  </w:r>
                </w:p>
              </w:tc>
              <w:tc>
                <w:tcPr>
                  <w:tcW w:w="284" w:type="pct"/>
                </w:tcPr>
                <w:p w14:paraId="3B674EAD" w14:textId="77777777" w:rsidR="0029279A" w:rsidRDefault="0029279A" w:rsidP="00E30DDE">
                  <w:pPr>
                    <w:pStyle w:val="TableBodyText"/>
                    <w:ind w:right="28"/>
                  </w:pPr>
                  <w:r>
                    <w:t>*</w:t>
                  </w:r>
                </w:p>
              </w:tc>
              <w:tc>
                <w:tcPr>
                  <w:tcW w:w="284" w:type="pct"/>
                </w:tcPr>
                <w:p w14:paraId="0542174C" w14:textId="77777777" w:rsidR="0029279A" w:rsidRDefault="0029279A" w:rsidP="00E30DDE">
                  <w:pPr>
                    <w:pStyle w:val="TableBodyText"/>
                    <w:ind w:right="28"/>
                  </w:pPr>
                  <w:r>
                    <w:t>*</w:t>
                  </w:r>
                </w:p>
              </w:tc>
              <w:tc>
                <w:tcPr>
                  <w:tcW w:w="284" w:type="pct"/>
                </w:tcPr>
                <w:p w14:paraId="538466EC" w14:textId="77777777" w:rsidR="0029279A" w:rsidRDefault="0029279A" w:rsidP="00E30DDE">
                  <w:pPr>
                    <w:pStyle w:val="TableBodyText"/>
                    <w:ind w:right="28"/>
                  </w:pPr>
                  <w:r>
                    <w:t>*</w:t>
                  </w:r>
                </w:p>
              </w:tc>
              <w:tc>
                <w:tcPr>
                  <w:tcW w:w="284" w:type="pct"/>
                </w:tcPr>
                <w:p w14:paraId="196D3AF0" w14:textId="77777777" w:rsidR="0029279A" w:rsidRDefault="0029279A" w:rsidP="00E30DDE">
                  <w:pPr>
                    <w:pStyle w:val="TableBodyText"/>
                    <w:ind w:right="28"/>
                  </w:pPr>
                  <w:r>
                    <w:t>*</w:t>
                  </w:r>
                </w:p>
              </w:tc>
              <w:tc>
                <w:tcPr>
                  <w:tcW w:w="280" w:type="pct"/>
                </w:tcPr>
                <w:p w14:paraId="0E7ABC71" w14:textId="77777777" w:rsidR="0029279A" w:rsidRDefault="0029279A" w:rsidP="00E30DDE">
                  <w:pPr>
                    <w:pStyle w:val="TableBodyText"/>
                    <w:ind w:right="28"/>
                  </w:pPr>
                  <w:r>
                    <w:t>*</w:t>
                  </w:r>
                </w:p>
              </w:tc>
            </w:tr>
            <w:tr w:rsidR="0029279A" w14:paraId="5B0C41D7" w14:textId="77777777" w:rsidTr="000D6320">
              <w:tc>
                <w:tcPr>
                  <w:tcW w:w="2186" w:type="pct"/>
                </w:tcPr>
                <w:p w14:paraId="1B7EF2AE" w14:textId="77777777" w:rsidR="0029279A" w:rsidRDefault="0029279A" w:rsidP="00E30DDE">
                  <w:pPr>
                    <w:pStyle w:val="TableBodyText"/>
                    <w:jc w:val="left"/>
                  </w:pPr>
                  <w:r>
                    <w:t>Data held by jurisdictional linkage unit</w:t>
                  </w:r>
                </w:p>
              </w:tc>
              <w:tc>
                <w:tcPr>
                  <w:tcW w:w="365" w:type="pct"/>
                </w:tcPr>
                <w:p w14:paraId="7030CA4F" w14:textId="77777777" w:rsidR="0029279A" w:rsidRDefault="0029279A" w:rsidP="00E30DDE">
                  <w:pPr>
                    <w:pStyle w:val="TableBodyText"/>
                  </w:pPr>
                  <w:r>
                    <w:sym w:font="Wingdings" w:char="F0FC"/>
                  </w:r>
                </w:p>
              </w:tc>
              <w:tc>
                <w:tcPr>
                  <w:tcW w:w="284" w:type="pct"/>
                </w:tcPr>
                <w:p w14:paraId="1ACE3562" w14:textId="77777777" w:rsidR="0029279A" w:rsidRDefault="0029279A" w:rsidP="00E30DDE">
                  <w:pPr>
                    <w:pStyle w:val="TableBodyText"/>
                    <w:ind w:right="28"/>
                  </w:pPr>
                  <w:r>
                    <w:sym w:font="Wingdings" w:char="F0FC"/>
                  </w:r>
                </w:p>
              </w:tc>
              <w:tc>
                <w:tcPr>
                  <w:tcW w:w="284" w:type="pct"/>
                </w:tcPr>
                <w:p w14:paraId="73E2ADAA" w14:textId="77777777" w:rsidR="0029279A" w:rsidRDefault="0029279A" w:rsidP="00E30DDE">
                  <w:pPr>
                    <w:pStyle w:val="TableBodyText"/>
                    <w:ind w:right="28"/>
                  </w:pPr>
                  <w:r>
                    <w:sym w:font="Wingdings" w:char="F0FC"/>
                  </w:r>
                </w:p>
              </w:tc>
              <w:tc>
                <w:tcPr>
                  <w:tcW w:w="284" w:type="pct"/>
                </w:tcPr>
                <w:p w14:paraId="5A2D5462" w14:textId="77777777" w:rsidR="0029279A" w:rsidRDefault="0029279A" w:rsidP="00E30DDE">
                  <w:pPr>
                    <w:pStyle w:val="TableBodyText"/>
                    <w:ind w:right="28"/>
                  </w:pPr>
                  <w:r>
                    <w:sym w:font="Wingdings" w:char="F0FC"/>
                  </w:r>
                </w:p>
              </w:tc>
              <w:tc>
                <w:tcPr>
                  <w:tcW w:w="284" w:type="pct"/>
                </w:tcPr>
                <w:p w14:paraId="180B1696" w14:textId="77777777" w:rsidR="0029279A" w:rsidRDefault="0029279A" w:rsidP="00E30DDE">
                  <w:pPr>
                    <w:pStyle w:val="TableBodyText"/>
                    <w:ind w:right="28"/>
                  </w:pPr>
                  <w:r>
                    <w:sym w:font="Wingdings" w:char="F0FC"/>
                  </w:r>
                </w:p>
              </w:tc>
              <w:tc>
                <w:tcPr>
                  <w:tcW w:w="284" w:type="pct"/>
                </w:tcPr>
                <w:p w14:paraId="7C6E29F1" w14:textId="77777777" w:rsidR="0029279A" w:rsidRDefault="0029279A" w:rsidP="00E30DDE">
                  <w:pPr>
                    <w:pStyle w:val="TableBodyText"/>
                    <w:ind w:right="28"/>
                  </w:pPr>
                  <w:r>
                    <w:sym w:font="Wingdings" w:char="F0FC"/>
                  </w:r>
                </w:p>
              </w:tc>
              <w:tc>
                <w:tcPr>
                  <w:tcW w:w="284" w:type="pct"/>
                </w:tcPr>
                <w:p w14:paraId="294BFE42" w14:textId="77777777" w:rsidR="0029279A" w:rsidRDefault="0029279A" w:rsidP="00E30DDE">
                  <w:pPr>
                    <w:pStyle w:val="TableBodyText"/>
                    <w:ind w:right="28"/>
                  </w:pPr>
                  <w:r>
                    <w:sym w:font="Wingdings" w:char="F0FC"/>
                  </w:r>
                </w:p>
              </w:tc>
              <w:tc>
                <w:tcPr>
                  <w:tcW w:w="280" w:type="pct"/>
                </w:tcPr>
                <w:p w14:paraId="6365FF9E" w14:textId="77777777" w:rsidR="0029279A" w:rsidRDefault="0029279A" w:rsidP="00E30DDE">
                  <w:pPr>
                    <w:pStyle w:val="TableBodyText"/>
                    <w:ind w:right="28"/>
                  </w:pPr>
                  <w:r>
                    <w:sym w:font="Wingdings" w:char="F0FC"/>
                  </w:r>
                </w:p>
              </w:tc>
            </w:tr>
            <w:tr w:rsidR="0029279A" w14:paraId="7BAF2785" w14:textId="77777777" w:rsidTr="000D6320">
              <w:tc>
                <w:tcPr>
                  <w:tcW w:w="2186" w:type="pct"/>
                </w:tcPr>
                <w:p w14:paraId="0046AF19" w14:textId="77777777" w:rsidR="0029279A" w:rsidRDefault="0029279A" w:rsidP="00E30DDE">
                  <w:pPr>
                    <w:pStyle w:val="TableBodyText"/>
                    <w:jc w:val="left"/>
                  </w:pPr>
                  <w:r>
                    <w:t>Brokerage available by linkage unit</w:t>
                  </w:r>
                </w:p>
              </w:tc>
              <w:tc>
                <w:tcPr>
                  <w:tcW w:w="365" w:type="pct"/>
                </w:tcPr>
                <w:p w14:paraId="32B80B54" w14:textId="77777777" w:rsidR="0029279A" w:rsidRDefault="0029279A" w:rsidP="00E30DDE">
                  <w:pPr>
                    <w:pStyle w:val="TableBodyText"/>
                  </w:pPr>
                  <w:r>
                    <w:sym w:font="Wingdings" w:char="F0FC"/>
                  </w:r>
                </w:p>
              </w:tc>
              <w:tc>
                <w:tcPr>
                  <w:tcW w:w="284" w:type="pct"/>
                </w:tcPr>
                <w:p w14:paraId="599766AA" w14:textId="77777777" w:rsidR="0029279A" w:rsidRDefault="0029279A" w:rsidP="00E30DDE">
                  <w:pPr>
                    <w:pStyle w:val="TableBodyText"/>
                    <w:ind w:right="28"/>
                  </w:pPr>
                </w:p>
              </w:tc>
              <w:tc>
                <w:tcPr>
                  <w:tcW w:w="284" w:type="pct"/>
                </w:tcPr>
                <w:p w14:paraId="204A651F" w14:textId="77777777" w:rsidR="0029279A" w:rsidRDefault="0029279A" w:rsidP="00E30DDE">
                  <w:pPr>
                    <w:pStyle w:val="TableBodyText"/>
                    <w:ind w:right="28"/>
                  </w:pPr>
                </w:p>
              </w:tc>
              <w:tc>
                <w:tcPr>
                  <w:tcW w:w="284" w:type="pct"/>
                </w:tcPr>
                <w:p w14:paraId="6116162D" w14:textId="77777777" w:rsidR="0029279A" w:rsidRDefault="0029279A" w:rsidP="00E30DDE">
                  <w:pPr>
                    <w:pStyle w:val="TableBodyText"/>
                    <w:ind w:right="28"/>
                  </w:pPr>
                  <w:r>
                    <w:sym w:font="Wingdings" w:char="F0FC"/>
                  </w:r>
                </w:p>
              </w:tc>
              <w:tc>
                <w:tcPr>
                  <w:tcW w:w="284" w:type="pct"/>
                </w:tcPr>
                <w:p w14:paraId="275D93DE" w14:textId="77777777" w:rsidR="0029279A" w:rsidRDefault="0029279A" w:rsidP="00E30DDE">
                  <w:pPr>
                    <w:pStyle w:val="TableBodyText"/>
                    <w:ind w:right="28"/>
                  </w:pPr>
                  <w:r>
                    <w:sym w:font="Wingdings" w:char="F0FC"/>
                  </w:r>
                </w:p>
              </w:tc>
              <w:tc>
                <w:tcPr>
                  <w:tcW w:w="284" w:type="pct"/>
                </w:tcPr>
                <w:p w14:paraId="4BFE651E" w14:textId="77777777" w:rsidR="0029279A" w:rsidRDefault="0029279A" w:rsidP="00E30DDE">
                  <w:pPr>
                    <w:pStyle w:val="TableBodyText"/>
                    <w:ind w:right="28"/>
                  </w:pPr>
                </w:p>
              </w:tc>
              <w:tc>
                <w:tcPr>
                  <w:tcW w:w="284" w:type="pct"/>
                </w:tcPr>
                <w:p w14:paraId="797A15F3" w14:textId="77777777" w:rsidR="0029279A" w:rsidRDefault="0029279A" w:rsidP="00E30DDE">
                  <w:pPr>
                    <w:pStyle w:val="TableBodyText"/>
                    <w:ind w:right="28"/>
                  </w:pPr>
                </w:p>
              </w:tc>
              <w:tc>
                <w:tcPr>
                  <w:tcW w:w="280" w:type="pct"/>
                </w:tcPr>
                <w:p w14:paraId="5BA8F440" w14:textId="77777777" w:rsidR="0029279A" w:rsidRDefault="0029279A" w:rsidP="00E30DDE">
                  <w:pPr>
                    <w:pStyle w:val="TableBodyText"/>
                    <w:ind w:right="28"/>
                  </w:pPr>
                  <w:r>
                    <w:sym w:font="Wingdings" w:char="F0FC"/>
                  </w:r>
                </w:p>
              </w:tc>
            </w:tr>
            <w:tr w:rsidR="0029279A" w14:paraId="6A774DC7" w14:textId="77777777" w:rsidTr="000D6320">
              <w:tc>
                <w:tcPr>
                  <w:tcW w:w="2186" w:type="pct"/>
                </w:tcPr>
                <w:p w14:paraId="098C0537" w14:textId="77777777" w:rsidR="0029279A" w:rsidRDefault="0029279A" w:rsidP="00E30DDE">
                  <w:pPr>
                    <w:pStyle w:val="TableBodyText"/>
                    <w:jc w:val="left"/>
                  </w:pPr>
                </w:p>
              </w:tc>
              <w:tc>
                <w:tcPr>
                  <w:tcW w:w="365" w:type="pct"/>
                </w:tcPr>
                <w:p w14:paraId="5BB0D809" w14:textId="77777777" w:rsidR="0029279A" w:rsidRDefault="0029279A" w:rsidP="00E30DDE">
                  <w:pPr>
                    <w:pStyle w:val="TableBodyText"/>
                  </w:pPr>
                </w:p>
              </w:tc>
              <w:tc>
                <w:tcPr>
                  <w:tcW w:w="284" w:type="pct"/>
                </w:tcPr>
                <w:p w14:paraId="2A5CAEEE" w14:textId="77777777" w:rsidR="0029279A" w:rsidRDefault="0029279A" w:rsidP="00E30DDE">
                  <w:pPr>
                    <w:pStyle w:val="TableBodyText"/>
                    <w:ind w:right="28"/>
                  </w:pPr>
                </w:p>
              </w:tc>
              <w:tc>
                <w:tcPr>
                  <w:tcW w:w="284" w:type="pct"/>
                </w:tcPr>
                <w:p w14:paraId="40AFBC40" w14:textId="77777777" w:rsidR="0029279A" w:rsidRDefault="0029279A" w:rsidP="00E30DDE">
                  <w:pPr>
                    <w:pStyle w:val="TableBodyText"/>
                    <w:ind w:right="28"/>
                  </w:pPr>
                </w:p>
              </w:tc>
              <w:tc>
                <w:tcPr>
                  <w:tcW w:w="284" w:type="pct"/>
                </w:tcPr>
                <w:p w14:paraId="30D5AA49" w14:textId="77777777" w:rsidR="0029279A" w:rsidRDefault="0029279A" w:rsidP="00E30DDE">
                  <w:pPr>
                    <w:pStyle w:val="TableBodyText"/>
                    <w:ind w:right="28"/>
                  </w:pPr>
                </w:p>
              </w:tc>
              <w:tc>
                <w:tcPr>
                  <w:tcW w:w="284" w:type="pct"/>
                </w:tcPr>
                <w:p w14:paraId="0FF26D7E" w14:textId="77777777" w:rsidR="0029279A" w:rsidRDefault="0029279A" w:rsidP="00E30DDE">
                  <w:pPr>
                    <w:pStyle w:val="TableBodyText"/>
                    <w:ind w:right="28"/>
                  </w:pPr>
                </w:p>
              </w:tc>
              <w:tc>
                <w:tcPr>
                  <w:tcW w:w="284" w:type="pct"/>
                </w:tcPr>
                <w:p w14:paraId="625F2C60" w14:textId="77777777" w:rsidR="0029279A" w:rsidRDefault="0029279A" w:rsidP="00E30DDE">
                  <w:pPr>
                    <w:pStyle w:val="TableBodyText"/>
                    <w:ind w:right="28"/>
                  </w:pPr>
                </w:p>
              </w:tc>
              <w:tc>
                <w:tcPr>
                  <w:tcW w:w="284" w:type="pct"/>
                </w:tcPr>
                <w:p w14:paraId="78364227" w14:textId="77777777" w:rsidR="0029279A" w:rsidRDefault="0029279A" w:rsidP="00E30DDE">
                  <w:pPr>
                    <w:pStyle w:val="TableBodyText"/>
                    <w:ind w:right="28"/>
                  </w:pPr>
                </w:p>
              </w:tc>
              <w:tc>
                <w:tcPr>
                  <w:tcW w:w="280" w:type="pct"/>
                </w:tcPr>
                <w:p w14:paraId="5494C5DB" w14:textId="77777777" w:rsidR="0029279A" w:rsidRDefault="0029279A" w:rsidP="00E30DDE">
                  <w:pPr>
                    <w:pStyle w:val="TableBodyText"/>
                    <w:ind w:right="28"/>
                  </w:pPr>
                </w:p>
              </w:tc>
            </w:tr>
            <w:tr w:rsidR="0029279A" w14:paraId="4C694961" w14:textId="77777777" w:rsidTr="000D6320">
              <w:trPr>
                <w:tblHeader/>
              </w:trPr>
              <w:tc>
                <w:tcPr>
                  <w:tcW w:w="2186" w:type="pct"/>
                  <w:tcBorders>
                    <w:top w:val="single" w:sz="6" w:space="0" w:color="BFBFBF"/>
                    <w:bottom w:val="single" w:sz="6" w:space="0" w:color="BFBFBF"/>
                  </w:tcBorders>
                  <w:shd w:val="clear" w:color="auto" w:fill="auto"/>
                  <w:tcMar>
                    <w:top w:w="28" w:type="dxa"/>
                  </w:tcMar>
                </w:tcPr>
                <w:p w14:paraId="7DEFC8B8" w14:textId="77777777" w:rsidR="0029279A" w:rsidRDefault="0029279A" w:rsidP="00E30DDE">
                  <w:pPr>
                    <w:pStyle w:val="TableColumnHeading"/>
                    <w:jc w:val="left"/>
                  </w:pPr>
                  <w:r>
                    <w:t>Births data</w:t>
                  </w:r>
                </w:p>
              </w:tc>
              <w:tc>
                <w:tcPr>
                  <w:tcW w:w="365" w:type="pct"/>
                  <w:tcBorders>
                    <w:top w:val="single" w:sz="6" w:space="0" w:color="BFBFBF"/>
                    <w:bottom w:val="single" w:sz="6" w:space="0" w:color="BFBFBF"/>
                  </w:tcBorders>
                  <w:shd w:val="clear" w:color="auto" w:fill="auto"/>
                  <w:tcMar>
                    <w:top w:w="28" w:type="dxa"/>
                  </w:tcMar>
                </w:tcPr>
                <w:p w14:paraId="72F43D97" w14:textId="77777777" w:rsidR="0029279A" w:rsidRDefault="0029279A" w:rsidP="00E30DDE">
                  <w:pPr>
                    <w:pStyle w:val="TableColumnHeading"/>
                  </w:pPr>
                </w:p>
              </w:tc>
              <w:tc>
                <w:tcPr>
                  <w:tcW w:w="284" w:type="pct"/>
                  <w:tcBorders>
                    <w:top w:val="single" w:sz="6" w:space="0" w:color="BFBFBF"/>
                    <w:bottom w:val="single" w:sz="6" w:space="0" w:color="BFBFBF"/>
                  </w:tcBorders>
                  <w:shd w:val="clear" w:color="auto" w:fill="auto"/>
                  <w:tcMar>
                    <w:top w:w="28" w:type="dxa"/>
                  </w:tcMar>
                </w:tcPr>
                <w:p w14:paraId="1EEBC8B6" w14:textId="77777777" w:rsidR="0029279A" w:rsidRDefault="0029279A" w:rsidP="00E30DDE">
                  <w:pPr>
                    <w:pStyle w:val="TableColumnHeading"/>
                    <w:ind w:right="28"/>
                  </w:pPr>
                </w:p>
              </w:tc>
              <w:tc>
                <w:tcPr>
                  <w:tcW w:w="284" w:type="pct"/>
                  <w:tcBorders>
                    <w:top w:val="single" w:sz="6" w:space="0" w:color="BFBFBF"/>
                    <w:bottom w:val="single" w:sz="6" w:space="0" w:color="BFBFBF"/>
                  </w:tcBorders>
                </w:tcPr>
                <w:p w14:paraId="567FB586" w14:textId="77777777" w:rsidR="0029279A" w:rsidRDefault="0029279A" w:rsidP="00E30DDE">
                  <w:pPr>
                    <w:pStyle w:val="TableColumnHeading"/>
                    <w:ind w:right="28"/>
                  </w:pPr>
                </w:p>
              </w:tc>
              <w:tc>
                <w:tcPr>
                  <w:tcW w:w="284" w:type="pct"/>
                  <w:tcBorders>
                    <w:top w:val="single" w:sz="6" w:space="0" w:color="BFBFBF"/>
                    <w:bottom w:val="single" w:sz="6" w:space="0" w:color="BFBFBF"/>
                  </w:tcBorders>
                </w:tcPr>
                <w:p w14:paraId="7C63B37D" w14:textId="77777777" w:rsidR="0029279A" w:rsidRDefault="0029279A" w:rsidP="00E30DDE">
                  <w:pPr>
                    <w:pStyle w:val="TableColumnHeading"/>
                    <w:ind w:right="28"/>
                  </w:pPr>
                </w:p>
              </w:tc>
              <w:tc>
                <w:tcPr>
                  <w:tcW w:w="284" w:type="pct"/>
                  <w:tcBorders>
                    <w:top w:val="single" w:sz="6" w:space="0" w:color="BFBFBF"/>
                    <w:bottom w:val="single" w:sz="6" w:space="0" w:color="BFBFBF"/>
                  </w:tcBorders>
                </w:tcPr>
                <w:p w14:paraId="17E9AC23" w14:textId="77777777" w:rsidR="0029279A" w:rsidRDefault="0029279A" w:rsidP="00E30DDE">
                  <w:pPr>
                    <w:pStyle w:val="TableColumnHeading"/>
                    <w:ind w:right="28"/>
                  </w:pPr>
                </w:p>
              </w:tc>
              <w:tc>
                <w:tcPr>
                  <w:tcW w:w="284" w:type="pct"/>
                  <w:tcBorders>
                    <w:top w:val="single" w:sz="6" w:space="0" w:color="BFBFBF"/>
                    <w:bottom w:val="single" w:sz="6" w:space="0" w:color="BFBFBF"/>
                  </w:tcBorders>
                </w:tcPr>
                <w:p w14:paraId="7A7D7994" w14:textId="77777777" w:rsidR="0029279A" w:rsidRDefault="0029279A" w:rsidP="00E30DDE">
                  <w:pPr>
                    <w:pStyle w:val="TableColumnHeading"/>
                    <w:ind w:right="28"/>
                  </w:pPr>
                </w:p>
              </w:tc>
              <w:tc>
                <w:tcPr>
                  <w:tcW w:w="284" w:type="pct"/>
                  <w:tcBorders>
                    <w:top w:val="single" w:sz="6" w:space="0" w:color="BFBFBF"/>
                    <w:bottom w:val="single" w:sz="6" w:space="0" w:color="BFBFBF"/>
                  </w:tcBorders>
                </w:tcPr>
                <w:p w14:paraId="3AAE0BD1" w14:textId="77777777" w:rsidR="0029279A" w:rsidRDefault="0029279A" w:rsidP="00E30DDE">
                  <w:pPr>
                    <w:pStyle w:val="TableColumnHeading"/>
                    <w:ind w:right="28"/>
                  </w:pPr>
                </w:p>
              </w:tc>
              <w:tc>
                <w:tcPr>
                  <w:tcW w:w="280" w:type="pct"/>
                  <w:tcBorders>
                    <w:top w:val="single" w:sz="6" w:space="0" w:color="BFBFBF"/>
                    <w:bottom w:val="single" w:sz="6" w:space="0" w:color="BFBFBF"/>
                  </w:tcBorders>
                </w:tcPr>
                <w:p w14:paraId="42081DBA" w14:textId="77777777" w:rsidR="0029279A" w:rsidRDefault="0029279A" w:rsidP="00E30DDE">
                  <w:pPr>
                    <w:pStyle w:val="TableColumnHeading"/>
                    <w:ind w:right="28"/>
                  </w:pPr>
                </w:p>
              </w:tc>
            </w:tr>
            <w:tr w:rsidR="0029279A" w:rsidRPr="007213B3" w14:paraId="781276B3" w14:textId="77777777" w:rsidTr="000D6320">
              <w:tc>
                <w:tcPr>
                  <w:tcW w:w="2186" w:type="pct"/>
                  <w:tcBorders>
                    <w:top w:val="single" w:sz="6" w:space="0" w:color="BFBFBF"/>
                  </w:tcBorders>
                </w:tcPr>
                <w:p w14:paraId="7E30DBC9" w14:textId="77777777" w:rsidR="0029279A" w:rsidRPr="007213B3" w:rsidRDefault="0029279A" w:rsidP="00E30DDE">
                  <w:pPr>
                    <w:pStyle w:val="TableUnitsRow"/>
                    <w:jc w:val="left"/>
                    <w:rPr>
                      <w:b/>
                    </w:rPr>
                  </w:pPr>
                  <w:r w:rsidRPr="007213B3">
                    <w:rPr>
                      <w:b/>
                    </w:rPr>
                    <w:t>Mandatory requirements</w:t>
                  </w:r>
                </w:p>
              </w:tc>
              <w:tc>
                <w:tcPr>
                  <w:tcW w:w="365" w:type="pct"/>
                  <w:tcBorders>
                    <w:top w:val="single" w:sz="6" w:space="0" w:color="BFBFBF"/>
                  </w:tcBorders>
                </w:tcPr>
                <w:p w14:paraId="336CAE26" w14:textId="77777777" w:rsidR="0029279A" w:rsidRPr="007213B3" w:rsidRDefault="0029279A" w:rsidP="00E30DDE">
                  <w:pPr>
                    <w:pStyle w:val="TableUnitsRow"/>
                    <w:rPr>
                      <w:b/>
                    </w:rPr>
                  </w:pPr>
                </w:p>
              </w:tc>
              <w:tc>
                <w:tcPr>
                  <w:tcW w:w="284" w:type="pct"/>
                  <w:tcBorders>
                    <w:top w:val="single" w:sz="6" w:space="0" w:color="BFBFBF"/>
                  </w:tcBorders>
                </w:tcPr>
                <w:p w14:paraId="6B61B282" w14:textId="77777777" w:rsidR="0029279A" w:rsidRPr="007213B3" w:rsidRDefault="0029279A" w:rsidP="00E30DDE">
                  <w:pPr>
                    <w:pStyle w:val="TableUnitsRow"/>
                    <w:ind w:right="28"/>
                    <w:rPr>
                      <w:b/>
                    </w:rPr>
                  </w:pPr>
                </w:p>
              </w:tc>
              <w:tc>
                <w:tcPr>
                  <w:tcW w:w="284" w:type="pct"/>
                  <w:tcBorders>
                    <w:top w:val="single" w:sz="6" w:space="0" w:color="BFBFBF"/>
                  </w:tcBorders>
                </w:tcPr>
                <w:p w14:paraId="1E0A02BD" w14:textId="77777777" w:rsidR="0029279A" w:rsidRPr="007213B3" w:rsidRDefault="0029279A" w:rsidP="00E30DDE">
                  <w:pPr>
                    <w:pStyle w:val="TableUnitsRow"/>
                    <w:ind w:right="28"/>
                    <w:rPr>
                      <w:b/>
                    </w:rPr>
                  </w:pPr>
                </w:p>
              </w:tc>
              <w:tc>
                <w:tcPr>
                  <w:tcW w:w="284" w:type="pct"/>
                  <w:tcBorders>
                    <w:top w:val="single" w:sz="6" w:space="0" w:color="BFBFBF"/>
                  </w:tcBorders>
                </w:tcPr>
                <w:p w14:paraId="0117DA84" w14:textId="77777777" w:rsidR="0029279A" w:rsidRPr="007213B3" w:rsidRDefault="0029279A" w:rsidP="00E30DDE">
                  <w:pPr>
                    <w:pStyle w:val="TableUnitsRow"/>
                    <w:ind w:right="28"/>
                    <w:rPr>
                      <w:b/>
                    </w:rPr>
                  </w:pPr>
                </w:p>
              </w:tc>
              <w:tc>
                <w:tcPr>
                  <w:tcW w:w="284" w:type="pct"/>
                  <w:tcBorders>
                    <w:top w:val="single" w:sz="6" w:space="0" w:color="BFBFBF"/>
                  </w:tcBorders>
                </w:tcPr>
                <w:p w14:paraId="0B26A2DE" w14:textId="77777777" w:rsidR="0029279A" w:rsidRPr="007213B3" w:rsidRDefault="0029279A" w:rsidP="00E30DDE">
                  <w:pPr>
                    <w:pStyle w:val="TableUnitsRow"/>
                    <w:ind w:right="28"/>
                    <w:rPr>
                      <w:b/>
                    </w:rPr>
                  </w:pPr>
                </w:p>
              </w:tc>
              <w:tc>
                <w:tcPr>
                  <w:tcW w:w="284" w:type="pct"/>
                  <w:tcBorders>
                    <w:top w:val="single" w:sz="6" w:space="0" w:color="BFBFBF"/>
                  </w:tcBorders>
                </w:tcPr>
                <w:p w14:paraId="6442D8DE" w14:textId="77777777" w:rsidR="0029279A" w:rsidRPr="007213B3" w:rsidRDefault="0029279A" w:rsidP="00E30DDE">
                  <w:pPr>
                    <w:pStyle w:val="TableUnitsRow"/>
                    <w:ind w:right="28"/>
                    <w:rPr>
                      <w:b/>
                    </w:rPr>
                  </w:pPr>
                </w:p>
              </w:tc>
              <w:tc>
                <w:tcPr>
                  <w:tcW w:w="284" w:type="pct"/>
                  <w:tcBorders>
                    <w:top w:val="single" w:sz="6" w:space="0" w:color="BFBFBF"/>
                  </w:tcBorders>
                </w:tcPr>
                <w:p w14:paraId="7386A728" w14:textId="77777777" w:rsidR="0029279A" w:rsidRPr="007213B3" w:rsidRDefault="0029279A" w:rsidP="00E30DDE">
                  <w:pPr>
                    <w:pStyle w:val="TableUnitsRow"/>
                    <w:ind w:right="28"/>
                    <w:rPr>
                      <w:b/>
                    </w:rPr>
                  </w:pPr>
                </w:p>
              </w:tc>
              <w:tc>
                <w:tcPr>
                  <w:tcW w:w="280" w:type="pct"/>
                  <w:tcBorders>
                    <w:top w:val="single" w:sz="6" w:space="0" w:color="BFBFBF"/>
                  </w:tcBorders>
                </w:tcPr>
                <w:p w14:paraId="0FC79E59" w14:textId="77777777" w:rsidR="0029279A" w:rsidRPr="007213B3" w:rsidRDefault="0029279A" w:rsidP="00E30DDE">
                  <w:pPr>
                    <w:pStyle w:val="TableUnitsRow"/>
                    <w:ind w:right="28"/>
                    <w:rPr>
                      <w:b/>
                    </w:rPr>
                  </w:pPr>
                </w:p>
              </w:tc>
            </w:tr>
            <w:tr w:rsidR="0029279A" w14:paraId="59C04D4D" w14:textId="77777777" w:rsidTr="000D6320">
              <w:tc>
                <w:tcPr>
                  <w:tcW w:w="2186" w:type="pct"/>
                </w:tcPr>
                <w:p w14:paraId="77609DF8" w14:textId="77777777" w:rsidR="0029279A" w:rsidRDefault="0029279A" w:rsidP="00E30DDE">
                  <w:pPr>
                    <w:pStyle w:val="TableBodyText"/>
                    <w:jc w:val="left"/>
                  </w:pPr>
                  <w:r>
                    <w:t>Review by Human Research Ethics Committee</w:t>
                  </w:r>
                </w:p>
              </w:tc>
              <w:tc>
                <w:tcPr>
                  <w:tcW w:w="365" w:type="pct"/>
                </w:tcPr>
                <w:p w14:paraId="50993757" w14:textId="77777777" w:rsidR="0029279A" w:rsidRDefault="0029279A" w:rsidP="00E30DDE">
                  <w:pPr>
                    <w:pStyle w:val="TableBodyText"/>
                  </w:pPr>
                  <w:r>
                    <w:sym w:font="Wingdings" w:char="F0FC"/>
                  </w:r>
                </w:p>
              </w:tc>
              <w:tc>
                <w:tcPr>
                  <w:tcW w:w="284" w:type="pct"/>
                </w:tcPr>
                <w:p w14:paraId="20ECF560" w14:textId="77777777" w:rsidR="0029279A" w:rsidRDefault="0029279A" w:rsidP="00E30DDE">
                  <w:pPr>
                    <w:pStyle w:val="TableBodyText"/>
                    <w:ind w:right="28"/>
                  </w:pPr>
                  <w:r>
                    <w:sym w:font="Wingdings" w:char="F0FC"/>
                  </w:r>
                </w:p>
              </w:tc>
              <w:tc>
                <w:tcPr>
                  <w:tcW w:w="284" w:type="pct"/>
                </w:tcPr>
                <w:p w14:paraId="3D8E2583" w14:textId="77777777" w:rsidR="0029279A" w:rsidRDefault="0029279A" w:rsidP="00E30DDE">
                  <w:pPr>
                    <w:pStyle w:val="TableBodyText"/>
                    <w:ind w:right="28"/>
                  </w:pPr>
                  <w:r>
                    <w:sym w:font="Wingdings" w:char="F0FC"/>
                  </w:r>
                </w:p>
              </w:tc>
              <w:tc>
                <w:tcPr>
                  <w:tcW w:w="284" w:type="pct"/>
                </w:tcPr>
                <w:p w14:paraId="1141F0EE" w14:textId="77777777" w:rsidR="0029279A" w:rsidRDefault="0029279A" w:rsidP="00E30DDE">
                  <w:pPr>
                    <w:pStyle w:val="TableBodyText"/>
                    <w:ind w:right="28"/>
                  </w:pPr>
                  <w:r>
                    <w:sym w:font="Wingdings" w:char="F0FC"/>
                  </w:r>
                </w:p>
              </w:tc>
              <w:tc>
                <w:tcPr>
                  <w:tcW w:w="284" w:type="pct"/>
                </w:tcPr>
                <w:p w14:paraId="29C481E0" w14:textId="77777777" w:rsidR="0029279A" w:rsidRDefault="0029279A" w:rsidP="00E30DDE">
                  <w:pPr>
                    <w:pStyle w:val="TableBodyText"/>
                    <w:ind w:right="28"/>
                  </w:pPr>
                  <w:r>
                    <w:sym w:font="Wingdings" w:char="F0FC"/>
                  </w:r>
                </w:p>
              </w:tc>
              <w:tc>
                <w:tcPr>
                  <w:tcW w:w="284" w:type="pct"/>
                </w:tcPr>
                <w:p w14:paraId="72B736AE" w14:textId="77777777" w:rsidR="0029279A" w:rsidRDefault="0029279A" w:rsidP="00E30DDE">
                  <w:pPr>
                    <w:pStyle w:val="TableBodyText"/>
                    <w:ind w:right="28"/>
                  </w:pPr>
                  <w:r>
                    <w:sym w:font="Wingdings" w:char="F0FC"/>
                  </w:r>
                </w:p>
              </w:tc>
              <w:tc>
                <w:tcPr>
                  <w:tcW w:w="284" w:type="pct"/>
                </w:tcPr>
                <w:p w14:paraId="79B995E9" w14:textId="77777777" w:rsidR="0029279A" w:rsidRDefault="0029279A" w:rsidP="00E30DDE">
                  <w:pPr>
                    <w:pStyle w:val="TableBodyText"/>
                    <w:ind w:right="28"/>
                  </w:pPr>
                  <w:r>
                    <w:sym w:font="Wingdings" w:char="F0FC"/>
                  </w:r>
                </w:p>
              </w:tc>
              <w:tc>
                <w:tcPr>
                  <w:tcW w:w="280" w:type="pct"/>
                </w:tcPr>
                <w:p w14:paraId="5FB910A4" w14:textId="77777777" w:rsidR="0029279A" w:rsidRDefault="0029279A" w:rsidP="00E30DDE">
                  <w:pPr>
                    <w:pStyle w:val="TableBodyText"/>
                    <w:ind w:right="28"/>
                  </w:pPr>
                  <w:r>
                    <w:sym w:font="Wingdings" w:char="F0FC"/>
                  </w:r>
                </w:p>
              </w:tc>
            </w:tr>
            <w:tr w:rsidR="0029279A" w14:paraId="1523123B" w14:textId="77777777" w:rsidTr="000D6320">
              <w:tc>
                <w:tcPr>
                  <w:tcW w:w="2186" w:type="pct"/>
                </w:tcPr>
                <w:p w14:paraId="41626820" w14:textId="77777777" w:rsidR="0029279A" w:rsidRDefault="0029279A" w:rsidP="00E30DDE">
                  <w:pPr>
                    <w:pStyle w:val="TableBodyText"/>
                    <w:jc w:val="left"/>
                  </w:pPr>
                  <w:r>
                    <w:t>Request for data to data custodian</w:t>
                  </w:r>
                </w:p>
              </w:tc>
              <w:tc>
                <w:tcPr>
                  <w:tcW w:w="365" w:type="pct"/>
                </w:tcPr>
                <w:p w14:paraId="774175B4" w14:textId="77777777" w:rsidR="0029279A" w:rsidRDefault="0029279A" w:rsidP="00E30DDE">
                  <w:pPr>
                    <w:pStyle w:val="TableBodyText"/>
                  </w:pPr>
                  <w:r>
                    <w:sym w:font="Wingdings" w:char="F0FC"/>
                  </w:r>
                </w:p>
              </w:tc>
              <w:tc>
                <w:tcPr>
                  <w:tcW w:w="284" w:type="pct"/>
                </w:tcPr>
                <w:p w14:paraId="254D71AE" w14:textId="77777777" w:rsidR="0029279A" w:rsidRDefault="0029279A" w:rsidP="00E30DDE">
                  <w:pPr>
                    <w:pStyle w:val="TableBodyText"/>
                    <w:ind w:right="28"/>
                  </w:pPr>
                  <w:r>
                    <w:sym w:font="Wingdings" w:char="F0FC"/>
                  </w:r>
                </w:p>
              </w:tc>
              <w:tc>
                <w:tcPr>
                  <w:tcW w:w="284" w:type="pct"/>
                </w:tcPr>
                <w:p w14:paraId="270EDA48" w14:textId="77777777" w:rsidR="0029279A" w:rsidRDefault="0029279A" w:rsidP="00E30DDE">
                  <w:pPr>
                    <w:pStyle w:val="TableBodyText"/>
                    <w:ind w:right="28"/>
                  </w:pPr>
                  <w:r>
                    <w:sym w:font="Wingdings" w:char="F0FC"/>
                  </w:r>
                </w:p>
              </w:tc>
              <w:tc>
                <w:tcPr>
                  <w:tcW w:w="284" w:type="pct"/>
                </w:tcPr>
                <w:p w14:paraId="7FD8CD3A" w14:textId="77777777" w:rsidR="0029279A" w:rsidRDefault="0029279A" w:rsidP="00E30DDE">
                  <w:pPr>
                    <w:pStyle w:val="TableBodyText"/>
                    <w:ind w:right="28"/>
                  </w:pPr>
                  <w:r>
                    <w:sym w:font="Wingdings" w:char="F0FC"/>
                  </w:r>
                </w:p>
              </w:tc>
              <w:tc>
                <w:tcPr>
                  <w:tcW w:w="284" w:type="pct"/>
                </w:tcPr>
                <w:p w14:paraId="3B461871" w14:textId="77777777" w:rsidR="0029279A" w:rsidRDefault="0029279A" w:rsidP="00E30DDE">
                  <w:pPr>
                    <w:pStyle w:val="TableBodyText"/>
                    <w:ind w:right="28"/>
                  </w:pPr>
                  <w:r>
                    <w:sym w:font="Wingdings" w:char="F0FC"/>
                  </w:r>
                </w:p>
              </w:tc>
              <w:tc>
                <w:tcPr>
                  <w:tcW w:w="284" w:type="pct"/>
                </w:tcPr>
                <w:p w14:paraId="0B246FF6" w14:textId="77777777" w:rsidR="0029279A" w:rsidRDefault="0029279A" w:rsidP="00E30DDE">
                  <w:pPr>
                    <w:pStyle w:val="TableBodyText"/>
                    <w:ind w:right="28"/>
                  </w:pPr>
                  <w:r>
                    <w:sym w:font="Wingdings" w:char="F0FC"/>
                  </w:r>
                </w:p>
              </w:tc>
              <w:tc>
                <w:tcPr>
                  <w:tcW w:w="284" w:type="pct"/>
                </w:tcPr>
                <w:p w14:paraId="0FE7D9BB" w14:textId="77777777" w:rsidR="0029279A" w:rsidRDefault="0029279A" w:rsidP="00E30DDE">
                  <w:pPr>
                    <w:pStyle w:val="TableBodyText"/>
                    <w:ind w:right="28"/>
                  </w:pPr>
                  <w:r>
                    <w:sym w:font="Wingdings" w:char="F0FC"/>
                  </w:r>
                </w:p>
              </w:tc>
              <w:tc>
                <w:tcPr>
                  <w:tcW w:w="280" w:type="pct"/>
                </w:tcPr>
                <w:p w14:paraId="4C989899" w14:textId="77777777" w:rsidR="0029279A" w:rsidRDefault="0029279A" w:rsidP="00E30DDE">
                  <w:pPr>
                    <w:pStyle w:val="TableBodyText"/>
                    <w:ind w:right="28"/>
                  </w:pPr>
                  <w:r>
                    <w:sym w:font="Wingdings" w:char="F0FC"/>
                  </w:r>
                </w:p>
              </w:tc>
            </w:tr>
            <w:tr w:rsidR="0029279A" w14:paraId="0BE9D6AE" w14:textId="77777777" w:rsidTr="000D6320">
              <w:tc>
                <w:tcPr>
                  <w:tcW w:w="2186" w:type="pct"/>
                </w:tcPr>
                <w:p w14:paraId="7D7F2371" w14:textId="77777777" w:rsidR="0029279A" w:rsidRDefault="0029279A" w:rsidP="00E30DDE">
                  <w:pPr>
                    <w:pStyle w:val="TableBodyText"/>
                    <w:jc w:val="left"/>
                  </w:pPr>
                  <w:r>
                    <w:t>Data custodian approval (in-principle)</w:t>
                  </w:r>
                </w:p>
              </w:tc>
              <w:tc>
                <w:tcPr>
                  <w:tcW w:w="365" w:type="pct"/>
                </w:tcPr>
                <w:p w14:paraId="117FA73B" w14:textId="77777777" w:rsidR="0029279A" w:rsidRDefault="0029279A" w:rsidP="00E30DDE">
                  <w:pPr>
                    <w:pStyle w:val="TableBodyText"/>
                  </w:pPr>
                  <w:r>
                    <w:sym w:font="Wingdings" w:char="F0FC"/>
                  </w:r>
                </w:p>
              </w:tc>
              <w:tc>
                <w:tcPr>
                  <w:tcW w:w="284" w:type="pct"/>
                </w:tcPr>
                <w:p w14:paraId="693F3B9A" w14:textId="77777777" w:rsidR="0029279A" w:rsidRDefault="0029279A" w:rsidP="00E30DDE">
                  <w:pPr>
                    <w:pStyle w:val="TableBodyText"/>
                    <w:ind w:right="28"/>
                  </w:pPr>
                  <w:r>
                    <w:sym w:font="Wingdings" w:char="F0FC"/>
                  </w:r>
                </w:p>
              </w:tc>
              <w:tc>
                <w:tcPr>
                  <w:tcW w:w="284" w:type="pct"/>
                </w:tcPr>
                <w:p w14:paraId="39DE737D" w14:textId="77777777" w:rsidR="0029279A" w:rsidRDefault="0029279A" w:rsidP="00E30DDE">
                  <w:pPr>
                    <w:pStyle w:val="TableBodyText"/>
                    <w:ind w:right="28"/>
                  </w:pPr>
                  <w:r>
                    <w:sym w:font="Wingdings" w:char="F0FC"/>
                  </w:r>
                </w:p>
              </w:tc>
              <w:tc>
                <w:tcPr>
                  <w:tcW w:w="284" w:type="pct"/>
                </w:tcPr>
                <w:p w14:paraId="26015582" w14:textId="77777777" w:rsidR="0029279A" w:rsidRDefault="0029279A" w:rsidP="00E30DDE">
                  <w:pPr>
                    <w:pStyle w:val="TableBodyText"/>
                    <w:ind w:right="28"/>
                  </w:pPr>
                  <w:r>
                    <w:sym w:font="Wingdings" w:char="F0FC"/>
                  </w:r>
                </w:p>
              </w:tc>
              <w:tc>
                <w:tcPr>
                  <w:tcW w:w="284" w:type="pct"/>
                </w:tcPr>
                <w:p w14:paraId="1C3A2090" w14:textId="77777777" w:rsidR="0029279A" w:rsidRDefault="0029279A" w:rsidP="00E30DDE">
                  <w:pPr>
                    <w:pStyle w:val="TableBodyText"/>
                    <w:ind w:right="28"/>
                  </w:pPr>
                  <w:r>
                    <w:sym w:font="Wingdings" w:char="F0FC"/>
                  </w:r>
                </w:p>
              </w:tc>
              <w:tc>
                <w:tcPr>
                  <w:tcW w:w="284" w:type="pct"/>
                </w:tcPr>
                <w:p w14:paraId="7D0000F6" w14:textId="77777777" w:rsidR="0029279A" w:rsidRDefault="0029279A" w:rsidP="00E30DDE">
                  <w:pPr>
                    <w:pStyle w:val="TableBodyText"/>
                    <w:ind w:right="28"/>
                  </w:pPr>
                  <w:r>
                    <w:sym w:font="Wingdings" w:char="F0FC"/>
                  </w:r>
                </w:p>
              </w:tc>
              <w:tc>
                <w:tcPr>
                  <w:tcW w:w="284" w:type="pct"/>
                </w:tcPr>
                <w:p w14:paraId="0431D69B" w14:textId="77777777" w:rsidR="0029279A" w:rsidRDefault="0029279A" w:rsidP="00E30DDE">
                  <w:pPr>
                    <w:pStyle w:val="TableBodyText"/>
                    <w:ind w:right="28"/>
                  </w:pPr>
                  <w:r>
                    <w:sym w:font="Wingdings" w:char="F0FC"/>
                  </w:r>
                </w:p>
              </w:tc>
              <w:tc>
                <w:tcPr>
                  <w:tcW w:w="280" w:type="pct"/>
                </w:tcPr>
                <w:p w14:paraId="0702A7BE" w14:textId="77777777" w:rsidR="0029279A" w:rsidRDefault="0029279A" w:rsidP="00E30DDE">
                  <w:pPr>
                    <w:pStyle w:val="TableBodyText"/>
                    <w:ind w:right="28"/>
                  </w:pPr>
                  <w:r>
                    <w:sym w:font="Wingdings" w:char="F0FC"/>
                  </w:r>
                </w:p>
              </w:tc>
            </w:tr>
            <w:tr w:rsidR="0029279A" w14:paraId="7E0DB874" w14:textId="77777777" w:rsidTr="000D6320">
              <w:tc>
                <w:tcPr>
                  <w:tcW w:w="2186" w:type="pct"/>
                </w:tcPr>
                <w:p w14:paraId="24DD7C99" w14:textId="77777777" w:rsidR="0029279A" w:rsidRDefault="0029279A" w:rsidP="00E30DDE">
                  <w:pPr>
                    <w:pStyle w:val="TableBodyText"/>
                    <w:jc w:val="left"/>
                  </w:pPr>
                  <w:r>
                    <w:t xml:space="preserve">Contract or </w:t>
                  </w:r>
                  <w:proofErr w:type="spellStart"/>
                  <w:r>
                    <w:t>MoU</w:t>
                  </w:r>
                  <w:proofErr w:type="spellEnd"/>
                  <w:r>
                    <w:t xml:space="preserve"> required</w:t>
                  </w:r>
                </w:p>
              </w:tc>
              <w:tc>
                <w:tcPr>
                  <w:tcW w:w="365" w:type="pct"/>
                </w:tcPr>
                <w:p w14:paraId="6001B393" w14:textId="77777777" w:rsidR="0029279A" w:rsidRDefault="0029279A" w:rsidP="00E30DDE">
                  <w:pPr>
                    <w:pStyle w:val="TableBodyText"/>
                  </w:pPr>
                  <w:r>
                    <w:sym w:font="Wingdings" w:char="F0FC"/>
                  </w:r>
                </w:p>
              </w:tc>
              <w:tc>
                <w:tcPr>
                  <w:tcW w:w="284" w:type="pct"/>
                </w:tcPr>
                <w:p w14:paraId="3C52FEDF" w14:textId="77777777" w:rsidR="0029279A" w:rsidRDefault="0029279A" w:rsidP="00E30DDE">
                  <w:pPr>
                    <w:pStyle w:val="TableBodyText"/>
                    <w:ind w:right="28"/>
                  </w:pPr>
                  <w:r>
                    <w:t>*</w:t>
                  </w:r>
                </w:p>
              </w:tc>
              <w:tc>
                <w:tcPr>
                  <w:tcW w:w="284" w:type="pct"/>
                </w:tcPr>
                <w:p w14:paraId="57087D23" w14:textId="77777777" w:rsidR="0029279A" w:rsidRDefault="0029279A" w:rsidP="00E30DDE">
                  <w:pPr>
                    <w:pStyle w:val="TableBodyText"/>
                    <w:ind w:right="28"/>
                  </w:pPr>
                  <w:r>
                    <w:t>*</w:t>
                  </w:r>
                </w:p>
              </w:tc>
              <w:tc>
                <w:tcPr>
                  <w:tcW w:w="284" w:type="pct"/>
                </w:tcPr>
                <w:p w14:paraId="7BB59688" w14:textId="77777777" w:rsidR="0029279A" w:rsidRDefault="0029279A" w:rsidP="00E30DDE">
                  <w:pPr>
                    <w:pStyle w:val="TableBodyText"/>
                    <w:ind w:right="28"/>
                  </w:pPr>
                  <w:r>
                    <w:t>*</w:t>
                  </w:r>
                </w:p>
              </w:tc>
              <w:tc>
                <w:tcPr>
                  <w:tcW w:w="284" w:type="pct"/>
                </w:tcPr>
                <w:p w14:paraId="005CD20D" w14:textId="77777777" w:rsidR="0029279A" w:rsidRDefault="0029279A" w:rsidP="00E30DDE">
                  <w:pPr>
                    <w:pStyle w:val="TableBodyText"/>
                    <w:ind w:right="28"/>
                  </w:pPr>
                  <w:r>
                    <w:t>*</w:t>
                  </w:r>
                </w:p>
              </w:tc>
              <w:tc>
                <w:tcPr>
                  <w:tcW w:w="284" w:type="pct"/>
                </w:tcPr>
                <w:p w14:paraId="03F2ECC1" w14:textId="77777777" w:rsidR="0029279A" w:rsidRDefault="0029279A" w:rsidP="00E30DDE">
                  <w:pPr>
                    <w:pStyle w:val="TableBodyText"/>
                    <w:ind w:right="28"/>
                  </w:pPr>
                  <w:r>
                    <w:t>*</w:t>
                  </w:r>
                </w:p>
              </w:tc>
              <w:tc>
                <w:tcPr>
                  <w:tcW w:w="284" w:type="pct"/>
                </w:tcPr>
                <w:p w14:paraId="19716C27" w14:textId="77777777" w:rsidR="0029279A" w:rsidRDefault="0029279A" w:rsidP="00E30DDE">
                  <w:pPr>
                    <w:pStyle w:val="TableBodyText"/>
                    <w:ind w:right="28"/>
                  </w:pPr>
                  <w:r>
                    <w:t>*</w:t>
                  </w:r>
                </w:p>
              </w:tc>
              <w:tc>
                <w:tcPr>
                  <w:tcW w:w="280" w:type="pct"/>
                </w:tcPr>
                <w:p w14:paraId="2F4ED352" w14:textId="77777777" w:rsidR="0029279A" w:rsidRDefault="0029279A" w:rsidP="00E30DDE">
                  <w:pPr>
                    <w:pStyle w:val="TableBodyText"/>
                    <w:ind w:right="28"/>
                  </w:pPr>
                  <w:r>
                    <w:t>*</w:t>
                  </w:r>
                </w:p>
              </w:tc>
            </w:tr>
            <w:tr w:rsidR="0029279A" w14:paraId="435489B4" w14:textId="77777777" w:rsidTr="000D6320">
              <w:tc>
                <w:tcPr>
                  <w:tcW w:w="2186" w:type="pct"/>
                </w:tcPr>
                <w:p w14:paraId="6F6A4385" w14:textId="77777777" w:rsidR="0029279A" w:rsidRDefault="0029279A" w:rsidP="00E30DDE">
                  <w:pPr>
                    <w:pStyle w:val="TableBodyText"/>
                    <w:jc w:val="left"/>
                  </w:pPr>
                  <w:r>
                    <w:t>Data held by jurisdictional linkage unit</w:t>
                  </w:r>
                </w:p>
              </w:tc>
              <w:tc>
                <w:tcPr>
                  <w:tcW w:w="365" w:type="pct"/>
                </w:tcPr>
                <w:p w14:paraId="5AAD33D6" w14:textId="77777777" w:rsidR="0029279A" w:rsidRDefault="0029279A" w:rsidP="00E30DDE">
                  <w:pPr>
                    <w:pStyle w:val="TableBodyText"/>
                  </w:pPr>
                  <w:r>
                    <w:sym w:font="Wingdings" w:char="F0FC"/>
                  </w:r>
                </w:p>
              </w:tc>
              <w:tc>
                <w:tcPr>
                  <w:tcW w:w="284" w:type="pct"/>
                </w:tcPr>
                <w:p w14:paraId="41AA6F96" w14:textId="77777777" w:rsidR="0029279A" w:rsidRDefault="0029279A" w:rsidP="00E30DDE">
                  <w:pPr>
                    <w:pStyle w:val="TableBodyText"/>
                    <w:ind w:right="28"/>
                  </w:pPr>
                  <w:r>
                    <w:sym w:font="Wingdings" w:char="F0FC"/>
                  </w:r>
                </w:p>
              </w:tc>
              <w:tc>
                <w:tcPr>
                  <w:tcW w:w="284" w:type="pct"/>
                </w:tcPr>
                <w:p w14:paraId="428794F9" w14:textId="77777777" w:rsidR="0029279A" w:rsidRDefault="0029279A" w:rsidP="00E30DDE">
                  <w:pPr>
                    <w:pStyle w:val="TableBodyText"/>
                    <w:ind w:right="28"/>
                  </w:pPr>
                  <w:r>
                    <w:sym w:font="Wingdings" w:char="F0FC"/>
                  </w:r>
                </w:p>
              </w:tc>
              <w:tc>
                <w:tcPr>
                  <w:tcW w:w="284" w:type="pct"/>
                </w:tcPr>
                <w:p w14:paraId="666AF93C" w14:textId="77777777" w:rsidR="0029279A" w:rsidRDefault="0029279A" w:rsidP="00E30DDE">
                  <w:pPr>
                    <w:pStyle w:val="TableBodyText"/>
                    <w:ind w:right="28"/>
                  </w:pPr>
                  <w:r>
                    <w:sym w:font="Wingdings" w:char="F0FC"/>
                  </w:r>
                </w:p>
              </w:tc>
              <w:tc>
                <w:tcPr>
                  <w:tcW w:w="284" w:type="pct"/>
                </w:tcPr>
                <w:p w14:paraId="30E85867" w14:textId="77777777" w:rsidR="0029279A" w:rsidRDefault="0029279A" w:rsidP="00E30DDE">
                  <w:pPr>
                    <w:pStyle w:val="TableBodyText"/>
                    <w:ind w:right="28"/>
                  </w:pPr>
                  <w:r>
                    <w:sym w:font="Wingdings" w:char="F0FC"/>
                  </w:r>
                </w:p>
              </w:tc>
              <w:tc>
                <w:tcPr>
                  <w:tcW w:w="284" w:type="pct"/>
                </w:tcPr>
                <w:p w14:paraId="5C942695" w14:textId="77777777" w:rsidR="0029279A" w:rsidRDefault="0029279A" w:rsidP="00E30DDE">
                  <w:pPr>
                    <w:pStyle w:val="TableBodyText"/>
                    <w:ind w:right="28"/>
                  </w:pPr>
                  <w:r>
                    <w:sym w:font="Wingdings" w:char="F0FC"/>
                  </w:r>
                </w:p>
              </w:tc>
              <w:tc>
                <w:tcPr>
                  <w:tcW w:w="284" w:type="pct"/>
                </w:tcPr>
                <w:p w14:paraId="3A9900B0" w14:textId="77777777" w:rsidR="0029279A" w:rsidRDefault="0029279A" w:rsidP="00E30DDE">
                  <w:pPr>
                    <w:pStyle w:val="TableBodyText"/>
                    <w:ind w:right="28"/>
                  </w:pPr>
                  <w:r>
                    <w:sym w:font="Wingdings" w:char="F0FC"/>
                  </w:r>
                </w:p>
              </w:tc>
              <w:tc>
                <w:tcPr>
                  <w:tcW w:w="280" w:type="pct"/>
                </w:tcPr>
                <w:p w14:paraId="1ABC429F" w14:textId="77777777" w:rsidR="0029279A" w:rsidRDefault="0029279A" w:rsidP="00E30DDE">
                  <w:pPr>
                    <w:pStyle w:val="TableBodyText"/>
                    <w:ind w:right="28"/>
                  </w:pPr>
                  <w:r>
                    <w:sym w:font="Wingdings" w:char="F0FC"/>
                  </w:r>
                </w:p>
              </w:tc>
            </w:tr>
            <w:tr w:rsidR="0029279A" w14:paraId="53402AAC" w14:textId="77777777" w:rsidTr="000D6320">
              <w:tc>
                <w:tcPr>
                  <w:tcW w:w="2186" w:type="pct"/>
                </w:tcPr>
                <w:p w14:paraId="1D33A438" w14:textId="77777777" w:rsidR="0029279A" w:rsidRDefault="0029279A" w:rsidP="00E30DDE">
                  <w:pPr>
                    <w:pStyle w:val="TableBodyText"/>
                    <w:jc w:val="left"/>
                  </w:pPr>
                  <w:r>
                    <w:t>Brokerage available by linkage unit</w:t>
                  </w:r>
                </w:p>
              </w:tc>
              <w:tc>
                <w:tcPr>
                  <w:tcW w:w="365" w:type="pct"/>
                </w:tcPr>
                <w:p w14:paraId="612FCC69" w14:textId="77777777" w:rsidR="0029279A" w:rsidRDefault="0029279A" w:rsidP="00E30DDE">
                  <w:pPr>
                    <w:pStyle w:val="TableBodyText"/>
                  </w:pPr>
                  <w:r>
                    <w:sym w:font="Wingdings" w:char="F0FC"/>
                  </w:r>
                </w:p>
              </w:tc>
              <w:tc>
                <w:tcPr>
                  <w:tcW w:w="284" w:type="pct"/>
                </w:tcPr>
                <w:p w14:paraId="01C1D0B5" w14:textId="77777777" w:rsidR="0029279A" w:rsidRDefault="0029279A" w:rsidP="00E30DDE">
                  <w:pPr>
                    <w:pStyle w:val="TableBodyText"/>
                    <w:ind w:right="28"/>
                  </w:pPr>
                </w:p>
              </w:tc>
              <w:tc>
                <w:tcPr>
                  <w:tcW w:w="284" w:type="pct"/>
                </w:tcPr>
                <w:p w14:paraId="03706D33" w14:textId="77777777" w:rsidR="0029279A" w:rsidRDefault="0029279A" w:rsidP="00E30DDE">
                  <w:pPr>
                    <w:pStyle w:val="TableBodyText"/>
                    <w:ind w:right="28"/>
                  </w:pPr>
                </w:p>
              </w:tc>
              <w:tc>
                <w:tcPr>
                  <w:tcW w:w="284" w:type="pct"/>
                </w:tcPr>
                <w:p w14:paraId="0B19EEE9" w14:textId="77777777" w:rsidR="0029279A" w:rsidRDefault="0029279A" w:rsidP="00E30DDE">
                  <w:pPr>
                    <w:pStyle w:val="TableBodyText"/>
                    <w:ind w:right="28"/>
                  </w:pPr>
                  <w:r>
                    <w:sym w:font="Wingdings" w:char="F0FC"/>
                  </w:r>
                </w:p>
              </w:tc>
              <w:tc>
                <w:tcPr>
                  <w:tcW w:w="284" w:type="pct"/>
                </w:tcPr>
                <w:p w14:paraId="7CEF1FA7" w14:textId="77777777" w:rsidR="0029279A" w:rsidRDefault="0029279A" w:rsidP="00E30DDE">
                  <w:pPr>
                    <w:pStyle w:val="TableBodyText"/>
                    <w:ind w:right="28"/>
                  </w:pPr>
                  <w:r>
                    <w:sym w:font="Wingdings" w:char="F0FC"/>
                  </w:r>
                </w:p>
              </w:tc>
              <w:tc>
                <w:tcPr>
                  <w:tcW w:w="284" w:type="pct"/>
                </w:tcPr>
                <w:p w14:paraId="7C9E3907" w14:textId="77777777" w:rsidR="0029279A" w:rsidRDefault="0029279A" w:rsidP="00E30DDE">
                  <w:pPr>
                    <w:pStyle w:val="TableBodyText"/>
                    <w:ind w:right="28"/>
                  </w:pPr>
                </w:p>
              </w:tc>
              <w:tc>
                <w:tcPr>
                  <w:tcW w:w="284" w:type="pct"/>
                </w:tcPr>
                <w:p w14:paraId="5CFEB6CE" w14:textId="77777777" w:rsidR="0029279A" w:rsidRDefault="0029279A" w:rsidP="00E30DDE">
                  <w:pPr>
                    <w:pStyle w:val="TableBodyText"/>
                    <w:ind w:right="28"/>
                  </w:pPr>
                </w:p>
              </w:tc>
              <w:tc>
                <w:tcPr>
                  <w:tcW w:w="280" w:type="pct"/>
                </w:tcPr>
                <w:p w14:paraId="32B7E104" w14:textId="77777777" w:rsidR="0029279A" w:rsidRDefault="0029279A" w:rsidP="00E30DDE">
                  <w:pPr>
                    <w:pStyle w:val="TableBodyText"/>
                    <w:ind w:right="28"/>
                  </w:pPr>
                  <w:r>
                    <w:sym w:font="Wingdings" w:char="F0FC"/>
                  </w:r>
                </w:p>
              </w:tc>
            </w:tr>
            <w:tr w:rsidR="0029279A" w14:paraId="3D4B3723" w14:textId="77777777" w:rsidTr="000D6320">
              <w:tc>
                <w:tcPr>
                  <w:tcW w:w="2186" w:type="pct"/>
                  <w:tcBorders>
                    <w:bottom w:val="single" w:sz="6" w:space="0" w:color="BFBFBF"/>
                  </w:tcBorders>
                  <w:shd w:val="clear" w:color="auto" w:fill="auto"/>
                </w:tcPr>
                <w:p w14:paraId="5FB1E89E" w14:textId="77777777" w:rsidR="0029279A" w:rsidRDefault="0029279A" w:rsidP="00E30DDE">
                  <w:pPr>
                    <w:pStyle w:val="TableBodyText"/>
                    <w:jc w:val="left"/>
                  </w:pPr>
                </w:p>
              </w:tc>
              <w:tc>
                <w:tcPr>
                  <w:tcW w:w="365" w:type="pct"/>
                  <w:tcBorders>
                    <w:bottom w:val="single" w:sz="6" w:space="0" w:color="BFBFBF"/>
                  </w:tcBorders>
                  <w:shd w:val="clear" w:color="auto" w:fill="auto"/>
                </w:tcPr>
                <w:p w14:paraId="4735D0F6" w14:textId="77777777" w:rsidR="0029279A" w:rsidRDefault="0029279A" w:rsidP="00E30DDE">
                  <w:pPr>
                    <w:pStyle w:val="TableBodyText"/>
                  </w:pPr>
                </w:p>
              </w:tc>
              <w:tc>
                <w:tcPr>
                  <w:tcW w:w="284" w:type="pct"/>
                  <w:tcBorders>
                    <w:bottom w:val="single" w:sz="6" w:space="0" w:color="BFBFBF"/>
                  </w:tcBorders>
                  <w:shd w:val="clear" w:color="auto" w:fill="auto"/>
                </w:tcPr>
                <w:p w14:paraId="769E45DB" w14:textId="77777777" w:rsidR="0029279A" w:rsidRDefault="0029279A" w:rsidP="00E30DDE">
                  <w:pPr>
                    <w:pStyle w:val="TableBodyText"/>
                    <w:ind w:right="28"/>
                  </w:pPr>
                </w:p>
              </w:tc>
              <w:tc>
                <w:tcPr>
                  <w:tcW w:w="284" w:type="pct"/>
                  <w:tcBorders>
                    <w:bottom w:val="single" w:sz="6" w:space="0" w:color="BFBFBF"/>
                  </w:tcBorders>
                </w:tcPr>
                <w:p w14:paraId="30EAD041" w14:textId="77777777" w:rsidR="0029279A" w:rsidRDefault="0029279A" w:rsidP="00E30DDE">
                  <w:pPr>
                    <w:pStyle w:val="TableBodyText"/>
                    <w:ind w:right="28"/>
                  </w:pPr>
                </w:p>
              </w:tc>
              <w:tc>
                <w:tcPr>
                  <w:tcW w:w="284" w:type="pct"/>
                  <w:tcBorders>
                    <w:bottom w:val="single" w:sz="6" w:space="0" w:color="BFBFBF"/>
                  </w:tcBorders>
                </w:tcPr>
                <w:p w14:paraId="3B442475" w14:textId="77777777" w:rsidR="0029279A" w:rsidRDefault="0029279A" w:rsidP="00E30DDE">
                  <w:pPr>
                    <w:pStyle w:val="TableBodyText"/>
                    <w:ind w:right="28"/>
                  </w:pPr>
                </w:p>
              </w:tc>
              <w:tc>
                <w:tcPr>
                  <w:tcW w:w="284" w:type="pct"/>
                  <w:tcBorders>
                    <w:bottom w:val="single" w:sz="6" w:space="0" w:color="BFBFBF"/>
                  </w:tcBorders>
                </w:tcPr>
                <w:p w14:paraId="403763FC" w14:textId="77777777" w:rsidR="0029279A" w:rsidRDefault="0029279A" w:rsidP="00E30DDE">
                  <w:pPr>
                    <w:pStyle w:val="TableBodyText"/>
                    <w:ind w:right="28"/>
                  </w:pPr>
                </w:p>
              </w:tc>
              <w:tc>
                <w:tcPr>
                  <w:tcW w:w="284" w:type="pct"/>
                  <w:tcBorders>
                    <w:bottom w:val="single" w:sz="6" w:space="0" w:color="BFBFBF"/>
                  </w:tcBorders>
                </w:tcPr>
                <w:p w14:paraId="28039F54" w14:textId="77777777" w:rsidR="0029279A" w:rsidRDefault="0029279A" w:rsidP="00E30DDE">
                  <w:pPr>
                    <w:pStyle w:val="TableBodyText"/>
                    <w:ind w:right="28"/>
                  </w:pPr>
                </w:p>
              </w:tc>
              <w:tc>
                <w:tcPr>
                  <w:tcW w:w="284" w:type="pct"/>
                  <w:tcBorders>
                    <w:bottom w:val="single" w:sz="6" w:space="0" w:color="BFBFBF"/>
                  </w:tcBorders>
                </w:tcPr>
                <w:p w14:paraId="2E0418C2" w14:textId="77777777" w:rsidR="0029279A" w:rsidRDefault="0029279A" w:rsidP="00E30DDE">
                  <w:pPr>
                    <w:pStyle w:val="TableBodyText"/>
                    <w:ind w:right="28"/>
                  </w:pPr>
                </w:p>
              </w:tc>
              <w:tc>
                <w:tcPr>
                  <w:tcW w:w="280" w:type="pct"/>
                  <w:tcBorders>
                    <w:bottom w:val="single" w:sz="6" w:space="0" w:color="BFBFBF"/>
                  </w:tcBorders>
                </w:tcPr>
                <w:p w14:paraId="6E3689A3" w14:textId="77777777" w:rsidR="0029279A" w:rsidRDefault="0029279A" w:rsidP="00E30DDE">
                  <w:pPr>
                    <w:pStyle w:val="TableBodyText"/>
                    <w:ind w:right="28"/>
                  </w:pPr>
                </w:p>
              </w:tc>
            </w:tr>
          </w:tbl>
          <w:p w14:paraId="098F1C66" w14:textId="77777777" w:rsidR="0029279A" w:rsidRDefault="0029279A" w:rsidP="00E30DDE">
            <w:pPr>
              <w:pStyle w:val="Box"/>
            </w:pPr>
          </w:p>
        </w:tc>
      </w:tr>
      <w:tr w:rsidR="0029279A" w14:paraId="1876854E" w14:textId="77777777" w:rsidTr="00E30DDE">
        <w:tc>
          <w:tcPr>
            <w:tcW w:w="8771" w:type="dxa"/>
            <w:tcBorders>
              <w:top w:val="nil"/>
              <w:left w:val="nil"/>
              <w:bottom w:val="nil"/>
              <w:right w:val="nil"/>
            </w:tcBorders>
            <w:shd w:val="clear" w:color="auto" w:fill="auto"/>
          </w:tcPr>
          <w:p w14:paraId="2A018C77" w14:textId="77777777" w:rsidR="0029279A" w:rsidRDefault="0029279A" w:rsidP="00E30DDE">
            <w:pPr>
              <w:pStyle w:val="Note"/>
              <w:rPr>
                <w:i/>
              </w:rPr>
            </w:pPr>
            <w:r w:rsidRPr="008E77FE">
              <w:rPr>
                <w:rStyle w:val="NoteLabel"/>
              </w:rPr>
              <w:t>a</w:t>
            </w:r>
            <w:r>
              <w:t xml:space="preserve"> </w:t>
            </w:r>
            <w:r>
              <w:sym w:font="Wingdings" w:char="F0FC"/>
            </w:r>
            <w:r>
              <w:t xml:space="preserve"> Denotes that this is a requirement for the state and territory. * Denotes that requirement for an </w:t>
            </w:r>
            <w:proofErr w:type="spellStart"/>
            <w:r>
              <w:t>MoU</w:t>
            </w:r>
            <w:proofErr w:type="spellEnd"/>
            <w:r>
              <w:t xml:space="preserve"> or contract yet to be determined. </w:t>
            </w:r>
            <w:r>
              <w:rPr>
                <w:rStyle w:val="NoteLabel"/>
              </w:rPr>
              <w:t>b</w:t>
            </w:r>
            <w:r>
              <w:t xml:space="preserve"> There is also a requirement that approval be provided by senior delegates in each jurisdiction for pre-school data.</w:t>
            </w:r>
          </w:p>
        </w:tc>
      </w:tr>
      <w:tr w:rsidR="0029279A" w14:paraId="00D42E6E" w14:textId="77777777" w:rsidTr="00E30DDE">
        <w:tc>
          <w:tcPr>
            <w:tcW w:w="8771" w:type="dxa"/>
            <w:tcBorders>
              <w:top w:val="nil"/>
              <w:left w:val="nil"/>
              <w:bottom w:val="nil"/>
              <w:right w:val="nil"/>
            </w:tcBorders>
            <w:shd w:val="clear" w:color="auto" w:fill="auto"/>
          </w:tcPr>
          <w:p w14:paraId="15E4AD2C" w14:textId="20F67615" w:rsidR="0029279A" w:rsidRDefault="0029279A" w:rsidP="00FF71F5">
            <w:pPr>
              <w:pStyle w:val="Source"/>
            </w:pPr>
            <w:r>
              <w:rPr>
                <w:i/>
              </w:rPr>
              <w:t xml:space="preserve">Sources: </w:t>
            </w:r>
            <w:r w:rsidR="00FF71F5" w:rsidRPr="00FF71F5">
              <w:rPr>
                <w:rFonts w:cs="Arial"/>
              </w:rPr>
              <w:t>(Australian Institute of Health and Welfare 2014, p. 28)</w:t>
            </w:r>
          </w:p>
        </w:tc>
      </w:tr>
      <w:tr w:rsidR="0029279A" w14:paraId="67EF4EFB" w14:textId="77777777" w:rsidTr="00E30DDE">
        <w:tc>
          <w:tcPr>
            <w:tcW w:w="8771" w:type="dxa"/>
            <w:tcBorders>
              <w:top w:val="nil"/>
              <w:left w:val="nil"/>
              <w:bottom w:val="single" w:sz="6" w:space="0" w:color="78A22F"/>
              <w:right w:val="nil"/>
            </w:tcBorders>
            <w:shd w:val="clear" w:color="auto" w:fill="auto"/>
          </w:tcPr>
          <w:p w14:paraId="6705E356" w14:textId="77777777" w:rsidR="0029279A" w:rsidRDefault="0029279A" w:rsidP="00E30DDE">
            <w:pPr>
              <w:pStyle w:val="Box"/>
              <w:spacing w:before="0" w:line="120" w:lineRule="exact"/>
            </w:pPr>
          </w:p>
        </w:tc>
      </w:tr>
      <w:tr w:rsidR="0029279A" w:rsidRPr="000863A5" w14:paraId="75393D52" w14:textId="77777777" w:rsidTr="00E30DDE">
        <w:trPr>
          <w:hidden/>
        </w:trPr>
        <w:tc>
          <w:tcPr>
            <w:tcW w:w="8771" w:type="dxa"/>
            <w:tcBorders>
              <w:top w:val="single" w:sz="6" w:space="0" w:color="78A22F"/>
              <w:left w:val="nil"/>
              <w:bottom w:val="nil"/>
              <w:right w:val="nil"/>
            </w:tcBorders>
          </w:tcPr>
          <w:p w14:paraId="62B5D856" w14:textId="77777777" w:rsidR="0029279A" w:rsidRPr="00626D32" w:rsidRDefault="0029279A" w:rsidP="00E30DDE">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14:paraId="599494C6" w14:textId="73B69478" w:rsidR="00DA35B3" w:rsidRDefault="00DA440C" w:rsidP="00DA440C">
      <w:pPr>
        <w:pStyle w:val="BodyText"/>
      </w:pPr>
      <w:r>
        <w:t>In recognition of these prospective challenges, the Commonwealth and state and territ</w:t>
      </w:r>
      <w:r w:rsidR="002E13BA">
        <w:t xml:space="preserve">ory governments </w:t>
      </w:r>
      <w:r w:rsidR="0029279A">
        <w:t>have</w:t>
      </w:r>
      <w:r w:rsidR="002E13BA">
        <w:t xml:space="preserve"> agreed to </w:t>
      </w:r>
      <w:r>
        <w:t>framework</w:t>
      </w:r>
      <w:r w:rsidR="002E13BA">
        <w:t>s</w:t>
      </w:r>
      <w:r>
        <w:t xml:space="preserve"> to promote inter-jurisdictional cooperation for the development of </w:t>
      </w:r>
      <w:r w:rsidR="0029279A">
        <w:t xml:space="preserve">individual </w:t>
      </w:r>
      <w:r>
        <w:t xml:space="preserve">components of the education </w:t>
      </w:r>
      <w:r w:rsidR="006C383A">
        <w:t xml:space="preserve">evidence </w:t>
      </w:r>
      <w:r>
        <w:t xml:space="preserve">base. The cooperative approach was based around agreed rules regarding collection, compilation, interpretation, reporting and sharing of national information </w:t>
      </w:r>
      <w:r w:rsidR="005D1070" w:rsidRPr="005D1070">
        <w:t>(Ministerial Council for Education, Early Childhood Development and Youth Affairs 2010)</w:t>
      </w:r>
      <w:r w:rsidR="00492A09">
        <w:t>.</w:t>
      </w:r>
    </w:p>
    <w:p w14:paraId="39C9B637" w14:textId="1698E428" w:rsidR="00DA440C" w:rsidRDefault="00DA440C" w:rsidP="00DA440C">
      <w:pPr>
        <w:pStyle w:val="BodyText"/>
      </w:pPr>
      <w:r>
        <w:t>However, as mentioned above there are indications that the</w:t>
      </w:r>
      <w:r w:rsidR="00C14632">
        <w:t>se</w:t>
      </w:r>
      <w:r>
        <w:t xml:space="preserve"> framework</w:t>
      </w:r>
      <w:r w:rsidR="0029279A">
        <w:t>s have</w:t>
      </w:r>
      <w:r>
        <w:t xml:space="preserve"> not delivered </w:t>
      </w:r>
      <w:r w:rsidR="002E13BA">
        <w:t xml:space="preserve">on </w:t>
      </w:r>
      <w:r w:rsidR="0029279A">
        <w:t>their</w:t>
      </w:r>
      <w:r>
        <w:t xml:space="preserve"> </w:t>
      </w:r>
      <w:r w:rsidR="002E13BA">
        <w:t>intended goal</w:t>
      </w:r>
      <w:r>
        <w:t xml:space="preserve">. </w:t>
      </w:r>
      <w:r w:rsidR="00F13AC8">
        <w:t xml:space="preserve">The </w:t>
      </w:r>
      <w:proofErr w:type="spellStart"/>
      <w:r w:rsidR="001E5EFF">
        <w:t>AIHW</w:t>
      </w:r>
      <w:proofErr w:type="spellEnd"/>
      <w:r w:rsidR="004A6CEA">
        <w:t xml:space="preserve"> </w:t>
      </w:r>
      <w:r w:rsidR="004A6CEA" w:rsidRPr="004A6CEA">
        <w:t xml:space="preserve">(Australian Institute of Health and Welfare </w:t>
      </w:r>
      <w:r w:rsidR="004A6CEA" w:rsidRPr="004A6CEA">
        <w:lastRenderedPageBreak/>
        <w:t>2014)</w:t>
      </w:r>
      <w:r w:rsidR="00F14561">
        <w:t xml:space="preserve"> </w:t>
      </w:r>
      <w:r w:rsidR="0022025B">
        <w:t xml:space="preserve">has documented many of </w:t>
      </w:r>
      <w:r w:rsidR="005D6C0D">
        <w:t>the</w:t>
      </w:r>
      <w:r w:rsidR="0022025B">
        <w:t xml:space="preserve"> difficulties</w:t>
      </w:r>
      <w:r w:rsidR="005D6C0D">
        <w:t xml:space="preserve"> it has met</w:t>
      </w:r>
      <w:r w:rsidR="0022025B">
        <w:t xml:space="preserve"> in developing </w:t>
      </w:r>
      <w:r w:rsidR="001D199A">
        <w:t xml:space="preserve">a research </w:t>
      </w:r>
      <w:r w:rsidR="00D96800">
        <w:t>dataset</w:t>
      </w:r>
      <w:r w:rsidR="001D199A">
        <w:t xml:space="preserve"> of early childhood development (which plans to link birth, perinatal, pre-school, </w:t>
      </w:r>
      <w:proofErr w:type="spellStart"/>
      <w:r w:rsidR="001D199A">
        <w:t>AEDC</w:t>
      </w:r>
      <w:proofErr w:type="spellEnd"/>
      <w:r w:rsidR="001D199A">
        <w:t xml:space="preserve"> and </w:t>
      </w:r>
      <w:proofErr w:type="spellStart"/>
      <w:r w:rsidR="001D199A">
        <w:t>NAPLAN</w:t>
      </w:r>
      <w:proofErr w:type="spellEnd"/>
      <w:r w:rsidR="001D199A">
        <w:t xml:space="preserve"> data). </w:t>
      </w:r>
      <w:r>
        <w:t>While education data linkage programs have proved problematic, there has been substantial progress in linking data in other field</w:t>
      </w:r>
      <w:r w:rsidR="00E47583">
        <w:t>s for research purposes (box </w:t>
      </w:r>
      <w:r w:rsidR="004D1621">
        <w:t>7</w:t>
      </w:r>
      <w:r w:rsidR="00DD5648">
        <w:t>).</w:t>
      </w:r>
    </w:p>
    <w:p w14:paraId="0A603F0A" w14:textId="497FCF04" w:rsidR="00DA440C" w:rsidRDefault="00DA440C" w:rsidP="001B2E9A">
      <w:pPr>
        <w:pStyle w:val="BoxSpaceAbove"/>
        <w:tabs>
          <w:tab w:val="left" w:pos="1890"/>
        </w:tabs>
      </w:pPr>
      <w:r>
        <w:rPr>
          <w:b/>
          <w:vanish/>
          <w:color w:val="FF00FF"/>
          <w:sz w:val="14"/>
        </w:rPr>
        <w:t>Do not delete this RETURN as it gives space between the box and what precedes it.</w:t>
      </w:r>
      <w:r w:rsidR="00D2600D">
        <w:rPr>
          <w:b/>
          <w:color w:val="FF00FF"/>
          <w:sz w:val="14"/>
        </w:rPr>
        <w:tab/>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A440C" w14:paraId="409DB94F" w14:textId="77777777" w:rsidTr="00DA440C">
        <w:trPr>
          <w:tblHeader/>
        </w:trPr>
        <w:tc>
          <w:tcPr>
            <w:tcW w:w="8771" w:type="dxa"/>
            <w:tcBorders>
              <w:top w:val="single" w:sz="6" w:space="0" w:color="78A22F"/>
              <w:left w:val="nil"/>
              <w:bottom w:val="nil"/>
              <w:right w:val="nil"/>
            </w:tcBorders>
            <w:shd w:val="clear" w:color="auto" w:fill="F2F2F2"/>
          </w:tcPr>
          <w:p w14:paraId="295F1B0E" w14:textId="0D945581" w:rsidR="00DA440C" w:rsidRDefault="00DA440C" w:rsidP="004D1621">
            <w:pPr>
              <w:pStyle w:val="BoxTitle"/>
            </w:pPr>
            <w:r>
              <w:rPr>
                <w:b w:val="0"/>
              </w:rPr>
              <w:t>Box</w:t>
            </w:r>
            <w:r w:rsidR="00E47583">
              <w:rPr>
                <w:b w:val="0"/>
              </w:rPr>
              <w:t xml:space="preserve"> </w:t>
            </w:r>
            <w:r w:rsidR="004D1621">
              <w:rPr>
                <w:b w:val="0"/>
              </w:rPr>
              <w:t>7</w:t>
            </w:r>
            <w:r>
              <w:tab/>
              <w:t>Data linkage initiatives in health research</w:t>
            </w:r>
          </w:p>
        </w:tc>
      </w:tr>
      <w:tr w:rsidR="00DA440C" w14:paraId="4FD225E9" w14:textId="77777777" w:rsidTr="00DA440C">
        <w:tc>
          <w:tcPr>
            <w:tcW w:w="8771" w:type="dxa"/>
            <w:tcBorders>
              <w:top w:val="nil"/>
              <w:left w:val="nil"/>
              <w:bottom w:val="nil"/>
              <w:right w:val="nil"/>
            </w:tcBorders>
            <w:shd w:val="clear" w:color="auto" w:fill="F2F2F2"/>
          </w:tcPr>
          <w:p w14:paraId="7DDAE1A3" w14:textId="6C86A4A8" w:rsidR="00DA440C" w:rsidRDefault="00DA440C" w:rsidP="00DA440C">
            <w:pPr>
              <w:pStyle w:val="Box"/>
            </w:pPr>
            <w:r>
              <w:t>In health</w:t>
            </w:r>
            <w:r w:rsidR="002E13BA">
              <w:t xml:space="preserve"> research</w:t>
            </w:r>
            <w:r>
              <w:t xml:space="preserve">, the Western Australian Data Linkage system has been in operation for more than 30 years and employs probabilistic linkage techniques on de-identified heath data. It has an established system of governance across collection agencies, data custodians and researchers. The linking of data is conducted by an independent data linkage unit with researchers developing projects in consultation with data custodians and then seeking approval </w:t>
            </w:r>
            <w:r w:rsidR="0020426F">
              <w:t xml:space="preserve">from </w:t>
            </w:r>
            <w:r>
              <w:t>a dedicated ethics committee</w:t>
            </w:r>
            <w:r w:rsidR="007763F3">
              <w:t xml:space="preserve"> </w:t>
            </w:r>
            <w:r w:rsidR="007763F3" w:rsidRPr="007763F3">
              <w:t>(Stanley 2010)</w:t>
            </w:r>
            <w:r>
              <w:t>.</w:t>
            </w:r>
          </w:p>
          <w:p w14:paraId="510F3787" w14:textId="5E9393FD" w:rsidR="00DA440C" w:rsidRDefault="00DA440C" w:rsidP="008366EF">
            <w:pPr>
              <w:pStyle w:val="Box"/>
            </w:pPr>
            <w:r>
              <w:t>Building on that system, the Public Health Research Network (</w:t>
            </w:r>
            <w:proofErr w:type="spellStart"/>
            <w:r>
              <w:t>PHRN</w:t>
            </w:r>
            <w:proofErr w:type="spellEnd"/>
            <w:r>
              <w:t xml:space="preserve">) was established in 2009 as a national cooperative network of data linkage infrastructure enabling access to linked health and related data to approved researchers. The </w:t>
            </w:r>
            <w:proofErr w:type="spellStart"/>
            <w:r>
              <w:t>PHRN</w:t>
            </w:r>
            <w:proofErr w:type="spellEnd"/>
            <w:r>
              <w:t xml:space="preserve"> involves a network of data linkage units in each state and territory</w:t>
            </w:r>
            <w:r w:rsidR="001E5EFF">
              <w:t>;</w:t>
            </w:r>
            <w:r>
              <w:t xml:space="preserve"> national linkage units to perform cross-jurisdictional linkage</w:t>
            </w:r>
            <w:r w:rsidR="001E5EFF">
              <w:t>;</w:t>
            </w:r>
            <w:r>
              <w:t xml:space="preserve"> secure remote access and file transfer infrastructure</w:t>
            </w:r>
            <w:r w:rsidR="001E5EFF">
              <w:t>;</w:t>
            </w:r>
            <w:r>
              <w:t xml:space="preserve"> and a national coordinating office</w:t>
            </w:r>
            <w:r w:rsidR="008366EF">
              <w:t xml:space="preserve"> </w:t>
            </w:r>
            <w:r w:rsidR="008366EF" w:rsidRPr="008366EF">
              <w:rPr>
                <w:rFonts w:cs="Arial"/>
              </w:rPr>
              <w:t>(Population Health Research Network 2011)</w:t>
            </w:r>
            <w:r>
              <w:t xml:space="preserve">. The Australian Government provides </w:t>
            </w:r>
            <w:r w:rsidR="00095EF0">
              <w:t xml:space="preserve">the </w:t>
            </w:r>
            <w:r>
              <w:t>funding through the National Collaborative Research Infrastructure Strategy program while research institutes provide cash and in-kind contributions.</w:t>
            </w:r>
          </w:p>
        </w:tc>
      </w:tr>
      <w:tr w:rsidR="00DA440C" w14:paraId="7FF87B2C" w14:textId="77777777" w:rsidTr="00DA440C">
        <w:tc>
          <w:tcPr>
            <w:tcW w:w="8771" w:type="dxa"/>
            <w:tcBorders>
              <w:top w:val="nil"/>
              <w:left w:val="nil"/>
              <w:bottom w:val="nil"/>
              <w:right w:val="nil"/>
            </w:tcBorders>
            <w:shd w:val="clear" w:color="auto" w:fill="F2F2F2"/>
          </w:tcPr>
          <w:p w14:paraId="4C053CC0" w14:textId="23BB33BC" w:rsidR="00DA440C" w:rsidRDefault="00DA440C" w:rsidP="008366EF">
            <w:pPr>
              <w:pStyle w:val="BoxSource"/>
            </w:pPr>
            <w:r>
              <w:rPr>
                <w:i/>
              </w:rPr>
              <w:t>Source(s)</w:t>
            </w:r>
            <w:r w:rsidRPr="00167F06">
              <w:t>:</w:t>
            </w:r>
            <w:r w:rsidR="007763F3">
              <w:t xml:space="preserve"> </w:t>
            </w:r>
            <w:r w:rsidR="008366EF" w:rsidRPr="008366EF">
              <w:rPr>
                <w:rFonts w:cs="Arial"/>
              </w:rPr>
              <w:t>(Population Health Research Network 2011; Stanley 2010)</w:t>
            </w:r>
          </w:p>
        </w:tc>
      </w:tr>
      <w:tr w:rsidR="00DA440C" w14:paraId="092E8AB2" w14:textId="77777777" w:rsidTr="00DA440C">
        <w:tc>
          <w:tcPr>
            <w:tcW w:w="8771" w:type="dxa"/>
            <w:tcBorders>
              <w:top w:val="nil"/>
              <w:left w:val="nil"/>
              <w:bottom w:val="single" w:sz="6" w:space="0" w:color="78A22F"/>
              <w:right w:val="nil"/>
            </w:tcBorders>
            <w:shd w:val="clear" w:color="auto" w:fill="F2F2F2"/>
          </w:tcPr>
          <w:p w14:paraId="7A9A36A0" w14:textId="77777777" w:rsidR="00DA440C" w:rsidRDefault="00DA440C" w:rsidP="00DA440C">
            <w:pPr>
              <w:pStyle w:val="Box"/>
              <w:spacing w:before="0" w:line="120" w:lineRule="exact"/>
            </w:pPr>
          </w:p>
        </w:tc>
      </w:tr>
      <w:tr w:rsidR="00DA440C" w:rsidRPr="000863A5" w14:paraId="567FC299" w14:textId="77777777" w:rsidTr="00DA440C">
        <w:trPr>
          <w:hidden/>
        </w:trPr>
        <w:tc>
          <w:tcPr>
            <w:tcW w:w="8771" w:type="dxa"/>
            <w:tcBorders>
              <w:top w:val="single" w:sz="6" w:space="0" w:color="78A22F"/>
              <w:left w:val="nil"/>
              <w:bottom w:val="nil"/>
              <w:right w:val="nil"/>
            </w:tcBorders>
          </w:tcPr>
          <w:p w14:paraId="598B77CC" w14:textId="77777777" w:rsidR="00DA440C" w:rsidRPr="00626D32" w:rsidRDefault="00DA440C" w:rsidP="00DA440C">
            <w:pPr>
              <w:pStyle w:val="BoxSpaceBelow"/>
            </w:pPr>
            <w:r w:rsidRPr="00626D32">
              <w:rPr>
                <w:rFonts w:ascii="Times New Roman" w:hAnsi="Times New Roman"/>
                <w:b/>
                <w:vanish/>
                <w:color w:val="FF00FF"/>
              </w:rPr>
              <w:t>Do not delete this ROW as it gives space between the box and what follows it.</w:t>
            </w:r>
          </w:p>
        </w:tc>
      </w:tr>
    </w:tbl>
    <w:p w14:paraId="50A7C1F1" w14:textId="77777777" w:rsidR="008C126B" w:rsidRPr="007D77F0" w:rsidRDefault="008C126B" w:rsidP="008C126B">
      <w:pPr>
        <w:keepNext/>
        <w:spacing w:before="240" w:line="80" w:lineRule="exact"/>
        <w:rPr>
          <w:b/>
          <w:sz w:val="14"/>
          <w:szCs w:val="20"/>
        </w:rPr>
      </w:pPr>
      <w:r w:rsidRPr="007D77F0">
        <w:rPr>
          <w:b/>
          <w:vanish/>
          <w:color w:val="FF00FF"/>
          <w:sz w:val="14"/>
          <w:szCs w:val="20"/>
        </w:rPr>
        <w:lastRenderedPageBreak/>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8C126B" w:rsidRPr="007D77F0" w14:paraId="12272380" w14:textId="77777777" w:rsidTr="008C126B">
        <w:trPr>
          <w:tblHeader/>
        </w:trPr>
        <w:tc>
          <w:tcPr>
            <w:tcW w:w="8770" w:type="dxa"/>
            <w:tcBorders>
              <w:top w:val="single" w:sz="6" w:space="0" w:color="78A22F"/>
              <w:left w:val="nil"/>
              <w:bottom w:val="nil"/>
              <w:right w:val="nil"/>
            </w:tcBorders>
            <w:shd w:val="clear" w:color="auto" w:fill="auto"/>
          </w:tcPr>
          <w:p w14:paraId="4EC81AD5" w14:textId="77777777" w:rsidR="008C126B" w:rsidRPr="007D77F0" w:rsidRDefault="008C126B" w:rsidP="008C126B">
            <w:pPr>
              <w:keepLines/>
              <w:spacing w:before="240" w:line="280" w:lineRule="atLeast"/>
              <w:jc w:val="both"/>
              <w:rPr>
                <w:rFonts w:ascii="Arial" w:hAnsi="Arial"/>
                <w:i/>
                <w:caps/>
                <w:sz w:val="18"/>
                <w:szCs w:val="20"/>
              </w:rPr>
            </w:pPr>
            <w:r w:rsidRPr="007D77F0">
              <w:rPr>
                <w:rFonts w:ascii="Arial" w:hAnsi="Arial"/>
                <w:i/>
                <w:caps/>
                <w:sz w:val="18"/>
                <w:szCs w:val="20"/>
              </w:rPr>
              <w:t>Questions</w:t>
            </w:r>
          </w:p>
          <w:p w14:paraId="1E9BDA3D" w14:textId="7E91BBDA" w:rsidR="008C126B" w:rsidRPr="008C126B" w:rsidRDefault="000D6320"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Which datasets (from the both education and non-education sectors) would be of highest priority to include in the development of an enduring educational database</w:t>
            </w:r>
            <w:r>
              <w:rPr>
                <w:rFonts w:ascii="Arial" w:hAnsi="Arial"/>
                <w:i/>
                <w:sz w:val="22"/>
                <w:szCs w:val="20"/>
              </w:rPr>
              <w:t xml:space="preserve"> </w:t>
            </w:r>
            <w:r w:rsidR="00290470">
              <w:rPr>
                <w:rFonts w:ascii="Arial" w:hAnsi="Arial"/>
                <w:i/>
                <w:sz w:val="22"/>
                <w:szCs w:val="20"/>
              </w:rPr>
              <w:t>What are the</w:t>
            </w:r>
            <w:r w:rsidR="008C126B" w:rsidRPr="008C126B">
              <w:rPr>
                <w:rFonts w:ascii="Arial" w:hAnsi="Arial"/>
                <w:i/>
                <w:sz w:val="22"/>
                <w:szCs w:val="20"/>
              </w:rPr>
              <w:t xml:space="preserve"> existing and prospective barriers to the facilitation of data linkage in education dat</w:t>
            </w:r>
            <w:r w:rsidR="00290470">
              <w:rPr>
                <w:rFonts w:ascii="Arial" w:hAnsi="Arial"/>
                <w:i/>
                <w:sz w:val="22"/>
                <w:szCs w:val="20"/>
              </w:rPr>
              <w:t>a?</w:t>
            </w:r>
          </w:p>
          <w:p w14:paraId="5C100F8E" w14:textId="77777777" w:rsidR="008C126B" w:rsidRP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What are the main challenges and impediments to implementing data linkage in the education sector? Are these challenges and impediments different from other sectors? If yes, how?</w:t>
            </w:r>
          </w:p>
          <w:p w14:paraId="6F3199AB" w14:textId="77777777" w:rsidR="008C126B" w:rsidRP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Have the frameworks developed to improve cooperation in education data linkage been effective in delivering essential, accurate, reliable, timely and nationally consistent education information? If not, why?</w:t>
            </w:r>
          </w:p>
          <w:p w14:paraId="5CE12237" w14:textId="55E6A5C3" w:rsidR="008C126B" w:rsidRP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 xml:space="preserve">How could governance and/or institutional arrangements impacting on data </w:t>
            </w:r>
            <w:r w:rsidR="001E5EFF">
              <w:rPr>
                <w:rFonts w:ascii="Arial" w:hAnsi="Arial"/>
                <w:i/>
                <w:sz w:val="22"/>
                <w:szCs w:val="20"/>
              </w:rPr>
              <w:t>collection</w:t>
            </w:r>
            <w:r w:rsidR="001E5EFF" w:rsidRPr="008C126B">
              <w:rPr>
                <w:rFonts w:ascii="Arial" w:hAnsi="Arial"/>
                <w:i/>
                <w:sz w:val="22"/>
                <w:szCs w:val="20"/>
              </w:rPr>
              <w:t xml:space="preserve"> </w:t>
            </w:r>
            <w:r w:rsidRPr="008C126B">
              <w:rPr>
                <w:rFonts w:ascii="Arial" w:hAnsi="Arial"/>
                <w:i/>
                <w:sz w:val="22"/>
                <w:szCs w:val="20"/>
              </w:rPr>
              <w:t>and access be streamlined or otherwise improved to enable better cooperation among stakeholders for the delivery of education information?</w:t>
            </w:r>
          </w:p>
          <w:p w14:paraId="43EA83CD" w14:textId="0C720927" w:rsidR="008C126B" w:rsidRP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 xml:space="preserve">Would the Australian Longitudinal Learning Database deliver the type of research </w:t>
            </w:r>
            <w:r w:rsidR="00D96800">
              <w:rPr>
                <w:rFonts w:ascii="Arial" w:hAnsi="Arial"/>
                <w:i/>
                <w:sz w:val="22"/>
                <w:szCs w:val="20"/>
              </w:rPr>
              <w:t>dataset</w:t>
            </w:r>
            <w:r w:rsidRPr="008C126B">
              <w:rPr>
                <w:rFonts w:ascii="Arial" w:hAnsi="Arial"/>
                <w:i/>
                <w:sz w:val="22"/>
                <w:szCs w:val="20"/>
              </w:rPr>
              <w:t xml:space="preserve"> that contemporary education researchers and policy makers need?</w:t>
            </w:r>
          </w:p>
          <w:p w14:paraId="16CF37ED" w14:textId="77777777" w:rsidR="008C126B" w:rsidRP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What lessons can be learnt from previous data linkage efforts, in the education and other sectors (e.g. health care, social services) and from other countries?</w:t>
            </w:r>
          </w:p>
          <w:p w14:paraId="1FE23C48" w14:textId="2B4C8393" w:rsidR="000D6320" w:rsidRPr="00FD6BE3" w:rsidRDefault="008C126B" w:rsidP="00FD6BE3">
            <w:pPr>
              <w:numPr>
                <w:ilvl w:val="0"/>
                <w:numId w:val="16"/>
              </w:numPr>
              <w:spacing w:before="80" w:line="280" w:lineRule="atLeast"/>
              <w:jc w:val="both"/>
              <w:rPr>
                <w:rFonts w:ascii="Arial" w:hAnsi="Arial"/>
                <w:i/>
                <w:sz w:val="22"/>
                <w:szCs w:val="20"/>
              </w:rPr>
            </w:pPr>
            <w:r w:rsidRPr="008C126B">
              <w:rPr>
                <w:rFonts w:ascii="Arial" w:hAnsi="Arial"/>
                <w:i/>
                <w:sz w:val="22"/>
                <w:szCs w:val="20"/>
              </w:rPr>
              <w:t xml:space="preserve">Are there other models for developing an enduring, linked education database? How would the costs and benefits of these models compare to the </w:t>
            </w:r>
            <w:proofErr w:type="spellStart"/>
            <w:r w:rsidRPr="008C126B">
              <w:rPr>
                <w:rFonts w:ascii="Arial" w:hAnsi="Arial"/>
                <w:i/>
                <w:sz w:val="22"/>
                <w:szCs w:val="20"/>
              </w:rPr>
              <w:t>ALLD</w:t>
            </w:r>
            <w:proofErr w:type="spellEnd"/>
            <w:r w:rsidRPr="008C126B">
              <w:rPr>
                <w:rFonts w:ascii="Arial" w:hAnsi="Arial"/>
                <w:i/>
                <w:sz w:val="22"/>
                <w:szCs w:val="20"/>
              </w:rPr>
              <w:t>?</w:t>
            </w:r>
          </w:p>
          <w:p w14:paraId="38FE6D3F" w14:textId="2FDE3F8B" w:rsidR="00570426"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What are the relative advantages and disadvantages of using probabilistic or deterministic linkage techniques</w:t>
            </w:r>
            <w:r w:rsidR="00570426" w:rsidRPr="008C126B">
              <w:rPr>
                <w:rFonts w:ascii="Arial" w:hAnsi="Arial"/>
                <w:i/>
                <w:sz w:val="22"/>
                <w:szCs w:val="20"/>
              </w:rPr>
              <w:t xml:space="preserve"> to </w:t>
            </w:r>
            <w:r w:rsidR="00570426">
              <w:rPr>
                <w:rFonts w:ascii="Arial" w:hAnsi="Arial"/>
                <w:i/>
                <w:sz w:val="22"/>
                <w:szCs w:val="20"/>
              </w:rPr>
              <w:t>link</w:t>
            </w:r>
            <w:r w:rsidR="00570426" w:rsidRPr="008C126B">
              <w:rPr>
                <w:rFonts w:ascii="Arial" w:hAnsi="Arial"/>
                <w:i/>
                <w:sz w:val="22"/>
                <w:szCs w:val="20"/>
              </w:rPr>
              <w:t xml:space="preserve"> datasets</w:t>
            </w:r>
            <w:r w:rsidR="00570426">
              <w:rPr>
                <w:rFonts w:ascii="Arial" w:hAnsi="Arial"/>
                <w:i/>
                <w:sz w:val="22"/>
                <w:szCs w:val="20"/>
              </w:rPr>
              <w:t>?</w:t>
            </w:r>
          </w:p>
          <w:p w14:paraId="3C29296E" w14:textId="6B200A61" w:rsidR="008C126B" w:rsidRPr="008C126B" w:rsidRDefault="00570426" w:rsidP="00570426">
            <w:pPr>
              <w:numPr>
                <w:ilvl w:val="0"/>
                <w:numId w:val="16"/>
              </w:numPr>
              <w:spacing w:before="80" w:line="280" w:lineRule="atLeast"/>
              <w:jc w:val="both"/>
              <w:rPr>
                <w:rFonts w:ascii="Arial" w:hAnsi="Arial"/>
                <w:i/>
                <w:sz w:val="22"/>
                <w:szCs w:val="20"/>
              </w:rPr>
            </w:pPr>
            <w:r>
              <w:rPr>
                <w:rFonts w:ascii="Arial" w:hAnsi="Arial"/>
                <w:i/>
                <w:sz w:val="22"/>
                <w:szCs w:val="20"/>
              </w:rPr>
              <w:t xml:space="preserve">What are the costs and benefits of expanding the Unique Student Identifier </w:t>
            </w:r>
            <w:r w:rsidR="00CB7913">
              <w:rPr>
                <w:rFonts w:ascii="Arial" w:hAnsi="Arial"/>
                <w:i/>
                <w:sz w:val="22"/>
                <w:szCs w:val="20"/>
              </w:rPr>
              <w:t xml:space="preserve">nationally </w:t>
            </w:r>
            <w:r>
              <w:rPr>
                <w:rFonts w:ascii="Arial" w:hAnsi="Arial"/>
                <w:i/>
                <w:sz w:val="22"/>
                <w:szCs w:val="20"/>
              </w:rPr>
              <w:t>to students in school and early childhood education and care?</w:t>
            </w:r>
          </w:p>
        </w:tc>
      </w:tr>
      <w:tr w:rsidR="008C126B" w:rsidRPr="007D77F0" w14:paraId="75736CD5" w14:textId="77777777" w:rsidTr="008C126B">
        <w:tc>
          <w:tcPr>
            <w:tcW w:w="8770" w:type="dxa"/>
            <w:tcBorders>
              <w:top w:val="nil"/>
              <w:left w:val="nil"/>
              <w:bottom w:val="single" w:sz="6" w:space="0" w:color="78A22F"/>
              <w:right w:val="nil"/>
            </w:tcBorders>
            <w:shd w:val="clear" w:color="auto" w:fill="auto"/>
          </w:tcPr>
          <w:p w14:paraId="0289A45E" w14:textId="77777777" w:rsidR="008C126B" w:rsidRPr="007D77F0" w:rsidRDefault="008C126B" w:rsidP="008C126B">
            <w:pPr>
              <w:keepLines/>
              <w:spacing w:line="120" w:lineRule="exact"/>
              <w:jc w:val="both"/>
              <w:rPr>
                <w:rFonts w:ascii="Arial" w:hAnsi="Arial"/>
                <w:sz w:val="20"/>
                <w:szCs w:val="20"/>
              </w:rPr>
            </w:pPr>
          </w:p>
        </w:tc>
      </w:tr>
      <w:tr w:rsidR="008C126B" w:rsidRPr="007D77F0" w14:paraId="25BE3E4F" w14:textId="77777777" w:rsidTr="008C126B">
        <w:trPr>
          <w:hidden/>
        </w:trPr>
        <w:tc>
          <w:tcPr>
            <w:tcW w:w="8770" w:type="dxa"/>
            <w:tcBorders>
              <w:top w:val="single" w:sz="6" w:space="0" w:color="78A22F"/>
              <w:left w:val="nil"/>
              <w:bottom w:val="nil"/>
              <w:right w:val="nil"/>
            </w:tcBorders>
          </w:tcPr>
          <w:p w14:paraId="68231A8B" w14:textId="77777777" w:rsidR="008C126B" w:rsidRPr="007D77F0" w:rsidRDefault="008C126B" w:rsidP="008C126B">
            <w:pPr>
              <w:keepLines/>
              <w:spacing w:before="60" w:after="60" w:line="80" w:lineRule="exact"/>
              <w:jc w:val="both"/>
              <w:rPr>
                <w:rFonts w:ascii="Arial" w:hAnsi="Arial"/>
                <w:sz w:val="14"/>
                <w:szCs w:val="20"/>
              </w:rPr>
            </w:pPr>
            <w:r w:rsidRPr="007D77F0">
              <w:rPr>
                <w:b/>
                <w:vanish/>
                <w:color w:val="FF00FF"/>
                <w:sz w:val="14"/>
                <w:szCs w:val="20"/>
              </w:rPr>
              <w:t>Do not delete this ROW as it gives space between the info request and what follows it.</w:t>
            </w:r>
          </w:p>
        </w:tc>
      </w:tr>
    </w:tbl>
    <w:p w14:paraId="5D02315E" w14:textId="127A64ED" w:rsidR="00DA440C" w:rsidRDefault="00C1633E" w:rsidP="00DA440C">
      <w:pPr>
        <w:pStyle w:val="Heading3"/>
      </w:pPr>
      <w:r>
        <w:t>Privacy</w:t>
      </w:r>
    </w:p>
    <w:p w14:paraId="08B6A052" w14:textId="09DDD7B5" w:rsidR="00A42A5E" w:rsidRDefault="00E30DDE" w:rsidP="00DA440C">
      <w:pPr>
        <w:pStyle w:val="BodyText"/>
      </w:pPr>
      <w:r>
        <w:t>Protecting the privacy of individuals and the confidentiality of information obtained from those individuals is an important overarching consideration</w:t>
      </w:r>
      <w:r w:rsidR="00A60A7A">
        <w:t xml:space="preserve"> in </w:t>
      </w:r>
      <w:r w:rsidR="00C2237A">
        <w:t xml:space="preserve">allowing </w:t>
      </w:r>
      <w:r w:rsidR="00A60A7A">
        <w:t xml:space="preserve">access to education (or other) data by third party researchers and policy makers. </w:t>
      </w:r>
      <w:r w:rsidR="002D3F35">
        <w:t>P</w:t>
      </w:r>
      <w:r w:rsidR="002C3AE1">
        <w:t xml:space="preserve">rivacy protection </w:t>
      </w:r>
      <w:r w:rsidR="002D3F35">
        <w:t xml:space="preserve">serves to </w:t>
      </w:r>
      <w:r w:rsidR="002C3AE1">
        <w:t xml:space="preserve">promote trust and confidence by individuals (and organisations) that personal information </w:t>
      </w:r>
      <w:r w:rsidR="002D3F35">
        <w:t>is collected, stored and used in an appropriate manner.</w:t>
      </w:r>
    </w:p>
    <w:p w14:paraId="5B960CC6" w14:textId="76E08B7E" w:rsidR="00E2640F" w:rsidRDefault="00A60A7A" w:rsidP="00DA440C">
      <w:pPr>
        <w:pStyle w:val="BodyText"/>
      </w:pPr>
      <w:r>
        <w:t xml:space="preserve">The </w:t>
      </w:r>
      <w:r w:rsidRPr="00C2237A">
        <w:rPr>
          <w:i/>
        </w:rPr>
        <w:t>Privacy Act (</w:t>
      </w:r>
      <w:proofErr w:type="spellStart"/>
      <w:r w:rsidRPr="00C2237A">
        <w:rPr>
          <w:i/>
        </w:rPr>
        <w:t>Cwth</w:t>
      </w:r>
      <w:proofErr w:type="spellEnd"/>
      <w:r w:rsidRPr="00C2237A">
        <w:rPr>
          <w:i/>
        </w:rPr>
        <w:t>) 1988</w:t>
      </w:r>
      <w:r>
        <w:t xml:space="preserve">, regulates the handling of personal information </w:t>
      </w:r>
      <w:r w:rsidR="00C2237A">
        <w:t xml:space="preserve">by government agencies and other organisations and covers the collection, storage, security, use, disclosure and destruction of personal information. </w:t>
      </w:r>
      <w:r w:rsidR="00FD1815">
        <w:t>The provisions</w:t>
      </w:r>
      <w:r w:rsidR="00397F7C">
        <w:t xml:space="preserve"> </w:t>
      </w:r>
      <w:r w:rsidR="00FD1815">
        <w:t xml:space="preserve">contained in the Privacy Act are </w:t>
      </w:r>
      <w:r w:rsidR="00397F7C">
        <w:t xml:space="preserve">in addition to commitments made under various legislation governing particular policy areas that collect personal </w:t>
      </w:r>
      <w:r w:rsidR="000D6320">
        <w:t>information.</w:t>
      </w:r>
    </w:p>
    <w:p w14:paraId="14C5D1C7" w14:textId="710A3942" w:rsidR="00DA440C" w:rsidRDefault="00397F7C" w:rsidP="00DA440C">
      <w:pPr>
        <w:pStyle w:val="BodyText"/>
      </w:pPr>
      <w:r>
        <w:t xml:space="preserve">For example, the </w:t>
      </w:r>
      <w:r w:rsidRPr="00DD50FC">
        <w:rPr>
          <w:i/>
        </w:rPr>
        <w:t>Census and Statistics Act 1905</w:t>
      </w:r>
      <w:r>
        <w:t xml:space="preserve"> (sect 12) prohibits the </w:t>
      </w:r>
      <w:r w:rsidR="001E5EFF">
        <w:t>ABS</w:t>
      </w:r>
      <w:r>
        <w:t xml:space="preserve"> from the publication or dissemination of statistical information which would enable identification of </w:t>
      </w:r>
      <w:r>
        <w:lastRenderedPageBreak/>
        <w:t>a particular person.</w:t>
      </w:r>
      <w:r w:rsidR="00E2640F">
        <w:t xml:space="preserve"> </w:t>
      </w:r>
      <w:r w:rsidR="00DA440C">
        <w:t xml:space="preserve">The </w:t>
      </w:r>
      <w:proofErr w:type="spellStart"/>
      <w:r w:rsidR="001E5EFF">
        <w:t>AIHW</w:t>
      </w:r>
      <w:proofErr w:type="spellEnd"/>
      <w:r w:rsidR="00DA440C">
        <w:t xml:space="preserve"> is similarly governed by confidentiality provisions (under the </w:t>
      </w:r>
      <w:r w:rsidR="00DA440C" w:rsidRPr="00A654A7">
        <w:rPr>
          <w:i/>
        </w:rPr>
        <w:t>Australian Institute of Health and Welfare Act 1987</w:t>
      </w:r>
      <w:r w:rsidR="00DA440C">
        <w:t>) that prohib</w:t>
      </w:r>
      <w:r w:rsidR="00960953">
        <w:t>it the release of information</w:t>
      </w:r>
      <w:r w:rsidR="00DA440C">
        <w:t xml:space="preserve"> concerning a person other than in accordance with the Act. These provisions are broader than those contained in the Commonwealth </w:t>
      </w:r>
      <w:r w:rsidR="00DA440C" w:rsidRPr="004B4EEE">
        <w:rPr>
          <w:i/>
        </w:rPr>
        <w:t>Privacy Act 1988</w:t>
      </w:r>
      <w:r w:rsidR="00DA440C">
        <w:t>.</w:t>
      </w:r>
    </w:p>
    <w:p w14:paraId="7654D32F" w14:textId="488F7DDD" w:rsidR="00E2640F" w:rsidRDefault="00DA440C" w:rsidP="00E2640F">
      <w:pPr>
        <w:pStyle w:val="BodyText"/>
      </w:pPr>
      <w:r>
        <w:t>In addition to privacy legislation at the Australian Government level</w:t>
      </w:r>
      <w:r w:rsidR="001E5EFF">
        <w:t>,</w:t>
      </w:r>
      <w:r>
        <w:t xml:space="preserve"> six of the eight states and territories have their own privacy legislation (the exceptions are Western Australia and South Australia). These laws prohibit the provision of information to third parties without the express consent of parents or guardians. While consent needs to be obtained during the data collection phase there is </w:t>
      </w:r>
      <w:r w:rsidR="00E2640F">
        <w:t>no</w:t>
      </w:r>
      <w:r>
        <w:t xml:space="preserve"> uniform application of this requirement across jurisdictions. This has restricted the ability of some jurisdictions to provide education information to agencies attempting to build </w:t>
      </w:r>
      <w:r w:rsidR="00E2640F">
        <w:t>research</w:t>
      </w:r>
      <w:r>
        <w:t xml:space="preserve"> education </w:t>
      </w:r>
      <w:r w:rsidR="00E2640F">
        <w:t>datasets.</w:t>
      </w:r>
    </w:p>
    <w:p w14:paraId="1E72F20A" w14:textId="30438F84" w:rsidR="00CA03C4" w:rsidRDefault="00CA03C4" w:rsidP="00E2640F">
      <w:pPr>
        <w:pStyle w:val="BodyText"/>
      </w:pPr>
      <w:r>
        <w:t xml:space="preserve">A related issue involves limits </w:t>
      </w:r>
      <w:r w:rsidR="00B44FE4">
        <w:t>placed on</w:t>
      </w:r>
      <w:r>
        <w:t xml:space="preserve"> the potential use of data by the </w:t>
      </w:r>
      <w:r w:rsidR="00B44FE4">
        <w:t xml:space="preserve">specific </w:t>
      </w:r>
      <w:r>
        <w:t xml:space="preserve">legislation </w:t>
      </w:r>
      <w:r w:rsidR="00B44FE4">
        <w:t xml:space="preserve">that gives effect to a program. </w:t>
      </w:r>
      <w:r>
        <w:t xml:space="preserve">An example given to the Commission </w:t>
      </w:r>
      <w:r w:rsidR="00B44FE4">
        <w:t xml:space="preserve">was that of higher education funding where the relevant legislation </w:t>
      </w:r>
      <w:r w:rsidR="00C1633E">
        <w:t>restricts the use of data collections in this area to higher education purposes only.</w:t>
      </w:r>
      <w:r w:rsidR="00105F4D">
        <w:t xml:space="preserve"> In situations where the relevant legislation is either silent on allowable uses of collected data </w:t>
      </w:r>
      <w:r w:rsidR="00152290">
        <w:t>or</w:t>
      </w:r>
      <w:r w:rsidR="00105F4D">
        <w:t xml:space="preserve"> open to interpretation, the</w:t>
      </w:r>
      <w:r w:rsidR="00066BEE">
        <w:t>re is a</w:t>
      </w:r>
      <w:r w:rsidR="00105F4D">
        <w:t xml:space="preserve"> likelihood of program administrators adopting a risk-averse approach to data access</w:t>
      </w:r>
      <w:r w:rsidR="00621FA7">
        <w:t xml:space="preserve"> by third parties</w:t>
      </w:r>
      <w:r w:rsidR="00105F4D">
        <w:t>.</w:t>
      </w:r>
    </w:p>
    <w:p w14:paraId="1702D4B0" w14:textId="5E9304B3" w:rsidR="00CB5F35" w:rsidRDefault="00E2640F" w:rsidP="00DA440C">
      <w:pPr>
        <w:pStyle w:val="BodyText"/>
      </w:pPr>
      <w:r>
        <w:t xml:space="preserve">Together, </w:t>
      </w:r>
      <w:r w:rsidR="00C1633E">
        <w:t xml:space="preserve">such </w:t>
      </w:r>
      <w:r w:rsidR="00DA440C">
        <w:t>requirement</w:t>
      </w:r>
      <w:r>
        <w:t>s restrict</w:t>
      </w:r>
      <w:r w:rsidR="00DA440C">
        <w:t xml:space="preserve"> access to </w:t>
      </w:r>
      <w:r w:rsidR="001F73D8">
        <w:t>education</w:t>
      </w:r>
      <w:r w:rsidR="00DA440C">
        <w:t xml:space="preserve"> da</w:t>
      </w:r>
      <w:r w:rsidR="009D2301">
        <w:t>ta and mean</w:t>
      </w:r>
      <w:r w:rsidR="00DA440C">
        <w:t xml:space="preserve"> that alternative approaches to enable data linkage need to be developed and employed (see above).</w:t>
      </w:r>
      <w:r>
        <w:t xml:space="preserve"> </w:t>
      </w:r>
      <w:r w:rsidR="009D2301">
        <w:t xml:space="preserve">Examples include the </w:t>
      </w:r>
      <w:r w:rsidR="00755EA6">
        <w:t xml:space="preserve">use of specific statistical techniques to de-identify unit record data and (potentially) the introduction of </w:t>
      </w:r>
      <w:r w:rsidR="009D2301">
        <w:t xml:space="preserve">unique student </w:t>
      </w:r>
      <w:r w:rsidR="00755EA6">
        <w:t>identifiers</w:t>
      </w:r>
      <w:r w:rsidR="009D2301">
        <w:t xml:space="preserve">. </w:t>
      </w:r>
      <w:r w:rsidR="00755EA6">
        <w:t xml:space="preserve">These alternatives </w:t>
      </w:r>
      <w:r w:rsidR="001F5987">
        <w:t xml:space="preserve">may </w:t>
      </w:r>
      <w:r w:rsidR="00755EA6">
        <w:t>involve associated loss of information and additional data processing costs.</w:t>
      </w:r>
      <w:r w:rsidR="00DA440C">
        <w:t xml:space="preserve"> Importantly, </w:t>
      </w:r>
      <w:r w:rsidR="000726E1">
        <w:t>in the health and medical research sphere there is a waiver under the Privacy Act 1988 which permits access to health data collections without the need to obtain an individual’s consent</w:t>
      </w:r>
      <w:r w:rsidR="007763F3">
        <w:t xml:space="preserve"> </w:t>
      </w:r>
      <w:r w:rsidR="00311CB3" w:rsidRPr="00311CB3">
        <w:t>(Australian Institute of Health and Welfare 2014, p. 23; Stanley 2010)</w:t>
      </w:r>
      <w:r w:rsidR="000726E1">
        <w:t>.</w:t>
      </w:r>
    </w:p>
    <w:p w14:paraId="26A9B3C8" w14:textId="00C2C8CF" w:rsidR="005D6E6E" w:rsidRDefault="00C236C0" w:rsidP="00DA440C">
      <w:pPr>
        <w:pStyle w:val="BodyText"/>
      </w:pPr>
      <w:r>
        <w:t xml:space="preserve">More broadly, the granting </w:t>
      </w:r>
      <w:r w:rsidR="000726E1">
        <w:t xml:space="preserve">(or presumption) </w:t>
      </w:r>
      <w:r>
        <w:t xml:space="preserve">of </w:t>
      </w:r>
      <w:r w:rsidR="000726E1">
        <w:t xml:space="preserve">individual (or parental) </w:t>
      </w:r>
      <w:r>
        <w:t xml:space="preserve">consent </w:t>
      </w:r>
      <w:r w:rsidR="000726E1">
        <w:t xml:space="preserve">raises questions about who ‘owns’ </w:t>
      </w:r>
      <w:r w:rsidR="00CB5F35">
        <w:t xml:space="preserve">the resulting </w:t>
      </w:r>
      <w:r w:rsidR="000726E1">
        <w:t xml:space="preserve">education data and how that data can be shared </w:t>
      </w:r>
      <w:r w:rsidR="002C3AE1">
        <w:t xml:space="preserve">and used </w:t>
      </w:r>
      <w:r w:rsidR="000726E1">
        <w:t xml:space="preserve">once consent has been </w:t>
      </w:r>
      <w:r w:rsidR="00E368A2">
        <w:t>established</w:t>
      </w:r>
      <w:r w:rsidR="000726E1">
        <w:t>.</w:t>
      </w:r>
      <w:r w:rsidR="00CB5F35">
        <w:t xml:space="preserve"> </w:t>
      </w:r>
      <w:r w:rsidR="005D6E6E">
        <w:t>In those circumstances where education data has been aggregated (and privacy concerns met), data ownership and sharing questions should, in principle, be less problematic. To the extent there is residual uncertainty, the creation of an effective national framework may need to propose revisions to regulation.</w:t>
      </w:r>
    </w:p>
    <w:p w14:paraId="6F9FC4B6" w14:textId="14F8DA8F" w:rsidR="00C36EA0" w:rsidRDefault="00C36EA0" w:rsidP="00DA440C">
      <w:pPr>
        <w:pStyle w:val="BodyText"/>
      </w:pPr>
      <w:r>
        <w:t>A</w:t>
      </w:r>
      <w:r w:rsidR="00714D8B">
        <w:t>t the individual research project</w:t>
      </w:r>
      <w:r>
        <w:t xml:space="preserve"> level</w:t>
      </w:r>
      <w:r w:rsidR="00714D8B">
        <w:t>,</w:t>
      </w:r>
      <w:r>
        <w:t xml:space="preserve"> </w:t>
      </w:r>
      <w:r w:rsidR="00CF366F">
        <w:t xml:space="preserve">separate </w:t>
      </w:r>
      <w:r w:rsidR="00714D8B">
        <w:t xml:space="preserve">approval requirements across jurisdictions </w:t>
      </w:r>
      <w:r w:rsidR="00CF366F">
        <w:t xml:space="preserve">for </w:t>
      </w:r>
      <w:r>
        <w:t>r</w:t>
      </w:r>
      <w:r w:rsidR="00CF366F">
        <w:t xml:space="preserve">esearchers wishing to conduct cross-jurisdictional studies </w:t>
      </w:r>
      <w:r w:rsidR="001D64AC">
        <w:t xml:space="preserve">can </w:t>
      </w:r>
      <w:r w:rsidR="00CF366F">
        <w:t xml:space="preserve">increase compliance costs and </w:t>
      </w:r>
      <w:r w:rsidR="001D64AC">
        <w:t>result in unnecessary delays. In this context, researchers seeking government school data</w:t>
      </w:r>
      <w:r>
        <w:t xml:space="preserve"> must obtain permission from </w:t>
      </w:r>
      <w:r w:rsidR="001D64AC">
        <w:t xml:space="preserve">each </w:t>
      </w:r>
      <w:r>
        <w:t xml:space="preserve">state and territory education department. Each jurisdiction in Australia assesses applications separately, though according to broadly similar criteria </w:t>
      </w:r>
      <w:r w:rsidRPr="00314828">
        <w:t>(Australian Association for Research in Education 2016)</w:t>
      </w:r>
      <w:r>
        <w:t xml:space="preserve">. </w:t>
      </w:r>
      <w:r w:rsidDel="005E3372">
        <w:t>S</w:t>
      </w:r>
      <w:r w:rsidR="001C43B9">
        <w:t xml:space="preserve">tate and territory education departments </w:t>
      </w:r>
      <w:r w:rsidRPr="00314828">
        <w:t xml:space="preserve">have agreed to trial a process whereby researchers wishing to undertake research in more than one jurisdiction apply to each jurisdiction separately, but using a single national application form. Applications will be assessed by each jurisdiction </w:t>
      </w:r>
      <w:r w:rsidRPr="00314828">
        <w:lastRenderedPageBreak/>
        <w:t>according to their research approval guidelines (Australian Association for Research in Education 2016)</w:t>
      </w:r>
      <w:r>
        <w:t>.</w:t>
      </w:r>
    </w:p>
    <w:p w14:paraId="5CE26923" w14:textId="28533D7E" w:rsidR="001C4BA6" w:rsidRDefault="00817036" w:rsidP="00DA440C">
      <w:pPr>
        <w:pStyle w:val="BodyText"/>
      </w:pPr>
      <w:r>
        <w:t>Another issue</w:t>
      </w:r>
      <w:r w:rsidR="004C2E32">
        <w:t xml:space="preserve"> involves the </w:t>
      </w:r>
      <w:r w:rsidR="00D41A6E">
        <w:t xml:space="preserve">adverse </w:t>
      </w:r>
      <w:r w:rsidR="004C2E32">
        <w:t xml:space="preserve">incentives faced by </w:t>
      </w:r>
      <w:r w:rsidR="00D41A6E">
        <w:t xml:space="preserve">policy agencies </w:t>
      </w:r>
      <w:r w:rsidR="00714D8B">
        <w:t>who are also responsible for</w:t>
      </w:r>
      <w:r w:rsidR="00D41A6E">
        <w:t xml:space="preserve"> </w:t>
      </w:r>
      <w:r w:rsidR="004C2E32">
        <w:t xml:space="preserve">data </w:t>
      </w:r>
      <w:r w:rsidR="00714D8B">
        <w:t>custody</w:t>
      </w:r>
      <w:r w:rsidR="004C2E32">
        <w:t xml:space="preserve"> to provide access </w:t>
      </w:r>
      <w:r w:rsidR="00D41A6E">
        <w:t xml:space="preserve">to education </w:t>
      </w:r>
      <w:r w:rsidR="004C2E32">
        <w:t xml:space="preserve">data that may by politically sensitive. In this context, policy departments may be reluctant to provide data for independent research that could yield unfavourable public findings about </w:t>
      </w:r>
      <w:r w:rsidR="00152290">
        <w:t xml:space="preserve">program </w:t>
      </w:r>
      <w:r w:rsidR="004C2E32">
        <w:t>effectiveness</w:t>
      </w:r>
      <w:r w:rsidR="0051465E">
        <w:t xml:space="preserve">. Related to this is a concern that the release of raw data may lead to </w:t>
      </w:r>
      <w:r w:rsidR="00D41A6E">
        <w:t xml:space="preserve">its </w:t>
      </w:r>
      <w:r w:rsidR="0051465E">
        <w:t>misinterpretation or misuse</w:t>
      </w:r>
      <w:r w:rsidR="00311CB3">
        <w:t xml:space="preserve"> </w:t>
      </w:r>
      <w:r w:rsidR="00311CB3" w:rsidRPr="00311CB3">
        <w:t>(Productivity Commission 2013, p. 12)</w:t>
      </w:r>
      <w:r w:rsidR="00311CB3">
        <w:t>.</w:t>
      </w:r>
    </w:p>
    <w:p w14:paraId="384C4FFF" w14:textId="6B245DF3" w:rsidR="0008760C" w:rsidRDefault="0008760C" w:rsidP="0008760C">
      <w:pPr>
        <w:pStyle w:val="BodyText"/>
      </w:pPr>
      <w:r>
        <w:t xml:space="preserve">Data custodians may also restrict the </w:t>
      </w:r>
      <w:r w:rsidRPr="003065AD">
        <w:rPr>
          <w:i/>
        </w:rPr>
        <w:t>way</w:t>
      </w:r>
      <w:r>
        <w:t xml:space="preserve"> in which researchers access data, for example by only allowing access from a supervised physical location. The ABS restricts access to some of its unit record level (URL) data to the ABS Data Laboratory, which is accessed from a secure location within ABS premises. To ensure confidentiality, the ABS vets all outputs from the Data Laboratory </w:t>
      </w:r>
      <w:r w:rsidR="001532A8" w:rsidRPr="001532A8">
        <w:t xml:space="preserve">(Australian Bureau of Statistics </w:t>
      </w:r>
      <w:proofErr w:type="spellStart"/>
      <w:r w:rsidR="001532A8" w:rsidRPr="001532A8">
        <w:t>2015a</w:t>
      </w:r>
      <w:proofErr w:type="spellEnd"/>
      <w:r w:rsidR="001532A8" w:rsidRPr="001532A8">
        <w:t>)</w:t>
      </w:r>
      <w:r>
        <w:t xml:space="preserve">. The ABS has launched a pilot Virtual </w:t>
      </w:r>
      <w:proofErr w:type="spellStart"/>
      <w:r>
        <w:t>Microdata</w:t>
      </w:r>
      <w:proofErr w:type="spellEnd"/>
      <w:r>
        <w:t xml:space="preserve"> Laboratory — which allows remote access to the ABS Data Laboratory — at the Department of Social Services and the Productivity Commission. It plans to expand access to the Virtual </w:t>
      </w:r>
      <w:proofErr w:type="spellStart"/>
      <w:r>
        <w:t>Microdata</w:t>
      </w:r>
      <w:proofErr w:type="spellEnd"/>
      <w:r>
        <w:t xml:space="preserve"> Laboratory to other government agencies and possibly research institutes </w:t>
      </w:r>
      <w:r w:rsidRPr="00D91368">
        <w:t>(ABS 2016)</w:t>
      </w:r>
      <w:r>
        <w:t xml:space="preserve">. </w:t>
      </w:r>
      <w:r w:rsidR="005D6E6E">
        <w:t xml:space="preserve">The development of remote working solutions has been identified as an important growth area for research on government data (Desai et al </w:t>
      </w:r>
      <w:r w:rsidR="005D6E6E" w:rsidRPr="00BB1B06">
        <w:t>2016)</w:t>
      </w:r>
      <w:r w:rsidR="005D6E6E">
        <w:t xml:space="preserve">. </w:t>
      </w:r>
    </w:p>
    <w:p w14:paraId="50589B24" w14:textId="77777777" w:rsidR="008C126B" w:rsidRPr="007D77F0" w:rsidRDefault="008C126B" w:rsidP="008C126B">
      <w:pPr>
        <w:keepNext/>
        <w:spacing w:before="240" w:line="80" w:lineRule="exact"/>
        <w:rPr>
          <w:b/>
          <w:sz w:val="14"/>
          <w:szCs w:val="20"/>
        </w:rPr>
      </w:pPr>
      <w:r w:rsidRPr="007D77F0">
        <w:rPr>
          <w:b/>
          <w:vanish/>
          <w:color w:val="FF00FF"/>
          <w:sz w:val="14"/>
          <w:szCs w:val="20"/>
        </w:rPr>
        <w:lastRenderedPageBreak/>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8C126B" w:rsidRPr="007D77F0" w14:paraId="494F1481" w14:textId="77777777" w:rsidTr="008C126B">
        <w:trPr>
          <w:tblHeader/>
        </w:trPr>
        <w:tc>
          <w:tcPr>
            <w:tcW w:w="8770" w:type="dxa"/>
            <w:tcBorders>
              <w:top w:val="single" w:sz="6" w:space="0" w:color="78A22F"/>
              <w:left w:val="nil"/>
              <w:bottom w:val="nil"/>
              <w:right w:val="nil"/>
            </w:tcBorders>
            <w:shd w:val="clear" w:color="auto" w:fill="auto"/>
          </w:tcPr>
          <w:p w14:paraId="511B5506" w14:textId="5B798806" w:rsidR="008C126B" w:rsidRPr="008C126B" w:rsidRDefault="008C126B" w:rsidP="008C126B">
            <w:pPr>
              <w:keepLines/>
              <w:spacing w:before="240" w:line="280" w:lineRule="atLeast"/>
              <w:jc w:val="both"/>
              <w:rPr>
                <w:rFonts w:ascii="Arial" w:hAnsi="Arial"/>
                <w:i/>
                <w:caps/>
                <w:sz w:val="18"/>
                <w:szCs w:val="20"/>
              </w:rPr>
            </w:pPr>
            <w:r>
              <w:rPr>
                <w:rFonts w:ascii="Arial" w:hAnsi="Arial"/>
                <w:i/>
                <w:caps/>
                <w:sz w:val="18"/>
                <w:szCs w:val="20"/>
              </w:rPr>
              <w:t>Questions</w:t>
            </w:r>
          </w:p>
          <w:p w14:paraId="610FC30C" w14:textId="5AC34647" w:rsidR="005D6E6E" w:rsidRDefault="005D6E6E" w:rsidP="005D6E6E">
            <w:pPr>
              <w:numPr>
                <w:ilvl w:val="0"/>
                <w:numId w:val="16"/>
              </w:numPr>
              <w:spacing w:before="80" w:line="280" w:lineRule="atLeast"/>
              <w:jc w:val="both"/>
              <w:rPr>
                <w:rFonts w:ascii="Arial" w:hAnsi="Arial"/>
                <w:i/>
                <w:sz w:val="22"/>
                <w:szCs w:val="20"/>
              </w:rPr>
            </w:pPr>
            <w:r w:rsidRPr="008C126B">
              <w:rPr>
                <w:rFonts w:ascii="Arial" w:hAnsi="Arial"/>
                <w:i/>
                <w:sz w:val="22"/>
                <w:szCs w:val="20"/>
              </w:rPr>
              <w:t xml:space="preserve">Do legislative provisions governing privacy and confidentiality of education data unnecessarily delay or otherwise limit </w:t>
            </w:r>
            <w:r>
              <w:rPr>
                <w:rFonts w:ascii="Arial" w:hAnsi="Arial"/>
                <w:i/>
                <w:sz w:val="22"/>
                <w:szCs w:val="20"/>
              </w:rPr>
              <w:t xml:space="preserve">the ability to draw effectively on </w:t>
            </w:r>
            <w:r w:rsidRPr="008C126B">
              <w:rPr>
                <w:rFonts w:ascii="Arial" w:hAnsi="Arial"/>
                <w:i/>
                <w:sz w:val="22"/>
                <w:szCs w:val="20"/>
              </w:rPr>
              <w:t>that data?</w:t>
            </w:r>
          </w:p>
          <w:p w14:paraId="31B084E3" w14:textId="2B56672D" w:rsidR="004F223D" w:rsidRPr="008C126B" w:rsidRDefault="004F223D" w:rsidP="008C126B">
            <w:pPr>
              <w:numPr>
                <w:ilvl w:val="0"/>
                <w:numId w:val="16"/>
              </w:numPr>
              <w:spacing w:before="80" w:line="280" w:lineRule="atLeast"/>
              <w:jc w:val="both"/>
              <w:rPr>
                <w:rFonts w:ascii="Arial" w:hAnsi="Arial"/>
                <w:i/>
                <w:sz w:val="22"/>
                <w:szCs w:val="20"/>
              </w:rPr>
            </w:pPr>
            <w:r>
              <w:rPr>
                <w:rFonts w:ascii="Arial" w:hAnsi="Arial"/>
                <w:i/>
                <w:sz w:val="22"/>
                <w:szCs w:val="20"/>
              </w:rPr>
              <w:t xml:space="preserve">If yes, </w:t>
            </w:r>
            <w:r w:rsidR="00B14BF8">
              <w:rPr>
                <w:rFonts w:ascii="Arial" w:hAnsi="Arial"/>
                <w:i/>
                <w:sz w:val="22"/>
                <w:szCs w:val="20"/>
              </w:rPr>
              <w:t>is the delay caused by the</w:t>
            </w:r>
            <w:r>
              <w:rPr>
                <w:rFonts w:ascii="Arial" w:hAnsi="Arial"/>
                <w:i/>
                <w:sz w:val="22"/>
                <w:szCs w:val="20"/>
              </w:rPr>
              <w:t xml:space="preserve"> legislation itself or </w:t>
            </w:r>
            <w:r w:rsidR="00B14BF8">
              <w:rPr>
                <w:rFonts w:ascii="Arial" w:hAnsi="Arial"/>
                <w:i/>
                <w:sz w:val="22"/>
                <w:szCs w:val="20"/>
              </w:rPr>
              <w:t xml:space="preserve">by </w:t>
            </w:r>
            <w:r w:rsidR="000F3BCB">
              <w:rPr>
                <w:rFonts w:ascii="Arial" w:hAnsi="Arial"/>
                <w:i/>
                <w:sz w:val="22"/>
                <w:szCs w:val="20"/>
              </w:rPr>
              <w:t>the flexibility it provides to</w:t>
            </w:r>
            <w:r>
              <w:rPr>
                <w:rFonts w:ascii="Arial" w:hAnsi="Arial"/>
                <w:i/>
                <w:sz w:val="22"/>
                <w:szCs w:val="20"/>
              </w:rPr>
              <w:t xml:space="preserve"> data cust</w:t>
            </w:r>
            <w:r w:rsidR="00B14BF8">
              <w:rPr>
                <w:rFonts w:ascii="Arial" w:hAnsi="Arial"/>
                <w:i/>
                <w:sz w:val="22"/>
                <w:szCs w:val="20"/>
              </w:rPr>
              <w:t>odians and other stakeholders</w:t>
            </w:r>
            <w:r w:rsidR="000F3BCB">
              <w:rPr>
                <w:rFonts w:ascii="Arial" w:hAnsi="Arial"/>
                <w:i/>
                <w:sz w:val="22"/>
                <w:szCs w:val="20"/>
              </w:rPr>
              <w:t xml:space="preserve"> through interpretation</w:t>
            </w:r>
            <w:r w:rsidR="00B14BF8">
              <w:rPr>
                <w:rFonts w:ascii="Arial" w:hAnsi="Arial"/>
                <w:i/>
                <w:sz w:val="22"/>
                <w:szCs w:val="20"/>
              </w:rPr>
              <w:t>?</w:t>
            </w:r>
          </w:p>
          <w:p w14:paraId="0F630DF7" w14:textId="77777777" w:rsidR="00BA0B38" w:rsidRPr="004F223D" w:rsidRDefault="00BA0B38" w:rsidP="00BA0B38">
            <w:pPr>
              <w:numPr>
                <w:ilvl w:val="0"/>
                <w:numId w:val="16"/>
              </w:numPr>
              <w:spacing w:before="80" w:line="280" w:lineRule="atLeast"/>
              <w:jc w:val="both"/>
              <w:rPr>
                <w:rFonts w:ascii="Arial" w:hAnsi="Arial"/>
                <w:i/>
                <w:sz w:val="22"/>
                <w:szCs w:val="20"/>
              </w:rPr>
            </w:pPr>
            <w:r w:rsidRPr="008C126B">
              <w:rPr>
                <w:rFonts w:ascii="Arial" w:hAnsi="Arial"/>
                <w:i/>
                <w:sz w:val="22"/>
                <w:szCs w:val="20"/>
              </w:rPr>
              <w:t>Can these legislative provisions be modified in a way that</w:t>
            </w:r>
            <w:r>
              <w:rPr>
                <w:rFonts w:ascii="Arial" w:hAnsi="Arial"/>
                <w:i/>
                <w:sz w:val="22"/>
                <w:szCs w:val="20"/>
              </w:rPr>
              <w:t xml:space="preserve"> better balances confidentiality with utility</w:t>
            </w:r>
            <w:r w:rsidRPr="008C126B">
              <w:rPr>
                <w:rFonts w:ascii="Arial" w:hAnsi="Arial"/>
                <w:i/>
                <w:sz w:val="22"/>
                <w:szCs w:val="20"/>
              </w:rPr>
              <w:t>? If yes, how?</w:t>
            </w:r>
          </w:p>
          <w:p w14:paraId="7324DD30" w14:textId="0B3F143E" w:rsidR="00BA0B38" w:rsidRPr="008C126B" w:rsidRDefault="00BA0B38" w:rsidP="00BA0B38">
            <w:pPr>
              <w:numPr>
                <w:ilvl w:val="0"/>
                <w:numId w:val="16"/>
              </w:numPr>
              <w:spacing w:before="80" w:line="280" w:lineRule="atLeast"/>
              <w:jc w:val="both"/>
              <w:rPr>
                <w:rFonts w:ascii="Arial" w:hAnsi="Arial"/>
                <w:i/>
                <w:sz w:val="22"/>
                <w:szCs w:val="20"/>
              </w:rPr>
            </w:pPr>
            <w:r w:rsidRPr="008C126B">
              <w:rPr>
                <w:rFonts w:ascii="Arial" w:hAnsi="Arial"/>
                <w:i/>
                <w:sz w:val="22"/>
                <w:szCs w:val="20"/>
              </w:rPr>
              <w:t>W</w:t>
            </w:r>
            <w:r>
              <w:rPr>
                <w:rFonts w:ascii="Arial" w:hAnsi="Arial"/>
                <w:i/>
                <w:sz w:val="22"/>
                <w:szCs w:val="20"/>
              </w:rPr>
              <w:t>hat are the cost</w:t>
            </w:r>
            <w:r w:rsidR="00A96A6F">
              <w:rPr>
                <w:rFonts w:ascii="Arial" w:hAnsi="Arial"/>
                <w:i/>
                <w:sz w:val="22"/>
                <w:szCs w:val="20"/>
              </w:rPr>
              <w:t>s</w:t>
            </w:r>
            <w:r>
              <w:rPr>
                <w:rFonts w:ascii="Arial" w:hAnsi="Arial"/>
                <w:i/>
                <w:sz w:val="22"/>
                <w:szCs w:val="20"/>
              </w:rPr>
              <w:t xml:space="preserve"> and benefits of</w:t>
            </w:r>
            <w:r w:rsidRPr="008C126B">
              <w:rPr>
                <w:rFonts w:ascii="Arial" w:hAnsi="Arial"/>
                <w:i/>
                <w:sz w:val="22"/>
                <w:szCs w:val="20"/>
              </w:rPr>
              <w:t xml:space="preserve"> </w:t>
            </w:r>
            <w:r>
              <w:rPr>
                <w:rFonts w:ascii="Arial" w:hAnsi="Arial"/>
                <w:i/>
                <w:sz w:val="22"/>
                <w:szCs w:val="20"/>
              </w:rPr>
              <w:t xml:space="preserve">using </w:t>
            </w:r>
            <w:r w:rsidRPr="008C126B">
              <w:rPr>
                <w:rFonts w:ascii="Arial" w:hAnsi="Arial"/>
                <w:i/>
                <w:sz w:val="22"/>
                <w:szCs w:val="20"/>
              </w:rPr>
              <w:t xml:space="preserve">unique student identifiers </w:t>
            </w:r>
            <w:r>
              <w:rPr>
                <w:rFonts w:ascii="Arial" w:hAnsi="Arial"/>
                <w:i/>
                <w:sz w:val="22"/>
                <w:szCs w:val="20"/>
              </w:rPr>
              <w:t>to address this</w:t>
            </w:r>
            <w:r w:rsidRPr="008C126B">
              <w:rPr>
                <w:rFonts w:ascii="Arial" w:hAnsi="Arial"/>
                <w:i/>
                <w:sz w:val="22"/>
                <w:szCs w:val="20"/>
              </w:rPr>
              <w:t>?</w:t>
            </w:r>
          </w:p>
          <w:p w14:paraId="11BE7391" w14:textId="77777777" w:rsid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In what circumstances should consent be required from individuals regarding the provision and linkage of data concerning them?</w:t>
            </w:r>
          </w:p>
          <w:p w14:paraId="62C3DBF0" w14:textId="13C9DE21" w:rsidR="00EB02AC" w:rsidRPr="008C126B" w:rsidRDefault="008F1859" w:rsidP="008C126B">
            <w:pPr>
              <w:numPr>
                <w:ilvl w:val="0"/>
                <w:numId w:val="16"/>
              </w:numPr>
              <w:spacing w:before="80" w:line="280" w:lineRule="atLeast"/>
              <w:jc w:val="both"/>
              <w:rPr>
                <w:rFonts w:ascii="Arial" w:hAnsi="Arial"/>
                <w:i/>
                <w:sz w:val="22"/>
                <w:szCs w:val="20"/>
              </w:rPr>
            </w:pPr>
            <w:r>
              <w:rPr>
                <w:rFonts w:ascii="Arial" w:hAnsi="Arial"/>
                <w:i/>
                <w:sz w:val="22"/>
                <w:szCs w:val="20"/>
              </w:rPr>
              <w:t>Are there issues surrounding the ownership of education data particularly with respect to aggregate data?</w:t>
            </w:r>
            <w:r w:rsidR="00E71C27">
              <w:rPr>
                <w:rFonts w:ascii="Arial" w:hAnsi="Arial"/>
                <w:i/>
                <w:sz w:val="22"/>
                <w:szCs w:val="20"/>
              </w:rPr>
              <w:t xml:space="preserve"> </w:t>
            </w:r>
          </w:p>
          <w:p w14:paraId="52642E8F" w14:textId="053CB30C" w:rsidR="008C126B" w:rsidRP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 xml:space="preserve">How can access arrangements to education data be otherwise improved, to ensure data can be used effectively by governments, researchers, </w:t>
            </w:r>
            <w:r w:rsidR="0014149F">
              <w:rPr>
                <w:rFonts w:ascii="Arial" w:hAnsi="Arial"/>
                <w:i/>
                <w:sz w:val="22"/>
                <w:szCs w:val="20"/>
              </w:rPr>
              <w:t xml:space="preserve">parents, </w:t>
            </w:r>
            <w:r w:rsidRPr="008C126B">
              <w:rPr>
                <w:rFonts w:ascii="Arial" w:hAnsi="Arial"/>
                <w:i/>
                <w:sz w:val="22"/>
                <w:szCs w:val="20"/>
              </w:rPr>
              <w:t>schools and teachers?</w:t>
            </w:r>
          </w:p>
          <w:p w14:paraId="685AF638" w14:textId="77777777" w:rsidR="008C126B" w:rsidRP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Are there opportunities to streamline access arrangements through mutual recognition (between data-custodian organisations) of processes for vetting users? For example, mutual recognition of ‘trusted users’.</w:t>
            </w:r>
          </w:p>
          <w:p w14:paraId="04A4AD1F" w14:textId="77777777" w:rsidR="008C126B" w:rsidRP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Do data access arrangements adequately allow for the checking or duplication of research?</w:t>
            </w:r>
          </w:p>
          <w:p w14:paraId="3C922B85" w14:textId="77777777" w:rsidR="008C126B" w:rsidRP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What lessons can be learned from data access arrangements in non-education sectors and in other countries?</w:t>
            </w:r>
          </w:p>
          <w:p w14:paraId="5F84CE57" w14:textId="77777777" w:rsidR="008C126B" w:rsidRP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Are there opportunities to increase consent rates by changing the way in which participants provide consent? For example, by moving to an ‘opt-out’ model.</w:t>
            </w:r>
          </w:p>
          <w:p w14:paraId="3B22E90E" w14:textId="3776C39F" w:rsidR="008C126B" w:rsidRDefault="008C126B" w:rsidP="008C126B">
            <w:pPr>
              <w:numPr>
                <w:ilvl w:val="0"/>
                <w:numId w:val="16"/>
              </w:numPr>
              <w:spacing w:before="80" w:line="280" w:lineRule="atLeast"/>
              <w:jc w:val="both"/>
              <w:rPr>
                <w:rFonts w:ascii="Arial" w:hAnsi="Arial"/>
                <w:i/>
                <w:sz w:val="22"/>
                <w:szCs w:val="20"/>
              </w:rPr>
            </w:pPr>
            <w:r w:rsidRPr="008C126B">
              <w:rPr>
                <w:rFonts w:ascii="Arial" w:hAnsi="Arial"/>
                <w:i/>
                <w:sz w:val="22"/>
                <w:szCs w:val="20"/>
              </w:rPr>
              <w:t xml:space="preserve">Would a consent waiver for data used in education research (similar to that available for health and medical research) introduce </w:t>
            </w:r>
            <w:r w:rsidR="00BA0B38">
              <w:rPr>
                <w:rFonts w:ascii="Arial" w:hAnsi="Arial"/>
                <w:i/>
                <w:sz w:val="22"/>
                <w:szCs w:val="20"/>
              </w:rPr>
              <w:t xml:space="preserve">new </w:t>
            </w:r>
            <w:r w:rsidR="00BA0B38" w:rsidRPr="008C126B">
              <w:rPr>
                <w:rFonts w:ascii="Arial" w:hAnsi="Arial"/>
                <w:i/>
                <w:sz w:val="22"/>
                <w:szCs w:val="20"/>
              </w:rPr>
              <w:t>risks to privacy?</w:t>
            </w:r>
            <w:r w:rsidR="00BA0B38">
              <w:rPr>
                <w:rFonts w:ascii="Arial" w:hAnsi="Arial"/>
                <w:i/>
                <w:sz w:val="22"/>
                <w:szCs w:val="20"/>
              </w:rPr>
              <w:t xml:space="preserve"> Are such risks manageable? </w:t>
            </w:r>
          </w:p>
          <w:p w14:paraId="5B8CF2E5" w14:textId="447B0039" w:rsidR="00772E69" w:rsidRPr="008C126B" w:rsidRDefault="0003660B" w:rsidP="0003660B">
            <w:pPr>
              <w:numPr>
                <w:ilvl w:val="0"/>
                <w:numId w:val="16"/>
              </w:numPr>
              <w:spacing w:before="80" w:line="280" w:lineRule="atLeast"/>
              <w:jc w:val="both"/>
              <w:rPr>
                <w:rFonts w:ascii="Arial" w:hAnsi="Arial"/>
                <w:i/>
                <w:sz w:val="22"/>
                <w:szCs w:val="20"/>
              </w:rPr>
            </w:pPr>
            <w:r>
              <w:rPr>
                <w:rFonts w:ascii="Arial" w:hAnsi="Arial"/>
                <w:i/>
                <w:sz w:val="22"/>
                <w:szCs w:val="20"/>
              </w:rPr>
              <w:t xml:space="preserve">How can data custodians take advantage of </w:t>
            </w:r>
            <w:r w:rsidR="002E50E5">
              <w:rPr>
                <w:rFonts w:ascii="Arial" w:hAnsi="Arial"/>
                <w:i/>
                <w:sz w:val="22"/>
                <w:szCs w:val="20"/>
              </w:rPr>
              <w:t xml:space="preserve">technological </w:t>
            </w:r>
            <w:r>
              <w:rPr>
                <w:rFonts w:ascii="Arial" w:hAnsi="Arial"/>
                <w:i/>
                <w:sz w:val="22"/>
                <w:szCs w:val="20"/>
              </w:rPr>
              <w:t>advances in remote access to secure data systems, such as the ABS Data Laboratory?</w:t>
            </w:r>
          </w:p>
        </w:tc>
      </w:tr>
      <w:tr w:rsidR="008C126B" w:rsidRPr="007D77F0" w14:paraId="1C7E12EC" w14:textId="77777777" w:rsidTr="008C126B">
        <w:tc>
          <w:tcPr>
            <w:tcW w:w="8770" w:type="dxa"/>
            <w:tcBorders>
              <w:top w:val="nil"/>
              <w:left w:val="nil"/>
              <w:bottom w:val="single" w:sz="6" w:space="0" w:color="78A22F"/>
              <w:right w:val="nil"/>
            </w:tcBorders>
            <w:shd w:val="clear" w:color="auto" w:fill="auto"/>
          </w:tcPr>
          <w:p w14:paraId="79D2867B" w14:textId="77777777" w:rsidR="008C126B" w:rsidRPr="007D77F0" w:rsidRDefault="008C126B" w:rsidP="008C126B">
            <w:pPr>
              <w:keepLines/>
              <w:spacing w:line="120" w:lineRule="exact"/>
              <w:jc w:val="both"/>
              <w:rPr>
                <w:rFonts w:ascii="Arial" w:hAnsi="Arial"/>
                <w:sz w:val="20"/>
                <w:szCs w:val="20"/>
              </w:rPr>
            </w:pPr>
          </w:p>
        </w:tc>
      </w:tr>
      <w:tr w:rsidR="008C126B" w:rsidRPr="007D77F0" w14:paraId="01F4CEA6" w14:textId="77777777" w:rsidTr="008C126B">
        <w:trPr>
          <w:hidden/>
        </w:trPr>
        <w:tc>
          <w:tcPr>
            <w:tcW w:w="8770" w:type="dxa"/>
            <w:tcBorders>
              <w:top w:val="single" w:sz="6" w:space="0" w:color="78A22F"/>
              <w:left w:val="nil"/>
              <w:bottom w:val="nil"/>
              <w:right w:val="nil"/>
            </w:tcBorders>
          </w:tcPr>
          <w:p w14:paraId="2BA8B357" w14:textId="77777777" w:rsidR="008C126B" w:rsidRPr="007D77F0" w:rsidRDefault="008C126B" w:rsidP="008C126B">
            <w:pPr>
              <w:keepLines/>
              <w:spacing w:before="60" w:after="60" w:line="80" w:lineRule="exact"/>
              <w:jc w:val="both"/>
              <w:rPr>
                <w:rFonts w:ascii="Arial" w:hAnsi="Arial"/>
                <w:sz w:val="14"/>
                <w:szCs w:val="20"/>
              </w:rPr>
            </w:pPr>
            <w:r w:rsidRPr="007D77F0">
              <w:rPr>
                <w:b/>
                <w:vanish/>
                <w:color w:val="FF00FF"/>
                <w:sz w:val="14"/>
                <w:szCs w:val="20"/>
              </w:rPr>
              <w:t>Do not delete this ROW as it gives space between the info request and what follows it.</w:t>
            </w:r>
          </w:p>
        </w:tc>
      </w:tr>
    </w:tbl>
    <w:p w14:paraId="40E9FA03" w14:textId="47BFCA8C" w:rsidR="00DA440C" w:rsidRDefault="00DA440C" w:rsidP="00DA440C">
      <w:pPr>
        <w:pStyle w:val="Heading3"/>
      </w:pPr>
      <w:r>
        <w:t>Data comparability</w:t>
      </w:r>
    </w:p>
    <w:p w14:paraId="6B292E23" w14:textId="316169B0" w:rsidR="00DA440C" w:rsidRDefault="00DA440C" w:rsidP="00DA440C">
      <w:pPr>
        <w:pStyle w:val="BodyText"/>
      </w:pPr>
      <w:r>
        <w:t xml:space="preserve">At a national level, the collection of education statistics at the early childhood, school and post-secondary education level is governed by data standards and instructions that are intended to improve the comparability and quality of data across jurisdictions. Although substantial improvements have been made (in terms of concepts, methods and definitions used) since the introduction of these data standards there are ongoing concerns about the comparability of the associated education </w:t>
      </w:r>
      <w:r w:rsidR="00D96800">
        <w:t>datasets</w:t>
      </w:r>
      <w:r>
        <w:t xml:space="preserve"> across jurisdictions</w:t>
      </w:r>
      <w:r w:rsidR="00311CB3">
        <w:t xml:space="preserve"> </w:t>
      </w:r>
      <w:r w:rsidR="00311CB3" w:rsidRPr="00311CB3">
        <w:t>(Deloitte Access Economics 2015)</w:t>
      </w:r>
      <w:r w:rsidR="00311CB3">
        <w:t xml:space="preserve">. </w:t>
      </w:r>
      <w:r>
        <w:t xml:space="preserve">In many instances the comparability issues reflect the different service </w:t>
      </w:r>
      <w:r>
        <w:lastRenderedPageBreak/>
        <w:t>models and data collection methodologies used in individual states and territories and by the Australian Government.</w:t>
      </w:r>
    </w:p>
    <w:p w14:paraId="25DBE7E2" w14:textId="56D24679" w:rsidR="00DA440C" w:rsidRDefault="00DA440C" w:rsidP="00DA440C">
      <w:pPr>
        <w:pStyle w:val="BodyText"/>
      </w:pPr>
      <w:r>
        <w:t>By way of example, each jurisdiction operates different models of preschool service delivery with the distribution of preschools between government and non-government providers differing markedly across states and territories. Moreover, the responsibility for data collection is split between the Australian Government which utilises the C</w:t>
      </w:r>
      <w:r w:rsidR="00FF7778">
        <w:t xml:space="preserve">hild </w:t>
      </w:r>
      <w:r>
        <w:t>C</w:t>
      </w:r>
      <w:r w:rsidR="00FF7778">
        <w:t xml:space="preserve">are </w:t>
      </w:r>
      <w:r>
        <w:t>M</w:t>
      </w:r>
      <w:r w:rsidR="00FF7778">
        <w:t xml:space="preserve">anagement </w:t>
      </w:r>
      <w:r>
        <w:t>S</w:t>
      </w:r>
      <w:r w:rsidR="00FF7778">
        <w:t>ystem</w:t>
      </w:r>
      <w:r>
        <w:t xml:space="preserve"> </w:t>
      </w:r>
      <w:r w:rsidR="00FF7778">
        <w:t>(</w:t>
      </w:r>
      <w:proofErr w:type="spellStart"/>
      <w:r w:rsidR="00FF7778">
        <w:t>CCMS</w:t>
      </w:r>
      <w:proofErr w:type="spellEnd"/>
      <w:r w:rsidR="00FF7778">
        <w:t xml:space="preserve">) </w:t>
      </w:r>
      <w:r>
        <w:t>for non-government pre-school provided in a child care setting</w:t>
      </w:r>
      <w:r w:rsidR="00FF7778">
        <w:t xml:space="preserve"> </w:t>
      </w:r>
      <w:r>
        <w:t>and the states and territories. Importantly, not all jurisdictions currently collect data at the unit record level</w:t>
      </w:r>
      <w:r w:rsidRPr="007E2160">
        <w:t xml:space="preserve"> </w:t>
      </w:r>
      <w:r>
        <w:t xml:space="preserve">which poses a significant barrier to data linkage initiatives (see above). This is also true of data collected under the </w:t>
      </w:r>
      <w:proofErr w:type="spellStart"/>
      <w:r>
        <w:t>CCMS</w:t>
      </w:r>
      <w:proofErr w:type="spellEnd"/>
      <w:r w:rsidR="00911596">
        <w:t xml:space="preserve"> </w:t>
      </w:r>
      <w:r w:rsidR="00911596" w:rsidRPr="00911596">
        <w:t>(Australian Institute of Health and Welfare 2014, p. 21)</w:t>
      </w:r>
      <w:r w:rsidR="00911596">
        <w:t>.</w:t>
      </w:r>
    </w:p>
    <w:p w14:paraId="005B83A0" w14:textId="411D8DAC" w:rsidR="00DA440C" w:rsidRDefault="00DA440C" w:rsidP="00DA440C">
      <w:pPr>
        <w:pStyle w:val="BodyText"/>
      </w:pPr>
      <w:r>
        <w:t>There are also significant variations in the way states and territories and the Australian Government obtain data for the early childhood collection and in formal definitions of pre-school age. Some jurisdictions capture only four year olds while other jurisdictions include three year olds that meet certain calendar cut-off dates for enrolment</w:t>
      </w:r>
      <w:r w:rsidR="002D483C">
        <w:t xml:space="preserve"> </w:t>
      </w:r>
      <w:r w:rsidR="002D483C" w:rsidRPr="00311CB3">
        <w:t>(Deloitte Access Economics 2015)</w:t>
      </w:r>
      <w:r w:rsidR="002D483C">
        <w:t>.</w:t>
      </w:r>
      <w:r>
        <w:t xml:space="preserve"> Although national consistency of education data is not likely to be a concern for individual states and territories, the lack of comparable data limits the capacity to undertake research at the national level including comparisons of different service models to benchmark which delivers the most effective and efficient outcomes.</w:t>
      </w:r>
    </w:p>
    <w:p w14:paraId="5DB92826" w14:textId="77777777" w:rsidR="00DA440C" w:rsidRDefault="00DA440C" w:rsidP="00DA440C">
      <w:pPr>
        <w:pStyle w:val="BodyText"/>
      </w:pPr>
      <w:r>
        <w:t xml:space="preserve">In addition to jurisdictional comparability issues, educational research and policy development is also constrained by differences in the definitions, coding of data items and the existence of data gaps </w:t>
      </w:r>
      <w:r w:rsidRPr="00B53E65">
        <w:rPr>
          <w:i/>
        </w:rPr>
        <w:t>within</w:t>
      </w:r>
      <w:r>
        <w:t xml:space="preserve"> the main education data collections and </w:t>
      </w:r>
      <w:r w:rsidRPr="00B53E65">
        <w:rPr>
          <w:i/>
        </w:rPr>
        <w:t>between</w:t>
      </w:r>
      <w:r>
        <w:t xml:space="preserve"> education data collections and those from other sectors including health and community services. A recent mapping exercise conducted by the Australian Institute of Health and Welfare (</w:t>
      </w:r>
      <w:proofErr w:type="spellStart"/>
      <w:r>
        <w:t>AIHW</w:t>
      </w:r>
      <w:proofErr w:type="spellEnd"/>
      <w:r>
        <w:t xml:space="preserve">) sought to review, among other things, the consistency and alignment of education data items with existing nationally endorsed standards, including the identification of data gaps. </w:t>
      </w:r>
    </w:p>
    <w:p w14:paraId="2346173E" w14:textId="682E3A1F" w:rsidR="00DA440C" w:rsidRDefault="00DA440C" w:rsidP="00DA440C">
      <w:pPr>
        <w:pStyle w:val="BodyText"/>
      </w:pPr>
      <w:r>
        <w:t>The review found that</w:t>
      </w:r>
      <w:r w:rsidDel="00BA33D0">
        <w:t xml:space="preserve"> </w:t>
      </w:r>
      <w:r w:rsidR="00BA33D0">
        <w:t xml:space="preserve">about </w:t>
      </w:r>
      <w:r>
        <w:t>25 per cent of education data items currently collected were fully consistent with endorsed national data standards</w:t>
      </w:r>
      <w:r w:rsidR="002D483C">
        <w:t xml:space="preserve"> </w:t>
      </w:r>
      <w:r w:rsidR="002D483C" w:rsidRPr="002D483C">
        <w:t>(Australian Institute of Health and Welfare 2015, p. 9)</w:t>
      </w:r>
      <w:r w:rsidR="002D483C">
        <w:t xml:space="preserve">. </w:t>
      </w:r>
      <w:r>
        <w:t>Moreover,</w:t>
      </w:r>
      <w:r w:rsidDel="00BA33D0">
        <w:t xml:space="preserve"> </w:t>
      </w:r>
      <w:r w:rsidR="00BA33D0">
        <w:t xml:space="preserve">about </w:t>
      </w:r>
      <w:r>
        <w:t xml:space="preserve">6 of 11 education data collections were assessed to have the core and supplementary linkage items required to enable data linkage with other </w:t>
      </w:r>
      <w:r w:rsidR="00D96800">
        <w:t>datasets</w:t>
      </w:r>
      <w:r>
        <w:t xml:space="preserve">. Based on the mapping exercise and consultations with data custodians, the review identified data on educational institutions (including type and historical attendance), enrolment status and attendance as priority areas for further development </w:t>
      </w:r>
      <w:r w:rsidR="00BA0995" w:rsidRPr="00BA0995">
        <w:t>(Australian Institute of Health and Welfare 2015, p. 16)</w:t>
      </w:r>
      <w:r w:rsidR="00BA0995">
        <w:t>.</w:t>
      </w:r>
    </w:p>
    <w:p w14:paraId="52F66C68" w14:textId="3AAA28C5" w:rsidR="00DA440C" w:rsidRDefault="00DA440C" w:rsidP="00DA440C">
      <w:pPr>
        <w:pStyle w:val="BodyText"/>
      </w:pPr>
      <w:r>
        <w:t>There are also differences in the way data on primary and secondary school students is collected and provided to third parties. The</w:t>
      </w:r>
      <w:r w:rsidRPr="00DD4A63">
        <w:t xml:space="preserve"> </w:t>
      </w:r>
      <w:r w:rsidRPr="006754AD">
        <w:t>National Schools Statistics Collection (</w:t>
      </w:r>
      <w:proofErr w:type="spellStart"/>
      <w:r w:rsidRPr="006754AD">
        <w:t>NSSC</w:t>
      </w:r>
      <w:proofErr w:type="spellEnd"/>
      <w:r w:rsidRPr="006754AD">
        <w:t>)</w:t>
      </w:r>
      <w:r>
        <w:t xml:space="preserve"> </w:t>
      </w:r>
      <w:r w:rsidRPr="00DD4A63">
        <w:t>is</w:t>
      </w:r>
      <w:r>
        <w:t xml:space="preserve"> a census of administrative datasets maintained by state and territory education department</w:t>
      </w:r>
      <w:r w:rsidR="000847B4">
        <w:t>s</w:t>
      </w:r>
      <w:r>
        <w:t xml:space="preserve"> and collated by the ABS that aims</w:t>
      </w:r>
      <w:r w:rsidRPr="00DD4A63">
        <w:t xml:space="preserve"> to provide nationally comparable data</w:t>
      </w:r>
      <w:r>
        <w:t xml:space="preserve"> on schools. </w:t>
      </w:r>
      <w:r w:rsidRPr="006D45FA">
        <w:t xml:space="preserve">Currently, </w:t>
      </w:r>
      <w:r>
        <w:t xml:space="preserve">however, </w:t>
      </w:r>
      <w:r w:rsidRPr="006D45FA">
        <w:t xml:space="preserve">only Tasmania provides </w:t>
      </w:r>
      <w:r>
        <w:t xml:space="preserve">student-level </w:t>
      </w:r>
      <w:r w:rsidRPr="006D45FA">
        <w:t xml:space="preserve">data for the production of ABS statistics, </w:t>
      </w:r>
      <w:r>
        <w:t>although</w:t>
      </w:r>
      <w:r w:rsidRPr="006D45FA">
        <w:t xml:space="preserve"> other jurisdictions </w:t>
      </w:r>
      <w:r>
        <w:t xml:space="preserve">collect data at this level and some </w:t>
      </w:r>
      <w:r w:rsidRPr="006D45FA">
        <w:t xml:space="preserve">have </w:t>
      </w:r>
      <w:r w:rsidRPr="006D45FA">
        <w:lastRenderedPageBreak/>
        <w:t xml:space="preserve">commenced providing </w:t>
      </w:r>
      <w:r>
        <w:t xml:space="preserve">student-level </w:t>
      </w:r>
      <w:r w:rsidRPr="006D45FA">
        <w:t xml:space="preserve">data for quality assurance purposes </w:t>
      </w:r>
      <w:r w:rsidR="001532A8" w:rsidRPr="001532A8">
        <w:t xml:space="preserve">(Australian Bureau of Statistics </w:t>
      </w:r>
      <w:proofErr w:type="spellStart"/>
      <w:r w:rsidR="001532A8" w:rsidRPr="001532A8">
        <w:t>2015c</w:t>
      </w:r>
      <w:proofErr w:type="spellEnd"/>
      <w:r w:rsidR="001532A8" w:rsidRPr="001532A8">
        <w:t>)</w:t>
      </w:r>
      <w:r>
        <w:t>.</w:t>
      </w:r>
      <w:r w:rsidRPr="00FF76BB">
        <w:t xml:space="preserve"> </w:t>
      </w:r>
      <w:r w:rsidRPr="006D45FA">
        <w:t xml:space="preserve">The </w:t>
      </w:r>
      <w:r>
        <w:t>advantages</w:t>
      </w:r>
      <w:r w:rsidRPr="006D45FA">
        <w:t xml:space="preserve"> of utilising </w:t>
      </w:r>
      <w:r>
        <w:t xml:space="preserve">student-level </w:t>
      </w:r>
      <w:r w:rsidRPr="006D45FA">
        <w:t xml:space="preserve">data include: improving the quality of data used for </w:t>
      </w:r>
      <w:proofErr w:type="spellStart"/>
      <w:r w:rsidRPr="006D45FA">
        <w:t>NSSC</w:t>
      </w:r>
      <w:proofErr w:type="spellEnd"/>
      <w:r w:rsidRPr="006D45FA">
        <w:t xml:space="preserve"> output</w:t>
      </w:r>
      <w:r>
        <w:t>s</w:t>
      </w:r>
      <w:r w:rsidRPr="006D45FA">
        <w:t xml:space="preserve">; reducing provider burden in data provision, validation and reconciliation processes; and supporting improved outputs from the </w:t>
      </w:r>
      <w:proofErr w:type="spellStart"/>
      <w:r w:rsidRPr="006D45FA">
        <w:t>NSSC</w:t>
      </w:r>
      <w:proofErr w:type="spellEnd"/>
      <w:r w:rsidRPr="006D45FA">
        <w:t>, for instance by providing better measures of retention and progression.</w:t>
      </w:r>
    </w:p>
    <w:p w14:paraId="7917EDA0" w14:textId="7AE22A9F" w:rsidR="00DC7FB1" w:rsidRDefault="00DA440C" w:rsidP="00DA440C">
      <w:pPr>
        <w:pStyle w:val="BodyText"/>
      </w:pPr>
      <w:r>
        <w:t xml:space="preserve">A rolling program of data standards review is underway for most educational data collections (the main exception being the </w:t>
      </w:r>
      <w:proofErr w:type="spellStart"/>
      <w:r w:rsidR="00FF7778">
        <w:t>NSSC</w:t>
      </w:r>
      <w:proofErr w:type="spellEnd"/>
      <w:r>
        <w:t xml:space="preserve"> which is discussed below). However, subs</w:t>
      </w:r>
      <w:r w:rsidR="00E47583">
        <w:t>tantial differences in the time</w:t>
      </w:r>
      <w:r>
        <w:t xml:space="preserve">frames for these reviews means that collection-specific (as opposed to universal) approaches to amend and/or implement any changes are required. Also, given that many collections involve multiple stakeholders and data custodians this complicates the consideration and implementation of any changes to data standards </w:t>
      </w:r>
      <w:r w:rsidR="00EB3FBF" w:rsidRPr="00EB3FBF">
        <w:t>(Australian Institute of Health and Welfare 2015, p. 26)</w:t>
      </w:r>
      <w:r w:rsidR="00EB3FBF">
        <w:t>.</w:t>
      </w:r>
    </w:p>
    <w:p w14:paraId="7AEA1CEE" w14:textId="1B783BD6" w:rsidR="00656888" w:rsidRDefault="00B55AB1" w:rsidP="00DA440C">
      <w:pPr>
        <w:pStyle w:val="BodyText"/>
      </w:pPr>
      <w:r>
        <w:t xml:space="preserve">The collection of </w:t>
      </w:r>
      <w:r w:rsidR="00A7136D">
        <w:t xml:space="preserve">data that </w:t>
      </w:r>
      <w:r w:rsidR="007D3401">
        <w:t>are</w:t>
      </w:r>
      <w:r w:rsidR="00A7136D">
        <w:t xml:space="preserve"> not useful for research a</w:t>
      </w:r>
      <w:r w:rsidR="007F606E">
        <w:t>nd evaluation, and not needed for other purposes</w:t>
      </w:r>
      <w:r w:rsidR="00A7136D">
        <w:t xml:space="preserve">, </w:t>
      </w:r>
      <w:r>
        <w:t xml:space="preserve">imposes a reporting </w:t>
      </w:r>
      <w:r w:rsidR="00231EC0">
        <w:t>cost</w:t>
      </w:r>
      <w:r>
        <w:t xml:space="preserve"> on providers (and may generate other costs)</w:t>
      </w:r>
      <w:r w:rsidR="00A7136D">
        <w:t xml:space="preserve"> without </w:t>
      </w:r>
      <w:r w:rsidR="001F5987">
        <w:t>an associated benefit. By way of example, i</w:t>
      </w:r>
      <w:r w:rsidRPr="00FD1A99">
        <w:t xml:space="preserve">n its review into the Contribution of the Not-for-Profit Sector, the Commission found that agencies collected </w:t>
      </w:r>
      <w:r w:rsidR="00FF7778">
        <w:t>large</w:t>
      </w:r>
      <w:r w:rsidR="00FF7778" w:rsidRPr="00FD1A99">
        <w:t xml:space="preserve"> </w:t>
      </w:r>
      <w:r w:rsidRPr="00FD1A99">
        <w:t xml:space="preserve">amounts of data from service providers, much of which was not used </w:t>
      </w:r>
      <w:r w:rsidR="004E103C" w:rsidRPr="004E103C">
        <w:t>(Productivity Commission 2010, cited in PC 2012-13 annual report)</w:t>
      </w:r>
      <w:r w:rsidR="004E103C">
        <w:t xml:space="preserve">. </w:t>
      </w:r>
      <w:r w:rsidR="00B54795">
        <w:t>A</w:t>
      </w:r>
      <w:r w:rsidR="001F5987">
        <w:t>lso a</w:t>
      </w:r>
      <w:r w:rsidR="00B54795">
        <w:t>s both data and data needs change over time, r</w:t>
      </w:r>
      <w:r w:rsidR="000325BA">
        <w:t>eview</w:t>
      </w:r>
      <w:r w:rsidR="005B0638">
        <w:t>s of data collection are</w:t>
      </w:r>
      <w:r w:rsidR="000325BA">
        <w:t xml:space="preserve"> necessary to avoid </w:t>
      </w:r>
      <w:r w:rsidR="00E3245C">
        <w:t xml:space="preserve">the </w:t>
      </w:r>
      <w:r w:rsidR="001F5987">
        <w:t xml:space="preserve">ongoing </w:t>
      </w:r>
      <w:r w:rsidR="000325BA">
        <w:t>collection</w:t>
      </w:r>
      <w:r w:rsidR="00B54795">
        <w:t xml:space="preserve"> of redundant data</w:t>
      </w:r>
      <w:r w:rsidR="000325BA">
        <w:t xml:space="preserve">. For example, </w:t>
      </w:r>
      <w:r w:rsidR="001F5987">
        <w:t>in relation to the</w:t>
      </w:r>
      <w:r w:rsidR="000325BA">
        <w:t xml:space="preserve"> Longitudinal Study of Indigenous Children (section </w:t>
      </w:r>
      <w:r w:rsidR="00FF7778">
        <w:t>3</w:t>
      </w:r>
      <w:r w:rsidR="000325BA">
        <w:t>), Western et al.</w:t>
      </w:r>
      <w:r w:rsidR="00CE7E02">
        <w:t xml:space="preserve"> </w:t>
      </w:r>
      <w:r w:rsidR="001532A8" w:rsidRPr="001532A8">
        <w:t>(2014, p. 23)</w:t>
      </w:r>
      <w:r w:rsidR="000325BA">
        <w:t xml:space="preserve"> point out that because of the study’s small sample size, respondent drop-out can quickly lead to a sample size that is no longer of value to policymakers</w:t>
      </w:r>
      <w:r w:rsidR="00405166">
        <w:t xml:space="preserve">. </w:t>
      </w:r>
      <w:r w:rsidR="004E103C">
        <w:t>D</w:t>
      </w:r>
      <w:r w:rsidR="00A7136D">
        <w:t xml:space="preserve">uplication in </w:t>
      </w:r>
      <w:r w:rsidR="004E103C">
        <w:t>data collection also</w:t>
      </w:r>
      <w:r w:rsidR="00A7136D">
        <w:t xml:space="preserve"> generates costs and may be avoidable</w:t>
      </w:r>
      <w:r w:rsidR="00C23BDB">
        <w:t xml:space="preserve">, including through </w:t>
      </w:r>
      <w:r w:rsidR="003547D1">
        <w:t>linkage of datasets.</w:t>
      </w:r>
    </w:p>
    <w:p w14:paraId="16172713" w14:textId="566217ED" w:rsidR="00A7136D" w:rsidRDefault="00A7136D" w:rsidP="00DA440C">
      <w:pPr>
        <w:pStyle w:val="BodyText"/>
      </w:pPr>
    </w:p>
    <w:p w14:paraId="59FC6290" w14:textId="77777777" w:rsidR="00F40E89" w:rsidRPr="007D77F0" w:rsidRDefault="00F40E89" w:rsidP="00F40E89">
      <w:pPr>
        <w:keepNext/>
        <w:spacing w:before="240" w:line="80" w:lineRule="exact"/>
        <w:rPr>
          <w:b/>
          <w:sz w:val="14"/>
          <w:szCs w:val="20"/>
        </w:rPr>
      </w:pPr>
      <w:r w:rsidRPr="007D77F0">
        <w:rPr>
          <w:b/>
          <w:vanish/>
          <w:color w:val="FF00FF"/>
          <w:sz w:val="14"/>
          <w:szCs w:val="20"/>
        </w:rPr>
        <w:lastRenderedPageBreak/>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F40E89" w:rsidRPr="007D77F0" w14:paraId="69C9709E" w14:textId="77777777" w:rsidTr="00EC0151">
        <w:trPr>
          <w:tblHeader/>
        </w:trPr>
        <w:tc>
          <w:tcPr>
            <w:tcW w:w="8770" w:type="dxa"/>
            <w:tcBorders>
              <w:top w:val="single" w:sz="6" w:space="0" w:color="78A22F"/>
              <w:left w:val="nil"/>
              <w:bottom w:val="nil"/>
              <w:right w:val="nil"/>
            </w:tcBorders>
            <w:shd w:val="clear" w:color="auto" w:fill="auto"/>
          </w:tcPr>
          <w:p w14:paraId="425E09BA" w14:textId="77777777" w:rsidR="00F40E89" w:rsidRPr="008C126B" w:rsidRDefault="00F40E89" w:rsidP="00EC0151">
            <w:pPr>
              <w:keepLines/>
              <w:spacing w:before="240" w:line="280" w:lineRule="atLeast"/>
              <w:jc w:val="both"/>
              <w:rPr>
                <w:rFonts w:ascii="Arial" w:hAnsi="Arial"/>
                <w:i/>
                <w:caps/>
                <w:sz w:val="18"/>
                <w:szCs w:val="20"/>
              </w:rPr>
            </w:pPr>
            <w:r>
              <w:rPr>
                <w:rFonts w:ascii="Arial" w:hAnsi="Arial"/>
                <w:i/>
                <w:caps/>
                <w:sz w:val="18"/>
                <w:szCs w:val="20"/>
              </w:rPr>
              <w:t>Questions</w:t>
            </w:r>
          </w:p>
          <w:p w14:paraId="76F2253A" w14:textId="3F2E7886" w:rsidR="00D90646" w:rsidRPr="006E20DF" w:rsidRDefault="00D90646" w:rsidP="00D90646">
            <w:pPr>
              <w:numPr>
                <w:ilvl w:val="0"/>
                <w:numId w:val="16"/>
              </w:numPr>
              <w:spacing w:before="80" w:line="280" w:lineRule="atLeast"/>
              <w:jc w:val="both"/>
              <w:rPr>
                <w:rFonts w:ascii="Arial" w:hAnsi="Arial"/>
                <w:i/>
                <w:sz w:val="22"/>
                <w:szCs w:val="20"/>
              </w:rPr>
            </w:pPr>
            <w:r>
              <w:rPr>
                <w:rFonts w:ascii="Arial" w:hAnsi="Arial"/>
                <w:i/>
                <w:sz w:val="22"/>
                <w:szCs w:val="20"/>
              </w:rPr>
              <w:t>What are the</w:t>
            </w:r>
            <w:r w:rsidRPr="006E20DF">
              <w:rPr>
                <w:rFonts w:ascii="Arial" w:hAnsi="Arial"/>
                <w:i/>
                <w:sz w:val="22"/>
                <w:szCs w:val="20"/>
              </w:rPr>
              <w:t xml:space="preserve"> comparability issues in the national education and training data collections</w:t>
            </w:r>
            <w:r>
              <w:rPr>
                <w:rFonts w:ascii="Arial" w:hAnsi="Arial"/>
                <w:i/>
                <w:sz w:val="22"/>
                <w:szCs w:val="20"/>
              </w:rPr>
              <w:t>?</w:t>
            </w:r>
          </w:p>
          <w:p w14:paraId="3FA41E6A" w14:textId="77777777" w:rsidR="00D90646" w:rsidRDefault="00D90646" w:rsidP="00D90646">
            <w:pPr>
              <w:numPr>
                <w:ilvl w:val="0"/>
                <w:numId w:val="16"/>
              </w:numPr>
              <w:spacing w:before="80" w:line="280" w:lineRule="atLeast"/>
              <w:jc w:val="both"/>
              <w:rPr>
                <w:rFonts w:ascii="Arial" w:hAnsi="Arial"/>
                <w:i/>
                <w:sz w:val="22"/>
                <w:szCs w:val="20"/>
              </w:rPr>
            </w:pPr>
            <w:r>
              <w:rPr>
                <w:rFonts w:ascii="Arial" w:hAnsi="Arial"/>
                <w:i/>
                <w:sz w:val="22"/>
                <w:szCs w:val="20"/>
              </w:rPr>
              <w:t xml:space="preserve">Are these comparability issues significant? If yes, </w:t>
            </w:r>
            <w:r w:rsidRPr="006E20DF">
              <w:rPr>
                <w:rFonts w:ascii="Arial" w:hAnsi="Arial"/>
                <w:i/>
                <w:sz w:val="22"/>
                <w:szCs w:val="20"/>
              </w:rPr>
              <w:t>how can they be improved in the most cost-effective manner?</w:t>
            </w:r>
          </w:p>
          <w:p w14:paraId="71F437B5" w14:textId="162FA7BF" w:rsidR="00F40E89" w:rsidRDefault="008177E4" w:rsidP="00D90646">
            <w:pPr>
              <w:numPr>
                <w:ilvl w:val="0"/>
                <w:numId w:val="16"/>
              </w:numPr>
              <w:spacing w:before="80" w:line="280" w:lineRule="atLeast"/>
              <w:jc w:val="both"/>
              <w:rPr>
                <w:rFonts w:ascii="Arial" w:hAnsi="Arial"/>
                <w:i/>
                <w:sz w:val="22"/>
                <w:szCs w:val="20"/>
              </w:rPr>
            </w:pPr>
            <w:r>
              <w:rPr>
                <w:rFonts w:ascii="Arial" w:hAnsi="Arial"/>
                <w:i/>
                <w:sz w:val="22"/>
                <w:szCs w:val="20"/>
              </w:rPr>
              <w:t>How could</w:t>
            </w:r>
            <w:r w:rsidR="00F40E89" w:rsidRPr="00F40E89">
              <w:rPr>
                <w:rFonts w:ascii="Arial" w:hAnsi="Arial"/>
                <w:i/>
                <w:sz w:val="22"/>
                <w:szCs w:val="20"/>
              </w:rPr>
              <w:t xml:space="preserve"> education data quality and consistency</w:t>
            </w:r>
            <w:r>
              <w:rPr>
                <w:rFonts w:ascii="Arial" w:hAnsi="Arial"/>
                <w:i/>
                <w:sz w:val="22"/>
                <w:szCs w:val="20"/>
              </w:rPr>
              <w:t xml:space="preserve"> be improved</w:t>
            </w:r>
            <w:r w:rsidR="00511447">
              <w:rPr>
                <w:rFonts w:ascii="Arial" w:hAnsi="Arial"/>
                <w:i/>
                <w:sz w:val="22"/>
                <w:szCs w:val="20"/>
              </w:rPr>
              <w:t>,</w:t>
            </w:r>
            <w:r w:rsidR="00F40E89" w:rsidRPr="00F40E89">
              <w:rPr>
                <w:rFonts w:ascii="Arial" w:hAnsi="Arial"/>
                <w:i/>
                <w:sz w:val="22"/>
                <w:szCs w:val="20"/>
              </w:rPr>
              <w:t xml:space="preserve"> either though modifications to existing processes or via new approaches?</w:t>
            </w:r>
          </w:p>
          <w:p w14:paraId="4DA66E7A" w14:textId="2DCEC94F" w:rsidR="005612DE" w:rsidRDefault="005612DE" w:rsidP="005612DE">
            <w:pPr>
              <w:numPr>
                <w:ilvl w:val="0"/>
                <w:numId w:val="16"/>
              </w:numPr>
              <w:spacing w:before="80" w:line="280" w:lineRule="atLeast"/>
              <w:jc w:val="both"/>
              <w:rPr>
                <w:rFonts w:ascii="Arial" w:hAnsi="Arial"/>
                <w:i/>
                <w:sz w:val="22"/>
                <w:szCs w:val="20"/>
              </w:rPr>
            </w:pPr>
            <w:r>
              <w:rPr>
                <w:rFonts w:ascii="Arial" w:hAnsi="Arial"/>
                <w:i/>
                <w:sz w:val="22"/>
                <w:szCs w:val="20"/>
              </w:rPr>
              <w:t xml:space="preserve">Are there instances of </w:t>
            </w:r>
            <w:r w:rsidR="009D6B71">
              <w:rPr>
                <w:rFonts w:ascii="Arial" w:hAnsi="Arial"/>
                <w:i/>
                <w:sz w:val="22"/>
                <w:szCs w:val="20"/>
              </w:rPr>
              <w:t>data providers being required to collect or provide the same data at different times?</w:t>
            </w:r>
          </w:p>
          <w:p w14:paraId="421D9276" w14:textId="0A99D7F0" w:rsidR="00E40CD0" w:rsidRDefault="00F40E89" w:rsidP="00E40CD0">
            <w:pPr>
              <w:numPr>
                <w:ilvl w:val="0"/>
                <w:numId w:val="16"/>
              </w:numPr>
              <w:spacing w:before="80" w:line="280" w:lineRule="atLeast"/>
              <w:jc w:val="both"/>
              <w:rPr>
                <w:rFonts w:ascii="Arial" w:hAnsi="Arial"/>
                <w:i/>
                <w:sz w:val="22"/>
                <w:szCs w:val="20"/>
              </w:rPr>
            </w:pPr>
            <w:r w:rsidRPr="00F40E89">
              <w:rPr>
                <w:rFonts w:ascii="Arial" w:hAnsi="Arial"/>
                <w:i/>
                <w:sz w:val="22"/>
                <w:szCs w:val="20"/>
              </w:rPr>
              <w:t>Are there</w:t>
            </w:r>
            <w:r w:rsidRPr="00F40E89" w:rsidDel="00D350C6">
              <w:rPr>
                <w:rFonts w:ascii="Arial" w:hAnsi="Arial"/>
                <w:i/>
                <w:sz w:val="22"/>
                <w:szCs w:val="20"/>
              </w:rPr>
              <w:t xml:space="preserve"> </w:t>
            </w:r>
            <w:r w:rsidRPr="00F40E89">
              <w:rPr>
                <w:rFonts w:ascii="Arial" w:hAnsi="Arial"/>
                <w:i/>
                <w:sz w:val="22"/>
                <w:szCs w:val="20"/>
              </w:rPr>
              <w:t>instances of duplication in data collection that could be addressed to</w:t>
            </w:r>
            <w:r w:rsidR="00FF7778">
              <w:rPr>
                <w:rFonts w:ascii="Arial" w:hAnsi="Arial"/>
                <w:i/>
                <w:sz w:val="22"/>
                <w:szCs w:val="20"/>
              </w:rPr>
              <w:t>:</w:t>
            </w:r>
            <w:r w:rsidRPr="00F40E89">
              <w:rPr>
                <w:rFonts w:ascii="Arial" w:hAnsi="Arial"/>
                <w:i/>
                <w:sz w:val="22"/>
                <w:szCs w:val="20"/>
              </w:rPr>
              <w:t xml:space="preserve"> </w:t>
            </w:r>
            <w:r w:rsidR="00FF7778">
              <w:rPr>
                <w:rFonts w:ascii="Arial" w:hAnsi="Arial"/>
                <w:i/>
                <w:sz w:val="22"/>
                <w:szCs w:val="20"/>
              </w:rPr>
              <w:t xml:space="preserve">a) </w:t>
            </w:r>
            <w:r w:rsidRPr="00F40E89">
              <w:rPr>
                <w:rFonts w:ascii="Arial" w:hAnsi="Arial"/>
                <w:i/>
                <w:sz w:val="22"/>
                <w:szCs w:val="20"/>
              </w:rPr>
              <w:t>ease the compliance burden on collection bodies?</w:t>
            </w:r>
            <w:r w:rsidR="00E40CD0">
              <w:rPr>
                <w:rFonts w:ascii="Arial" w:hAnsi="Arial"/>
                <w:i/>
                <w:sz w:val="22"/>
                <w:szCs w:val="20"/>
              </w:rPr>
              <w:t xml:space="preserve"> </w:t>
            </w:r>
            <w:r w:rsidR="00FF7778">
              <w:rPr>
                <w:rFonts w:ascii="Arial" w:hAnsi="Arial"/>
                <w:i/>
                <w:sz w:val="22"/>
                <w:szCs w:val="20"/>
              </w:rPr>
              <w:t xml:space="preserve">b) </w:t>
            </w:r>
            <w:r w:rsidR="00E40CD0">
              <w:rPr>
                <w:rFonts w:ascii="Arial" w:hAnsi="Arial"/>
                <w:i/>
                <w:sz w:val="22"/>
                <w:szCs w:val="20"/>
              </w:rPr>
              <w:t>ease the compliance burden on data providers (such as students, parents and schools)?</w:t>
            </w:r>
          </w:p>
          <w:p w14:paraId="399C9311" w14:textId="77777777" w:rsidR="00F40E89" w:rsidRPr="00F40E89" w:rsidRDefault="00F40E89" w:rsidP="00F40E89">
            <w:pPr>
              <w:numPr>
                <w:ilvl w:val="0"/>
                <w:numId w:val="16"/>
              </w:numPr>
              <w:spacing w:before="80" w:line="280" w:lineRule="atLeast"/>
              <w:jc w:val="both"/>
              <w:rPr>
                <w:rFonts w:ascii="Arial" w:hAnsi="Arial"/>
                <w:i/>
                <w:sz w:val="22"/>
                <w:szCs w:val="20"/>
              </w:rPr>
            </w:pPr>
            <w:r w:rsidRPr="00F40E89">
              <w:rPr>
                <w:rFonts w:ascii="Arial" w:hAnsi="Arial"/>
                <w:i/>
                <w:sz w:val="22"/>
                <w:szCs w:val="20"/>
              </w:rPr>
              <w:t>Are there areas of current investment in the creation of education data or evidence that do not provide value in meeting the objectives?</w:t>
            </w:r>
          </w:p>
          <w:p w14:paraId="46C2B4AA" w14:textId="77777777" w:rsidR="00F40E89" w:rsidRPr="00F40E89" w:rsidRDefault="00F40E89" w:rsidP="00F40E89">
            <w:pPr>
              <w:numPr>
                <w:ilvl w:val="0"/>
                <w:numId w:val="16"/>
              </w:numPr>
              <w:spacing w:before="80" w:line="280" w:lineRule="atLeast"/>
              <w:jc w:val="both"/>
              <w:rPr>
                <w:rFonts w:ascii="Arial" w:hAnsi="Arial"/>
                <w:i/>
                <w:sz w:val="22"/>
                <w:szCs w:val="20"/>
              </w:rPr>
            </w:pPr>
            <w:r w:rsidRPr="00F40E89">
              <w:rPr>
                <w:rFonts w:ascii="Arial" w:hAnsi="Arial"/>
                <w:i/>
                <w:sz w:val="22"/>
                <w:szCs w:val="20"/>
              </w:rPr>
              <w:t>Which administrative records created in the delivery of schooling or early childhood education and care (for example, maternal and child health records) that would add value to the national education evidence base, have not yet been turned into usable datasets?</w:t>
            </w:r>
          </w:p>
          <w:p w14:paraId="418D6E33" w14:textId="5518391F" w:rsidR="00F40E89" w:rsidRPr="00F40E89" w:rsidRDefault="00F40E89" w:rsidP="00F40E89">
            <w:pPr>
              <w:numPr>
                <w:ilvl w:val="0"/>
                <w:numId w:val="16"/>
              </w:numPr>
              <w:spacing w:before="80" w:line="280" w:lineRule="atLeast"/>
              <w:jc w:val="both"/>
              <w:rPr>
                <w:rFonts w:ascii="Arial" w:hAnsi="Arial"/>
                <w:i/>
                <w:sz w:val="22"/>
                <w:szCs w:val="20"/>
              </w:rPr>
            </w:pPr>
            <w:r w:rsidRPr="00F40E89">
              <w:rPr>
                <w:rFonts w:ascii="Arial" w:hAnsi="Arial"/>
                <w:i/>
                <w:sz w:val="22"/>
                <w:szCs w:val="20"/>
              </w:rPr>
              <w:t>What instances are there of schools being required to provide administrative information to government that do not add value to the education evidence base?</w:t>
            </w:r>
          </w:p>
        </w:tc>
      </w:tr>
      <w:tr w:rsidR="00F40E89" w:rsidRPr="007D77F0" w14:paraId="3E4BA225" w14:textId="77777777" w:rsidTr="00EC0151">
        <w:tc>
          <w:tcPr>
            <w:tcW w:w="8770" w:type="dxa"/>
            <w:tcBorders>
              <w:top w:val="nil"/>
              <w:left w:val="nil"/>
              <w:bottom w:val="single" w:sz="6" w:space="0" w:color="78A22F"/>
              <w:right w:val="nil"/>
            </w:tcBorders>
            <w:shd w:val="clear" w:color="auto" w:fill="auto"/>
          </w:tcPr>
          <w:p w14:paraId="6FF25249" w14:textId="77777777" w:rsidR="00F40E89" w:rsidRPr="007D77F0" w:rsidRDefault="00F40E89" w:rsidP="00EC0151">
            <w:pPr>
              <w:keepLines/>
              <w:spacing w:line="120" w:lineRule="exact"/>
              <w:jc w:val="both"/>
              <w:rPr>
                <w:rFonts w:ascii="Arial" w:hAnsi="Arial"/>
                <w:sz w:val="20"/>
                <w:szCs w:val="20"/>
              </w:rPr>
            </w:pPr>
          </w:p>
        </w:tc>
      </w:tr>
      <w:tr w:rsidR="00F40E89" w:rsidRPr="007D77F0" w14:paraId="4AF6F0DC" w14:textId="77777777" w:rsidTr="00EC0151">
        <w:trPr>
          <w:hidden/>
        </w:trPr>
        <w:tc>
          <w:tcPr>
            <w:tcW w:w="8770" w:type="dxa"/>
            <w:tcBorders>
              <w:top w:val="single" w:sz="6" w:space="0" w:color="78A22F"/>
              <w:left w:val="nil"/>
              <w:bottom w:val="nil"/>
              <w:right w:val="nil"/>
            </w:tcBorders>
          </w:tcPr>
          <w:p w14:paraId="7698475F" w14:textId="77777777" w:rsidR="00F40E89" w:rsidRPr="007D77F0" w:rsidRDefault="00F40E89" w:rsidP="00EC0151">
            <w:pPr>
              <w:keepLines/>
              <w:spacing w:before="60" w:after="60" w:line="80" w:lineRule="exact"/>
              <w:jc w:val="both"/>
              <w:rPr>
                <w:rFonts w:ascii="Arial" w:hAnsi="Arial"/>
                <w:sz w:val="14"/>
                <w:szCs w:val="20"/>
              </w:rPr>
            </w:pPr>
            <w:r w:rsidRPr="007D77F0">
              <w:rPr>
                <w:b/>
                <w:vanish/>
                <w:color w:val="FF00FF"/>
                <w:sz w:val="14"/>
                <w:szCs w:val="20"/>
              </w:rPr>
              <w:t>Do not delete this ROW as it gives space between the info request and what follows it.</w:t>
            </w:r>
          </w:p>
        </w:tc>
      </w:tr>
    </w:tbl>
    <w:p w14:paraId="0D0D3B11" w14:textId="24D8AA77" w:rsidR="00DA440C" w:rsidRDefault="00DA440C" w:rsidP="00DA440C">
      <w:pPr>
        <w:pStyle w:val="Heading3"/>
      </w:pPr>
      <w:r>
        <w:t xml:space="preserve">Data </w:t>
      </w:r>
      <w:r w:rsidR="00F62E65">
        <w:t xml:space="preserve">capture, </w:t>
      </w:r>
      <w:r>
        <w:t>processing</w:t>
      </w:r>
      <w:r w:rsidR="00F62E65">
        <w:t xml:space="preserve"> and management</w:t>
      </w:r>
    </w:p>
    <w:p w14:paraId="11623606" w14:textId="33F9FCD5" w:rsidR="006458BD" w:rsidRDefault="00DA440C" w:rsidP="00DA440C">
      <w:pPr>
        <w:pStyle w:val="BodyText"/>
      </w:pPr>
      <w:r>
        <w:t xml:space="preserve">Data </w:t>
      </w:r>
      <w:r w:rsidDel="00A57925">
        <w:t>creation</w:t>
      </w:r>
      <w:r w:rsidR="00B53226">
        <w:t>,</w:t>
      </w:r>
      <w:r w:rsidDel="00B53226">
        <w:t xml:space="preserve"> </w:t>
      </w:r>
      <w:r>
        <w:t xml:space="preserve">processing </w:t>
      </w:r>
      <w:r w:rsidR="00B53226">
        <w:t xml:space="preserve">and management </w:t>
      </w:r>
      <w:r>
        <w:t>involve a variety of activities that generally occur prior to data being analysed or used. These activities include data collection, translation, validation, encryption, storage and management</w:t>
      </w:r>
      <w:r w:rsidRPr="001B0D08">
        <w:t xml:space="preserve"> </w:t>
      </w:r>
      <w:r w:rsidRPr="00465AB3">
        <w:t>(UK Data Archive 2016)</w:t>
      </w:r>
      <w:r>
        <w:t xml:space="preserve">. Depending on the type of data, the nature of these functions varies between datasets. Nonetheless, the way in which data </w:t>
      </w:r>
      <w:r w:rsidR="00E47583">
        <w:t>are</w:t>
      </w:r>
      <w:r>
        <w:t xml:space="preserve"> created and processed affects the characteristics of data (in terms of consistency and coherence</w:t>
      </w:r>
      <w:r w:rsidR="00461E6C">
        <w:t>)</w:t>
      </w:r>
      <w:r>
        <w:t>; the benefits it provides to users; and its associated costs.</w:t>
      </w:r>
    </w:p>
    <w:p w14:paraId="10951E38" w14:textId="293BE313" w:rsidR="00CB6899" w:rsidRDefault="003B2EE7" w:rsidP="00DA440C">
      <w:pPr>
        <w:pStyle w:val="BodyText"/>
      </w:pPr>
      <w:r>
        <w:t>P</w:t>
      </w:r>
      <w:r w:rsidR="00501BFE">
        <w:t xml:space="preserve">art of the burden of data creation falls on students participating in </w:t>
      </w:r>
      <w:r>
        <w:t>surveys and standardised tests</w:t>
      </w:r>
      <w:r w:rsidR="00702980">
        <w:t xml:space="preserve"> through the stress imposed by participation and the excess compliance cost of duplicating personal inf</w:t>
      </w:r>
      <w:r w:rsidR="00891B6D">
        <w:t>ormation that is already availa</w:t>
      </w:r>
      <w:r w:rsidR="00702980">
        <w:t>ble</w:t>
      </w:r>
      <w:r>
        <w:t>.</w:t>
      </w:r>
      <w:r w:rsidR="003F5BB7">
        <w:t xml:space="preserve"> </w:t>
      </w:r>
      <w:r w:rsidR="008D60EB">
        <w:t xml:space="preserve">In a study of five Australian school communities, </w:t>
      </w:r>
      <w:proofErr w:type="spellStart"/>
      <w:r w:rsidR="008D60EB">
        <w:t>Wyn</w:t>
      </w:r>
      <w:proofErr w:type="spellEnd"/>
      <w:r w:rsidR="008D60EB">
        <w:t xml:space="preserve"> et al. </w:t>
      </w:r>
      <w:r w:rsidR="001532A8" w:rsidRPr="001532A8">
        <w:t>(2014, p. 6)</w:t>
      </w:r>
      <w:r w:rsidR="008D60EB">
        <w:t xml:space="preserve"> found that most students reported feeling some stress associated with </w:t>
      </w:r>
      <w:proofErr w:type="spellStart"/>
      <w:r w:rsidR="008D60EB">
        <w:t>NAPLAN</w:t>
      </w:r>
      <w:proofErr w:type="spellEnd"/>
      <w:r w:rsidR="0096527E">
        <w:t xml:space="preserve"> tests</w:t>
      </w:r>
      <w:r w:rsidR="008D60EB">
        <w:t>, and a smaller number experienced anxiety and ‘stress related conditions’ such as hyperventilation, profuse sweating and headaches.</w:t>
      </w:r>
      <w:r w:rsidR="00117047">
        <w:t xml:space="preserve"> </w:t>
      </w:r>
      <w:r w:rsidR="00960953">
        <w:t>U</w:t>
      </w:r>
      <w:r w:rsidR="005D0C39">
        <w:t xml:space="preserve">sing more everyday language in the test may reduce the stress burden on students </w:t>
      </w:r>
      <w:r w:rsidR="001532A8" w:rsidRPr="001532A8">
        <w:t>(</w:t>
      </w:r>
      <w:proofErr w:type="spellStart"/>
      <w:r w:rsidR="001532A8" w:rsidRPr="001532A8">
        <w:t>Wyn</w:t>
      </w:r>
      <w:proofErr w:type="spellEnd"/>
      <w:r w:rsidR="001532A8" w:rsidRPr="001532A8">
        <w:t xml:space="preserve">, Turnbull &amp; </w:t>
      </w:r>
      <w:proofErr w:type="spellStart"/>
      <w:r w:rsidR="001532A8" w:rsidRPr="001532A8">
        <w:t>Grimshaw</w:t>
      </w:r>
      <w:proofErr w:type="spellEnd"/>
      <w:r w:rsidR="001532A8" w:rsidRPr="001532A8">
        <w:t xml:space="preserve"> 2014, p. 6)</w:t>
      </w:r>
      <w:r w:rsidR="005D0C39">
        <w:t>. Different strategies</w:t>
      </w:r>
      <w:r w:rsidR="00CB6899">
        <w:t xml:space="preserve"> could reduce the burden on </w:t>
      </w:r>
      <w:r w:rsidR="005D0C39">
        <w:t>students participating in surveys.</w:t>
      </w:r>
      <w:r w:rsidR="00931D2F">
        <w:t xml:space="preserve"> For example, linking survey </w:t>
      </w:r>
      <w:r w:rsidR="00D96800">
        <w:t>datasets</w:t>
      </w:r>
      <w:r w:rsidR="00931D2F">
        <w:t xml:space="preserve"> to the </w:t>
      </w:r>
      <w:r w:rsidR="00931D2F">
        <w:lastRenderedPageBreak/>
        <w:t>census could remove the need for survey participants to provide socio</w:t>
      </w:r>
      <w:r w:rsidR="00FF7778">
        <w:t>-</w:t>
      </w:r>
      <w:r w:rsidR="00931D2F">
        <w:t>demographic information.</w:t>
      </w:r>
    </w:p>
    <w:p w14:paraId="2CD84E6A" w14:textId="5647867A" w:rsidR="00225CB2" w:rsidRDefault="003C3013" w:rsidP="00DA440C">
      <w:pPr>
        <w:pStyle w:val="BodyText"/>
      </w:pPr>
      <w:r>
        <w:rPr>
          <w:szCs w:val="24"/>
        </w:rPr>
        <w:t xml:space="preserve">Data custodians are currently limited by the nature of </w:t>
      </w:r>
      <w:r w:rsidR="00C9136E">
        <w:rPr>
          <w:szCs w:val="24"/>
        </w:rPr>
        <w:t xml:space="preserve">the </w:t>
      </w:r>
      <w:r>
        <w:rPr>
          <w:szCs w:val="24"/>
        </w:rPr>
        <w:t>systems used to collect and manipulate data. Where these systems have been desig</w:t>
      </w:r>
      <w:r w:rsidR="00EB2D26">
        <w:rPr>
          <w:szCs w:val="24"/>
        </w:rPr>
        <w:t>ned for administrative purp</w:t>
      </w:r>
      <w:r w:rsidR="00225CB2">
        <w:rPr>
          <w:szCs w:val="24"/>
        </w:rPr>
        <w:t xml:space="preserve">oses, extracting data in a form suitable for education research may be problematic. </w:t>
      </w:r>
      <w:r w:rsidR="00442C52">
        <w:rPr>
          <w:szCs w:val="24"/>
        </w:rPr>
        <w:t xml:space="preserve">Specific </w:t>
      </w:r>
      <w:r w:rsidR="00C9136E">
        <w:rPr>
          <w:szCs w:val="24"/>
        </w:rPr>
        <w:t>research data may be missing</w:t>
      </w:r>
      <w:r w:rsidR="00442C52">
        <w:rPr>
          <w:szCs w:val="24"/>
        </w:rPr>
        <w:t>, inaccurate or inconsistent</w:t>
      </w:r>
      <w:r w:rsidR="00C9136E">
        <w:rPr>
          <w:szCs w:val="24"/>
        </w:rPr>
        <w:t xml:space="preserve">, time series </w:t>
      </w:r>
      <w:r w:rsidR="00442C52">
        <w:rPr>
          <w:szCs w:val="24"/>
        </w:rPr>
        <w:t xml:space="preserve">data </w:t>
      </w:r>
      <w:r w:rsidR="00C9136E">
        <w:rPr>
          <w:szCs w:val="24"/>
        </w:rPr>
        <w:t xml:space="preserve">unavailable and </w:t>
      </w:r>
      <w:r w:rsidR="00442C52">
        <w:rPr>
          <w:szCs w:val="24"/>
        </w:rPr>
        <w:t>documentation non-exist</w:t>
      </w:r>
      <w:r w:rsidR="00040EF0">
        <w:rPr>
          <w:szCs w:val="24"/>
        </w:rPr>
        <w:t>e</w:t>
      </w:r>
      <w:r w:rsidR="00442C52">
        <w:rPr>
          <w:szCs w:val="24"/>
        </w:rPr>
        <w:t xml:space="preserve">nt. </w:t>
      </w:r>
      <w:r w:rsidR="00C54AD0">
        <w:t xml:space="preserve">A related issue is whether data custodians currently have the resources to </w:t>
      </w:r>
      <w:r w:rsidR="00DE75A8">
        <w:t xml:space="preserve">transform existing data </w:t>
      </w:r>
      <w:r w:rsidR="005C5E7E">
        <w:t xml:space="preserve">assets </w:t>
      </w:r>
      <w:r w:rsidR="00DE75A8">
        <w:t xml:space="preserve">into research </w:t>
      </w:r>
      <w:r w:rsidR="00D96800">
        <w:t>datasets</w:t>
      </w:r>
      <w:r w:rsidR="00DE75A8">
        <w:t xml:space="preserve"> and to </w:t>
      </w:r>
      <w:r w:rsidR="00C54AD0">
        <w:t>provide follow-up support to researchers</w:t>
      </w:r>
      <w:r w:rsidR="00F51DB7">
        <w:t xml:space="preserve"> (see </w:t>
      </w:r>
      <w:r w:rsidR="00BA0B38">
        <w:t>below).</w:t>
      </w:r>
    </w:p>
    <w:p w14:paraId="3B1BD86E" w14:textId="10FED0FD" w:rsidR="00DA440C" w:rsidRDefault="00DA440C" w:rsidP="00DA440C">
      <w:pPr>
        <w:pStyle w:val="BodyText"/>
      </w:pPr>
      <w:r>
        <w:t>Moving toward online platforms is expected to have a marked impact on the time taken to collect, distribute and analyse education data.</w:t>
      </w:r>
      <w:r w:rsidRPr="008157BA">
        <w:t xml:space="preserve"> </w:t>
      </w:r>
      <w:r>
        <w:t xml:space="preserve">Currently, there are several initiatives underway that will affect the way education datasets are created, processed and used by researchers and policy makers. For example, </w:t>
      </w:r>
      <w:proofErr w:type="spellStart"/>
      <w:r>
        <w:t>NAPLAN</w:t>
      </w:r>
      <w:proofErr w:type="spellEnd"/>
      <w:r>
        <w:t xml:space="preserve"> assessments will move online in 2017 allowing for tailored test design </w:t>
      </w:r>
      <w:r w:rsidR="00234B58">
        <w:t xml:space="preserve">and </w:t>
      </w:r>
      <w:r>
        <w:t>providing</w:t>
      </w:r>
      <w:r w:rsidRPr="009A2759">
        <w:t xml:space="preserve"> teachers and schools with more targeted and detailed information on </w:t>
      </w:r>
      <w:r>
        <w:t>student</w:t>
      </w:r>
      <w:r w:rsidRPr="009A2759">
        <w:t xml:space="preserve"> performance</w:t>
      </w:r>
      <w:r>
        <w:t xml:space="preserve">. The Program for International Assessment (PISA) is also in the process moving to an online platform. Progress in moving administrative </w:t>
      </w:r>
      <w:r w:rsidR="00D96800">
        <w:t>datasets</w:t>
      </w:r>
      <w:r>
        <w:t xml:space="preserve"> to online platforms </w:t>
      </w:r>
      <w:r w:rsidR="00960953">
        <w:t>is</w:t>
      </w:r>
      <w:r>
        <w:t xml:space="preserve"> less developed.</w:t>
      </w:r>
    </w:p>
    <w:p w14:paraId="364AB586" w14:textId="1512B65F" w:rsidR="00DA440C" w:rsidRDefault="00171BA2" w:rsidP="00DA440C">
      <w:pPr>
        <w:pStyle w:val="BodyText"/>
        <w:rPr>
          <w:szCs w:val="24"/>
        </w:rPr>
      </w:pPr>
      <w:r>
        <w:rPr>
          <w:szCs w:val="24"/>
        </w:rPr>
        <w:t>R</w:t>
      </w:r>
      <w:r w:rsidR="00DA440C">
        <w:rPr>
          <w:szCs w:val="24"/>
        </w:rPr>
        <w:t>andomised controlled trials</w:t>
      </w:r>
      <w:r w:rsidR="00DA440C" w:rsidDel="00855CFC">
        <w:rPr>
          <w:szCs w:val="24"/>
        </w:rPr>
        <w:t xml:space="preserve"> (</w:t>
      </w:r>
      <w:r w:rsidR="00DA440C">
        <w:rPr>
          <w:szCs w:val="24"/>
        </w:rPr>
        <w:t>traditionally used in medical research</w:t>
      </w:r>
      <w:r w:rsidR="00DA440C" w:rsidDel="00855CFC">
        <w:rPr>
          <w:szCs w:val="24"/>
        </w:rPr>
        <w:t>)</w:t>
      </w:r>
      <w:r w:rsidR="00DA440C">
        <w:rPr>
          <w:szCs w:val="24"/>
        </w:rPr>
        <w:t xml:space="preserve"> are a recent innovation in </w:t>
      </w:r>
      <w:r w:rsidR="00350A01">
        <w:rPr>
          <w:szCs w:val="24"/>
        </w:rPr>
        <w:t>the evaluation of education policies and programs</w:t>
      </w:r>
      <w:r w:rsidR="00855CFC">
        <w:rPr>
          <w:szCs w:val="24"/>
        </w:rPr>
        <w:t xml:space="preserve"> (</w:t>
      </w:r>
      <w:r w:rsidR="00E84B6F">
        <w:rPr>
          <w:szCs w:val="24"/>
        </w:rPr>
        <w:t xml:space="preserve">see box </w:t>
      </w:r>
      <w:r w:rsidR="002E6F7A">
        <w:rPr>
          <w:szCs w:val="24"/>
        </w:rPr>
        <w:t>2</w:t>
      </w:r>
      <w:r w:rsidR="00855CFC">
        <w:rPr>
          <w:szCs w:val="24"/>
        </w:rPr>
        <w:t>)</w:t>
      </w:r>
      <w:r w:rsidR="00350A01">
        <w:rPr>
          <w:szCs w:val="24"/>
        </w:rPr>
        <w:t>. They</w:t>
      </w:r>
      <w:r w:rsidR="00DA440C">
        <w:rPr>
          <w:szCs w:val="24"/>
        </w:rPr>
        <w:t xml:space="preserve"> have been embraced internationally with the United </w:t>
      </w:r>
      <w:r w:rsidR="00960953">
        <w:rPr>
          <w:szCs w:val="24"/>
        </w:rPr>
        <w:t>Kingdom Education D</w:t>
      </w:r>
      <w:r w:rsidR="00DA440C">
        <w:rPr>
          <w:szCs w:val="24"/>
        </w:rPr>
        <w:t xml:space="preserve">epartment funding </w:t>
      </w:r>
      <w:r w:rsidR="00350A01">
        <w:rPr>
          <w:szCs w:val="24"/>
        </w:rPr>
        <w:t>dozens of randomised control trials</w:t>
      </w:r>
      <w:r w:rsidR="000809E2">
        <w:rPr>
          <w:szCs w:val="24"/>
        </w:rPr>
        <w:t xml:space="preserve"> in schools</w:t>
      </w:r>
      <w:r w:rsidR="00350A01">
        <w:rPr>
          <w:szCs w:val="24"/>
        </w:rPr>
        <w:t xml:space="preserve"> </w:t>
      </w:r>
      <w:r w:rsidR="00DA440C">
        <w:rPr>
          <w:szCs w:val="24"/>
        </w:rPr>
        <w:t>and combining the results with other research outputs to produce an online Teaching and Learning Toolkit</w:t>
      </w:r>
      <w:r w:rsidR="00C763A1">
        <w:rPr>
          <w:szCs w:val="24"/>
        </w:rPr>
        <w:t xml:space="preserve"> </w:t>
      </w:r>
      <w:r w:rsidR="00C453FB" w:rsidRPr="00C453FB">
        <w:t>(Education Endowment Foundation 2016)</w:t>
      </w:r>
      <w:r w:rsidR="00756DA9">
        <w:rPr>
          <w:szCs w:val="24"/>
        </w:rPr>
        <w:t xml:space="preserve">. </w:t>
      </w:r>
      <w:r w:rsidR="00DA440C">
        <w:rPr>
          <w:szCs w:val="24"/>
        </w:rPr>
        <w:t>A similar</w:t>
      </w:r>
      <w:r w:rsidR="00DA440C" w:rsidDel="00A85AFF">
        <w:rPr>
          <w:szCs w:val="24"/>
        </w:rPr>
        <w:t xml:space="preserve"> </w:t>
      </w:r>
      <w:r w:rsidR="00A85AFF">
        <w:rPr>
          <w:szCs w:val="24"/>
        </w:rPr>
        <w:t>Teaching and Learning Toolkit</w:t>
      </w:r>
      <w:r w:rsidR="00DA440C" w:rsidDel="00A85AFF">
        <w:rPr>
          <w:szCs w:val="24"/>
        </w:rPr>
        <w:t xml:space="preserve"> </w:t>
      </w:r>
      <w:r w:rsidR="00DA440C">
        <w:rPr>
          <w:szCs w:val="24"/>
        </w:rPr>
        <w:t>has recently been launched in Australia</w:t>
      </w:r>
      <w:r w:rsidR="00C453FB">
        <w:rPr>
          <w:szCs w:val="24"/>
        </w:rPr>
        <w:t xml:space="preserve"> </w:t>
      </w:r>
      <w:r w:rsidR="00C453FB" w:rsidRPr="00C453FB">
        <w:t>(</w:t>
      </w:r>
      <w:proofErr w:type="spellStart"/>
      <w:r w:rsidR="00C453FB" w:rsidRPr="00C453FB">
        <w:t>ATLT</w:t>
      </w:r>
      <w:proofErr w:type="spellEnd"/>
      <w:r w:rsidR="00C453FB" w:rsidRPr="00C453FB">
        <w:t xml:space="preserve"> 2016)</w:t>
      </w:r>
      <w:r w:rsidR="00C453FB">
        <w:rPr>
          <w:szCs w:val="24"/>
        </w:rPr>
        <w:t>.</w:t>
      </w:r>
      <w:r w:rsidR="00AD36E6">
        <w:rPr>
          <w:szCs w:val="24"/>
        </w:rPr>
        <w:t xml:space="preserve"> </w:t>
      </w:r>
    </w:p>
    <w:p w14:paraId="786842DE" w14:textId="77777777" w:rsidR="00F40E89" w:rsidRPr="007D77F0" w:rsidRDefault="00F40E89" w:rsidP="00F40E89">
      <w:pPr>
        <w:keepNext/>
        <w:spacing w:before="240" w:line="80" w:lineRule="exact"/>
        <w:rPr>
          <w:b/>
          <w:sz w:val="14"/>
          <w:szCs w:val="20"/>
        </w:rPr>
      </w:pPr>
      <w:r w:rsidRPr="007D77F0">
        <w:rPr>
          <w:b/>
          <w:vanish/>
          <w:color w:val="FF00FF"/>
          <w:sz w:val="14"/>
          <w:szCs w:val="20"/>
        </w:rPr>
        <w:lastRenderedPageBreak/>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F40E89" w:rsidRPr="007D77F0" w14:paraId="5D89F408" w14:textId="77777777" w:rsidTr="00EC0151">
        <w:trPr>
          <w:tblHeader/>
        </w:trPr>
        <w:tc>
          <w:tcPr>
            <w:tcW w:w="8770" w:type="dxa"/>
            <w:tcBorders>
              <w:top w:val="single" w:sz="6" w:space="0" w:color="78A22F"/>
              <w:left w:val="nil"/>
              <w:bottom w:val="nil"/>
              <w:right w:val="nil"/>
            </w:tcBorders>
            <w:shd w:val="clear" w:color="auto" w:fill="auto"/>
          </w:tcPr>
          <w:p w14:paraId="52DA3E2D" w14:textId="77777777" w:rsidR="00F40E89" w:rsidRPr="008C126B" w:rsidRDefault="00F40E89" w:rsidP="00EC0151">
            <w:pPr>
              <w:keepLines/>
              <w:spacing w:before="240" w:line="280" w:lineRule="atLeast"/>
              <w:jc w:val="both"/>
              <w:rPr>
                <w:rFonts w:ascii="Arial" w:hAnsi="Arial"/>
                <w:i/>
                <w:caps/>
                <w:sz w:val="18"/>
                <w:szCs w:val="20"/>
              </w:rPr>
            </w:pPr>
            <w:r>
              <w:rPr>
                <w:rFonts w:ascii="Arial" w:hAnsi="Arial"/>
                <w:i/>
                <w:caps/>
                <w:sz w:val="18"/>
                <w:szCs w:val="20"/>
              </w:rPr>
              <w:t>Questions</w:t>
            </w:r>
          </w:p>
          <w:p w14:paraId="317D8BF2" w14:textId="0EBF0B26" w:rsidR="006458BD" w:rsidRDefault="00290470" w:rsidP="006458BD">
            <w:pPr>
              <w:numPr>
                <w:ilvl w:val="0"/>
                <w:numId w:val="16"/>
              </w:numPr>
              <w:spacing w:before="80" w:line="280" w:lineRule="atLeast"/>
              <w:jc w:val="both"/>
              <w:rPr>
                <w:rFonts w:ascii="Arial" w:hAnsi="Arial"/>
                <w:i/>
                <w:sz w:val="22"/>
                <w:szCs w:val="20"/>
              </w:rPr>
            </w:pPr>
            <w:r>
              <w:rPr>
                <w:rFonts w:ascii="Arial" w:hAnsi="Arial"/>
                <w:i/>
                <w:sz w:val="22"/>
                <w:szCs w:val="20"/>
              </w:rPr>
              <w:t>How could</w:t>
            </w:r>
            <w:r w:rsidR="00F40E89" w:rsidRPr="00F40E89">
              <w:rPr>
                <w:rFonts w:ascii="Arial" w:hAnsi="Arial"/>
                <w:i/>
                <w:sz w:val="22"/>
                <w:szCs w:val="20"/>
              </w:rPr>
              <w:t xml:space="preserve"> the creation and processing of national education data be improved to reduce system administrative or financial costs and better meet education objectives</w:t>
            </w:r>
            <w:r>
              <w:rPr>
                <w:rFonts w:ascii="Arial" w:hAnsi="Arial"/>
                <w:i/>
                <w:sz w:val="22"/>
                <w:szCs w:val="20"/>
              </w:rPr>
              <w:t>?</w:t>
            </w:r>
          </w:p>
          <w:p w14:paraId="7C3C5D53" w14:textId="1AA42525" w:rsidR="00DE75A8" w:rsidRDefault="00DE75A8" w:rsidP="006458BD">
            <w:pPr>
              <w:numPr>
                <w:ilvl w:val="0"/>
                <w:numId w:val="16"/>
              </w:numPr>
              <w:spacing w:before="80" w:line="280" w:lineRule="atLeast"/>
              <w:jc w:val="both"/>
              <w:rPr>
                <w:rFonts w:ascii="Arial" w:hAnsi="Arial"/>
                <w:i/>
                <w:sz w:val="22"/>
                <w:szCs w:val="20"/>
              </w:rPr>
            </w:pPr>
            <w:r>
              <w:rPr>
                <w:rFonts w:ascii="Arial" w:hAnsi="Arial"/>
                <w:i/>
                <w:sz w:val="22"/>
                <w:szCs w:val="20"/>
              </w:rPr>
              <w:t xml:space="preserve">Do data custodians have sufficient resources to transform existing data </w:t>
            </w:r>
            <w:r w:rsidR="007E7DBF">
              <w:rPr>
                <w:rFonts w:ascii="Arial" w:hAnsi="Arial"/>
                <w:i/>
                <w:sz w:val="22"/>
                <w:szCs w:val="20"/>
              </w:rPr>
              <w:t>assets</w:t>
            </w:r>
            <w:r>
              <w:rPr>
                <w:rFonts w:ascii="Arial" w:hAnsi="Arial"/>
                <w:i/>
                <w:sz w:val="22"/>
                <w:szCs w:val="20"/>
              </w:rPr>
              <w:t xml:space="preserve"> into research </w:t>
            </w:r>
            <w:r w:rsidR="00D96800">
              <w:rPr>
                <w:rFonts w:ascii="Arial" w:hAnsi="Arial"/>
                <w:i/>
                <w:sz w:val="22"/>
                <w:szCs w:val="20"/>
              </w:rPr>
              <w:t>datasets</w:t>
            </w:r>
            <w:r>
              <w:rPr>
                <w:rFonts w:ascii="Arial" w:hAnsi="Arial"/>
                <w:i/>
                <w:sz w:val="22"/>
                <w:szCs w:val="20"/>
              </w:rPr>
              <w:t>?</w:t>
            </w:r>
          </w:p>
          <w:p w14:paraId="2AF71799" w14:textId="77777777" w:rsidR="00BA0B38" w:rsidRPr="006458BD" w:rsidRDefault="00BA0B38" w:rsidP="00BA0B38">
            <w:pPr>
              <w:numPr>
                <w:ilvl w:val="0"/>
                <w:numId w:val="16"/>
              </w:numPr>
              <w:spacing w:before="80" w:line="280" w:lineRule="atLeast"/>
              <w:jc w:val="both"/>
              <w:rPr>
                <w:rFonts w:ascii="Arial" w:hAnsi="Arial"/>
                <w:i/>
                <w:sz w:val="22"/>
                <w:szCs w:val="20"/>
              </w:rPr>
            </w:pPr>
            <w:r>
              <w:rPr>
                <w:rFonts w:ascii="Arial" w:hAnsi="Arial"/>
                <w:i/>
                <w:sz w:val="22"/>
                <w:szCs w:val="20"/>
              </w:rPr>
              <w:t>Is a fear of exposing program failure a serious impediment to data development and use?  What can be done to overcome this?</w:t>
            </w:r>
          </w:p>
          <w:p w14:paraId="15A93CCC" w14:textId="77777777" w:rsidR="00F40E89" w:rsidRPr="00F40E89" w:rsidRDefault="00F40E89" w:rsidP="00F40E89">
            <w:pPr>
              <w:numPr>
                <w:ilvl w:val="0"/>
                <w:numId w:val="16"/>
              </w:numPr>
              <w:spacing w:before="80" w:line="280" w:lineRule="atLeast"/>
              <w:jc w:val="both"/>
              <w:rPr>
                <w:rFonts w:ascii="Arial" w:hAnsi="Arial"/>
                <w:i/>
                <w:sz w:val="22"/>
                <w:szCs w:val="20"/>
              </w:rPr>
            </w:pPr>
            <w:r w:rsidRPr="00F40E89">
              <w:rPr>
                <w:rFonts w:ascii="Arial" w:hAnsi="Arial"/>
                <w:i/>
                <w:sz w:val="22"/>
                <w:szCs w:val="20"/>
              </w:rPr>
              <w:t>What are the main barriers to the automated movement of data between organisations (for example, between schools and governments)?</w:t>
            </w:r>
          </w:p>
          <w:p w14:paraId="188E09F2" w14:textId="2631CEDD" w:rsidR="00F40E89" w:rsidRPr="00F40E89" w:rsidRDefault="00F40E89" w:rsidP="00F40E89">
            <w:pPr>
              <w:numPr>
                <w:ilvl w:val="0"/>
                <w:numId w:val="16"/>
              </w:numPr>
              <w:spacing w:before="80" w:line="280" w:lineRule="atLeast"/>
              <w:jc w:val="both"/>
              <w:rPr>
                <w:rFonts w:ascii="Arial" w:hAnsi="Arial"/>
                <w:i/>
                <w:sz w:val="22"/>
                <w:szCs w:val="20"/>
              </w:rPr>
            </w:pPr>
            <w:r w:rsidRPr="00F40E89">
              <w:rPr>
                <w:rFonts w:ascii="Arial" w:hAnsi="Arial"/>
                <w:i/>
                <w:sz w:val="22"/>
                <w:szCs w:val="20"/>
              </w:rPr>
              <w:t>What opportunities are there to use real</w:t>
            </w:r>
            <w:r w:rsidR="00234B58">
              <w:rPr>
                <w:rFonts w:ascii="Arial" w:hAnsi="Arial"/>
                <w:i/>
                <w:sz w:val="22"/>
                <w:szCs w:val="20"/>
              </w:rPr>
              <w:t>-</w:t>
            </w:r>
            <w:r w:rsidRPr="00F40E89">
              <w:rPr>
                <w:rFonts w:ascii="Arial" w:hAnsi="Arial"/>
                <w:i/>
                <w:sz w:val="22"/>
                <w:szCs w:val="20"/>
              </w:rPr>
              <w:t>time data collection (for example, of student attendance) to improve the quality of data collected and/or the timeliness with which it is available?</w:t>
            </w:r>
          </w:p>
          <w:p w14:paraId="1C20465C" w14:textId="77777777" w:rsidR="00F40E89" w:rsidRPr="00F40E89" w:rsidRDefault="00F40E89" w:rsidP="00F40E89">
            <w:pPr>
              <w:numPr>
                <w:ilvl w:val="0"/>
                <w:numId w:val="16"/>
              </w:numPr>
              <w:spacing w:before="80" w:line="280" w:lineRule="atLeast"/>
              <w:jc w:val="both"/>
              <w:rPr>
                <w:rFonts w:ascii="Arial" w:hAnsi="Arial"/>
                <w:i/>
                <w:sz w:val="22"/>
                <w:szCs w:val="20"/>
              </w:rPr>
            </w:pPr>
            <w:r w:rsidRPr="00F40E89">
              <w:rPr>
                <w:rFonts w:ascii="Arial" w:hAnsi="Arial"/>
                <w:i/>
                <w:sz w:val="22"/>
                <w:szCs w:val="20"/>
              </w:rPr>
              <w:t>What characteristics of education data restrict or enhance the scope for using randomised controlled trials to create evidence about the effectiveness of education policies and programs in Australia?</w:t>
            </w:r>
          </w:p>
          <w:p w14:paraId="49C31F06" w14:textId="3F0E3486" w:rsidR="00F40E89" w:rsidRPr="00F40E89" w:rsidRDefault="00F40E89" w:rsidP="00F40E89">
            <w:pPr>
              <w:numPr>
                <w:ilvl w:val="0"/>
                <w:numId w:val="16"/>
              </w:numPr>
              <w:spacing w:before="80" w:line="280" w:lineRule="atLeast"/>
              <w:jc w:val="both"/>
              <w:rPr>
                <w:i/>
                <w:szCs w:val="20"/>
              </w:rPr>
            </w:pPr>
            <w:r w:rsidRPr="00F40E89">
              <w:rPr>
                <w:rFonts w:ascii="Arial" w:hAnsi="Arial"/>
                <w:i/>
                <w:sz w:val="22"/>
                <w:szCs w:val="20"/>
              </w:rPr>
              <w:t>What lessons can be learned from other countries, or other sectors within Australia, about effective and efficient data collection and processing?</w:t>
            </w:r>
          </w:p>
        </w:tc>
      </w:tr>
      <w:tr w:rsidR="00F40E89" w:rsidRPr="007D77F0" w14:paraId="5E23E2AA" w14:textId="77777777" w:rsidTr="00EC0151">
        <w:tc>
          <w:tcPr>
            <w:tcW w:w="8770" w:type="dxa"/>
            <w:tcBorders>
              <w:top w:val="nil"/>
              <w:left w:val="nil"/>
              <w:bottom w:val="single" w:sz="6" w:space="0" w:color="78A22F"/>
              <w:right w:val="nil"/>
            </w:tcBorders>
            <w:shd w:val="clear" w:color="auto" w:fill="auto"/>
          </w:tcPr>
          <w:p w14:paraId="1063C25B" w14:textId="77777777" w:rsidR="00F40E89" w:rsidRPr="007D77F0" w:rsidRDefault="00F40E89" w:rsidP="00EC0151">
            <w:pPr>
              <w:keepLines/>
              <w:spacing w:line="120" w:lineRule="exact"/>
              <w:jc w:val="both"/>
              <w:rPr>
                <w:rFonts w:ascii="Arial" w:hAnsi="Arial"/>
                <w:sz w:val="20"/>
                <w:szCs w:val="20"/>
              </w:rPr>
            </w:pPr>
          </w:p>
        </w:tc>
      </w:tr>
      <w:tr w:rsidR="00F40E89" w:rsidRPr="007D77F0" w14:paraId="32AF86FB" w14:textId="77777777" w:rsidTr="00EC0151">
        <w:trPr>
          <w:hidden/>
        </w:trPr>
        <w:tc>
          <w:tcPr>
            <w:tcW w:w="8770" w:type="dxa"/>
            <w:tcBorders>
              <w:top w:val="single" w:sz="6" w:space="0" w:color="78A22F"/>
              <w:left w:val="nil"/>
              <w:bottom w:val="nil"/>
              <w:right w:val="nil"/>
            </w:tcBorders>
          </w:tcPr>
          <w:p w14:paraId="21BB8A26" w14:textId="77777777" w:rsidR="00F40E89" w:rsidRPr="007D77F0" w:rsidRDefault="00F40E89" w:rsidP="00EC0151">
            <w:pPr>
              <w:keepLines/>
              <w:spacing w:before="60" w:after="60" w:line="80" w:lineRule="exact"/>
              <w:jc w:val="both"/>
              <w:rPr>
                <w:rFonts w:ascii="Arial" w:hAnsi="Arial"/>
                <w:sz w:val="14"/>
                <w:szCs w:val="20"/>
              </w:rPr>
            </w:pPr>
            <w:r w:rsidRPr="007D77F0">
              <w:rPr>
                <w:b/>
                <w:vanish/>
                <w:color w:val="FF00FF"/>
                <w:sz w:val="14"/>
                <w:szCs w:val="20"/>
              </w:rPr>
              <w:t>Do not delete this ROW as it gives space between the info request and what follows it.</w:t>
            </w:r>
          </w:p>
        </w:tc>
      </w:tr>
    </w:tbl>
    <w:p w14:paraId="4E5688B3" w14:textId="1571A055" w:rsidR="000847B4" w:rsidRDefault="000847B4" w:rsidP="00DA440C">
      <w:pPr>
        <w:pStyle w:val="Heading3"/>
      </w:pPr>
      <w:r>
        <w:t>Tech</w:t>
      </w:r>
      <w:r w:rsidR="00D570D9">
        <w:t>n</w:t>
      </w:r>
      <w:r>
        <w:t>ology</w:t>
      </w:r>
    </w:p>
    <w:p w14:paraId="426019CC" w14:textId="4ABEFAA9" w:rsidR="00D2475D" w:rsidRDefault="00146D0A" w:rsidP="008F36E9">
      <w:pPr>
        <w:pStyle w:val="BodyText"/>
      </w:pPr>
      <w:r w:rsidRPr="003E38D8">
        <w:t xml:space="preserve">The increasing availability and use of technology can have a pervasive influence on the </w:t>
      </w:r>
      <w:r w:rsidR="00AA46F6" w:rsidRPr="003E38D8">
        <w:t>quality, timeliness and cost of</w:t>
      </w:r>
      <w:r w:rsidRPr="003E38D8">
        <w:t xml:space="preserve"> data col</w:t>
      </w:r>
      <w:r w:rsidR="00D93EA0" w:rsidRPr="003E38D8">
        <w:t>l</w:t>
      </w:r>
      <w:r w:rsidRPr="003E38D8">
        <w:t>ection</w:t>
      </w:r>
      <w:r w:rsidR="00D93EA0" w:rsidRPr="003E38D8">
        <w:t>,</w:t>
      </w:r>
      <w:r w:rsidRPr="003E38D8" w:rsidDel="00D93EA0">
        <w:t xml:space="preserve"> </w:t>
      </w:r>
      <w:r w:rsidRPr="003E38D8">
        <w:t xml:space="preserve">processing </w:t>
      </w:r>
      <w:r w:rsidR="00AA46F6" w:rsidRPr="003E38D8">
        <w:t>and its use</w:t>
      </w:r>
      <w:r w:rsidR="00C31E43">
        <w:t>. A</w:t>
      </w:r>
      <w:r w:rsidR="00D93EA0" w:rsidRPr="003E38D8">
        <w:t>s well as</w:t>
      </w:r>
      <w:r w:rsidRPr="003E38D8">
        <w:t xml:space="preserve"> enabling </w:t>
      </w:r>
      <w:r w:rsidR="00C31E43">
        <w:t xml:space="preserve">improvements in service delivery, technology also facilitates </w:t>
      </w:r>
      <w:r w:rsidR="009A5C2F" w:rsidRPr="003E38D8">
        <w:t>greater</w:t>
      </w:r>
      <w:r w:rsidR="008205D1" w:rsidRPr="003E38D8">
        <w:t xml:space="preserve"> </w:t>
      </w:r>
      <w:r w:rsidRPr="003E38D8">
        <w:t xml:space="preserve">access </w:t>
      </w:r>
      <w:r w:rsidR="00C31E43">
        <w:t xml:space="preserve">to information </w:t>
      </w:r>
      <w:r w:rsidRPr="003E38D8">
        <w:t>for education researchers</w:t>
      </w:r>
      <w:r w:rsidR="00D2475D" w:rsidRPr="003E38D8">
        <w:t xml:space="preserve">, </w:t>
      </w:r>
      <w:r w:rsidRPr="003E38D8">
        <w:t>policy makers</w:t>
      </w:r>
      <w:r w:rsidR="00C31E43">
        <w:t>,</w:t>
      </w:r>
      <w:r w:rsidR="00D2475D" w:rsidRPr="003E38D8">
        <w:t xml:space="preserve"> teachers and parents</w:t>
      </w:r>
      <w:r w:rsidRPr="003E38D8">
        <w:t xml:space="preserve">. </w:t>
      </w:r>
      <w:r w:rsidR="00D93EA0" w:rsidRPr="003E38D8">
        <w:t>Technology</w:t>
      </w:r>
      <w:r w:rsidRPr="003E38D8">
        <w:t xml:space="preserve"> also </w:t>
      </w:r>
      <w:r w:rsidR="00D93EA0" w:rsidRPr="003E38D8">
        <w:t>facilitates</w:t>
      </w:r>
      <w:r w:rsidRPr="003E38D8" w:rsidDel="00D93EA0">
        <w:t xml:space="preserve"> </w:t>
      </w:r>
      <w:r w:rsidRPr="003E38D8">
        <w:t xml:space="preserve">the generation of datasets which are more suited to research purposes. </w:t>
      </w:r>
      <w:r w:rsidR="00A8698E">
        <w:t>A</w:t>
      </w:r>
      <w:r w:rsidR="00960953">
        <w:t>s noted earlier, a</w:t>
      </w:r>
      <w:r w:rsidR="00A8698E">
        <w:t>n e</w:t>
      </w:r>
      <w:r w:rsidR="00D2475D" w:rsidRPr="003E38D8">
        <w:t>xample of recent or prospective technological in</w:t>
      </w:r>
      <w:r w:rsidR="003E38D8" w:rsidRPr="003E38D8">
        <w:t xml:space="preserve">novation </w:t>
      </w:r>
      <w:r w:rsidR="00960953">
        <w:t>involves</w:t>
      </w:r>
      <w:r w:rsidR="003E38D8" w:rsidRPr="003E38D8">
        <w:t xml:space="preserve"> the move to </w:t>
      </w:r>
      <w:proofErr w:type="spellStart"/>
      <w:r w:rsidR="003E38D8" w:rsidRPr="003E38D8">
        <w:t>NAPLAN</w:t>
      </w:r>
      <w:proofErr w:type="spellEnd"/>
      <w:r w:rsidR="003E38D8" w:rsidRPr="003E38D8">
        <w:t xml:space="preserve"> online which will involve electronic completion of </w:t>
      </w:r>
      <w:proofErr w:type="spellStart"/>
      <w:r w:rsidR="003E38D8" w:rsidRPr="003E38D8">
        <w:t>NAPLAN</w:t>
      </w:r>
      <w:proofErr w:type="spellEnd"/>
      <w:r w:rsidR="003E38D8" w:rsidRPr="003E38D8">
        <w:t xml:space="preserve"> tests </w:t>
      </w:r>
      <w:r w:rsidR="003E38D8">
        <w:t>and</w:t>
      </w:r>
      <w:r w:rsidR="003E38D8" w:rsidRPr="008F36E9">
        <w:t xml:space="preserve"> </w:t>
      </w:r>
      <w:r w:rsidR="00604897">
        <w:t xml:space="preserve">potentially </w:t>
      </w:r>
      <w:r w:rsidR="003B3A23">
        <w:t xml:space="preserve">result in significant </w:t>
      </w:r>
      <w:r w:rsidR="00604897">
        <w:t>reductions in</w:t>
      </w:r>
      <w:r w:rsidR="00604897" w:rsidRPr="008F36E9">
        <w:t xml:space="preserve"> </w:t>
      </w:r>
      <w:r w:rsidR="003E38D8" w:rsidRPr="008F36E9">
        <w:t>the time it takes to provide feedback to schools, students and parents</w:t>
      </w:r>
      <w:r w:rsidR="003E38D8">
        <w:t>.</w:t>
      </w:r>
    </w:p>
    <w:p w14:paraId="74E1CC90" w14:textId="72D7E2A3" w:rsidR="00D570D9" w:rsidRDefault="00AA46F6" w:rsidP="008F36E9">
      <w:pPr>
        <w:pStyle w:val="BodyText"/>
      </w:pPr>
      <w:r>
        <w:t xml:space="preserve">However, the </w:t>
      </w:r>
      <w:r w:rsidR="003E38D8">
        <w:t>rate of technological</w:t>
      </w:r>
      <w:r w:rsidR="009A5C2F">
        <w:t xml:space="preserve"> adoption has been constrained by </w:t>
      </w:r>
      <w:r w:rsidR="00025D25">
        <w:t>variation</w:t>
      </w:r>
      <w:r w:rsidR="003E38D8">
        <w:t>s</w:t>
      </w:r>
      <w:r w:rsidR="00025D25">
        <w:t xml:space="preserve"> in </w:t>
      </w:r>
      <w:r w:rsidR="00ED5021">
        <w:t xml:space="preserve">the </w:t>
      </w:r>
      <w:r w:rsidR="00025D25">
        <w:t xml:space="preserve">resource </w:t>
      </w:r>
      <w:r w:rsidR="003E38D8">
        <w:t xml:space="preserve">capacity </w:t>
      </w:r>
      <w:r w:rsidR="00ED5021">
        <w:t>of</w:t>
      </w:r>
      <w:r w:rsidR="003E38D8">
        <w:t xml:space="preserve"> school</w:t>
      </w:r>
      <w:r w:rsidR="00ED5021">
        <w:t>s across and within</w:t>
      </w:r>
      <w:r w:rsidR="003E38D8">
        <w:t xml:space="preserve"> </w:t>
      </w:r>
      <w:r w:rsidR="00ED5021">
        <w:t xml:space="preserve">education </w:t>
      </w:r>
      <w:r w:rsidR="003E38D8">
        <w:t xml:space="preserve">sectors. In </w:t>
      </w:r>
      <w:r w:rsidR="00ED5021">
        <w:t xml:space="preserve">particular, non-government schools in small remote communities face significant barriers in terms of the costs of </w:t>
      </w:r>
      <w:r w:rsidR="003E367F">
        <w:t xml:space="preserve">data management </w:t>
      </w:r>
      <w:r w:rsidR="00ED5021">
        <w:t xml:space="preserve">software </w:t>
      </w:r>
      <w:r w:rsidR="003E367F">
        <w:t xml:space="preserve">as well as access to broadband internet connections. </w:t>
      </w:r>
      <w:r w:rsidR="004415D7">
        <w:t xml:space="preserve">These issues are particularly relevant to the independent </w:t>
      </w:r>
      <w:r w:rsidR="0053617B">
        <w:t>school</w:t>
      </w:r>
      <w:r w:rsidR="004415D7">
        <w:t xml:space="preserve"> sector which is characterised by a wide</w:t>
      </w:r>
      <w:r w:rsidR="0053617B">
        <w:t>r</w:t>
      </w:r>
      <w:r w:rsidR="004415D7">
        <w:t xml:space="preserve"> diversity of school </w:t>
      </w:r>
      <w:r w:rsidR="0053617B">
        <w:t xml:space="preserve">types compared with </w:t>
      </w:r>
      <w:r w:rsidR="003B3A23">
        <w:t>government and Catholic-system</w:t>
      </w:r>
      <w:r w:rsidR="0053617B">
        <w:t xml:space="preserve"> school</w:t>
      </w:r>
      <w:r w:rsidR="004F59D9">
        <w:t>s</w:t>
      </w:r>
      <w:r w:rsidR="0053617B">
        <w:t>.</w:t>
      </w:r>
      <w:r w:rsidR="008D176E">
        <w:t xml:space="preserve"> Independent schools in small remote communities (specifically Queensland, Western Australia and the Northern Territory) are more likely to experience technology barriers than their metropolitan counterparts.</w:t>
      </w:r>
    </w:p>
    <w:p w14:paraId="34C7F19F" w14:textId="77777777" w:rsidR="00E17FF7" w:rsidRPr="007D77F0" w:rsidRDefault="00E17FF7" w:rsidP="00E17FF7">
      <w:pPr>
        <w:keepNext/>
        <w:spacing w:before="240" w:line="80" w:lineRule="exact"/>
        <w:rPr>
          <w:b/>
          <w:sz w:val="14"/>
          <w:szCs w:val="20"/>
        </w:rPr>
      </w:pPr>
      <w:r w:rsidRPr="007D77F0">
        <w:rPr>
          <w:b/>
          <w:vanish/>
          <w:color w:val="FF00FF"/>
          <w:sz w:val="14"/>
          <w:szCs w:val="20"/>
        </w:rPr>
        <w:lastRenderedPageBreak/>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17FF7" w:rsidRPr="007D77F0" w14:paraId="683B0845" w14:textId="77777777" w:rsidTr="00A42369">
        <w:trPr>
          <w:tblHeader/>
        </w:trPr>
        <w:tc>
          <w:tcPr>
            <w:tcW w:w="8770" w:type="dxa"/>
            <w:tcBorders>
              <w:top w:val="single" w:sz="6" w:space="0" w:color="78A22F"/>
              <w:left w:val="nil"/>
              <w:bottom w:val="nil"/>
              <w:right w:val="nil"/>
            </w:tcBorders>
            <w:shd w:val="clear" w:color="auto" w:fill="auto"/>
          </w:tcPr>
          <w:p w14:paraId="758D2937" w14:textId="77777777" w:rsidR="00E17FF7" w:rsidRPr="008C126B" w:rsidRDefault="00E17FF7" w:rsidP="00A42369">
            <w:pPr>
              <w:keepLines/>
              <w:shd w:val="clear" w:color="auto" w:fill="FFFFFF" w:themeFill="background1"/>
              <w:spacing w:before="240" w:line="280" w:lineRule="atLeast"/>
              <w:jc w:val="both"/>
              <w:rPr>
                <w:rFonts w:ascii="Arial" w:hAnsi="Arial"/>
                <w:i/>
                <w:caps/>
                <w:sz w:val="18"/>
                <w:szCs w:val="20"/>
              </w:rPr>
            </w:pPr>
            <w:r>
              <w:rPr>
                <w:rFonts w:ascii="Arial" w:hAnsi="Arial"/>
                <w:i/>
                <w:caps/>
                <w:sz w:val="18"/>
                <w:szCs w:val="20"/>
              </w:rPr>
              <w:t>Questions</w:t>
            </w:r>
          </w:p>
          <w:p w14:paraId="375B861E" w14:textId="427AC837" w:rsidR="00530278" w:rsidRPr="00530278" w:rsidRDefault="00530278" w:rsidP="00530278">
            <w:pPr>
              <w:numPr>
                <w:ilvl w:val="0"/>
                <w:numId w:val="16"/>
              </w:numPr>
              <w:spacing w:before="80" w:line="280" w:lineRule="atLeast"/>
              <w:jc w:val="both"/>
              <w:rPr>
                <w:rFonts w:ascii="Arial" w:hAnsi="Arial"/>
                <w:i/>
                <w:sz w:val="22"/>
                <w:szCs w:val="20"/>
              </w:rPr>
            </w:pPr>
            <w:r w:rsidRPr="00F40E89">
              <w:rPr>
                <w:rFonts w:ascii="Arial" w:hAnsi="Arial"/>
                <w:i/>
                <w:sz w:val="22"/>
                <w:szCs w:val="20"/>
              </w:rPr>
              <w:t>What are the main barriers to the greater adoption of technology (including mobile devices) to improve the quality and/or timeliness of data collection, processing and use?</w:t>
            </w:r>
          </w:p>
          <w:p w14:paraId="4373159F" w14:textId="67429548" w:rsidR="00E17FF7" w:rsidRPr="00DA68B9" w:rsidRDefault="00E17FF7" w:rsidP="00A42369">
            <w:pPr>
              <w:numPr>
                <w:ilvl w:val="0"/>
                <w:numId w:val="16"/>
              </w:numPr>
              <w:shd w:val="clear" w:color="auto" w:fill="FFFFFF" w:themeFill="background1"/>
              <w:spacing w:before="80" w:line="280" w:lineRule="atLeast"/>
              <w:jc w:val="both"/>
              <w:rPr>
                <w:rFonts w:ascii="Arial" w:hAnsi="Arial"/>
                <w:i/>
                <w:sz w:val="22"/>
                <w:szCs w:val="20"/>
              </w:rPr>
            </w:pPr>
            <w:r>
              <w:rPr>
                <w:rFonts w:ascii="Arial" w:hAnsi="Arial"/>
                <w:i/>
                <w:sz w:val="22"/>
                <w:szCs w:val="20"/>
              </w:rPr>
              <w:t xml:space="preserve">How can </w:t>
            </w:r>
            <w:r w:rsidR="00530278">
              <w:rPr>
                <w:rFonts w:ascii="Arial" w:hAnsi="Arial"/>
                <w:i/>
                <w:sz w:val="22"/>
                <w:szCs w:val="20"/>
              </w:rPr>
              <w:t xml:space="preserve">these barriers </w:t>
            </w:r>
            <w:r>
              <w:rPr>
                <w:rFonts w:ascii="Arial" w:hAnsi="Arial"/>
                <w:i/>
                <w:sz w:val="22"/>
                <w:szCs w:val="20"/>
              </w:rPr>
              <w:t>be best overcome?</w:t>
            </w:r>
          </w:p>
          <w:p w14:paraId="31114B28" w14:textId="0EBD0DE8" w:rsidR="00E17FF7" w:rsidRDefault="00E17FF7" w:rsidP="00A42369">
            <w:pPr>
              <w:numPr>
                <w:ilvl w:val="0"/>
                <w:numId w:val="16"/>
              </w:numPr>
              <w:shd w:val="clear" w:color="auto" w:fill="FFFFFF" w:themeFill="background1"/>
              <w:spacing w:before="80" w:line="280" w:lineRule="atLeast"/>
              <w:jc w:val="both"/>
              <w:rPr>
                <w:rFonts w:ascii="Arial" w:hAnsi="Arial"/>
                <w:i/>
                <w:sz w:val="22"/>
                <w:szCs w:val="20"/>
              </w:rPr>
            </w:pPr>
            <w:r>
              <w:rPr>
                <w:rFonts w:ascii="Arial" w:hAnsi="Arial"/>
                <w:i/>
                <w:sz w:val="22"/>
                <w:szCs w:val="20"/>
              </w:rPr>
              <w:t>Should the Australian Government play a greater role in supporting technology adoption in resource constrained schools?</w:t>
            </w:r>
            <w:r w:rsidR="00813008">
              <w:rPr>
                <w:rFonts w:ascii="Arial" w:hAnsi="Arial"/>
                <w:i/>
                <w:sz w:val="22"/>
                <w:szCs w:val="20"/>
              </w:rPr>
              <w:t xml:space="preserve"> </w:t>
            </w:r>
            <w:r w:rsidR="00BA0B38">
              <w:rPr>
                <w:rFonts w:ascii="Arial" w:hAnsi="Arial"/>
                <w:i/>
                <w:sz w:val="22"/>
                <w:szCs w:val="20"/>
              </w:rPr>
              <w:t>Or should this be pursued collectively amongst State and Territory jurisdictions?</w:t>
            </w:r>
          </w:p>
          <w:p w14:paraId="7F7D0190" w14:textId="4ED30E1F" w:rsidR="00E17FF7" w:rsidRDefault="00E17FF7" w:rsidP="00A42369">
            <w:pPr>
              <w:numPr>
                <w:ilvl w:val="0"/>
                <w:numId w:val="16"/>
              </w:numPr>
              <w:shd w:val="clear" w:color="auto" w:fill="FFFFFF" w:themeFill="background1"/>
              <w:spacing w:before="80" w:line="280" w:lineRule="atLeast"/>
              <w:jc w:val="both"/>
              <w:rPr>
                <w:rFonts w:ascii="Arial" w:hAnsi="Arial"/>
                <w:i/>
                <w:sz w:val="22"/>
                <w:szCs w:val="20"/>
              </w:rPr>
            </w:pPr>
            <w:r>
              <w:rPr>
                <w:rFonts w:ascii="Arial" w:hAnsi="Arial"/>
                <w:i/>
                <w:sz w:val="22"/>
                <w:szCs w:val="20"/>
              </w:rPr>
              <w:t>What form should that support take?</w:t>
            </w:r>
          </w:p>
          <w:p w14:paraId="72B015A3" w14:textId="1E54E52B" w:rsidR="00E17FF7" w:rsidRPr="00E17FF7" w:rsidRDefault="00E17FF7" w:rsidP="008F36E9">
            <w:pPr>
              <w:numPr>
                <w:ilvl w:val="0"/>
                <w:numId w:val="16"/>
              </w:numPr>
              <w:shd w:val="clear" w:color="auto" w:fill="FFFFFF" w:themeFill="background1"/>
              <w:spacing w:before="80" w:line="280" w:lineRule="atLeast"/>
              <w:jc w:val="both"/>
              <w:rPr>
                <w:rFonts w:ascii="Arial" w:hAnsi="Arial"/>
                <w:i/>
                <w:sz w:val="22"/>
                <w:szCs w:val="20"/>
              </w:rPr>
            </w:pPr>
            <w:r>
              <w:rPr>
                <w:rFonts w:ascii="Arial" w:hAnsi="Arial"/>
                <w:i/>
                <w:sz w:val="22"/>
                <w:szCs w:val="20"/>
              </w:rPr>
              <w:t xml:space="preserve">What new </w:t>
            </w:r>
            <w:r w:rsidR="008611CA">
              <w:rPr>
                <w:rFonts w:ascii="Arial" w:hAnsi="Arial"/>
                <w:i/>
                <w:sz w:val="22"/>
                <w:szCs w:val="20"/>
              </w:rPr>
              <w:t>or alternative</w:t>
            </w:r>
            <w:r>
              <w:rPr>
                <w:rFonts w:ascii="Arial" w:hAnsi="Arial"/>
                <w:i/>
                <w:sz w:val="22"/>
                <w:szCs w:val="20"/>
              </w:rPr>
              <w:t xml:space="preserve"> technologies could be utilised </w:t>
            </w:r>
            <w:r w:rsidR="00290848">
              <w:rPr>
                <w:rFonts w:ascii="Arial" w:hAnsi="Arial"/>
                <w:i/>
                <w:sz w:val="22"/>
                <w:szCs w:val="20"/>
              </w:rPr>
              <w:t>to improve the quality, timeliness and cost of data collection, processing and its use?</w:t>
            </w:r>
          </w:p>
        </w:tc>
      </w:tr>
      <w:tr w:rsidR="00E17FF7" w:rsidRPr="007D77F0" w14:paraId="4C21D2B9" w14:textId="77777777" w:rsidTr="00A42369">
        <w:tc>
          <w:tcPr>
            <w:tcW w:w="8770" w:type="dxa"/>
            <w:tcBorders>
              <w:top w:val="nil"/>
              <w:left w:val="nil"/>
              <w:bottom w:val="single" w:sz="6" w:space="0" w:color="78A22F"/>
              <w:right w:val="nil"/>
            </w:tcBorders>
            <w:shd w:val="clear" w:color="auto" w:fill="auto"/>
          </w:tcPr>
          <w:p w14:paraId="3BB93B39" w14:textId="77777777" w:rsidR="00E17FF7" w:rsidRPr="007D77F0" w:rsidRDefault="00E17FF7" w:rsidP="00A42369">
            <w:pPr>
              <w:keepLines/>
              <w:spacing w:line="120" w:lineRule="exact"/>
              <w:jc w:val="both"/>
              <w:rPr>
                <w:rFonts w:ascii="Arial" w:hAnsi="Arial"/>
                <w:sz w:val="20"/>
                <w:szCs w:val="20"/>
              </w:rPr>
            </w:pPr>
          </w:p>
        </w:tc>
      </w:tr>
      <w:tr w:rsidR="00E17FF7" w:rsidRPr="007D77F0" w14:paraId="69FF74FF" w14:textId="77777777" w:rsidTr="00A42369">
        <w:trPr>
          <w:hidden/>
        </w:trPr>
        <w:tc>
          <w:tcPr>
            <w:tcW w:w="8770" w:type="dxa"/>
            <w:tcBorders>
              <w:top w:val="single" w:sz="6" w:space="0" w:color="78A22F"/>
              <w:left w:val="nil"/>
              <w:bottom w:val="nil"/>
              <w:right w:val="nil"/>
            </w:tcBorders>
          </w:tcPr>
          <w:p w14:paraId="489DD4F4" w14:textId="77777777" w:rsidR="00E17FF7" w:rsidRPr="007D77F0" w:rsidRDefault="00E17FF7" w:rsidP="00A42369">
            <w:pPr>
              <w:keepLines/>
              <w:spacing w:before="60" w:after="60" w:line="80" w:lineRule="exact"/>
              <w:jc w:val="both"/>
              <w:rPr>
                <w:rFonts w:ascii="Arial" w:hAnsi="Arial"/>
                <w:sz w:val="14"/>
                <w:szCs w:val="20"/>
              </w:rPr>
            </w:pPr>
            <w:r w:rsidRPr="007D77F0">
              <w:rPr>
                <w:b/>
                <w:vanish/>
                <w:color w:val="FF00FF"/>
                <w:sz w:val="14"/>
                <w:szCs w:val="20"/>
              </w:rPr>
              <w:t>Do not delete this ROW as it gives space between the info request and what follows it.</w:t>
            </w:r>
          </w:p>
        </w:tc>
      </w:tr>
    </w:tbl>
    <w:p w14:paraId="048B62FA" w14:textId="77777777" w:rsidR="00DA440C" w:rsidRDefault="00DA440C" w:rsidP="00DA440C">
      <w:pPr>
        <w:pStyle w:val="Heading3"/>
      </w:pPr>
      <w:r>
        <w:t>Analytical and research capability</w:t>
      </w:r>
    </w:p>
    <w:p w14:paraId="7260C92A" w14:textId="5FD9C6A1" w:rsidR="00DA440C" w:rsidRDefault="0092747E" w:rsidP="00DA440C">
      <w:pPr>
        <w:pStyle w:val="ListBulet"/>
      </w:pPr>
      <w:r>
        <w:t>Translating</w:t>
      </w:r>
      <w:r w:rsidR="00DA440C">
        <w:t xml:space="preserve"> the national education evidence base into the objectives discussed in section </w:t>
      </w:r>
      <w:r w:rsidR="00F71194">
        <w:t>2</w:t>
      </w:r>
      <w:r w:rsidR="00DA440C">
        <w:t xml:space="preserve"> requires sufficient analytical and research capabilities among </w:t>
      </w:r>
      <w:r w:rsidR="007C7ADA">
        <w:t>research</w:t>
      </w:r>
      <w:r>
        <w:t>ers</w:t>
      </w:r>
      <w:r w:rsidR="007C7ADA">
        <w:t xml:space="preserve">, government policy departments, </w:t>
      </w:r>
      <w:r w:rsidR="00DA440C">
        <w:t>schools</w:t>
      </w:r>
      <w:r>
        <w:t xml:space="preserve">, </w:t>
      </w:r>
      <w:r w:rsidR="007C7ADA">
        <w:t>teachers</w:t>
      </w:r>
      <w:r>
        <w:t xml:space="preserve"> and parents</w:t>
      </w:r>
      <w:r w:rsidR="00DA440C">
        <w:t xml:space="preserve">. The Commission is seeking input on where </w:t>
      </w:r>
      <w:r w:rsidR="00186CA8">
        <w:t xml:space="preserve">these capabilities (including in which school sectors and </w:t>
      </w:r>
      <w:r w:rsidR="00B53226">
        <w:t xml:space="preserve">in which </w:t>
      </w:r>
      <w:r w:rsidR="00234B58">
        <w:t xml:space="preserve">jurisdictional </w:t>
      </w:r>
      <w:r w:rsidR="00186CA8">
        <w:t xml:space="preserve">locations) </w:t>
      </w:r>
      <w:r w:rsidR="001A6AFF">
        <w:t>could be improved</w:t>
      </w:r>
      <w:r w:rsidR="00DA440C">
        <w:t xml:space="preserve"> and</w:t>
      </w:r>
      <w:r w:rsidR="001A6AFF">
        <w:t>, if so,</w:t>
      </w:r>
      <w:r w:rsidR="00DA440C">
        <w:t xml:space="preserve"> the role for governments in building these capabilities</w:t>
      </w:r>
      <w:r w:rsidR="00DA440C" w:rsidDel="001A6AFF">
        <w:t>.</w:t>
      </w:r>
    </w:p>
    <w:p w14:paraId="061240E1" w14:textId="4DB57385" w:rsidR="00DA440C" w:rsidRDefault="00DA440C" w:rsidP="00DA440C">
      <w:pPr>
        <w:pStyle w:val="BodyText"/>
      </w:pPr>
      <w:r>
        <w:t xml:space="preserve">State and territory education departments </w:t>
      </w:r>
      <w:r w:rsidR="007C7ADA">
        <w:t xml:space="preserve">currently </w:t>
      </w:r>
      <w:r>
        <w:t xml:space="preserve">have varying degrees of involvement in </w:t>
      </w:r>
      <w:r w:rsidR="007C7ADA">
        <w:t xml:space="preserve">building </w:t>
      </w:r>
      <w:r>
        <w:t xml:space="preserve">research </w:t>
      </w:r>
      <w:r w:rsidR="007C7ADA">
        <w:t>capacity</w:t>
      </w:r>
      <w:r>
        <w:t xml:space="preserve">. The Victorian Department of Education and Training has a research partnership with the Melbourne Institute of Applied Economic and Social Research, and provides the principal funding for the Institute’s Economics of Education and Child Development Research Program </w:t>
      </w:r>
      <w:r w:rsidRPr="00FA432D">
        <w:t>(Melbourne Institute 2012; Victorian Department of Education and Training 2016)</w:t>
      </w:r>
      <w:r>
        <w:t>. The NSW Department of Education: ‘</w:t>
      </w:r>
      <w:r w:rsidRPr="00E0372E">
        <w:t>engages in major education research projects by initiating, undertaking, managing, and/or acting as partner in m</w:t>
      </w:r>
      <w:r>
        <w:t>ajor research projects of state</w:t>
      </w:r>
      <w:r w:rsidRPr="00E0372E">
        <w:t>wide</w:t>
      </w:r>
      <w:r>
        <w:t>,</w:t>
      </w:r>
      <w:r w:rsidRPr="00E0372E">
        <w:t xml:space="preserve"> national and international significance</w:t>
      </w:r>
      <w:r>
        <w:t xml:space="preserve">’ </w:t>
      </w:r>
      <w:r w:rsidR="004E103C" w:rsidRPr="004E103C">
        <w:t>(Austra</w:t>
      </w:r>
      <w:r w:rsidR="004E103C" w:rsidRPr="002A29CF">
        <w:t>lian National University 2016</w:t>
      </w:r>
      <w:r w:rsidR="004E103C" w:rsidRPr="000325BA">
        <w:t>)</w:t>
      </w:r>
      <w:r>
        <w:t>.</w:t>
      </w:r>
    </w:p>
    <w:p w14:paraId="054FAB85" w14:textId="770FA8BC" w:rsidR="00DA440C" w:rsidRDefault="00DA440C" w:rsidP="00DA440C">
      <w:pPr>
        <w:pStyle w:val="BodyText"/>
      </w:pPr>
      <w:r>
        <w:t>In 2012, the NSW Government created the Centre for Education Statistics and Evaluation (</w:t>
      </w:r>
      <w:proofErr w:type="spellStart"/>
      <w:r>
        <w:t>CESE</w:t>
      </w:r>
      <w:proofErr w:type="spellEnd"/>
      <w:r>
        <w:t xml:space="preserve">) to improve the effectiveness, efficiency and accountability of education in New South Wales </w:t>
      </w:r>
      <w:r w:rsidRPr="00833D19">
        <w:t>(Centre for Education Statistics and Evaluation 2016)</w:t>
      </w:r>
      <w:r>
        <w:t xml:space="preserve">. </w:t>
      </w:r>
      <w:proofErr w:type="spellStart"/>
      <w:r>
        <w:t>CESE’s</w:t>
      </w:r>
      <w:proofErr w:type="spellEnd"/>
      <w:r>
        <w:t xml:space="preserve"> three main responsibilities are</w:t>
      </w:r>
      <w:r w:rsidR="00234B58">
        <w:t xml:space="preserve"> to</w:t>
      </w:r>
      <w:r>
        <w:t>:</w:t>
      </w:r>
    </w:p>
    <w:p w14:paraId="5C73AE22" w14:textId="40A6003B" w:rsidR="00DA440C" w:rsidRDefault="00DA440C" w:rsidP="00DA440C">
      <w:pPr>
        <w:pStyle w:val="ListBullet"/>
      </w:pPr>
      <w:r>
        <w:t>provide data analysis, information and evaluation that improve effectiveness, efficiency and accountability</w:t>
      </w:r>
    </w:p>
    <w:p w14:paraId="5CEC3D9E" w14:textId="3B63A6EF" w:rsidR="00DA440C" w:rsidRDefault="00DA440C" w:rsidP="00DA440C">
      <w:pPr>
        <w:pStyle w:val="ListBullet"/>
      </w:pPr>
      <w:r>
        <w:t>create a one-stop shop for information needs – a single access point to education data that has appropriate safeguards to protect data confidentiality and integrity</w:t>
      </w:r>
    </w:p>
    <w:p w14:paraId="6E04CC7C" w14:textId="01AEC77E" w:rsidR="00DA440C" w:rsidRDefault="00DA440C" w:rsidP="00DA440C">
      <w:pPr>
        <w:pStyle w:val="ListBullet"/>
      </w:pPr>
      <w:r>
        <w:lastRenderedPageBreak/>
        <w:t xml:space="preserve">build capacity across the whole education sector by developing intelligent tools to make complex data easy to use and understand, and providing accessible reports so that everyone can make better use of data </w:t>
      </w:r>
      <w:r w:rsidRPr="00833D19">
        <w:t>(Centre for Education Statistics and Evaluation 2016)</w:t>
      </w:r>
      <w:r>
        <w:t>.</w:t>
      </w:r>
    </w:p>
    <w:p w14:paraId="7BE11EB6" w14:textId="3BBD272D" w:rsidR="001F5987" w:rsidRDefault="001F5987" w:rsidP="00DA440C">
      <w:pPr>
        <w:pStyle w:val="BodyText"/>
      </w:pPr>
      <w:r>
        <w:t xml:space="preserve">The </w:t>
      </w:r>
      <w:r w:rsidRPr="004F2982">
        <w:rPr>
          <w:i/>
        </w:rPr>
        <w:t>My School</w:t>
      </w:r>
      <w:r>
        <w:t xml:space="preserve"> website provides tools to help parents, teachers and schools analyse </w:t>
      </w:r>
      <w:proofErr w:type="spellStart"/>
      <w:r>
        <w:t>NAPLAN</w:t>
      </w:r>
      <w:proofErr w:type="spellEnd"/>
      <w:r>
        <w:t xml:space="preserve"> results. Information on student progress provides a measure of the value schools have added to their students’ learning over the two years between </w:t>
      </w:r>
      <w:proofErr w:type="spellStart"/>
      <w:r>
        <w:t>NAPLAN</w:t>
      </w:r>
      <w:proofErr w:type="spellEnd"/>
      <w:r>
        <w:t xml:space="preserve"> assessments. </w:t>
      </w:r>
      <w:r>
        <w:rPr>
          <w:i/>
        </w:rPr>
        <w:t>My School</w:t>
      </w:r>
      <w:r>
        <w:t xml:space="preserve"> also allows comparisons of </w:t>
      </w:r>
      <w:proofErr w:type="spellStart"/>
      <w:r>
        <w:t>NAPLAN</w:t>
      </w:r>
      <w:proofErr w:type="spellEnd"/>
      <w:r>
        <w:t xml:space="preserve"> results and progress with other schools with statistically similar students </w:t>
      </w:r>
      <w:r w:rsidR="00FF71F5" w:rsidRPr="00FF71F5">
        <w:t>(ACARA 2015)</w:t>
      </w:r>
      <w:r>
        <w:t xml:space="preserve">. The NSW Government has introduced the School Measurement, Assessment and Reporting Toolkit (SMART) system to help teachers and schools analyse results from </w:t>
      </w:r>
      <w:proofErr w:type="spellStart"/>
      <w:r>
        <w:t>NAPLAN</w:t>
      </w:r>
      <w:proofErr w:type="spellEnd"/>
      <w:r>
        <w:t xml:space="preserve"> (and from the NSW-wide Essential Secondary Science Assessment) </w:t>
      </w:r>
      <w:r w:rsidRPr="00FA4EAF">
        <w:t>(NSW Government 2014)</w:t>
      </w:r>
      <w:r>
        <w:t>.</w:t>
      </w:r>
    </w:p>
    <w:p w14:paraId="1A1867F6" w14:textId="6024AB05" w:rsidR="000962B0" w:rsidRDefault="006D2554" w:rsidP="00DA440C">
      <w:pPr>
        <w:pStyle w:val="BodyText"/>
      </w:pPr>
      <w:r>
        <w:t xml:space="preserve">In addition to </w:t>
      </w:r>
      <w:proofErr w:type="spellStart"/>
      <w:r>
        <w:t>NAPLAN</w:t>
      </w:r>
      <w:proofErr w:type="spellEnd"/>
      <w:r>
        <w:t xml:space="preserve"> results, </w:t>
      </w:r>
      <w:r>
        <w:rPr>
          <w:i/>
        </w:rPr>
        <w:t>My School</w:t>
      </w:r>
      <w:r>
        <w:t xml:space="preserve"> provides a range of other </w:t>
      </w:r>
      <w:r w:rsidR="009A7B35">
        <w:t xml:space="preserve">data to inform parents and encourage engagement </w:t>
      </w:r>
      <w:r w:rsidR="00D72AE6">
        <w:t>with their children’s</w:t>
      </w:r>
      <w:r w:rsidR="009A7B35">
        <w:t xml:space="preserve"> school</w:t>
      </w:r>
      <w:r w:rsidR="00D72AE6">
        <w:t>s</w:t>
      </w:r>
      <w:r w:rsidR="009A7B35">
        <w:t xml:space="preserve"> </w:t>
      </w:r>
      <w:r w:rsidR="001532A8" w:rsidRPr="001532A8">
        <w:t xml:space="preserve">(Australian Curriculum Assessment and Reporting Authority </w:t>
      </w:r>
      <w:proofErr w:type="spellStart"/>
      <w:r w:rsidR="001532A8" w:rsidRPr="001532A8">
        <w:t>2015b</w:t>
      </w:r>
      <w:proofErr w:type="spellEnd"/>
      <w:r w:rsidR="001532A8" w:rsidRPr="001532A8">
        <w:t>)</w:t>
      </w:r>
      <w:r w:rsidR="009A7B35">
        <w:t xml:space="preserve">. </w:t>
      </w:r>
      <w:r w:rsidR="00D72AE6">
        <w:t>This</w:t>
      </w:r>
      <w:r w:rsidR="00D2043E">
        <w:t xml:space="preserve"> include</w:t>
      </w:r>
      <w:r w:rsidR="00D72AE6">
        <w:t>s data on students’ backgrounds (such as the proportion of students from a non</w:t>
      </w:r>
      <w:r w:rsidR="00234B58">
        <w:t>-</w:t>
      </w:r>
      <w:r w:rsidR="00D72AE6">
        <w:t xml:space="preserve">English language background), </w:t>
      </w:r>
      <w:r w:rsidR="00D2043E">
        <w:t>school finances</w:t>
      </w:r>
      <w:r w:rsidR="00A305B0">
        <w:t xml:space="preserve"> and student attendance</w:t>
      </w:r>
      <w:r w:rsidR="00956063">
        <w:t xml:space="preserve"> </w:t>
      </w:r>
      <w:r w:rsidR="001532A8" w:rsidRPr="001532A8">
        <w:t xml:space="preserve">(Australian Curriculum Assessment and Reporting Authority </w:t>
      </w:r>
      <w:proofErr w:type="spellStart"/>
      <w:r w:rsidR="001532A8" w:rsidRPr="001532A8">
        <w:t>2015a</w:t>
      </w:r>
      <w:proofErr w:type="spellEnd"/>
      <w:r w:rsidR="001532A8" w:rsidRPr="001532A8">
        <w:t>)</w:t>
      </w:r>
      <w:r w:rsidR="00956063">
        <w:t xml:space="preserve">. </w:t>
      </w:r>
    </w:p>
    <w:p w14:paraId="2A3F055A" w14:textId="4AB3E154" w:rsidR="00E01D9B" w:rsidRDefault="000F3BCB" w:rsidP="00691EC6">
      <w:pPr>
        <w:pStyle w:val="BodyText"/>
        <w:rPr>
          <w:rFonts w:eastAsiaTheme="minorHAnsi"/>
        </w:rPr>
      </w:pPr>
      <w:r>
        <w:rPr>
          <w:rFonts w:eastAsiaTheme="minorHAnsi"/>
        </w:rPr>
        <w:t xml:space="preserve">The bulk of education research activity occurs through university research. </w:t>
      </w:r>
      <w:r w:rsidR="00DF6F62">
        <w:rPr>
          <w:rFonts w:eastAsiaTheme="minorHAnsi"/>
        </w:rPr>
        <w:t xml:space="preserve">In 2012, </w:t>
      </w:r>
      <w:r w:rsidR="00DF6F62" w:rsidRPr="00CF6D60">
        <w:rPr>
          <w:rFonts w:eastAsiaTheme="minorHAnsi"/>
        </w:rPr>
        <w:t>universities spent</w:t>
      </w:r>
      <w:r w:rsidR="001532A8">
        <w:rPr>
          <w:rFonts w:eastAsiaTheme="minorHAnsi"/>
        </w:rPr>
        <w:t xml:space="preserve"> about</w:t>
      </w:r>
      <w:r w:rsidR="00DF6F62">
        <w:rPr>
          <w:rFonts w:eastAsiaTheme="minorHAnsi"/>
        </w:rPr>
        <w:t xml:space="preserve"> </w:t>
      </w:r>
      <w:r w:rsidR="00DF6F62" w:rsidRPr="00CF6D60">
        <w:rPr>
          <w:rFonts w:eastAsiaTheme="minorHAnsi"/>
        </w:rPr>
        <w:t>$</w:t>
      </w:r>
      <w:r w:rsidR="001532A8">
        <w:rPr>
          <w:rFonts w:eastAsiaTheme="minorHAnsi"/>
        </w:rPr>
        <w:t>350 million</w:t>
      </w:r>
      <w:r w:rsidR="00DF6F62" w:rsidRPr="00CF6D60">
        <w:rPr>
          <w:rFonts w:eastAsiaTheme="minorHAnsi"/>
        </w:rPr>
        <w:t xml:space="preserve"> on</w:t>
      </w:r>
      <w:r w:rsidR="001532A8">
        <w:rPr>
          <w:rFonts w:eastAsiaTheme="minorHAnsi"/>
        </w:rPr>
        <w:t xml:space="preserve"> education</w:t>
      </w:r>
      <w:r w:rsidR="00DF6F62" w:rsidRPr="00CF6D60">
        <w:rPr>
          <w:rFonts w:eastAsiaTheme="minorHAnsi"/>
        </w:rPr>
        <w:t xml:space="preserve"> research</w:t>
      </w:r>
      <w:r w:rsidR="001532A8">
        <w:rPr>
          <w:rFonts w:eastAsiaTheme="minorHAnsi"/>
        </w:rPr>
        <w:t xml:space="preserve"> </w:t>
      </w:r>
      <w:r w:rsidR="001532A8" w:rsidRPr="001532A8">
        <w:rPr>
          <w:rFonts w:eastAsiaTheme="minorHAnsi"/>
        </w:rPr>
        <w:t>(Australian Bureau of Statistics 2014)</w:t>
      </w:r>
      <w:r w:rsidR="00317396" w:rsidRPr="00E72862">
        <w:rPr>
          <w:rFonts w:eastAsiaTheme="minorHAnsi"/>
        </w:rPr>
        <w:t>.</w:t>
      </w:r>
      <w:r w:rsidR="00DF6F62" w:rsidRPr="00CF6D60">
        <w:rPr>
          <w:rFonts w:eastAsiaTheme="minorHAnsi"/>
        </w:rPr>
        <w:t xml:space="preserve"> </w:t>
      </w:r>
      <w:r w:rsidR="003B002D" w:rsidRPr="008F36E9">
        <w:rPr>
          <w:rFonts w:eastAsiaTheme="minorHAnsi"/>
        </w:rPr>
        <w:t>University research is supported by two major funding sources:</w:t>
      </w:r>
      <w:r w:rsidR="007465CA" w:rsidRPr="007465CA">
        <w:t xml:space="preserve"> </w:t>
      </w:r>
      <w:r w:rsidR="007465CA">
        <w:t>‘</w:t>
      </w:r>
      <w:r w:rsidR="00E54723">
        <w:t>g</w:t>
      </w:r>
      <w:r w:rsidR="007465CA" w:rsidRPr="00E72862">
        <w:t>eneral</w:t>
      </w:r>
      <w:r w:rsidR="003B002D" w:rsidRPr="00E72862">
        <w:t xml:space="preserve"> university funds</w:t>
      </w:r>
      <w:r w:rsidR="003B002D">
        <w:t>’,</w:t>
      </w:r>
      <w:r w:rsidR="003B002D">
        <w:rPr>
          <w:rFonts w:eastAsiaTheme="minorHAnsi"/>
        </w:rPr>
        <w:t xml:space="preserve"> inclu</w:t>
      </w:r>
      <w:r w:rsidR="003B002D">
        <w:t>ding student fees</w:t>
      </w:r>
      <w:r w:rsidR="007465CA">
        <w:t>,</w:t>
      </w:r>
      <w:r w:rsidR="003B002D">
        <w:t xml:space="preserve"> and </w:t>
      </w:r>
      <w:r w:rsidR="003B002D">
        <w:rPr>
          <w:rFonts w:eastAsiaTheme="minorHAnsi"/>
        </w:rPr>
        <w:t>competitive grants and research block grants</w:t>
      </w:r>
      <w:r w:rsidR="007465CA">
        <w:t xml:space="preserve"> funded by the Australian Government (box </w:t>
      </w:r>
      <w:r w:rsidR="004D1621">
        <w:t>8</w:t>
      </w:r>
      <w:r w:rsidR="007465CA">
        <w:t>)</w:t>
      </w:r>
      <w:r w:rsidR="00571B37">
        <w:t>.</w:t>
      </w:r>
      <w:r w:rsidR="00B57490">
        <w:rPr>
          <w:rFonts w:eastAsiaTheme="minorHAnsi"/>
        </w:rPr>
        <w:t xml:space="preserve"> </w:t>
      </w:r>
      <w:r w:rsidR="00691EC6">
        <w:rPr>
          <w:rFonts w:eastAsiaTheme="minorHAnsi"/>
        </w:rPr>
        <w:t xml:space="preserve">In 2012, </w:t>
      </w:r>
      <w:r w:rsidR="003B002D" w:rsidRPr="00DC6A4F">
        <w:rPr>
          <w:rFonts w:eastAsiaTheme="minorHAnsi"/>
        </w:rPr>
        <w:t xml:space="preserve">the Australian Research Council </w:t>
      </w:r>
      <w:r w:rsidR="003B002D">
        <w:rPr>
          <w:rFonts w:eastAsiaTheme="minorHAnsi"/>
        </w:rPr>
        <w:t xml:space="preserve">— which administers competitive grants </w:t>
      </w:r>
      <w:r w:rsidR="007465CA">
        <w:rPr>
          <w:rFonts w:eastAsiaTheme="minorHAnsi"/>
        </w:rPr>
        <w:t>in non</w:t>
      </w:r>
      <w:r w:rsidR="00234B58">
        <w:rPr>
          <w:rFonts w:eastAsiaTheme="minorHAnsi"/>
        </w:rPr>
        <w:t>-</w:t>
      </w:r>
      <w:r w:rsidR="007465CA">
        <w:rPr>
          <w:rFonts w:eastAsiaTheme="minorHAnsi"/>
        </w:rPr>
        <w:t>medical fields of</w:t>
      </w:r>
      <w:r w:rsidR="003B002D">
        <w:rPr>
          <w:rFonts w:eastAsiaTheme="minorHAnsi"/>
        </w:rPr>
        <w:t xml:space="preserve"> research — provided </w:t>
      </w:r>
      <w:r w:rsidR="00EB74E1">
        <w:rPr>
          <w:rFonts w:eastAsiaTheme="minorHAnsi"/>
        </w:rPr>
        <w:t>competitive grants worth $25</w:t>
      </w:r>
      <w:r w:rsidR="003B002D">
        <w:rPr>
          <w:rFonts w:eastAsiaTheme="minorHAnsi"/>
        </w:rPr>
        <w:t xml:space="preserve"> million </w:t>
      </w:r>
      <w:r w:rsidR="00B629BE">
        <w:rPr>
          <w:rFonts w:eastAsiaTheme="minorHAnsi"/>
        </w:rPr>
        <w:t>to</w:t>
      </w:r>
      <w:r w:rsidR="003B002D">
        <w:rPr>
          <w:rFonts w:eastAsiaTheme="minorHAnsi"/>
        </w:rPr>
        <w:t xml:space="preserve"> education research</w:t>
      </w:r>
      <w:r w:rsidR="00D26F44">
        <w:rPr>
          <w:rFonts w:eastAsiaTheme="minorHAnsi"/>
        </w:rPr>
        <w:t xml:space="preserve"> projects</w:t>
      </w:r>
      <w:r w:rsidR="003B002D">
        <w:rPr>
          <w:rFonts w:eastAsiaTheme="minorHAnsi"/>
        </w:rPr>
        <w:t xml:space="preserve"> </w:t>
      </w:r>
      <w:r w:rsidR="003B002D" w:rsidRPr="00DB1D15">
        <w:rPr>
          <w:rFonts w:eastAsiaTheme="minorHAnsi"/>
        </w:rPr>
        <w:t>(Australian Research Council 2015)</w:t>
      </w:r>
      <w:r w:rsidR="003B002D">
        <w:rPr>
          <w:rFonts w:eastAsiaTheme="minorHAnsi"/>
        </w:rPr>
        <w:t>.</w:t>
      </w:r>
    </w:p>
    <w:p w14:paraId="7F9ABBC1" w14:textId="77777777" w:rsidR="00691EC6" w:rsidRDefault="00691EC6">
      <w:pPr>
        <w:pStyle w:val="BoxSpaceAbove"/>
      </w:pPr>
      <w:r>
        <w:rPr>
          <w:b/>
          <w:vanish/>
          <w:color w:val="FF00FF"/>
          <w:sz w:val="14"/>
        </w:rPr>
        <w:t>Do not delete this RETURN as it gives space between the box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691EC6" w14:paraId="23748959" w14:textId="77777777" w:rsidTr="00691EC6">
        <w:trPr>
          <w:tblHeader/>
        </w:trPr>
        <w:tc>
          <w:tcPr>
            <w:tcW w:w="8771" w:type="dxa"/>
            <w:tcBorders>
              <w:top w:val="single" w:sz="6" w:space="0" w:color="78A22F"/>
              <w:left w:val="nil"/>
              <w:bottom w:val="nil"/>
              <w:right w:val="nil"/>
            </w:tcBorders>
            <w:shd w:val="clear" w:color="auto" w:fill="F2F2F2"/>
          </w:tcPr>
          <w:p w14:paraId="6E21D851" w14:textId="5AC2E844" w:rsidR="00691EC6" w:rsidRDefault="00691EC6" w:rsidP="004D1621">
            <w:pPr>
              <w:pStyle w:val="BoxTitle"/>
            </w:pPr>
            <w:r>
              <w:rPr>
                <w:b w:val="0"/>
              </w:rPr>
              <w:t xml:space="preserve">Box </w:t>
            </w:r>
            <w:r w:rsidR="004D1621">
              <w:rPr>
                <w:b w:val="0"/>
              </w:rPr>
              <w:t>8</w:t>
            </w:r>
            <w:r>
              <w:tab/>
            </w:r>
            <w:r w:rsidR="00E01D9B">
              <w:t>Major funding sources for university research</w:t>
            </w:r>
          </w:p>
        </w:tc>
      </w:tr>
      <w:tr w:rsidR="00691EC6" w14:paraId="6A4D8DD5" w14:textId="77777777" w:rsidTr="00691EC6">
        <w:tc>
          <w:tcPr>
            <w:tcW w:w="8771" w:type="dxa"/>
            <w:tcBorders>
              <w:top w:val="nil"/>
              <w:left w:val="nil"/>
              <w:bottom w:val="nil"/>
              <w:right w:val="nil"/>
            </w:tcBorders>
            <w:shd w:val="clear" w:color="auto" w:fill="F2F2F2"/>
          </w:tcPr>
          <w:p w14:paraId="13FA07FA" w14:textId="77777777" w:rsidR="00691EC6" w:rsidRDefault="00691EC6" w:rsidP="008F36E9">
            <w:pPr>
              <w:pStyle w:val="Box"/>
              <w:rPr>
                <w:szCs w:val="24"/>
              </w:rPr>
            </w:pPr>
            <w:r w:rsidRPr="00E72862">
              <w:t>U</w:t>
            </w:r>
            <w:r>
              <w:t>niver</w:t>
            </w:r>
            <w:r w:rsidRPr="00E72862">
              <w:t>sity research</w:t>
            </w:r>
            <w:r>
              <w:t xml:space="preserve"> is supported by two major funding sources:</w:t>
            </w:r>
          </w:p>
          <w:p w14:paraId="7A10ADA6" w14:textId="77777777" w:rsidR="00691EC6" w:rsidRPr="00240187" w:rsidRDefault="00691EC6" w:rsidP="008F36E9">
            <w:pPr>
              <w:pStyle w:val="BoxListBullet"/>
              <w:rPr>
                <w:szCs w:val="24"/>
              </w:rPr>
            </w:pPr>
            <w:r>
              <w:t>‘</w:t>
            </w:r>
            <w:r w:rsidRPr="00E72862">
              <w:t>General university funds</w:t>
            </w:r>
            <w:r>
              <w:t>’,</w:t>
            </w:r>
            <w:r w:rsidRPr="00240187">
              <w:rPr>
                <w:rFonts w:eastAsiaTheme="minorHAnsi"/>
              </w:rPr>
              <w:t xml:space="preserve"> inclu</w:t>
            </w:r>
            <w:r>
              <w:t>ding international student fees and income from Australian students (both fees, and funds from the</w:t>
            </w:r>
            <w:r w:rsidRPr="00240187">
              <w:rPr>
                <w:rFonts w:eastAsiaTheme="minorHAnsi"/>
              </w:rPr>
              <w:t xml:space="preserve"> Commonwealth Grant Scheme, through which the Government </w:t>
            </w:r>
            <w:r>
              <w:rPr>
                <w:rFonts w:eastAsiaTheme="minorHAnsi"/>
              </w:rPr>
              <w:t>provides funding for</w:t>
            </w:r>
            <w:r w:rsidRPr="00E72862">
              <w:rPr>
                <w:rFonts w:eastAsiaTheme="minorHAnsi"/>
              </w:rPr>
              <w:t xml:space="preserve"> </w:t>
            </w:r>
            <w:r>
              <w:rPr>
                <w:rFonts w:eastAsiaTheme="minorHAnsi"/>
              </w:rPr>
              <w:t>many Australian students). In 2012, general university funds accounted for 55 per cent of total spending on research.</w:t>
            </w:r>
          </w:p>
          <w:p w14:paraId="48C5E0CA" w14:textId="4D3FAD45" w:rsidR="00691EC6" w:rsidRDefault="00691EC6" w:rsidP="000010B8">
            <w:pPr>
              <w:pStyle w:val="BoxListBullet"/>
              <w:rPr>
                <w:szCs w:val="24"/>
              </w:rPr>
            </w:pPr>
            <w:r w:rsidRPr="00E72862">
              <w:rPr>
                <w:rFonts w:eastAsiaTheme="minorHAnsi"/>
              </w:rPr>
              <w:t>Australian Government funding for university research delivered through the dual funding system of competitive grants and research block grants</w:t>
            </w:r>
            <w:r>
              <w:rPr>
                <w:rFonts w:eastAsiaTheme="minorHAnsi"/>
              </w:rPr>
              <w:t xml:space="preserve">. </w:t>
            </w:r>
            <w:r w:rsidRPr="00DC6A4F">
              <w:rPr>
                <w:rFonts w:eastAsiaTheme="minorHAnsi"/>
              </w:rPr>
              <w:t>Competitive grants fund only the direct costs of individual research projects. Research block grants are not tied to specific projects, allowing universities to make strategic decisions on their research investments</w:t>
            </w:r>
            <w:r>
              <w:rPr>
                <w:rFonts w:eastAsiaTheme="minorHAnsi"/>
              </w:rPr>
              <w:t>.</w:t>
            </w:r>
            <w:r w:rsidRPr="00DC6A4F">
              <w:rPr>
                <w:rFonts w:eastAsiaTheme="minorHAnsi"/>
              </w:rPr>
              <w:t xml:space="preserve"> </w:t>
            </w:r>
            <w:r>
              <w:rPr>
                <w:rFonts w:eastAsiaTheme="minorHAnsi"/>
              </w:rPr>
              <w:t>In 2012, competitive grants accounted for</w:t>
            </w:r>
            <w:r w:rsidRPr="00CF6D60">
              <w:rPr>
                <w:rFonts w:eastAsiaTheme="minorHAnsi"/>
              </w:rPr>
              <w:t xml:space="preserve"> 1</w:t>
            </w:r>
            <w:r>
              <w:rPr>
                <w:rFonts w:eastAsiaTheme="minorHAnsi"/>
              </w:rPr>
              <w:t xml:space="preserve">7 per cent of total spending on research and </w:t>
            </w:r>
            <w:r w:rsidRPr="00CF6D60">
              <w:rPr>
                <w:rFonts w:eastAsiaTheme="minorHAnsi"/>
              </w:rPr>
              <w:t xml:space="preserve">research block </w:t>
            </w:r>
            <w:r>
              <w:rPr>
                <w:rFonts w:eastAsiaTheme="minorHAnsi"/>
              </w:rPr>
              <w:t>grants accounted for 15 per cent</w:t>
            </w:r>
            <w:r w:rsidR="00E01D9B">
              <w:rPr>
                <w:rFonts w:eastAsiaTheme="minorHAnsi"/>
              </w:rPr>
              <w:t>.</w:t>
            </w:r>
          </w:p>
        </w:tc>
      </w:tr>
      <w:tr w:rsidR="00691EC6" w14:paraId="0BC42E50" w14:textId="77777777" w:rsidTr="00691EC6">
        <w:tc>
          <w:tcPr>
            <w:tcW w:w="8771" w:type="dxa"/>
            <w:tcBorders>
              <w:top w:val="nil"/>
              <w:left w:val="nil"/>
              <w:bottom w:val="nil"/>
              <w:right w:val="nil"/>
            </w:tcBorders>
            <w:shd w:val="clear" w:color="auto" w:fill="F2F2F2"/>
          </w:tcPr>
          <w:p w14:paraId="3C470629" w14:textId="442501CD" w:rsidR="00691EC6" w:rsidRDefault="00E01D9B" w:rsidP="00E01D9B">
            <w:pPr>
              <w:pStyle w:val="BoxSource"/>
            </w:pPr>
            <w:r>
              <w:rPr>
                <w:i/>
              </w:rPr>
              <w:t>Source</w:t>
            </w:r>
            <w:r w:rsidR="00691EC6" w:rsidRPr="00167F06">
              <w:t xml:space="preserve">: </w:t>
            </w:r>
            <w:r w:rsidR="00FF71F5" w:rsidRPr="00FF71F5">
              <w:rPr>
                <w:rFonts w:cs="Arial"/>
              </w:rPr>
              <w:t>(Australian Department of Education and Training 2015, pp. 10–12)</w:t>
            </w:r>
            <w:r w:rsidRPr="00E72862">
              <w:rPr>
                <w:rFonts w:eastAsiaTheme="minorHAnsi"/>
              </w:rPr>
              <w:t>.</w:t>
            </w:r>
          </w:p>
        </w:tc>
      </w:tr>
      <w:tr w:rsidR="00691EC6" w14:paraId="7FED282F" w14:textId="77777777" w:rsidTr="00691EC6">
        <w:tc>
          <w:tcPr>
            <w:tcW w:w="8771" w:type="dxa"/>
            <w:tcBorders>
              <w:top w:val="nil"/>
              <w:left w:val="nil"/>
              <w:bottom w:val="single" w:sz="6" w:space="0" w:color="78A22F"/>
              <w:right w:val="nil"/>
            </w:tcBorders>
            <w:shd w:val="clear" w:color="auto" w:fill="F2F2F2"/>
          </w:tcPr>
          <w:p w14:paraId="00315742" w14:textId="77777777" w:rsidR="00691EC6" w:rsidRDefault="00691EC6">
            <w:pPr>
              <w:pStyle w:val="Box"/>
              <w:spacing w:before="0" w:line="120" w:lineRule="exact"/>
            </w:pPr>
          </w:p>
        </w:tc>
      </w:tr>
      <w:tr w:rsidR="00691EC6" w:rsidRPr="000863A5" w14:paraId="4A2E313E" w14:textId="77777777" w:rsidTr="00691EC6">
        <w:trPr>
          <w:hidden/>
        </w:trPr>
        <w:tc>
          <w:tcPr>
            <w:tcW w:w="8771" w:type="dxa"/>
            <w:tcBorders>
              <w:top w:val="single" w:sz="6" w:space="0" w:color="78A22F"/>
              <w:left w:val="nil"/>
              <w:bottom w:val="nil"/>
              <w:right w:val="nil"/>
            </w:tcBorders>
          </w:tcPr>
          <w:p w14:paraId="482B8F88" w14:textId="77777777" w:rsidR="00691EC6" w:rsidRPr="00626D32" w:rsidRDefault="00691EC6" w:rsidP="00691EC6">
            <w:pPr>
              <w:pStyle w:val="BoxSpaceBelow"/>
            </w:pPr>
            <w:r w:rsidRPr="00626D32">
              <w:rPr>
                <w:rFonts w:ascii="Times New Roman" w:hAnsi="Times New Roman"/>
                <w:b/>
                <w:vanish/>
                <w:color w:val="FF00FF"/>
              </w:rPr>
              <w:t>Do not delete this ROW as it gives space between the box and what follows it.</w:t>
            </w:r>
          </w:p>
        </w:tc>
      </w:tr>
    </w:tbl>
    <w:p w14:paraId="2CD6CA9F" w14:textId="77777777" w:rsidR="00F40E89" w:rsidRPr="007D77F0" w:rsidRDefault="00F40E89" w:rsidP="00F40E89">
      <w:pPr>
        <w:keepNext/>
        <w:spacing w:before="240" w:line="80" w:lineRule="exact"/>
        <w:rPr>
          <w:b/>
          <w:sz w:val="14"/>
          <w:szCs w:val="20"/>
        </w:rPr>
      </w:pPr>
      <w:r w:rsidRPr="007D77F0">
        <w:rPr>
          <w:b/>
          <w:vanish/>
          <w:color w:val="FF00FF"/>
          <w:sz w:val="14"/>
          <w:szCs w:val="20"/>
        </w:rPr>
        <w:lastRenderedPageBreak/>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F40E89" w:rsidRPr="007D77F0" w14:paraId="2E08F37D" w14:textId="77777777" w:rsidTr="00EC0151">
        <w:trPr>
          <w:tblHeader/>
        </w:trPr>
        <w:tc>
          <w:tcPr>
            <w:tcW w:w="8770" w:type="dxa"/>
            <w:tcBorders>
              <w:top w:val="single" w:sz="6" w:space="0" w:color="78A22F"/>
              <w:left w:val="nil"/>
              <w:bottom w:val="nil"/>
              <w:right w:val="nil"/>
            </w:tcBorders>
            <w:shd w:val="clear" w:color="auto" w:fill="auto"/>
          </w:tcPr>
          <w:p w14:paraId="47280184" w14:textId="28521F99" w:rsidR="00F40E89" w:rsidRPr="008C126B" w:rsidRDefault="00F40E89" w:rsidP="00F32C1D">
            <w:pPr>
              <w:keepLines/>
              <w:shd w:val="clear" w:color="auto" w:fill="FFFFFF" w:themeFill="background1"/>
              <w:spacing w:before="240" w:line="280" w:lineRule="atLeast"/>
              <w:jc w:val="both"/>
              <w:rPr>
                <w:rFonts w:ascii="Arial" w:hAnsi="Arial"/>
                <w:i/>
                <w:caps/>
                <w:sz w:val="18"/>
                <w:szCs w:val="20"/>
              </w:rPr>
            </w:pPr>
            <w:r>
              <w:rPr>
                <w:rFonts w:ascii="Arial" w:hAnsi="Arial"/>
                <w:i/>
                <w:caps/>
                <w:sz w:val="18"/>
                <w:szCs w:val="20"/>
              </w:rPr>
              <w:t>Questions</w:t>
            </w:r>
          </w:p>
          <w:p w14:paraId="575E4EBE" w14:textId="02D84795" w:rsidR="00946F75" w:rsidRDefault="00946F75" w:rsidP="00F32C1D">
            <w:pPr>
              <w:numPr>
                <w:ilvl w:val="0"/>
                <w:numId w:val="16"/>
              </w:numPr>
              <w:shd w:val="clear" w:color="auto" w:fill="FFFFFF" w:themeFill="background1"/>
              <w:spacing w:before="80" w:line="280" w:lineRule="atLeast"/>
              <w:jc w:val="both"/>
              <w:rPr>
                <w:rFonts w:ascii="Arial" w:hAnsi="Arial"/>
                <w:i/>
                <w:sz w:val="22"/>
                <w:szCs w:val="20"/>
              </w:rPr>
            </w:pPr>
            <w:r>
              <w:rPr>
                <w:rFonts w:ascii="Arial" w:hAnsi="Arial"/>
                <w:i/>
                <w:sz w:val="22"/>
                <w:szCs w:val="20"/>
              </w:rPr>
              <w:t xml:space="preserve">How do parents use the data provided on </w:t>
            </w:r>
            <w:r w:rsidRPr="001B3FB8">
              <w:rPr>
                <w:rFonts w:ascii="Arial" w:hAnsi="Arial"/>
                <w:i/>
                <w:sz w:val="22"/>
                <w:szCs w:val="20"/>
              </w:rPr>
              <w:t>My School</w:t>
            </w:r>
            <w:r>
              <w:rPr>
                <w:rFonts w:ascii="Arial" w:hAnsi="Arial"/>
                <w:i/>
                <w:sz w:val="22"/>
                <w:szCs w:val="20"/>
              </w:rPr>
              <w:t>?</w:t>
            </w:r>
          </w:p>
          <w:p w14:paraId="44D6C984" w14:textId="1C238A8F" w:rsidR="00E522D4" w:rsidRDefault="00AE55CE" w:rsidP="00DA68B9">
            <w:pPr>
              <w:numPr>
                <w:ilvl w:val="0"/>
                <w:numId w:val="16"/>
              </w:numPr>
              <w:shd w:val="clear" w:color="auto" w:fill="FFFFFF" w:themeFill="background1"/>
              <w:spacing w:before="80" w:line="280" w:lineRule="atLeast"/>
              <w:jc w:val="both"/>
              <w:rPr>
                <w:rFonts w:ascii="Arial" w:hAnsi="Arial"/>
                <w:i/>
                <w:sz w:val="22"/>
                <w:szCs w:val="20"/>
              </w:rPr>
            </w:pPr>
            <w:r>
              <w:rPr>
                <w:rFonts w:ascii="Arial" w:hAnsi="Arial"/>
                <w:i/>
                <w:sz w:val="22"/>
                <w:szCs w:val="20"/>
              </w:rPr>
              <w:t>How has My School affected parents’ engagement with schools</w:t>
            </w:r>
            <w:r w:rsidR="002E5A2C">
              <w:rPr>
                <w:rFonts w:ascii="Arial" w:hAnsi="Arial"/>
                <w:i/>
                <w:sz w:val="22"/>
                <w:szCs w:val="20"/>
              </w:rPr>
              <w:t>?</w:t>
            </w:r>
          </w:p>
          <w:p w14:paraId="4B377292" w14:textId="112DD852" w:rsidR="00936718" w:rsidRPr="00F32C1D" w:rsidRDefault="00936718" w:rsidP="00F32C1D">
            <w:pPr>
              <w:numPr>
                <w:ilvl w:val="0"/>
                <w:numId w:val="16"/>
              </w:numPr>
              <w:shd w:val="clear" w:color="auto" w:fill="FFFFFF" w:themeFill="background1"/>
              <w:spacing w:before="80" w:line="280" w:lineRule="atLeast"/>
              <w:jc w:val="both"/>
              <w:rPr>
                <w:rFonts w:ascii="Arial" w:hAnsi="Arial"/>
                <w:i/>
                <w:sz w:val="22"/>
                <w:szCs w:val="20"/>
              </w:rPr>
            </w:pPr>
            <w:r w:rsidRPr="00F32C1D">
              <w:rPr>
                <w:rFonts w:ascii="Arial" w:hAnsi="Arial"/>
                <w:i/>
                <w:sz w:val="22"/>
                <w:szCs w:val="20"/>
              </w:rPr>
              <w:t xml:space="preserve">What are the most effective ways of enhancing the capabilities of </w:t>
            </w:r>
            <w:r w:rsidR="0014149F">
              <w:rPr>
                <w:rFonts w:ascii="Arial" w:hAnsi="Arial"/>
                <w:i/>
                <w:sz w:val="22"/>
                <w:szCs w:val="20"/>
              </w:rPr>
              <w:t xml:space="preserve">parents, </w:t>
            </w:r>
            <w:r w:rsidRPr="00F32C1D">
              <w:rPr>
                <w:rFonts w:ascii="Arial" w:hAnsi="Arial"/>
                <w:i/>
                <w:sz w:val="22"/>
                <w:szCs w:val="20"/>
              </w:rPr>
              <w:t>schools and teachers to use the education evidence base to improve student outcomes?</w:t>
            </w:r>
          </w:p>
          <w:p w14:paraId="56C20713" w14:textId="77777777" w:rsidR="00F40E89" w:rsidRPr="00F40E89" w:rsidRDefault="00F40E89" w:rsidP="00F32C1D">
            <w:pPr>
              <w:numPr>
                <w:ilvl w:val="0"/>
                <w:numId w:val="16"/>
              </w:numPr>
              <w:shd w:val="clear" w:color="auto" w:fill="FFFFFF" w:themeFill="background1"/>
              <w:spacing w:before="80" w:line="280" w:lineRule="atLeast"/>
              <w:jc w:val="both"/>
              <w:rPr>
                <w:rFonts w:ascii="Arial" w:hAnsi="Arial"/>
                <w:i/>
                <w:sz w:val="22"/>
                <w:szCs w:val="20"/>
              </w:rPr>
            </w:pPr>
            <w:r w:rsidRPr="00F40E89">
              <w:rPr>
                <w:rFonts w:ascii="Arial" w:hAnsi="Arial"/>
                <w:i/>
                <w:sz w:val="22"/>
                <w:szCs w:val="20"/>
              </w:rPr>
              <w:t>How effective have the different jurisdictional approaches to facilitating education research been in building research capacity?</w:t>
            </w:r>
          </w:p>
          <w:p w14:paraId="6C96398B" w14:textId="77777777" w:rsidR="00F40E89" w:rsidRPr="00F40E89" w:rsidRDefault="00F40E89" w:rsidP="00F32C1D">
            <w:pPr>
              <w:numPr>
                <w:ilvl w:val="0"/>
                <w:numId w:val="16"/>
              </w:numPr>
              <w:shd w:val="clear" w:color="auto" w:fill="FFFFFF" w:themeFill="background1"/>
              <w:spacing w:before="80" w:line="280" w:lineRule="atLeast"/>
              <w:jc w:val="both"/>
              <w:rPr>
                <w:rFonts w:ascii="Arial" w:hAnsi="Arial"/>
                <w:i/>
                <w:sz w:val="22"/>
                <w:szCs w:val="20"/>
              </w:rPr>
            </w:pPr>
            <w:r w:rsidRPr="00F40E89">
              <w:rPr>
                <w:rFonts w:ascii="Arial" w:hAnsi="Arial"/>
                <w:i/>
                <w:sz w:val="22"/>
                <w:szCs w:val="20"/>
              </w:rPr>
              <w:t>What lessons have been learned from their introduction?</w:t>
            </w:r>
          </w:p>
          <w:p w14:paraId="71FDBB57" w14:textId="4F391E0F" w:rsidR="00F40E89" w:rsidRPr="00F40E89" w:rsidRDefault="00F40E89" w:rsidP="00F40E89">
            <w:pPr>
              <w:numPr>
                <w:ilvl w:val="0"/>
                <w:numId w:val="16"/>
              </w:numPr>
              <w:spacing w:before="80" w:line="280" w:lineRule="atLeast"/>
              <w:jc w:val="both"/>
              <w:rPr>
                <w:rFonts w:ascii="Arial" w:hAnsi="Arial"/>
                <w:i/>
                <w:sz w:val="22"/>
                <w:szCs w:val="20"/>
              </w:rPr>
            </w:pPr>
            <w:r w:rsidRPr="00F40E89">
              <w:rPr>
                <w:rFonts w:ascii="Arial" w:hAnsi="Arial"/>
                <w:i/>
                <w:sz w:val="22"/>
                <w:szCs w:val="20"/>
              </w:rPr>
              <w:t>Does one model stand out as a model for other jurisdictions to adopt?</w:t>
            </w:r>
          </w:p>
        </w:tc>
      </w:tr>
      <w:tr w:rsidR="00F40E89" w:rsidRPr="007D77F0" w14:paraId="327A5C2A" w14:textId="77777777" w:rsidTr="00EC0151">
        <w:tc>
          <w:tcPr>
            <w:tcW w:w="8770" w:type="dxa"/>
            <w:tcBorders>
              <w:top w:val="nil"/>
              <w:left w:val="nil"/>
              <w:bottom w:val="single" w:sz="6" w:space="0" w:color="78A22F"/>
              <w:right w:val="nil"/>
            </w:tcBorders>
            <w:shd w:val="clear" w:color="auto" w:fill="auto"/>
          </w:tcPr>
          <w:p w14:paraId="2871D80E" w14:textId="77777777" w:rsidR="00F40E89" w:rsidRPr="007D77F0" w:rsidRDefault="00F40E89" w:rsidP="00EC0151">
            <w:pPr>
              <w:keepLines/>
              <w:spacing w:line="120" w:lineRule="exact"/>
              <w:jc w:val="both"/>
              <w:rPr>
                <w:rFonts w:ascii="Arial" w:hAnsi="Arial"/>
                <w:sz w:val="20"/>
                <w:szCs w:val="20"/>
              </w:rPr>
            </w:pPr>
          </w:p>
        </w:tc>
      </w:tr>
      <w:tr w:rsidR="00F40E89" w:rsidRPr="007D77F0" w14:paraId="6486FD7E" w14:textId="77777777" w:rsidTr="00EC0151">
        <w:trPr>
          <w:hidden/>
        </w:trPr>
        <w:tc>
          <w:tcPr>
            <w:tcW w:w="8770" w:type="dxa"/>
            <w:tcBorders>
              <w:top w:val="single" w:sz="6" w:space="0" w:color="78A22F"/>
              <w:left w:val="nil"/>
              <w:bottom w:val="nil"/>
              <w:right w:val="nil"/>
            </w:tcBorders>
          </w:tcPr>
          <w:p w14:paraId="1B2E9140" w14:textId="77777777" w:rsidR="00F40E89" w:rsidRPr="007D77F0" w:rsidRDefault="00F40E89" w:rsidP="00EC0151">
            <w:pPr>
              <w:keepLines/>
              <w:spacing w:before="60" w:after="60" w:line="80" w:lineRule="exact"/>
              <w:jc w:val="both"/>
              <w:rPr>
                <w:rFonts w:ascii="Arial" w:hAnsi="Arial"/>
                <w:sz w:val="14"/>
                <w:szCs w:val="20"/>
              </w:rPr>
            </w:pPr>
            <w:r w:rsidRPr="007D77F0">
              <w:rPr>
                <w:b/>
                <w:vanish/>
                <w:color w:val="FF00FF"/>
                <w:sz w:val="14"/>
                <w:szCs w:val="20"/>
              </w:rPr>
              <w:t>Do not delete this ROW as it gives space between the info request and what follows it.</w:t>
            </w:r>
          </w:p>
        </w:tc>
      </w:tr>
    </w:tbl>
    <w:p w14:paraId="1FB085B4" w14:textId="7F0EF6CB" w:rsidR="00023B56" w:rsidRDefault="00013885" w:rsidP="00023B56">
      <w:pPr>
        <w:pStyle w:val="Heading2"/>
      </w:pPr>
      <w:bookmarkStart w:id="57" w:name="_Toc445126242"/>
      <w:bookmarkStart w:id="58" w:name="_Toc445283701"/>
      <w:bookmarkStart w:id="59" w:name="_Toc445286465"/>
      <w:bookmarkStart w:id="60" w:name="_Toc445300706"/>
      <w:bookmarkStart w:id="61" w:name="_Toc447277532"/>
      <w:bookmarkStart w:id="62" w:name="_Toc447713302"/>
      <w:bookmarkStart w:id="63" w:name="_Toc447720157"/>
      <w:r>
        <w:rPr>
          <w:noProof/>
        </w:rPr>
        <w:t>5</w:t>
      </w:r>
      <w:r w:rsidR="00023B56">
        <w:tab/>
      </w:r>
      <w:bookmarkEnd w:id="57"/>
      <w:bookmarkEnd w:id="58"/>
      <w:bookmarkEnd w:id="59"/>
      <w:r w:rsidR="00FE0237">
        <w:t>Institutions, d</w:t>
      </w:r>
      <w:r w:rsidR="0091100B">
        <w:t xml:space="preserve">ata </w:t>
      </w:r>
      <w:r w:rsidR="00C00A68">
        <w:t>governance</w:t>
      </w:r>
      <w:r w:rsidR="0091100B">
        <w:t xml:space="preserve"> and prioritising reform</w:t>
      </w:r>
      <w:bookmarkEnd w:id="60"/>
      <w:bookmarkEnd w:id="61"/>
      <w:bookmarkEnd w:id="62"/>
      <w:bookmarkEnd w:id="63"/>
    </w:p>
    <w:p w14:paraId="6BD50A8C" w14:textId="5FB5E40C" w:rsidR="00FE0237" w:rsidRDefault="00FE0237" w:rsidP="00131059">
      <w:pPr>
        <w:spacing w:before="240" w:line="300" w:lineRule="atLeast"/>
        <w:jc w:val="both"/>
        <w:rPr>
          <w:szCs w:val="20"/>
        </w:rPr>
      </w:pPr>
      <w:r>
        <w:rPr>
          <w:szCs w:val="20"/>
        </w:rPr>
        <w:t>T</w:t>
      </w:r>
      <w:r w:rsidR="00C771AB">
        <w:rPr>
          <w:szCs w:val="20"/>
        </w:rPr>
        <w:t xml:space="preserve">he discussion </w:t>
      </w:r>
      <w:r w:rsidR="00131059" w:rsidRPr="00131059">
        <w:rPr>
          <w:szCs w:val="20"/>
        </w:rPr>
        <w:t>thus far ha</w:t>
      </w:r>
      <w:r w:rsidR="00C771AB">
        <w:rPr>
          <w:szCs w:val="20"/>
        </w:rPr>
        <w:t>s</w:t>
      </w:r>
      <w:r w:rsidR="00131059" w:rsidRPr="00131059">
        <w:rPr>
          <w:szCs w:val="20"/>
        </w:rPr>
        <w:t xml:space="preserve"> </w:t>
      </w:r>
      <w:r w:rsidR="00C771AB">
        <w:rPr>
          <w:szCs w:val="20"/>
        </w:rPr>
        <w:t>focused</w:t>
      </w:r>
      <w:r w:rsidR="00131059" w:rsidRPr="00131059">
        <w:rPr>
          <w:szCs w:val="20"/>
        </w:rPr>
        <w:t xml:space="preserve"> on </w:t>
      </w:r>
      <w:r w:rsidR="00C771AB">
        <w:rPr>
          <w:szCs w:val="20"/>
        </w:rPr>
        <w:t xml:space="preserve">potential changes in </w:t>
      </w:r>
      <w:r w:rsidR="00131059" w:rsidRPr="00FE0237">
        <w:rPr>
          <w:szCs w:val="20"/>
        </w:rPr>
        <w:t>what</w:t>
      </w:r>
      <w:r w:rsidR="00131059" w:rsidRPr="00131059">
        <w:rPr>
          <w:szCs w:val="20"/>
        </w:rPr>
        <w:t xml:space="preserve"> </w:t>
      </w:r>
      <w:r w:rsidR="00C771AB">
        <w:rPr>
          <w:szCs w:val="20"/>
        </w:rPr>
        <w:t>and how data might be collected in order to improve the national education evidence base</w:t>
      </w:r>
      <w:r>
        <w:rPr>
          <w:szCs w:val="20"/>
        </w:rPr>
        <w:t>. T</w:t>
      </w:r>
      <w:r w:rsidR="00131059" w:rsidRPr="00131059">
        <w:rPr>
          <w:szCs w:val="20"/>
        </w:rPr>
        <w:t xml:space="preserve">his section seeks </w:t>
      </w:r>
      <w:r w:rsidR="00C771AB">
        <w:rPr>
          <w:szCs w:val="20"/>
        </w:rPr>
        <w:t>information</w:t>
      </w:r>
      <w:r w:rsidR="00C771AB" w:rsidRPr="00131059">
        <w:rPr>
          <w:szCs w:val="20"/>
        </w:rPr>
        <w:t xml:space="preserve"> </w:t>
      </w:r>
      <w:r w:rsidR="00FF7604">
        <w:rPr>
          <w:szCs w:val="20"/>
        </w:rPr>
        <w:t>about</w:t>
      </w:r>
      <w:r w:rsidR="00FF7604" w:rsidRPr="00131059">
        <w:rPr>
          <w:szCs w:val="20"/>
        </w:rPr>
        <w:t xml:space="preserve"> </w:t>
      </w:r>
      <w:r>
        <w:rPr>
          <w:szCs w:val="20"/>
        </w:rPr>
        <w:t>whether the institutional and governance arrangements for the national education evidence base might be improved</w:t>
      </w:r>
      <w:r w:rsidR="00131059" w:rsidRPr="00131059">
        <w:rPr>
          <w:szCs w:val="20"/>
        </w:rPr>
        <w:t>.</w:t>
      </w:r>
    </w:p>
    <w:p w14:paraId="555A2355" w14:textId="461BB947" w:rsidR="00FE0237" w:rsidRDefault="00FE0237" w:rsidP="00FE0237">
      <w:pPr>
        <w:spacing w:before="240" w:line="300" w:lineRule="atLeast"/>
        <w:jc w:val="both"/>
        <w:rPr>
          <w:szCs w:val="20"/>
        </w:rPr>
      </w:pPr>
      <w:r>
        <w:rPr>
          <w:szCs w:val="20"/>
        </w:rPr>
        <w:t>Institutional and governance arrangements are a key element to successful development and use of an evidence base</w:t>
      </w:r>
      <w:r w:rsidR="00444695">
        <w:rPr>
          <w:szCs w:val="20"/>
        </w:rPr>
        <w:t xml:space="preserve"> (section 4)</w:t>
      </w:r>
      <w:r>
        <w:rPr>
          <w:szCs w:val="20"/>
        </w:rPr>
        <w:t xml:space="preserve">. For example, they affect (and are affected by) the business operations of the institutions that gather data in the course of providing services. The costs faced by those institutions are a function of the types of data they are asked to gather and the systems in which they need to invest. Higher costs create business pressures, and potentially affect the quality of gathered data. The arrangements also affect (and are affected by) the relationships between different parties to the arrangements (students, parents, teachers, schools and jurisdictions). The better the concerns of any party are addressed, </w:t>
      </w:r>
      <w:r w:rsidR="00A84ED3">
        <w:rPr>
          <w:szCs w:val="20"/>
        </w:rPr>
        <w:t xml:space="preserve">and the clearer the benefit to them of the national education evidence base, </w:t>
      </w:r>
      <w:r>
        <w:rPr>
          <w:szCs w:val="20"/>
        </w:rPr>
        <w:t xml:space="preserve">the more likely they will be to engage in </w:t>
      </w:r>
      <w:r w:rsidR="00A84ED3">
        <w:rPr>
          <w:szCs w:val="20"/>
        </w:rPr>
        <w:t>any</w:t>
      </w:r>
      <w:r>
        <w:rPr>
          <w:szCs w:val="20"/>
        </w:rPr>
        <w:t xml:space="preserve"> collection</w:t>
      </w:r>
      <w:r w:rsidR="00A84ED3">
        <w:rPr>
          <w:szCs w:val="20"/>
        </w:rPr>
        <w:t xml:space="preserve"> and</w:t>
      </w:r>
      <w:r>
        <w:rPr>
          <w:szCs w:val="20"/>
        </w:rPr>
        <w:t xml:space="preserve"> sharing of data. </w:t>
      </w:r>
    </w:p>
    <w:p w14:paraId="55613391" w14:textId="314B3F92" w:rsidR="00131059" w:rsidRPr="00131059" w:rsidRDefault="00A84ED3" w:rsidP="00131059">
      <w:pPr>
        <w:spacing w:before="240" w:line="300" w:lineRule="atLeast"/>
        <w:jc w:val="both"/>
        <w:rPr>
          <w:szCs w:val="20"/>
        </w:rPr>
      </w:pPr>
      <w:r>
        <w:rPr>
          <w:szCs w:val="20"/>
        </w:rPr>
        <w:t>This section</w:t>
      </w:r>
      <w:r w:rsidR="00FF7604">
        <w:rPr>
          <w:szCs w:val="20"/>
        </w:rPr>
        <w:t xml:space="preserve"> seeks participants views about </w:t>
      </w:r>
      <w:r w:rsidR="00C771AB">
        <w:rPr>
          <w:szCs w:val="20"/>
        </w:rPr>
        <w:t>the nature of</w:t>
      </w:r>
      <w:r w:rsidR="00C771AB" w:rsidRPr="00131059">
        <w:rPr>
          <w:szCs w:val="20"/>
        </w:rPr>
        <w:t xml:space="preserve"> </w:t>
      </w:r>
      <w:r>
        <w:rPr>
          <w:szCs w:val="20"/>
        </w:rPr>
        <w:t xml:space="preserve">the institutions and their </w:t>
      </w:r>
      <w:r w:rsidR="00131059" w:rsidRPr="00131059">
        <w:rPr>
          <w:szCs w:val="20"/>
        </w:rPr>
        <w:t>governance arrangements</w:t>
      </w:r>
      <w:r>
        <w:rPr>
          <w:szCs w:val="20"/>
        </w:rPr>
        <w:t>, and whether they are impeding the sharing of data and effective and efficient provision</w:t>
      </w:r>
      <w:r w:rsidR="00131059" w:rsidRPr="00131059">
        <w:rPr>
          <w:szCs w:val="20"/>
        </w:rPr>
        <w:t xml:space="preserve">. Participants </w:t>
      </w:r>
      <w:r w:rsidR="00FF7604">
        <w:rPr>
          <w:szCs w:val="20"/>
        </w:rPr>
        <w:t xml:space="preserve">are encouraged to </w:t>
      </w:r>
      <w:r w:rsidR="00131059" w:rsidRPr="00131059">
        <w:rPr>
          <w:szCs w:val="20"/>
        </w:rPr>
        <w:t xml:space="preserve">identify </w:t>
      </w:r>
      <w:r w:rsidR="00FF7604" w:rsidRPr="00131059">
        <w:rPr>
          <w:szCs w:val="20"/>
        </w:rPr>
        <w:t>priorit</w:t>
      </w:r>
      <w:r w:rsidR="00FF7604">
        <w:rPr>
          <w:szCs w:val="20"/>
        </w:rPr>
        <w:t>y</w:t>
      </w:r>
      <w:r w:rsidR="00FF7604" w:rsidRPr="00131059">
        <w:rPr>
          <w:szCs w:val="20"/>
        </w:rPr>
        <w:t xml:space="preserve"> </w:t>
      </w:r>
      <w:r w:rsidR="00FF7604">
        <w:rPr>
          <w:szCs w:val="20"/>
        </w:rPr>
        <w:t>areas</w:t>
      </w:r>
      <w:r w:rsidR="00131059" w:rsidRPr="00131059">
        <w:rPr>
          <w:szCs w:val="20"/>
        </w:rPr>
        <w:t xml:space="preserve"> so that resources and effort can be directed towards those that are likely to be the most beneficial.</w:t>
      </w:r>
    </w:p>
    <w:p w14:paraId="7699AD28" w14:textId="7014BDF3" w:rsidR="00A76BFF" w:rsidRPr="00090010" w:rsidRDefault="00A76BFF" w:rsidP="00A76BFF">
      <w:pPr>
        <w:pStyle w:val="Heading3"/>
      </w:pPr>
      <w:r w:rsidRPr="00090010">
        <w:t xml:space="preserve">What data governance arrangements </w:t>
      </w:r>
      <w:r w:rsidR="00FF7604">
        <w:t>might work best</w:t>
      </w:r>
      <w:r w:rsidRPr="00090010">
        <w:t>?</w:t>
      </w:r>
    </w:p>
    <w:p w14:paraId="15787C85" w14:textId="5F420674" w:rsidR="00195C1C" w:rsidRDefault="00A84ED3" w:rsidP="00A76BFF">
      <w:pPr>
        <w:spacing w:before="240" w:line="300" w:lineRule="atLeast"/>
        <w:jc w:val="both"/>
        <w:rPr>
          <w:szCs w:val="20"/>
        </w:rPr>
      </w:pPr>
      <w:r>
        <w:rPr>
          <w:szCs w:val="20"/>
        </w:rPr>
        <w:t xml:space="preserve">Institutions and their </w:t>
      </w:r>
      <w:r w:rsidR="00F71DEA">
        <w:rPr>
          <w:szCs w:val="20"/>
        </w:rPr>
        <w:t>g</w:t>
      </w:r>
      <w:r w:rsidR="00A76BFF" w:rsidRPr="00131059">
        <w:rPr>
          <w:szCs w:val="20"/>
        </w:rPr>
        <w:t>overnance</w:t>
      </w:r>
      <w:r w:rsidR="0003332E">
        <w:rPr>
          <w:szCs w:val="20"/>
        </w:rPr>
        <w:t xml:space="preserve"> arrangements</w:t>
      </w:r>
      <w:r w:rsidR="00A76BFF" w:rsidRPr="00131059">
        <w:rPr>
          <w:szCs w:val="20"/>
        </w:rPr>
        <w:t xml:space="preserve"> encompasses the institutions </w:t>
      </w:r>
      <w:r w:rsidR="0003332E">
        <w:rPr>
          <w:szCs w:val="20"/>
        </w:rPr>
        <w:t>that</w:t>
      </w:r>
      <w:r w:rsidR="00A76BFF" w:rsidRPr="00131059">
        <w:rPr>
          <w:szCs w:val="20"/>
        </w:rPr>
        <w:t xml:space="preserve"> are responsible </w:t>
      </w:r>
      <w:r w:rsidR="00FF7604">
        <w:rPr>
          <w:szCs w:val="20"/>
        </w:rPr>
        <w:t xml:space="preserve">and accountable </w:t>
      </w:r>
      <w:r w:rsidR="00A76BFF" w:rsidRPr="00131059">
        <w:rPr>
          <w:szCs w:val="20"/>
        </w:rPr>
        <w:t xml:space="preserve">for data (data </w:t>
      </w:r>
      <w:r w:rsidR="00195C1C">
        <w:rPr>
          <w:szCs w:val="20"/>
        </w:rPr>
        <w:t xml:space="preserve">owners and </w:t>
      </w:r>
      <w:r w:rsidR="00A76BFF">
        <w:rPr>
          <w:szCs w:val="20"/>
        </w:rPr>
        <w:t>custodians</w:t>
      </w:r>
      <w:r w:rsidR="00A76BFF" w:rsidRPr="00131059">
        <w:rPr>
          <w:szCs w:val="20"/>
        </w:rPr>
        <w:t xml:space="preserve">), the policies and processes associated with </w:t>
      </w:r>
      <w:r w:rsidR="00195C1C">
        <w:rPr>
          <w:szCs w:val="20"/>
        </w:rPr>
        <w:t xml:space="preserve">the operations of those institutions </w:t>
      </w:r>
      <w:r w:rsidR="00A76BFF">
        <w:rPr>
          <w:szCs w:val="20"/>
        </w:rPr>
        <w:t xml:space="preserve">(for example, </w:t>
      </w:r>
      <w:r w:rsidR="00195C1C">
        <w:rPr>
          <w:szCs w:val="20"/>
        </w:rPr>
        <w:t xml:space="preserve">what and how </w:t>
      </w:r>
      <w:r w:rsidR="00195C1C">
        <w:rPr>
          <w:szCs w:val="20"/>
        </w:rPr>
        <w:lastRenderedPageBreak/>
        <w:t xml:space="preserve">data are </w:t>
      </w:r>
      <w:r>
        <w:rPr>
          <w:szCs w:val="20"/>
        </w:rPr>
        <w:t>gathered</w:t>
      </w:r>
      <w:r w:rsidR="00A76BFF">
        <w:rPr>
          <w:szCs w:val="20"/>
        </w:rPr>
        <w:t>, and privacy and disclosure</w:t>
      </w:r>
      <w:r w:rsidR="00A76BFF" w:rsidRPr="00131059">
        <w:rPr>
          <w:szCs w:val="20"/>
        </w:rPr>
        <w:t xml:space="preserve"> </w:t>
      </w:r>
      <w:r w:rsidR="00A76BFF">
        <w:rPr>
          <w:szCs w:val="20"/>
        </w:rPr>
        <w:t xml:space="preserve">requirements) </w:t>
      </w:r>
      <w:r w:rsidR="00A76BFF" w:rsidRPr="00131059">
        <w:rPr>
          <w:szCs w:val="20"/>
        </w:rPr>
        <w:t>and the associated physical infrastructure (such as information technology systems and other support systems).</w:t>
      </w:r>
    </w:p>
    <w:p w14:paraId="1911AF0F" w14:textId="1FCE9F5D" w:rsidR="002D1344" w:rsidRDefault="00D16727" w:rsidP="00A76BFF">
      <w:pPr>
        <w:spacing w:before="240" w:line="300" w:lineRule="atLeast"/>
        <w:jc w:val="both"/>
        <w:rPr>
          <w:szCs w:val="20"/>
        </w:rPr>
      </w:pPr>
      <w:r>
        <w:rPr>
          <w:szCs w:val="20"/>
        </w:rPr>
        <w:t xml:space="preserve">Legislative instruments covering the operations of different institutions can facilitate or hinder the development and use of an evidence base. For example, protocols around data collection </w:t>
      </w:r>
      <w:r w:rsidR="007348A0">
        <w:rPr>
          <w:szCs w:val="20"/>
        </w:rPr>
        <w:t xml:space="preserve">developed some time ago </w:t>
      </w:r>
      <w:r w:rsidR="00E05C1A">
        <w:rPr>
          <w:szCs w:val="20"/>
        </w:rPr>
        <w:t xml:space="preserve">— prior to the ability to use algorithms to discover unobserved patterns in Big Data — </w:t>
      </w:r>
      <w:r w:rsidR="007348A0">
        <w:rPr>
          <w:szCs w:val="20"/>
        </w:rPr>
        <w:t xml:space="preserve">may </w:t>
      </w:r>
      <w:r>
        <w:rPr>
          <w:szCs w:val="20"/>
        </w:rPr>
        <w:t xml:space="preserve">limit </w:t>
      </w:r>
      <w:r w:rsidR="007348A0">
        <w:rPr>
          <w:szCs w:val="20"/>
        </w:rPr>
        <w:t>the way data are used today (and in the future)</w:t>
      </w:r>
      <w:r w:rsidR="008613C6">
        <w:rPr>
          <w:szCs w:val="20"/>
        </w:rPr>
        <w:t xml:space="preserve">, even though there might be clear value to </w:t>
      </w:r>
      <w:r w:rsidR="007F66E2">
        <w:rPr>
          <w:szCs w:val="20"/>
        </w:rPr>
        <w:t>the Australian community</w:t>
      </w:r>
      <w:r w:rsidR="008613C6">
        <w:rPr>
          <w:szCs w:val="20"/>
        </w:rPr>
        <w:t xml:space="preserve"> in those uses</w:t>
      </w:r>
      <w:r>
        <w:rPr>
          <w:szCs w:val="20"/>
        </w:rPr>
        <w:t xml:space="preserve">. Protocols </w:t>
      </w:r>
      <w:r w:rsidR="00351F8D">
        <w:rPr>
          <w:szCs w:val="20"/>
        </w:rPr>
        <w:t xml:space="preserve">(or the application of those protocols) </w:t>
      </w:r>
      <w:r w:rsidR="00500CCB">
        <w:rPr>
          <w:szCs w:val="20"/>
        </w:rPr>
        <w:t>around</w:t>
      </w:r>
      <w:r>
        <w:rPr>
          <w:szCs w:val="20"/>
        </w:rPr>
        <w:t xml:space="preserve"> access have the potential to </w:t>
      </w:r>
      <w:r w:rsidR="008613C6">
        <w:rPr>
          <w:szCs w:val="20"/>
        </w:rPr>
        <w:t xml:space="preserve">foster </w:t>
      </w:r>
      <w:r w:rsidR="007348A0">
        <w:rPr>
          <w:szCs w:val="20"/>
        </w:rPr>
        <w:t xml:space="preserve">or stymie the development of evidence. They can contribute to or </w:t>
      </w:r>
      <w:r w:rsidR="00351F8D">
        <w:rPr>
          <w:szCs w:val="20"/>
        </w:rPr>
        <w:t>mask</w:t>
      </w:r>
      <w:r w:rsidR="007348A0">
        <w:rPr>
          <w:szCs w:val="20"/>
        </w:rPr>
        <w:t xml:space="preserve"> transparency around the effectiveness and efficiency of service delivery</w:t>
      </w:r>
      <w:r w:rsidR="00351F8D">
        <w:rPr>
          <w:szCs w:val="20"/>
        </w:rPr>
        <w:t xml:space="preserve"> and the accountability of service providers.</w:t>
      </w:r>
      <w:r w:rsidR="00E05C1A">
        <w:rPr>
          <w:szCs w:val="20"/>
        </w:rPr>
        <w:t xml:space="preserve"> Where protocols have not been updated in the past decade, it is probable that major advances in data analytical capability are not being recognised.</w:t>
      </w:r>
    </w:p>
    <w:p w14:paraId="15F82EE4" w14:textId="73E90785" w:rsidR="00500CCB" w:rsidRPr="008A3811" w:rsidRDefault="00500CCB" w:rsidP="00A76BFF">
      <w:pPr>
        <w:spacing w:before="240" w:line="300" w:lineRule="atLeast"/>
        <w:jc w:val="both"/>
        <w:rPr>
          <w:spacing w:val="-2"/>
          <w:szCs w:val="20"/>
        </w:rPr>
      </w:pPr>
      <w:r w:rsidRPr="008A3811">
        <w:rPr>
          <w:spacing w:val="-2"/>
          <w:szCs w:val="20"/>
        </w:rPr>
        <w:t>Legislative instruments also play a key role in ownership of data</w:t>
      </w:r>
      <w:r w:rsidR="008A3811" w:rsidRPr="008A3811">
        <w:rPr>
          <w:spacing w:val="-2"/>
          <w:szCs w:val="20"/>
        </w:rPr>
        <w:t xml:space="preserve">. Ownership determines, for example, who is able to create and modify data, and </w:t>
      </w:r>
      <w:r w:rsidR="008A3811">
        <w:rPr>
          <w:spacing w:val="-2"/>
          <w:szCs w:val="20"/>
        </w:rPr>
        <w:t xml:space="preserve">how access may be </w:t>
      </w:r>
      <w:r w:rsidR="008A3811" w:rsidRPr="008A3811">
        <w:rPr>
          <w:spacing w:val="-2"/>
          <w:szCs w:val="20"/>
        </w:rPr>
        <w:t>share</w:t>
      </w:r>
      <w:r w:rsidR="008A3811">
        <w:rPr>
          <w:spacing w:val="-2"/>
          <w:szCs w:val="20"/>
        </w:rPr>
        <w:t>d</w:t>
      </w:r>
      <w:r w:rsidR="008A3811" w:rsidRPr="008A3811">
        <w:rPr>
          <w:spacing w:val="-2"/>
          <w:szCs w:val="20"/>
        </w:rPr>
        <w:t xml:space="preserve"> or restrict</w:t>
      </w:r>
      <w:r w:rsidR="008A3811">
        <w:rPr>
          <w:spacing w:val="-2"/>
          <w:szCs w:val="20"/>
        </w:rPr>
        <w:t>ed</w:t>
      </w:r>
      <w:r w:rsidR="008A3811" w:rsidRPr="008A3811">
        <w:rPr>
          <w:spacing w:val="-2"/>
          <w:szCs w:val="20"/>
        </w:rPr>
        <w:t>.</w:t>
      </w:r>
    </w:p>
    <w:p w14:paraId="25FFB0C6" w14:textId="12891122" w:rsidR="001A46CD" w:rsidRDefault="0091100B" w:rsidP="00131059">
      <w:pPr>
        <w:spacing w:before="240" w:line="300" w:lineRule="atLeast"/>
        <w:jc w:val="both"/>
        <w:rPr>
          <w:rStyle w:val="BodyTextChar"/>
        </w:rPr>
      </w:pPr>
      <w:r>
        <w:rPr>
          <w:szCs w:val="20"/>
        </w:rPr>
        <w:t xml:space="preserve">Australia’s current </w:t>
      </w:r>
      <w:r w:rsidR="000B1654">
        <w:rPr>
          <w:szCs w:val="20"/>
        </w:rPr>
        <w:t>institutional arrangements govern</w:t>
      </w:r>
      <w:r>
        <w:rPr>
          <w:szCs w:val="20"/>
        </w:rPr>
        <w:t>ing</w:t>
      </w:r>
      <w:r w:rsidR="000B1654">
        <w:rPr>
          <w:szCs w:val="20"/>
        </w:rPr>
        <w:t xml:space="preserve"> education data are complex. </w:t>
      </w:r>
      <w:r w:rsidR="00A43AFB">
        <w:rPr>
          <w:szCs w:val="20"/>
        </w:rPr>
        <w:t xml:space="preserve">A </w:t>
      </w:r>
      <w:r w:rsidR="00131059" w:rsidRPr="00131059">
        <w:rPr>
          <w:szCs w:val="20"/>
        </w:rPr>
        <w:t xml:space="preserve">range of institutions </w:t>
      </w:r>
      <w:r w:rsidR="000B1654">
        <w:rPr>
          <w:szCs w:val="20"/>
        </w:rPr>
        <w:t>(at the state and federal level</w:t>
      </w:r>
      <w:r w:rsidR="002B075C">
        <w:rPr>
          <w:szCs w:val="20"/>
        </w:rPr>
        <w:t xml:space="preserve">, </w:t>
      </w:r>
      <w:r w:rsidR="00854905">
        <w:rPr>
          <w:szCs w:val="20"/>
        </w:rPr>
        <w:t>and</w:t>
      </w:r>
      <w:r w:rsidR="002B075C">
        <w:rPr>
          <w:szCs w:val="20"/>
        </w:rPr>
        <w:t xml:space="preserve"> including </w:t>
      </w:r>
      <w:r w:rsidR="00854905">
        <w:rPr>
          <w:szCs w:val="20"/>
        </w:rPr>
        <w:t>government schools,</w:t>
      </w:r>
      <w:r w:rsidR="002B075C">
        <w:rPr>
          <w:szCs w:val="20"/>
        </w:rPr>
        <w:t xml:space="preserve"> non</w:t>
      </w:r>
      <w:r w:rsidR="00234B58">
        <w:rPr>
          <w:szCs w:val="20"/>
        </w:rPr>
        <w:t>-</w:t>
      </w:r>
      <w:r w:rsidR="002B075C">
        <w:rPr>
          <w:szCs w:val="20"/>
        </w:rPr>
        <w:t>government schools and preschools</w:t>
      </w:r>
      <w:r w:rsidR="000B1654">
        <w:rPr>
          <w:szCs w:val="20"/>
        </w:rPr>
        <w:t xml:space="preserve">) </w:t>
      </w:r>
      <w:r w:rsidR="00F86824">
        <w:rPr>
          <w:szCs w:val="20"/>
        </w:rPr>
        <w:t xml:space="preserve">are </w:t>
      </w:r>
      <w:r w:rsidR="00131059" w:rsidRPr="00131059">
        <w:rPr>
          <w:szCs w:val="20"/>
        </w:rPr>
        <w:t xml:space="preserve">responsible for the collection, administration and reporting of education data. </w:t>
      </w:r>
      <w:r w:rsidR="00950155">
        <w:rPr>
          <w:szCs w:val="20"/>
        </w:rPr>
        <w:t>P</w:t>
      </w:r>
      <w:r w:rsidR="00327418">
        <w:rPr>
          <w:szCs w:val="20"/>
        </w:rPr>
        <w:t>olicy making institutions</w:t>
      </w:r>
      <w:r w:rsidR="00131059" w:rsidRPr="00131059">
        <w:rPr>
          <w:szCs w:val="20"/>
        </w:rPr>
        <w:t xml:space="preserve"> shape the data landscape through setting governance arrangements</w:t>
      </w:r>
      <w:r w:rsidR="00A653F2">
        <w:rPr>
          <w:szCs w:val="20"/>
        </w:rPr>
        <w:t>,</w:t>
      </w:r>
      <w:r w:rsidR="00131059" w:rsidRPr="00131059">
        <w:rPr>
          <w:szCs w:val="20"/>
        </w:rPr>
        <w:t xml:space="preserve"> establishing organisational and legislative objectives</w:t>
      </w:r>
      <w:r w:rsidR="00A653F2">
        <w:rPr>
          <w:szCs w:val="20"/>
        </w:rPr>
        <w:t xml:space="preserve">, and establishing a range of inter-jurisdictional agreements </w:t>
      </w:r>
      <w:r w:rsidR="00950155">
        <w:rPr>
          <w:szCs w:val="20"/>
        </w:rPr>
        <w:t xml:space="preserve">(section 2) </w:t>
      </w:r>
      <w:r w:rsidR="009E599D" w:rsidDel="00950155">
        <w:rPr>
          <w:szCs w:val="20"/>
        </w:rPr>
        <w:t xml:space="preserve">and </w:t>
      </w:r>
      <w:r w:rsidR="00950155">
        <w:rPr>
          <w:szCs w:val="20"/>
        </w:rPr>
        <w:t>other</w:t>
      </w:r>
      <w:r w:rsidR="009E599D">
        <w:rPr>
          <w:szCs w:val="20"/>
        </w:rPr>
        <w:t xml:space="preserve"> arrangements </w:t>
      </w:r>
      <w:r w:rsidR="00A653F2">
        <w:rPr>
          <w:szCs w:val="20"/>
        </w:rPr>
        <w:t xml:space="preserve">that govern </w:t>
      </w:r>
      <w:r w:rsidR="00950155">
        <w:rPr>
          <w:szCs w:val="20"/>
        </w:rPr>
        <w:t xml:space="preserve">collection, </w:t>
      </w:r>
      <w:r w:rsidR="002B075C">
        <w:rPr>
          <w:szCs w:val="20"/>
        </w:rPr>
        <w:t>provision and reporting</w:t>
      </w:r>
      <w:r w:rsidR="00131059" w:rsidRPr="00854905">
        <w:rPr>
          <w:rStyle w:val="BodyTextChar"/>
        </w:rPr>
        <w:t>.</w:t>
      </w:r>
    </w:p>
    <w:p w14:paraId="74DC4360" w14:textId="66000921" w:rsidR="00327418" w:rsidRDefault="00327418" w:rsidP="00327418">
      <w:pPr>
        <w:spacing w:before="240" w:line="300" w:lineRule="atLeast"/>
        <w:jc w:val="both"/>
        <w:rPr>
          <w:szCs w:val="20"/>
        </w:rPr>
      </w:pPr>
      <w:r w:rsidRPr="00131059">
        <w:rPr>
          <w:szCs w:val="20"/>
        </w:rPr>
        <w:t xml:space="preserve">The Commission is seeking views on the </w:t>
      </w:r>
      <w:r w:rsidR="00FF7604">
        <w:rPr>
          <w:szCs w:val="20"/>
        </w:rPr>
        <w:t>best</w:t>
      </w:r>
      <w:r w:rsidR="00FF7604" w:rsidRPr="00131059">
        <w:rPr>
          <w:szCs w:val="20"/>
        </w:rPr>
        <w:t xml:space="preserve"> </w:t>
      </w:r>
      <w:r w:rsidRPr="00131059">
        <w:rPr>
          <w:szCs w:val="20"/>
        </w:rPr>
        <w:t xml:space="preserve">way to structure </w:t>
      </w:r>
      <w:r w:rsidR="00E05C1A">
        <w:rPr>
          <w:szCs w:val="20"/>
        </w:rPr>
        <w:t>a contemporary</w:t>
      </w:r>
      <w:r w:rsidR="00E05C1A" w:rsidRPr="00131059">
        <w:rPr>
          <w:szCs w:val="20"/>
        </w:rPr>
        <w:t xml:space="preserve"> </w:t>
      </w:r>
      <w:r w:rsidR="002B075C">
        <w:rPr>
          <w:szCs w:val="20"/>
        </w:rPr>
        <w:t>institutional environment</w:t>
      </w:r>
      <w:r w:rsidRPr="00131059">
        <w:rPr>
          <w:szCs w:val="20"/>
        </w:rPr>
        <w:t xml:space="preserve">, in relation to </w:t>
      </w:r>
      <w:r w:rsidR="006159BB">
        <w:rPr>
          <w:szCs w:val="20"/>
        </w:rPr>
        <w:t xml:space="preserve">the </w:t>
      </w:r>
      <w:r w:rsidRPr="00131059">
        <w:rPr>
          <w:szCs w:val="20"/>
        </w:rPr>
        <w:t xml:space="preserve">education </w:t>
      </w:r>
      <w:r w:rsidR="006159BB">
        <w:rPr>
          <w:szCs w:val="20"/>
        </w:rPr>
        <w:t>evidence base</w:t>
      </w:r>
      <w:r w:rsidR="002B075C">
        <w:rPr>
          <w:szCs w:val="20"/>
        </w:rPr>
        <w:t>, i</w:t>
      </w:r>
      <w:r w:rsidRPr="00131059">
        <w:rPr>
          <w:szCs w:val="20"/>
        </w:rPr>
        <w:t xml:space="preserve">ncluding whether new institutions are needed and </w:t>
      </w:r>
      <w:r w:rsidR="008054E0">
        <w:rPr>
          <w:szCs w:val="20"/>
        </w:rPr>
        <w:t>ways in which</w:t>
      </w:r>
      <w:r w:rsidR="002B075C" w:rsidRPr="00131059">
        <w:rPr>
          <w:szCs w:val="20"/>
        </w:rPr>
        <w:t xml:space="preserve"> current arrangements</w:t>
      </w:r>
      <w:r w:rsidR="008054E0">
        <w:rPr>
          <w:szCs w:val="20"/>
        </w:rPr>
        <w:t xml:space="preserve"> might be improved</w:t>
      </w:r>
      <w:r w:rsidRPr="00131059">
        <w:rPr>
          <w:szCs w:val="20"/>
        </w:rPr>
        <w:t>.</w:t>
      </w:r>
    </w:p>
    <w:p w14:paraId="70F4DE8D" w14:textId="07CB84A7" w:rsidR="00A653F2" w:rsidRDefault="009E599D" w:rsidP="009E599D">
      <w:pPr>
        <w:pStyle w:val="BodyText"/>
      </w:pPr>
      <w:r>
        <w:t>P</w:t>
      </w:r>
      <w:r w:rsidR="00131059" w:rsidRPr="00131059">
        <w:t xml:space="preserve">articipants </w:t>
      </w:r>
      <w:r>
        <w:t xml:space="preserve">are </w:t>
      </w:r>
      <w:r w:rsidR="00131059" w:rsidRPr="00131059">
        <w:t xml:space="preserve">also </w:t>
      </w:r>
      <w:r>
        <w:t xml:space="preserve">invited to </w:t>
      </w:r>
      <w:r w:rsidR="00131059" w:rsidRPr="00131059">
        <w:t xml:space="preserve">provide advice on possible improvements </w:t>
      </w:r>
      <w:r w:rsidR="002B075C">
        <w:t xml:space="preserve">to </w:t>
      </w:r>
      <w:r w:rsidR="007F66E2">
        <w:t xml:space="preserve">other </w:t>
      </w:r>
      <w:r w:rsidR="00131059" w:rsidRPr="00131059">
        <w:t>governance arrangements</w:t>
      </w:r>
      <w:r w:rsidR="00A653F2">
        <w:t xml:space="preserve"> including:</w:t>
      </w:r>
    </w:p>
    <w:p w14:paraId="4EBFEEC4" w14:textId="4FA69DE1" w:rsidR="00A653F2" w:rsidRDefault="00A653F2" w:rsidP="00A653F2">
      <w:pPr>
        <w:pStyle w:val="ListBullet"/>
      </w:pPr>
      <w:r>
        <w:t xml:space="preserve">measures </w:t>
      </w:r>
      <w:r w:rsidR="00131059" w:rsidRPr="00131059">
        <w:t xml:space="preserve">that would improve </w:t>
      </w:r>
      <w:r w:rsidR="00854905">
        <w:t>institutional</w:t>
      </w:r>
      <w:r w:rsidR="002B075C">
        <w:t xml:space="preserve"> </w:t>
      </w:r>
      <w:r w:rsidR="00131059" w:rsidRPr="00131059">
        <w:t>accountability, transparency and integrity</w:t>
      </w:r>
    </w:p>
    <w:p w14:paraId="4111BC07" w14:textId="6B4B8280" w:rsidR="00131059" w:rsidRDefault="006751A3" w:rsidP="00A653F2">
      <w:pPr>
        <w:pStyle w:val="ListBullet"/>
      </w:pPr>
      <w:r>
        <w:t xml:space="preserve">procedural </w:t>
      </w:r>
      <w:r w:rsidR="00A653F2">
        <w:t xml:space="preserve">improvements </w:t>
      </w:r>
      <w:r>
        <w:t>t</w:t>
      </w:r>
      <w:r w:rsidR="007F66E2">
        <w:t>hat might be made by</w:t>
      </w:r>
      <w:r>
        <w:t xml:space="preserve"> </w:t>
      </w:r>
      <w:r w:rsidR="00A653F2">
        <w:t xml:space="preserve">data </w:t>
      </w:r>
      <w:r w:rsidR="00BD366E">
        <w:t>custodians</w:t>
      </w:r>
      <w:r w:rsidR="00A653F2">
        <w:t xml:space="preserve"> (including </w:t>
      </w:r>
      <w:r w:rsidR="00880325">
        <w:t xml:space="preserve">improvements to the requirements for </w:t>
      </w:r>
      <w:r w:rsidR="00A653F2">
        <w:t>data access)</w:t>
      </w:r>
    </w:p>
    <w:p w14:paraId="1D46F3F7" w14:textId="463A6A8A" w:rsidR="006751A3" w:rsidRDefault="006751A3" w:rsidP="00880325">
      <w:pPr>
        <w:pStyle w:val="ListBullet"/>
      </w:pPr>
      <w:r>
        <w:t xml:space="preserve">improvements to the underpinning agreements, </w:t>
      </w:r>
      <w:r w:rsidR="00880325">
        <w:t xml:space="preserve">arrangements </w:t>
      </w:r>
      <w:r w:rsidR="0059230B">
        <w:t xml:space="preserve">(including funding arrangements) </w:t>
      </w:r>
      <w:r w:rsidR="00880325">
        <w:t>and legislation</w:t>
      </w:r>
    </w:p>
    <w:p w14:paraId="17DDD0AA" w14:textId="61669C8A" w:rsidR="00880325" w:rsidRDefault="00880325" w:rsidP="00880325">
      <w:pPr>
        <w:pStyle w:val="ListBullet"/>
      </w:pPr>
      <w:r>
        <w:t>improvements in technological capacity.</w:t>
      </w:r>
    </w:p>
    <w:p w14:paraId="6FE49317" w14:textId="04642612" w:rsidR="002753D1" w:rsidRDefault="008A0E93" w:rsidP="008A0E93">
      <w:pPr>
        <w:pStyle w:val="BodyText"/>
      </w:pPr>
      <w:r>
        <w:t xml:space="preserve">Examples of best practice drawn from </w:t>
      </w:r>
      <w:r w:rsidR="0059230B">
        <w:t xml:space="preserve">domestic </w:t>
      </w:r>
      <w:r>
        <w:t>or international</w:t>
      </w:r>
      <w:r w:rsidR="0059230B">
        <w:t xml:space="preserve"> experience</w:t>
      </w:r>
      <w:r>
        <w:t xml:space="preserve"> are welcome.</w:t>
      </w:r>
    </w:p>
    <w:p w14:paraId="11152183" w14:textId="77777777" w:rsidR="002753D1" w:rsidRDefault="002753D1">
      <w:pPr>
        <w:rPr>
          <w:szCs w:val="20"/>
        </w:rPr>
      </w:pPr>
      <w:r>
        <w:br w:type="page"/>
      </w:r>
    </w:p>
    <w:p w14:paraId="6F360B9A" w14:textId="77777777" w:rsidR="00131059" w:rsidRPr="00131059" w:rsidRDefault="00131059" w:rsidP="00131059">
      <w:pPr>
        <w:keepNext/>
        <w:spacing w:before="240" w:line="80" w:lineRule="exact"/>
        <w:rPr>
          <w:b/>
          <w:sz w:val="14"/>
          <w:szCs w:val="20"/>
        </w:rPr>
      </w:pPr>
      <w:r w:rsidRPr="00131059">
        <w:rPr>
          <w:b/>
          <w:vanish/>
          <w:color w:val="FF00FF"/>
          <w:sz w:val="14"/>
          <w:szCs w:val="20"/>
        </w:rPr>
        <w:lastRenderedPageBreak/>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31059" w:rsidRPr="00131059" w14:paraId="42912FD4" w14:textId="77777777" w:rsidTr="00142843">
        <w:tc>
          <w:tcPr>
            <w:tcW w:w="8770" w:type="dxa"/>
            <w:tcBorders>
              <w:top w:val="single" w:sz="6" w:space="0" w:color="78A22F"/>
              <w:left w:val="nil"/>
              <w:bottom w:val="nil"/>
              <w:right w:val="nil"/>
            </w:tcBorders>
            <w:shd w:val="clear" w:color="auto" w:fill="auto"/>
          </w:tcPr>
          <w:p w14:paraId="07680D28" w14:textId="77777777" w:rsidR="00131059" w:rsidRPr="00131059" w:rsidRDefault="00131059" w:rsidP="00131059">
            <w:pPr>
              <w:keepLines/>
              <w:spacing w:before="240" w:line="280" w:lineRule="atLeast"/>
              <w:jc w:val="both"/>
              <w:rPr>
                <w:rFonts w:ascii="Arial" w:hAnsi="Arial"/>
                <w:i/>
                <w:caps/>
                <w:sz w:val="18"/>
                <w:szCs w:val="20"/>
              </w:rPr>
            </w:pPr>
            <w:r w:rsidRPr="00131059">
              <w:rPr>
                <w:rFonts w:ascii="Arial" w:hAnsi="Arial"/>
                <w:i/>
                <w:caps/>
                <w:sz w:val="18"/>
                <w:szCs w:val="20"/>
              </w:rPr>
              <w:t>Questions</w:t>
            </w:r>
          </w:p>
          <w:p w14:paraId="3DCD74E6" w14:textId="78E08990" w:rsidR="00131059" w:rsidRPr="008F36E9" w:rsidRDefault="00A84ED3" w:rsidP="008F36E9">
            <w:pPr>
              <w:numPr>
                <w:ilvl w:val="0"/>
                <w:numId w:val="16"/>
              </w:numPr>
              <w:shd w:val="clear" w:color="auto" w:fill="FFFFFF" w:themeFill="background1"/>
              <w:spacing w:before="80" w:line="280" w:lineRule="atLeast"/>
              <w:jc w:val="both"/>
              <w:rPr>
                <w:rFonts w:ascii="Arial" w:hAnsi="Arial"/>
                <w:i/>
                <w:sz w:val="22"/>
              </w:rPr>
            </w:pPr>
            <w:r>
              <w:rPr>
                <w:rFonts w:ascii="Arial" w:hAnsi="Arial"/>
                <w:i/>
                <w:sz w:val="22"/>
              </w:rPr>
              <w:t>W</w:t>
            </w:r>
            <w:r w:rsidR="00131059" w:rsidRPr="008F36E9">
              <w:rPr>
                <w:rFonts w:ascii="Arial" w:hAnsi="Arial"/>
                <w:i/>
                <w:sz w:val="22"/>
              </w:rPr>
              <w:t xml:space="preserve">hat institutions should </w:t>
            </w:r>
            <w:r w:rsidR="0003332E">
              <w:rPr>
                <w:rFonts w:ascii="Arial" w:hAnsi="Arial"/>
                <w:i/>
                <w:sz w:val="22"/>
              </w:rPr>
              <w:t>be assigned</w:t>
            </w:r>
            <w:r w:rsidR="0003332E" w:rsidRPr="008F36E9">
              <w:rPr>
                <w:rFonts w:ascii="Arial" w:hAnsi="Arial"/>
                <w:i/>
                <w:sz w:val="22"/>
              </w:rPr>
              <w:t xml:space="preserve"> </w:t>
            </w:r>
            <w:r w:rsidR="00131059" w:rsidRPr="008F36E9">
              <w:rPr>
                <w:rFonts w:ascii="Arial" w:hAnsi="Arial"/>
                <w:i/>
                <w:sz w:val="22"/>
              </w:rPr>
              <w:t>responsibility for</w:t>
            </w:r>
            <w:r w:rsidR="0003332E">
              <w:rPr>
                <w:rFonts w:ascii="Arial" w:hAnsi="Arial"/>
                <w:i/>
                <w:sz w:val="22"/>
              </w:rPr>
              <w:t>, and be held accountable for,</w:t>
            </w:r>
            <w:r w:rsidR="00131059" w:rsidRPr="008F36E9">
              <w:rPr>
                <w:rFonts w:ascii="Arial" w:hAnsi="Arial"/>
                <w:i/>
                <w:sz w:val="22"/>
              </w:rPr>
              <w:t xml:space="preserve"> the different aspects of the national education data resource? Are new institutions needed?</w:t>
            </w:r>
          </w:p>
          <w:p w14:paraId="0E0A6C55" w14:textId="369F4232" w:rsidR="00131059" w:rsidRPr="000010B8" w:rsidRDefault="00131059" w:rsidP="008F36E9">
            <w:pPr>
              <w:numPr>
                <w:ilvl w:val="0"/>
                <w:numId w:val="16"/>
              </w:numPr>
              <w:shd w:val="clear" w:color="auto" w:fill="FFFFFF" w:themeFill="background1"/>
              <w:spacing w:before="80" w:line="280" w:lineRule="atLeast"/>
              <w:jc w:val="both"/>
              <w:rPr>
                <w:rFonts w:ascii="Arial" w:hAnsi="Arial"/>
                <w:i/>
                <w:sz w:val="22"/>
              </w:rPr>
            </w:pPr>
            <w:r w:rsidRPr="008F36E9">
              <w:rPr>
                <w:rFonts w:ascii="Arial" w:hAnsi="Arial"/>
                <w:i/>
                <w:sz w:val="22"/>
              </w:rPr>
              <w:t>Are ther</w:t>
            </w:r>
            <w:r w:rsidRPr="000010B8">
              <w:rPr>
                <w:rFonts w:ascii="Arial" w:hAnsi="Arial"/>
                <w:i/>
                <w:sz w:val="22"/>
              </w:rPr>
              <w:t xml:space="preserve">e too many </w:t>
            </w:r>
            <w:r w:rsidR="007F66E2">
              <w:rPr>
                <w:rFonts w:ascii="Arial" w:hAnsi="Arial"/>
                <w:i/>
                <w:sz w:val="22"/>
              </w:rPr>
              <w:t>institutions</w:t>
            </w:r>
            <w:r w:rsidR="007F66E2" w:rsidRPr="000010B8">
              <w:rPr>
                <w:rFonts w:ascii="Arial" w:hAnsi="Arial"/>
                <w:i/>
                <w:sz w:val="22"/>
              </w:rPr>
              <w:t xml:space="preserve"> </w:t>
            </w:r>
            <w:r w:rsidRPr="000010B8">
              <w:rPr>
                <w:rFonts w:ascii="Arial" w:hAnsi="Arial"/>
                <w:i/>
                <w:sz w:val="22"/>
              </w:rPr>
              <w:t>responsible for Australia’s education data? If so, how should they be rationalised?</w:t>
            </w:r>
          </w:p>
          <w:p w14:paraId="40EAA503" w14:textId="77777777" w:rsidR="00131059" w:rsidRPr="000010B8" w:rsidRDefault="00131059" w:rsidP="000010B8">
            <w:pPr>
              <w:numPr>
                <w:ilvl w:val="0"/>
                <w:numId w:val="16"/>
              </w:numPr>
              <w:shd w:val="clear" w:color="auto" w:fill="FFFFFF" w:themeFill="background1"/>
              <w:spacing w:before="80" w:line="280" w:lineRule="atLeast"/>
              <w:jc w:val="both"/>
              <w:rPr>
                <w:rFonts w:ascii="Arial" w:hAnsi="Arial"/>
                <w:i/>
                <w:sz w:val="22"/>
              </w:rPr>
            </w:pPr>
            <w:r w:rsidRPr="000010B8">
              <w:rPr>
                <w:rFonts w:ascii="Arial" w:hAnsi="Arial"/>
                <w:i/>
                <w:sz w:val="22"/>
              </w:rPr>
              <w:t xml:space="preserve">Are there areas of overlap or duplication in data collection and provision in Australia? What costs arise as a result? How might these overlaps, and areas of duplication best and most cost-effectively be addressed? </w:t>
            </w:r>
          </w:p>
          <w:p w14:paraId="04C93D69" w14:textId="77777777" w:rsidR="00131059" w:rsidRPr="000010B8" w:rsidRDefault="00131059" w:rsidP="000010B8">
            <w:pPr>
              <w:numPr>
                <w:ilvl w:val="0"/>
                <w:numId w:val="16"/>
              </w:numPr>
              <w:shd w:val="clear" w:color="auto" w:fill="FFFFFF" w:themeFill="background1"/>
              <w:spacing w:before="80" w:line="280" w:lineRule="atLeast"/>
              <w:jc w:val="both"/>
              <w:rPr>
                <w:rFonts w:ascii="Arial" w:hAnsi="Arial"/>
                <w:i/>
                <w:sz w:val="22"/>
              </w:rPr>
            </w:pPr>
            <w:r w:rsidRPr="000010B8">
              <w:rPr>
                <w:rFonts w:ascii="Arial" w:hAnsi="Arial"/>
                <w:i/>
                <w:sz w:val="22"/>
              </w:rPr>
              <w:t>Are improvements to transparency or oversight required?</w:t>
            </w:r>
          </w:p>
          <w:p w14:paraId="3745860A" w14:textId="50B43B66" w:rsidR="00131059" w:rsidRPr="009134C6" w:rsidRDefault="00131059" w:rsidP="000010B8">
            <w:pPr>
              <w:numPr>
                <w:ilvl w:val="0"/>
                <w:numId w:val="16"/>
              </w:numPr>
              <w:shd w:val="clear" w:color="auto" w:fill="FFFFFF" w:themeFill="background1"/>
              <w:spacing w:before="80" w:line="280" w:lineRule="atLeast"/>
              <w:jc w:val="both"/>
              <w:rPr>
                <w:rFonts w:ascii="Arial" w:hAnsi="Arial"/>
                <w:i/>
                <w:sz w:val="22"/>
              </w:rPr>
            </w:pPr>
            <w:r w:rsidRPr="000010B8">
              <w:rPr>
                <w:rFonts w:ascii="Arial" w:hAnsi="Arial"/>
                <w:i/>
                <w:sz w:val="22"/>
              </w:rPr>
              <w:t xml:space="preserve">Are data </w:t>
            </w:r>
            <w:r w:rsidR="00AC090D" w:rsidRPr="00406AF6">
              <w:rPr>
                <w:rFonts w:ascii="Arial" w:hAnsi="Arial"/>
                <w:i/>
                <w:sz w:val="22"/>
              </w:rPr>
              <w:t xml:space="preserve">custodians held </w:t>
            </w:r>
            <w:r w:rsidRPr="0058144A">
              <w:rPr>
                <w:rFonts w:ascii="Arial" w:hAnsi="Arial"/>
                <w:i/>
                <w:sz w:val="22"/>
              </w:rPr>
              <w:t xml:space="preserve">accountable for the quality and availability of data? </w:t>
            </w:r>
            <w:r w:rsidR="00AC090D" w:rsidRPr="0058144A">
              <w:rPr>
                <w:rFonts w:ascii="Arial" w:hAnsi="Arial"/>
                <w:i/>
                <w:sz w:val="22"/>
              </w:rPr>
              <w:t>Are data access requirements no more burdensome than n</w:t>
            </w:r>
            <w:r w:rsidR="00AC090D" w:rsidRPr="005D6F20">
              <w:rPr>
                <w:rFonts w:ascii="Arial" w:hAnsi="Arial"/>
                <w:i/>
                <w:sz w:val="22"/>
              </w:rPr>
              <w:t>ecessary?</w:t>
            </w:r>
          </w:p>
          <w:p w14:paraId="6EBF84BA" w14:textId="460551E8" w:rsidR="00E05C1A" w:rsidRPr="009134C6" w:rsidRDefault="00E05C1A" w:rsidP="000010B8">
            <w:pPr>
              <w:numPr>
                <w:ilvl w:val="0"/>
                <w:numId w:val="16"/>
              </w:numPr>
              <w:shd w:val="clear" w:color="auto" w:fill="FFFFFF" w:themeFill="background1"/>
              <w:spacing w:before="80" w:line="280" w:lineRule="atLeast"/>
              <w:jc w:val="both"/>
              <w:rPr>
                <w:rFonts w:ascii="Arial" w:hAnsi="Arial"/>
                <w:i/>
                <w:sz w:val="22"/>
              </w:rPr>
            </w:pPr>
            <w:r>
              <w:rPr>
                <w:rFonts w:ascii="Arial" w:hAnsi="Arial"/>
                <w:i/>
                <w:sz w:val="22"/>
              </w:rPr>
              <w:t>Have data access protocols been updated to recognise advances in Big Data analytics? If not, is this a priority?</w:t>
            </w:r>
          </w:p>
          <w:p w14:paraId="1D293C81" w14:textId="15DADFC3" w:rsidR="00BD366E" w:rsidRPr="009134C6" w:rsidRDefault="00BD366E" w:rsidP="000010B8">
            <w:pPr>
              <w:numPr>
                <w:ilvl w:val="0"/>
                <w:numId w:val="16"/>
              </w:numPr>
              <w:shd w:val="clear" w:color="auto" w:fill="FFFFFF" w:themeFill="background1"/>
              <w:spacing w:before="80" w:line="280" w:lineRule="atLeast"/>
              <w:jc w:val="both"/>
              <w:rPr>
                <w:rFonts w:ascii="Arial" w:hAnsi="Arial"/>
                <w:i/>
                <w:sz w:val="22"/>
              </w:rPr>
            </w:pPr>
            <w:r w:rsidRPr="009134C6">
              <w:rPr>
                <w:rFonts w:ascii="Arial" w:hAnsi="Arial"/>
                <w:i/>
                <w:sz w:val="22"/>
              </w:rPr>
              <w:t>Are there other procedural improvements that data custodians could make?</w:t>
            </w:r>
          </w:p>
          <w:p w14:paraId="27E8CC33" w14:textId="77777777" w:rsidR="00131059" w:rsidRDefault="00131059" w:rsidP="000010B8">
            <w:pPr>
              <w:numPr>
                <w:ilvl w:val="0"/>
                <w:numId w:val="16"/>
              </w:numPr>
              <w:shd w:val="clear" w:color="auto" w:fill="FFFFFF" w:themeFill="background1"/>
              <w:spacing w:before="80" w:line="280" w:lineRule="atLeast"/>
              <w:jc w:val="both"/>
              <w:rPr>
                <w:rFonts w:ascii="Arial" w:hAnsi="Arial"/>
                <w:i/>
                <w:sz w:val="22"/>
                <w:szCs w:val="20"/>
              </w:rPr>
            </w:pPr>
            <w:r w:rsidRPr="00FE0237">
              <w:rPr>
                <w:rFonts w:ascii="Arial" w:hAnsi="Arial"/>
                <w:i/>
                <w:sz w:val="22"/>
                <w:szCs w:val="20"/>
              </w:rPr>
              <w:t>In the event of conflict between data users and data managers are there effective dispute resolution mechanisms?</w:t>
            </w:r>
            <w:r w:rsidRPr="00131059">
              <w:rPr>
                <w:rFonts w:ascii="Arial" w:hAnsi="Arial"/>
                <w:i/>
                <w:sz w:val="22"/>
                <w:szCs w:val="20"/>
              </w:rPr>
              <w:t xml:space="preserve"> </w:t>
            </w:r>
          </w:p>
          <w:p w14:paraId="574C1E42" w14:textId="77777777" w:rsidR="00BD366E" w:rsidRDefault="00BD366E" w:rsidP="00406AF6">
            <w:pPr>
              <w:numPr>
                <w:ilvl w:val="0"/>
                <w:numId w:val="16"/>
              </w:numPr>
              <w:shd w:val="clear" w:color="auto" w:fill="FFFFFF" w:themeFill="background1"/>
              <w:spacing w:before="80" w:line="280" w:lineRule="atLeast"/>
              <w:jc w:val="both"/>
              <w:rPr>
                <w:rFonts w:ascii="Arial" w:hAnsi="Arial"/>
                <w:i/>
                <w:sz w:val="22"/>
                <w:szCs w:val="20"/>
              </w:rPr>
            </w:pPr>
            <w:r>
              <w:rPr>
                <w:rFonts w:ascii="Arial" w:hAnsi="Arial"/>
                <w:i/>
                <w:sz w:val="22"/>
                <w:szCs w:val="20"/>
              </w:rPr>
              <w:t xml:space="preserve">Are </w:t>
            </w:r>
            <w:r w:rsidRPr="00BD366E">
              <w:rPr>
                <w:rFonts w:ascii="Arial" w:hAnsi="Arial"/>
                <w:i/>
                <w:sz w:val="22"/>
                <w:szCs w:val="20"/>
              </w:rPr>
              <w:t>improvements to underpinning agreements, arrangements (including funding arrangements) and legislation</w:t>
            </w:r>
            <w:r>
              <w:rPr>
                <w:rFonts w:ascii="Arial" w:hAnsi="Arial"/>
                <w:i/>
                <w:sz w:val="22"/>
                <w:szCs w:val="20"/>
              </w:rPr>
              <w:t xml:space="preserve"> required?</w:t>
            </w:r>
          </w:p>
          <w:p w14:paraId="20AE41D6" w14:textId="7D38709C" w:rsidR="00BD366E" w:rsidRDefault="00BD366E" w:rsidP="005D6F20">
            <w:pPr>
              <w:numPr>
                <w:ilvl w:val="0"/>
                <w:numId w:val="16"/>
              </w:numPr>
              <w:shd w:val="clear" w:color="auto" w:fill="FFFFFF" w:themeFill="background1"/>
              <w:spacing w:before="80" w:line="280" w:lineRule="atLeast"/>
              <w:jc w:val="both"/>
              <w:rPr>
                <w:rFonts w:ascii="Arial" w:hAnsi="Arial"/>
                <w:i/>
                <w:sz w:val="22"/>
                <w:szCs w:val="20"/>
              </w:rPr>
            </w:pPr>
            <w:r>
              <w:rPr>
                <w:rFonts w:ascii="Arial" w:hAnsi="Arial"/>
                <w:i/>
                <w:sz w:val="22"/>
                <w:szCs w:val="20"/>
              </w:rPr>
              <w:t xml:space="preserve">Could governance be improved </w:t>
            </w:r>
            <w:r w:rsidR="00DC2826">
              <w:rPr>
                <w:rFonts w:ascii="Arial" w:hAnsi="Arial"/>
                <w:i/>
                <w:sz w:val="22"/>
                <w:szCs w:val="20"/>
              </w:rPr>
              <w:t>through</w:t>
            </w:r>
            <w:r>
              <w:rPr>
                <w:rFonts w:ascii="Arial" w:hAnsi="Arial"/>
                <w:i/>
                <w:sz w:val="22"/>
                <w:szCs w:val="20"/>
              </w:rPr>
              <w:t xml:space="preserve"> better utilisation of </w:t>
            </w:r>
            <w:r w:rsidR="00DC2826">
              <w:rPr>
                <w:rFonts w:ascii="Arial" w:hAnsi="Arial"/>
                <w:i/>
                <w:sz w:val="22"/>
                <w:szCs w:val="20"/>
              </w:rPr>
              <w:t>technological innovations?</w:t>
            </w:r>
          </w:p>
          <w:p w14:paraId="0133FD83" w14:textId="6B34C111" w:rsidR="00BD366E" w:rsidRPr="00131059" w:rsidRDefault="00DC2826" w:rsidP="009134C6">
            <w:pPr>
              <w:numPr>
                <w:ilvl w:val="0"/>
                <w:numId w:val="16"/>
              </w:numPr>
              <w:shd w:val="clear" w:color="auto" w:fill="FFFFFF" w:themeFill="background1"/>
              <w:spacing w:before="80" w:line="280" w:lineRule="atLeast"/>
              <w:jc w:val="both"/>
              <w:rPr>
                <w:rFonts w:ascii="Arial" w:hAnsi="Arial"/>
                <w:i/>
                <w:sz w:val="22"/>
                <w:szCs w:val="20"/>
              </w:rPr>
            </w:pPr>
            <w:r>
              <w:rPr>
                <w:rFonts w:ascii="Arial" w:hAnsi="Arial"/>
                <w:i/>
                <w:sz w:val="22"/>
                <w:szCs w:val="20"/>
              </w:rPr>
              <w:t>Which jurisdictions or nations have best practice jurisdictional and governance arrangements?</w:t>
            </w:r>
          </w:p>
        </w:tc>
      </w:tr>
      <w:tr w:rsidR="00131059" w:rsidRPr="00131059" w14:paraId="201D4976" w14:textId="77777777" w:rsidTr="00142843">
        <w:tc>
          <w:tcPr>
            <w:tcW w:w="8770" w:type="dxa"/>
            <w:tcBorders>
              <w:top w:val="nil"/>
              <w:left w:val="nil"/>
              <w:bottom w:val="single" w:sz="6" w:space="0" w:color="78A22F"/>
              <w:right w:val="nil"/>
            </w:tcBorders>
            <w:shd w:val="clear" w:color="auto" w:fill="auto"/>
          </w:tcPr>
          <w:p w14:paraId="56E4BC6B" w14:textId="77777777" w:rsidR="00131059" w:rsidRPr="00131059" w:rsidRDefault="00131059" w:rsidP="00131059">
            <w:pPr>
              <w:keepLines/>
              <w:spacing w:line="120" w:lineRule="exact"/>
              <w:jc w:val="both"/>
              <w:rPr>
                <w:rFonts w:ascii="Arial" w:hAnsi="Arial"/>
                <w:sz w:val="20"/>
                <w:szCs w:val="20"/>
              </w:rPr>
            </w:pPr>
          </w:p>
        </w:tc>
      </w:tr>
      <w:tr w:rsidR="00131059" w:rsidRPr="00131059" w14:paraId="483642BD" w14:textId="77777777" w:rsidTr="00142843">
        <w:trPr>
          <w:hidden/>
        </w:trPr>
        <w:tc>
          <w:tcPr>
            <w:tcW w:w="8770" w:type="dxa"/>
            <w:tcBorders>
              <w:top w:val="single" w:sz="6" w:space="0" w:color="78A22F"/>
              <w:left w:val="nil"/>
              <w:bottom w:val="nil"/>
              <w:right w:val="nil"/>
            </w:tcBorders>
          </w:tcPr>
          <w:p w14:paraId="1E97FF9F" w14:textId="77777777" w:rsidR="00131059" w:rsidRPr="00131059" w:rsidRDefault="00131059" w:rsidP="00131059">
            <w:pPr>
              <w:keepLines/>
              <w:spacing w:before="60" w:after="60" w:line="80" w:lineRule="exact"/>
              <w:jc w:val="both"/>
              <w:rPr>
                <w:rFonts w:ascii="Arial" w:hAnsi="Arial"/>
                <w:sz w:val="14"/>
                <w:szCs w:val="20"/>
              </w:rPr>
            </w:pPr>
            <w:r w:rsidRPr="00131059">
              <w:rPr>
                <w:b/>
                <w:vanish/>
                <w:color w:val="FF00FF"/>
                <w:sz w:val="14"/>
                <w:szCs w:val="20"/>
              </w:rPr>
              <w:t>Do not delete this ROW as it gives space between the info request and what follows it.</w:t>
            </w:r>
          </w:p>
        </w:tc>
      </w:tr>
    </w:tbl>
    <w:p w14:paraId="64AB2D8A" w14:textId="16BB40FF" w:rsidR="00131059" w:rsidRPr="00131059" w:rsidRDefault="0091100B" w:rsidP="00131059">
      <w:pPr>
        <w:keepNext/>
        <w:spacing w:before="560" w:line="320" w:lineRule="exact"/>
        <w:outlineLvl w:val="2"/>
        <w:rPr>
          <w:rFonts w:ascii="Arial" w:hAnsi="Arial"/>
          <w:b/>
          <w:sz w:val="26"/>
          <w:szCs w:val="20"/>
        </w:rPr>
      </w:pPr>
      <w:r>
        <w:rPr>
          <w:rFonts w:ascii="Arial" w:hAnsi="Arial"/>
          <w:b/>
          <w:sz w:val="26"/>
          <w:szCs w:val="20"/>
        </w:rPr>
        <w:t>Assessing costs and benefits to p</w:t>
      </w:r>
      <w:r w:rsidR="00131059" w:rsidRPr="00131059">
        <w:rPr>
          <w:rFonts w:ascii="Arial" w:hAnsi="Arial"/>
          <w:b/>
          <w:sz w:val="26"/>
          <w:szCs w:val="20"/>
        </w:rPr>
        <w:t>rioritis</w:t>
      </w:r>
      <w:r>
        <w:rPr>
          <w:rFonts w:ascii="Arial" w:hAnsi="Arial"/>
          <w:b/>
          <w:sz w:val="26"/>
          <w:szCs w:val="20"/>
        </w:rPr>
        <w:t>e</w:t>
      </w:r>
      <w:r w:rsidR="00131059" w:rsidRPr="00131059">
        <w:rPr>
          <w:rFonts w:ascii="Arial" w:hAnsi="Arial"/>
          <w:b/>
          <w:sz w:val="26"/>
          <w:szCs w:val="20"/>
        </w:rPr>
        <w:t xml:space="preserve"> reform</w:t>
      </w:r>
    </w:p>
    <w:p w14:paraId="15FF0205" w14:textId="65C1C77A" w:rsidR="00131059" w:rsidRPr="00131059" w:rsidRDefault="0003332E" w:rsidP="00131059">
      <w:pPr>
        <w:spacing w:before="240" w:line="300" w:lineRule="atLeast"/>
        <w:jc w:val="both"/>
        <w:rPr>
          <w:sz w:val="23"/>
          <w:szCs w:val="23"/>
        </w:rPr>
      </w:pPr>
      <w:r>
        <w:rPr>
          <w:szCs w:val="20"/>
        </w:rPr>
        <w:t>As</w:t>
      </w:r>
      <w:r w:rsidRPr="00131059">
        <w:rPr>
          <w:szCs w:val="20"/>
        </w:rPr>
        <w:t xml:space="preserve"> </w:t>
      </w:r>
      <w:r w:rsidR="00131059" w:rsidRPr="00131059">
        <w:rPr>
          <w:szCs w:val="20"/>
        </w:rPr>
        <w:t xml:space="preserve">government resources are scarce and </w:t>
      </w:r>
      <w:r>
        <w:rPr>
          <w:szCs w:val="20"/>
        </w:rPr>
        <w:t>the provision of evidence bases</w:t>
      </w:r>
      <w:r w:rsidRPr="00131059">
        <w:rPr>
          <w:szCs w:val="20"/>
        </w:rPr>
        <w:t xml:space="preserve"> </w:t>
      </w:r>
      <w:r w:rsidR="00131059" w:rsidRPr="00131059">
        <w:rPr>
          <w:szCs w:val="20"/>
        </w:rPr>
        <w:t>are typically costly, it is important that changes to the national education data resource be prioritised. Reforms</w:t>
      </w:r>
      <w:r w:rsidR="00131059" w:rsidRPr="00131059">
        <w:rPr>
          <w:sz w:val="23"/>
          <w:szCs w:val="23"/>
        </w:rPr>
        <w:t xml:space="preserve"> should be prioritised to those areas that offer the largest potential net benefits (benefits minus cost) to the Australian community as a whole. </w:t>
      </w:r>
    </w:p>
    <w:p w14:paraId="72FD2918" w14:textId="77777777" w:rsidR="00131059" w:rsidRPr="00131059" w:rsidRDefault="00131059" w:rsidP="00131059">
      <w:pPr>
        <w:keepNext/>
        <w:spacing w:before="240" w:line="80" w:lineRule="exact"/>
        <w:rPr>
          <w:b/>
          <w:sz w:val="14"/>
          <w:szCs w:val="20"/>
        </w:rPr>
      </w:pPr>
      <w:r w:rsidRPr="00131059">
        <w:rPr>
          <w:b/>
          <w:vanish/>
          <w:color w:val="FF00FF"/>
          <w:sz w:val="14"/>
          <w:szCs w:val="20"/>
        </w:rPr>
        <w:t>Do not delete this RETURN as it gives space between the info request and what precedes it.</w:t>
      </w: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131059" w:rsidRPr="00131059" w14:paraId="41F33923" w14:textId="77777777" w:rsidTr="00142843">
        <w:tc>
          <w:tcPr>
            <w:tcW w:w="8770" w:type="dxa"/>
            <w:tcBorders>
              <w:top w:val="single" w:sz="6" w:space="0" w:color="78A22F"/>
              <w:left w:val="nil"/>
              <w:bottom w:val="nil"/>
              <w:right w:val="nil"/>
            </w:tcBorders>
            <w:shd w:val="clear" w:color="auto" w:fill="auto"/>
          </w:tcPr>
          <w:p w14:paraId="751E6F28" w14:textId="77777777" w:rsidR="00131059" w:rsidRPr="00131059" w:rsidRDefault="00131059" w:rsidP="00131059">
            <w:pPr>
              <w:keepLines/>
              <w:spacing w:before="240" w:line="280" w:lineRule="atLeast"/>
              <w:jc w:val="both"/>
              <w:rPr>
                <w:rFonts w:ascii="Arial" w:hAnsi="Arial"/>
                <w:i/>
                <w:caps/>
                <w:sz w:val="18"/>
                <w:szCs w:val="20"/>
              </w:rPr>
            </w:pPr>
            <w:r w:rsidRPr="00131059">
              <w:rPr>
                <w:rFonts w:ascii="Arial" w:hAnsi="Arial"/>
                <w:i/>
                <w:caps/>
                <w:sz w:val="18"/>
                <w:szCs w:val="20"/>
              </w:rPr>
              <w:t>Questions</w:t>
            </w:r>
          </w:p>
          <w:p w14:paraId="20419EB0" w14:textId="77777777" w:rsidR="005333F7" w:rsidRDefault="00D554DA" w:rsidP="008F36E9">
            <w:pPr>
              <w:numPr>
                <w:ilvl w:val="0"/>
                <w:numId w:val="16"/>
              </w:numPr>
              <w:shd w:val="clear" w:color="auto" w:fill="FFFFFF" w:themeFill="background1"/>
              <w:spacing w:before="80" w:line="280" w:lineRule="atLeast"/>
              <w:jc w:val="both"/>
              <w:rPr>
                <w:rFonts w:ascii="Arial" w:hAnsi="Arial"/>
                <w:i/>
                <w:sz w:val="22"/>
              </w:rPr>
            </w:pPr>
            <w:r w:rsidRPr="008F36E9">
              <w:rPr>
                <w:rFonts w:ascii="Arial" w:hAnsi="Arial"/>
                <w:i/>
                <w:sz w:val="22"/>
              </w:rPr>
              <w:t>What reforms are li</w:t>
            </w:r>
            <w:r w:rsidR="005333F7">
              <w:rPr>
                <w:rFonts w:ascii="Arial" w:hAnsi="Arial"/>
                <w:i/>
                <w:sz w:val="22"/>
              </w:rPr>
              <w:t>kely to be the most beneficial?</w:t>
            </w:r>
          </w:p>
          <w:p w14:paraId="2B9B51E3" w14:textId="6FF4BF04" w:rsidR="00131059" w:rsidRPr="008F36E9" w:rsidRDefault="00D554DA" w:rsidP="008F36E9">
            <w:pPr>
              <w:numPr>
                <w:ilvl w:val="0"/>
                <w:numId w:val="16"/>
              </w:numPr>
              <w:shd w:val="clear" w:color="auto" w:fill="FFFFFF" w:themeFill="background1"/>
              <w:spacing w:before="80" w:line="280" w:lineRule="atLeast"/>
              <w:jc w:val="both"/>
              <w:rPr>
                <w:rFonts w:ascii="Arial" w:hAnsi="Arial"/>
                <w:i/>
                <w:sz w:val="22"/>
              </w:rPr>
            </w:pPr>
            <w:r w:rsidRPr="008F36E9">
              <w:rPr>
                <w:rFonts w:ascii="Arial" w:hAnsi="Arial"/>
                <w:i/>
                <w:sz w:val="22"/>
              </w:rPr>
              <w:t>How should reform options be prioritised?</w:t>
            </w:r>
          </w:p>
          <w:p w14:paraId="00A12ACA" w14:textId="7AA27262" w:rsidR="00131059" w:rsidRPr="00131059" w:rsidRDefault="005333F7" w:rsidP="005333F7">
            <w:pPr>
              <w:numPr>
                <w:ilvl w:val="0"/>
                <w:numId w:val="16"/>
              </w:numPr>
              <w:shd w:val="clear" w:color="auto" w:fill="FFFFFF" w:themeFill="background1"/>
              <w:spacing w:before="80" w:line="280" w:lineRule="atLeast"/>
              <w:jc w:val="both"/>
              <w:rPr>
                <w:rFonts w:ascii="Arial" w:hAnsi="Arial" w:cs="Arial"/>
                <w:i/>
                <w:iCs/>
                <w:color w:val="000000"/>
                <w:sz w:val="21"/>
                <w:szCs w:val="21"/>
              </w:rPr>
            </w:pPr>
            <w:r w:rsidRPr="008F36E9">
              <w:rPr>
                <w:rFonts w:ascii="Arial" w:hAnsi="Arial"/>
                <w:i/>
                <w:sz w:val="22"/>
              </w:rPr>
              <w:t>How long would the</w:t>
            </w:r>
            <w:r>
              <w:rPr>
                <w:rFonts w:ascii="Arial" w:hAnsi="Arial"/>
                <w:i/>
                <w:sz w:val="22"/>
              </w:rPr>
              <w:t>se</w:t>
            </w:r>
            <w:r w:rsidRPr="008F36E9">
              <w:rPr>
                <w:rFonts w:ascii="Arial" w:hAnsi="Arial"/>
                <w:i/>
                <w:sz w:val="22"/>
              </w:rPr>
              <w:t xml:space="preserve"> reforms take to implement?</w:t>
            </w:r>
          </w:p>
        </w:tc>
      </w:tr>
      <w:tr w:rsidR="00131059" w:rsidRPr="00131059" w14:paraId="7E12B795" w14:textId="77777777" w:rsidTr="00142843">
        <w:tc>
          <w:tcPr>
            <w:tcW w:w="8770" w:type="dxa"/>
            <w:tcBorders>
              <w:top w:val="nil"/>
              <w:left w:val="nil"/>
              <w:bottom w:val="single" w:sz="6" w:space="0" w:color="78A22F"/>
              <w:right w:val="nil"/>
            </w:tcBorders>
            <w:shd w:val="clear" w:color="auto" w:fill="auto"/>
          </w:tcPr>
          <w:p w14:paraId="2AE3BE92" w14:textId="77777777" w:rsidR="00131059" w:rsidRPr="00131059" w:rsidRDefault="00131059" w:rsidP="00131059">
            <w:pPr>
              <w:keepLines/>
              <w:spacing w:line="120" w:lineRule="exact"/>
              <w:jc w:val="both"/>
              <w:rPr>
                <w:rFonts w:ascii="Arial" w:hAnsi="Arial"/>
                <w:sz w:val="20"/>
                <w:szCs w:val="20"/>
              </w:rPr>
            </w:pPr>
          </w:p>
        </w:tc>
      </w:tr>
      <w:tr w:rsidR="00131059" w:rsidRPr="00131059" w14:paraId="0DB7D018" w14:textId="77777777" w:rsidTr="00142843">
        <w:trPr>
          <w:hidden/>
        </w:trPr>
        <w:tc>
          <w:tcPr>
            <w:tcW w:w="8770" w:type="dxa"/>
            <w:tcBorders>
              <w:top w:val="single" w:sz="6" w:space="0" w:color="78A22F"/>
              <w:left w:val="nil"/>
              <w:bottom w:val="nil"/>
              <w:right w:val="nil"/>
            </w:tcBorders>
          </w:tcPr>
          <w:p w14:paraId="2F19D973" w14:textId="77777777" w:rsidR="00131059" w:rsidRPr="00131059" w:rsidRDefault="00131059" w:rsidP="00131059">
            <w:pPr>
              <w:keepLines/>
              <w:spacing w:before="60" w:after="60" w:line="80" w:lineRule="exact"/>
              <w:jc w:val="both"/>
              <w:rPr>
                <w:rFonts w:ascii="Arial" w:hAnsi="Arial"/>
                <w:sz w:val="14"/>
                <w:szCs w:val="20"/>
              </w:rPr>
            </w:pPr>
            <w:r w:rsidRPr="00131059">
              <w:rPr>
                <w:b/>
                <w:vanish/>
                <w:color w:val="FF00FF"/>
                <w:sz w:val="14"/>
                <w:szCs w:val="20"/>
              </w:rPr>
              <w:t>Do not delete this ROW as it gives space between the info request and what follows it.</w:t>
            </w:r>
          </w:p>
        </w:tc>
      </w:tr>
    </w:tbl>
    <w:p w14:paraId="1FB085B8" w14:textId="77777777" w:rsidR="00CA4F94" w:rsidRDefault="00CA4F94">
      <w:pPr>
        <w:rPr>
          <w:rFonts w:ascii="Arial" w:hAnsi="Arial"/>
          <w:b/>
          <w:sz w:val="32"/>
          <w:szCs w:val="20"/>
        </w:rPr>
      </w:pPr>
      <w:r>
        <w:br w:type="page"/>
      </w:r>
    </w:p>
    <w:p w14:paraId="1FB085B9" w14:textId="77777777" w:rsidR="009133D3" w:rsidRDefault="0025543C" w:rsidP="0025543C">
      <w:pPr>
        <w:pStyle w:val="Heading2"/>
      </w:pPr>
      <w:bookmarkStart w:id="64" w:name="_Toc445126243"/>
      <w:bookmarkStart w:id="65" w:name="_Toc445283702"/>
      <w:bookmarkStart w:id="66" w:name="_Toc445286466"/>
      <w:bookmarkStart w:id="67" w:name="_Toc445300707"/>
      <w:bookmarkStart w:id="68" w:name="_Toc447277533"/>
      <w:bookmarkStart w:id="69" w:name="_Toc447713303"/>
      <w:bookmarkStart w:id="70" w:name="_Toc447720158"/>
      <w:r>
        <w:lastRenderedPageBreak/>
        <w:t>References</w:t>
      </w:r>
      <w:bookmarkEnd w:id="64"/>
      <w:bookmarkEnd w:id="65"/>
      <w:bookmarkEnd w:id="66"/>
      <w:bookmarkEnd w:id="67"/>
      <w:bookmarkEnd w:id="68"/>
      <w:bookmarkEnd w:id="69"/>
      <w:bookmarkEnd w:id="70"/>
    </w:p>
    <w:p w14:paraId="047D06E3" w14:textId="3E2AF65D" w:rsidR="002F0E1A" w:rsidRDefault="002F0E1A" w:rsidP="002F0E1A">
      <w:pPr>
        <w:pStyle w:val="Bibliography"/>
      </w:pPr>
      <w:r>
        <w:t>ABS 2016, 1015.0 - Information Paper: Transforming Statistics for the Future, Feb 2016. Unleashing the Power of Data through Improved Access, viewed 16 March 2016, www.abs.gov.au/AUSSTATS/abs@.nsf/Latestproducts/1015.0Main%20Features9Feb%202016?opendocument&amp;tabname=Summary&amp;prodno=1015.0&amp;issue=Feb%202016&amp;num=&amp;view=.</w:t>
      </w:r>
    </w:p>
    <w:p w14:paraId="4B7DE6C4" w14:textId="4549419A" w:rsidR="002F0E1A" w:rsidRDefault="002F0E1A" w:rsidP="002F0E1A">
      <w:pPr>
        <w:pStyle w:val="Bibliography"/>
      </w:pPr>
      <w:r>
        <w:t>ACARA 2015, My School: FAQs, viewed 22 February 2016, www.acara.edu.au/verve/_resources/My_School_FAQs.pdf.</w:t>
      </w:r>
    </w:p>
    <w:p w14:paraId="380ABECD" w14:textId="4676F7BC" w:rsidR="002F0E1A" w:rsidRDefault="002F0E1A" w:rsidP="002F0E1A">
      <w:pPr>
        <w:pStyle w:val="Bibliography"/>
      </w:pPr>
      <w:r>
        <w:t>ATLT 2016, About the Toolkit, viewed 8 March 2016, &lt;http://australia.teachingandlearningto</w:t>
      </w:r>
      <w:r w:rsidR="0002388C">
        <w:t>olkit.net.au/about-the-toolkit/</w:t>
      </w:r>
      <w:r>
        <w:t>.</w:t>
      </w:r>
    </w:p>
    <w:p w14:paraId="0F4690E6" w14:textId="77777777" w:rsidR="002F0E1A" w:rsidRDefault="002F0E1A" w:rsidP="002F0E1A">
      <w:pPr>
        <w:pStyle w:val="Bibliography"/>
      </w:pPr>
      <w:r>
        <w:t>Australian Association for Research in Education 2016, National Application Form - to conduct research in schools in more than one state or territory in Australia: Trial Fact Sheet, trans. AARE.</w:t>
      </w:r>
    </w:p>
    <w:p w14:paraId="2131738A" w14:textId="32D2AB8A" w:rsidR="002F0E1A" w:rsidRDefault="002F0E1A" w:rsidP="002F0E1A">
      <w:pPr>
        <w:pStyle w:val="Bibliography"/>
      </w:pPr>
      <w:r>
        <w:t>Australian Bureau of Statistics 2013a, 4211.0 - Education and Training Newsletter, October 2013, trans. ABS, viewed 23 February 2016, www.abs.gov.au/</w:t>
      </w:r>
      <w:r w:rsidR="0002388C">
        <w:t xml:space="preserve"> </w:t>
      </w:r>
      <w:r>
        <w:t>ausstats/abs@.nsf/Latestproducts/4211.0Main%20Features50October%202013?opendocument&amp;tabname=Summary&amp;prodno=4211.0&amp;issue=October%202013&amp;num=&amp;view=.</w:t>
      </w:r>
    </w:p>
    <w:p w14:paraId="012A4084" w14:textId="50B3F7E4" w:rsidR="002F0E1A" w:rsidRDefault="002F0E1A" w:rsidP="002F0E1A">
      <w:pPr>
        <w:pStyle w:val="Bibliography"/>
      </w:pPr>
      <w:r>
        <w:t>Australian Bureau of Statistics 2013b, National Early Childhood Education and Care Collection: Data Colledtion Guide 2013, trans. ABS, no. ABS Catalogue No. 4240.0.55.002, Canberra, viewed 11 February 2016, www.ausstats.abs.gov.au/</w:t>
      </w:r>
      <w:r w:rsidR="0002388C">
        <w:t xml:space="preserve"> </w:t>
      </w:r>
      <w:r>
        <w:t>ausstats/subscriber.nsf/0/34F513B3614994CFCA257C93000D1924/$File/4240055002_2013.pdf.</w:t>
      </w:r>
    </w:p>
    <w:p w14:paraId="4CF9B117" w14:textId="40206316" w:rsidR="002F0E1A" w:rsidRDefault="002F0E1A" w:rsidP="002F0E1A">
      <w:pPr>
        <w:pStyle w:val="Bibliography"/>
      </w:pPr>
      <w:r>
        <w:t>Australian Bureau of Statistics 2014, 8111.0 - Research and Experimental Development, Higher Education Organisations, Australia, 2012, trans. ABS, 20 May, Canberra, viewed 21 March 2016, www.abs.gov.au/AUSSTATS/abs@.nsf/DetailsPage/</w:t>
      </w:r>
      <w:r w:rsidR="0002388C">
        <w:t xml:space="preserve"> 8111.02012?OpenDocument</w:t>
      </w:r>
      <w:r>
        <w:t>.</w:t>
      </w:r>
    </w:p>
    <w:p w14:paraId="220B8E7C" w14:textId="43C4FA31" w:rsidR="002F0E1A" w:rsidRDefault="002F0E1A" w:rsidP="002F0E1A">
      <w:pPr>
        <w:pStyle w:val="Bibliography"/>
      </w:pPr>
      <w:r>
        <w:t>Australian Bureau of Statistics 2015a, About the ABS Data Laboratory (ABSDL), tra</w:t>
      </w:r>
      <w:r w:rsidR="0002388C">
        <w:t xml:space="preserve">ns. ABS, viewed 16 March 2016, </w:t>
      </w:r>
      <w:r>
        <w:t>http://abs.gov.au/websitedbs/D3310114.nsf/home/</w:t>
      </w:r>
      <w:r w:rsidR="0002388C">
        <w:t xml:space="preserve"> </w:t>
      </w:r>
      <w:r>
        <w:t>CURF:+About+the+ABS+Data+Laboratory+(ABSDL).</w:t>
      </w:r>
    </w:p>
    <w:p w14:paraId="3065E2CB" w14:textId="23466201" w:rsidR="002F0E1A" w:rsidRDefault="002F0E1A" w:rsidP="002F0E1A">
      <w:pPr>
        <w:pStyle w:val="Bibliography"/>
      </w:pPr>
      <w:r>
        <w:t>Australian Bureau of Statistics 2015b, Schools, Australia, 2014, trans. ABS, February, no. Cat. no. 4221.0, viewed 22 December 2015, www.abs.gov.au/AUSSTATS/</w:t>
      </w:r>
      <w:r w:rsidR="0002388C">
        <w:t xml:space="preserve"> </w:t>
      </w:r>
      <w:r>
        <w:t>abs@.nsf/Lookup/4221.0Explanatory%20Notes12014?OpenDocument.</w:t>
      </w:r>
    </w:p>
    <w:p w14:paraId="4FBA64FB" w14:textId="51CAF848" w:rsidR="002F0E1A" w:rsidRDefault="002F0E1A" w:rsidP="002F0E1A">
      <w:pPr>
        <w:pStyle w:val="Bibliography"/>
      </w:pPr>
      <w:r>
        <w:t>Australian Bureau of Statistics 2015c, Schools, Australia, 2014, trans. ABS, February, no. Cat. no. 4221.0, viewed 22 December 2015, www.abs.gov.au/AUSSTATS/</w:t>
      </w:r>
      <w:r w:rsidR="0002388C">
        <w:t xml:space="preserve"> </w:t>
      </w:r>
      <w:r>
        <w:t>abs@.nsf/Lookup/4221.0Explanatory%20Notes12014?OpenDocument.</w:t>
      </w:r>
    </w:p>
    <w:p w14:paraId="3CC0C5DA" w14:textId="0E41F962" w:rsidR="002F0E1A" w:rsidRDefault="002F0E1A" w:rsidP="002F0E1A">
      <w:pPr>
        <w:pStyle w:val="Bibliography"/>
      </w:pPr>
      <w:r>
        <w:t>Australian Council for Educational Research 2016, What is PISA?, trans. ACER, viewed 12 January 2016, www.acer.edu.au/ozpisa.</w:t>
      </w:r>
    </w:p>
    <w:p w14:paraId="4A731FC6" w14:textId="77777777" w:rsidR="002F0E1A" w:rsidRDefault="002F0E1A" w:rsidP="002F0E1A">
      <w:pPr>
        <w:pStyle w:val="Bibliography"/>
      </w:pPr>
      <w:r>
        <w:lastRenderedPageBreak/>
        <w:t>Australian Curriculum Assessment and Reporting Authority 2013, Data Catalougue: Information on ACARA key datasets for potential data request applicant, trans. ACARA, no. First edition, Sydney.</w:t>
      </w:r>
    </w:p>
    <w:p w14:paraId="3D96D821" w14:textId="3CEE1594" w:rsidR="002F0E1A" w:rsidRDefault="002F0E1A" w:rsidP="002F0E1A">
      <w:pPr>
        <w:pStyle w:val="Bibliography"/>
      </w:pPr>
      <w:r>
        <w:t>Australian Curriculum Assessment and Reporting Authority 2015a, About My School, trans. ACARA, viewed 18 March 2016, www.acara.edu.au/verve/_resour</w:t>
      </w:r>
      <w:r w:rsidR="0002388C">
        <w:t>ces/ About_My_School_website.pdf</w:t>
      </w:r>
      <w:r>
        <w:t>.</w:t>
      </w:r>
    </w:p>
    <w:p w14:paraId="5EEE44BA" w14:textId="6DE77B8D" w:rsidR="002F0E1A" w:rsidRDefault="002F0E1A" w:rsidP="002F0E1A">
      <w:pPr>
        <w:pStyle w:val="Bibliography"/>
      </w:pPr>
      <w:r>
        <w:t>Australian Curriculum Assessment and Reporting Authority 2015b, Using My School to support school and student improvement, trans. ACARA, viewed 18 March 2016, www.acara.edu.au/verve/_resources/Using_My_School_to_support_school_and_student_improvement_file.pdf.</w:t>
      </w:r>
    </w:p>
    <w:p w14:paraId="75CF6C22" w14:textId="04021ED6" w:rsidR="002F0E1A" w:rsidRDefault="002F0E1A" w:rsidP="002F0E1A">
      <w:pPr>
        <w:pStyle w:val="Bibliography"/>
      </w:pPr>
      <w:r>
        <w:t>Australian Department of Education and Training 2015, Review of Research Policy and Funding Arrangements, trans. DET, November, viewed 9 March 2016, https://docs.education.</w:t>
      </w:r>
      <w:r w:rsidR="002753D1">
        <w:t xml:space="preserve"> </w:t>
      </w:r>
      <w:r>
        <w:t>gov.au/system/files/doc/other</w:t>
      </w:r>
      <w:r w:rsidR="0002388C">
        <w:t>/main_</w:t>
      </w:r>
      <w:r w:rsidR="002753D1">
        <w:t xml:space="preserve"> </w:t>
      </w:r>
      <w:r w:rsidR="0002388C">
        <w:t>report_final_20160112.pdf</w:t>
      </w:r>
      <w:r>
        <w:t>.</w:t>
      </w:r>
    </w:p>
    <w:p w14:paraId="31744904" w14:textId="64742AAC" w:rsidR="002F0E1A" w:rsidRDefault="002F0E1A" w:rsidP="002F0E1A">
      <w:pPr>
        <w:pStyle w:val="Bibliography"/>
      </w:pPr>
      <w:r>
        <w:t xml:space="preserve">Australian Government Department of Education and Training 2015, Australian Early Development Census, trans. DET, viewed 14 January 2016, </w:t>
      </w:r>
      <w:r w:rsidR="0002388C">
        <w:t>www.education.gov.au/</w:t>
      </w:r>
      <w:r>
        <w:t>australian-early-development-census.</w:t>
      </w:r>
    </w:p>
    <w:p w14:paraId="5521F13F" w14:textId="504E3577" w:rsidR="002F0E1A" w:rsidRDefault="002F0E1A" w:rsidP="002F0E1A">
      <w:pPr>
        <w:pStyle w:val="Bibliography"/>
      </w:pPr>
      <w:r>
        <w:t>Australian Government Department of Education and Training 2016a, School Teacher Workforce Data Reports, trans. DET, viewed 7 March 2016, www.education.gov.au/school</w:t>
      </w:r>
      <w:r w:rsidR="0002388C">
        <w:t>-teacher-workforce-data-reports</w:t>
      </w:r>
      <w:r>
        <w:t>.</w:t>
      </w:r>
    </w:p>
    <w:p w14:paraId="1230F314" w14:textId="5B7DB444" w:rsidR="002F0E1A" w:rsidRDefault="002F0E1A" w:rsidP="002F0E1A">
      <w:pPr>
        <w:pStyle w:val="Bibliography"/>
      </w:pPr>
      <w:r>
        <w:t>Australian Government Department of Education and Training 2016b, What is the Nationally Consistent Collection of Data on School Students with Disability?, trans. DET, viewed 8 March 2016, www.education.gov.au/what-nationally-consistent-collection-data-school-students-disability.</w:t>
      </w:r>
    </w:p>
    <w:p w14:paraId="7AE9FD09" w14:textId="2CE83E59" w:rsidR="002F0E1A" w:rsidRDefault="002F0E1A" w:rsidP="002F0E1A">
      <w:pPr>
        <w:pStyle w:val="Bibliography"/>
      </w:pPr>
      <w:r>
        <w:t>Australian Institute of Family Studies 2009, Longitudinal Study of Australian Children: Key Research Questions, trans. AIFS, viewed 14 January 2016, www.growingupin</w:t>
      </w:r>
      <w:r w:rsidR="0002388C">
        <w:t xml:space="preserve"> </w:t>
      </w:r>
      <w:r>
        <w:t>australia.gov.au/pubs/reports/krq2009/keyresearchquestions.html.</w:t>
      </w:r>
    </w:p>
    <w:p w14:paraId="7D9D3A00" w14:textId="2A6B2C8D" w:rsidR="002F0E1A" w:rsidRDefault="002F0E1A" w:rsidP="002F0E1A">
      <w:pPr>
        <w:pStyle w:val="Bibliography"/>
      </w:pPr>
      <w:r>
        <w:t xml:space="preserve">Australian Institute of Health and Welfare 2014, Developing the National Early Childhood Development Researchable </w:t>
      </w:r>
      <w:r w:rsidR="00D96800">
        <w:t>Dataset</w:t>
      </w:r>
      <w:r>
        <w:t>, trans. AIHW, no. Cat. no. PHE 179, Canberra, viewed 26 February 2016, www.aihw.gov.au/publication-detail/?id=60129549619.</w:t>
      </w:r>
    </w:p>
    <w:p w14:paraId="13C71C3F" w14:textId="5128086E" w:rsidR="002F0E1A" w:rsidRDefault="002F0E1A" w:rsidP="002F0E1A">
      <w:pPr>
        <w:pStyle w:val="Bibliography"/>
      </w:pPr>
      <w:r>
        <w:t>Australian Institute of Health and Welfare 2015, Development of a national education and training data standards strategy and implementation plan, trans. AIHW, no. Cat. no. EDU 4, Canberra, viewed 30 March 2016, www.aihw.gov.au/publication-detail/?id=60129551063.</w:t>
      </w:r>
    </w:p>
    <w:p w14:paraId="5893554E" w14:textId="10F24EAE" w:rsidR="002F0E1A" w:rsidRDefault="002F0E1A" w:rsidP="002F0E1A">
      <w:pPr>
        <w:pStyle w:val="Bibliography"/>
      </w:pPr>
      <w:r>
        <w:t>Australian National University 2016, Research partnerships, trans. ANU, viewed 4 March 2016, www.dec.nsw.gov.au/about-us/plans-reports-and-statistics/research-partnerships.</w:t>
      </w:r>
    </w:p>
    <w:p w14:paraId="273C88EC" w14:textId="2E097C1F" w:rsidR="002F0E1A" w:rsidRDefault="002F0E1A" w:rsidP="002F0E1A">
      <w:pPr>
        <w:pStyle w:val="Bibliography"/>
      </w:pPr>
      <w:r>
        <w:t xml:space="preserve">Australian Research Alliance for Children &amp; Youth 2008, The Wellbeing of Young Australians, trans. ARACY, Technical Report, Canberra, viewed 25 February 2016, </w:t>
      </w:r>
      <w:r>
        <w:lastRenderedPageBreak/>
        <w:t>www.aracy.org.au/publications-resources/command/download_file/id/173/</w:t>
      </w:r>
      <w:r w:rsidR="0002388C">
        <w:t xml:space="preserve"> </w:t>
      </w:r>
      <w:r>
        <w:t>filename/Technical_Report_-_The_wellbeing_of_young_Australians.pdf.</w:t>
      </w:r>
    </w:p>
    <w:p w14:paraId="585D9BAD" w14:textId="2E844CD3" w:rsidR="002F0E1A" w:rsidRDefault="002F0E1A" w:rsidP="002F0E1A">
      <w:pPr>
        <w:pStyle w:val="Bibliography"/>
      </w:pPr>
      <w:r>
        <w:t>Australian Research Council 2015, ARC research funding trend data, trans. ARC, viewed 17 March 2016, www.arc.gov.au/grants-dataset.</w:t>
      </w:r>
    </w:p>
    <w:p w14:paraId="1A2A22CD" w14:textId="0E1477D8" w:rsidR="002F0E1A" w:rsidRDefault="002F0E1A" w:rsidP="002F0E1A">
      <w:pPr>
        <w:pStyle w:val="Bibliography"/>
      </w:pPr>
      <w:r>
        <w:t>Centre for Education Statistics and Evaluation 2016, About CESE, trans. CESE, viewed 4 March 2016, www.cese.nsw.gov.au/about-cese.</w:t>
      </w:r>
    </w:p>
    <w:p w14:paraId="5D85DBFA" w14:textId="77777777" w:rsidR="002F0E1A" w:rsidRDefault="002F0E1A" w:rsidP="002F0E1A">
      <w:pPr>
        <w:pStyle w:val="Bibliography"/>
      </w:pPr>
      <w:r>
        <w:t>Council of Australian Governments 2009, National Education Agreement, trans. COAG, Intergovernmental Agreement on Federal Financial Relations.</w:t>
      </w:r>
    </w:p>
    <w:p w14:paraId="7354E6ED" w14:textId="77777777" w:rsidR="002F0E1A" w:rsidRDefault="002F0E1A" w:rsidP="002F0E1A">
      <w:pPr>
        <w:pStyle w:val="Bibliography"/>
      </w:pPr>
      <w:r>
        <w:t>Deloitte Access Economics 2015, Review of the National Early Childhood Education and Care Collection, trans. DAE, Report prepared for the Australian Government Department of Education and Training, February, Sydney.</w:t>
      </w:r>
    </w:p>
    <w:p w14:paraId="1B2BFB86" w14:textId="77777777" w:rsidR="002F0E1A" w:rsidRDefault="002F0E1A" w:rsidP="002F0E1A">
      <w:pPr>
        <w:pStyle w:val="Bibliography"/>
      </w:pPr>
      <w:r>
        <w:t>Department of Education, Employment and Workplace Relations 2009, Belonging, Being and Becoming: The Early Years Learning Framework for Australia, trans. DEEWR.</w:t>
      </w:r>
    </w:p>
    <w:p w14:paraId="015D0D0A" w14:textId="77777777" w:rsidR="002F0E1A" w:rsidRDefault="002F0E1A" w:rsidP="002F0E1A">
      <w:pPr>
        <w:pStyle w:val="Bibliography"/>
      </w:pPr>
      <w:r>
        <w:t>Department of Families, Housing, Community Services and Indigenous Affairs 2013, Guide to Australian Longitudinal Studies, trans. FaHCSIA, Canberra.</w:t>
      </w:r>
    </w:p>
    <w:p w14:paraId="69C9E570" w14:textId="1D113C74" w:rsidR="002F0E1A" w:rsidRDefault="002F0E1A" w:rsidP="002F0E1A">
      <w:pPr>
        <w:pStyle w:val="Bibliography"/>
      </w:pPr>
      <w:r>
        <w:t>Department of Social Services 2015a, Footprints in Time: The Longitudinal Study of Indigenous Children (LSIC), trans. DSS, viewed 29 January 2016, www.dss.gov.au/about-the-department/publications-articles/research-publications/longitudinal-data-initiatives/footprints-in-time-the-longitudinal-study-of-indigenous-children-lsic.</w:t>
      </w:r>
    </w:p>
    <w:p w14:paraId="0173EB5C" w14:textId="3C157B4B" w:rsidR="002F0E1A" w:rsidRDefault="002F0E1A" w:rsidP="002F0E1A">
      <w:pPr>
        <w:pStyle w:val="Bibliography"/>
      </w:pPr>
      <w:r>
        <w:t>Department of Social Services 2015b, Growing Up in Australia: The Longitudinal Study of Australian Children (LSAC), trans. DSS, viewed 14 January 2016, www.dss.gov.au/our-responsibilities/families-and-children/programmes-services/growing-up-in-australia-the-longitudinal-study-of-australian-children-lsac.</w:t>
      </w:r>
    </w:p>
    <w:p w14:paraId="5718D60D" w14:textId="40258EF8" w:rsidR="002F0E1A" w:rsidRDefault="002F0E1A" w:rsidP="002F0E1A">
      <w:pPr>
        <w:pStyle w:val="Bibliography"/>
      </w:pPr>
      <w:r>
        <w:t xml:space="preserve">Desai, T, Ritchie, F &amp; Welpton, R 2016, Five Safes: designing data access for research, Economics Working Paper Series, no. 1601, University of the West of England, </w:t>
      </w:r>
      <w:r w:rsidR="0002388C">
        <w:t xml:space="preserve">Bristol, viewed 16 March 2016, </w:t>
      </w:r>
      <w:r>
        <w:t>http://rsss.anu.edu.au/sites/default/</w:t>
      </w:r>
      <w:r w:rsidR="0002388C">
        <w:t xml:space="preserve"> </w:t>
      </w:r>
      <w:r>
        <w:t>files/Ritchie_5safes.pdf.</w:t>
      </w:r>
    </w:p>
    <w:p w14:paraId="6ED8A250" w14:textId="76BC5C8D" w:rsidR="002F0E1A" w:rsidRDefault="002F0E1A" w:rsidP="002F0E1A">
      <w:pPr>
        <w:pStyle w:val="Bibliography"/>
      </w:pPr>
      <w:r>
        <w:t>Education Endowment Foundation 2016, Evaluation FAQs, trans</w:t>
      </w:r>
      <w:r w:rsidR="0002388C">
        <w:t xml:space="preserve">. EEF, viewed 22 January 2016, </w:t>
      </w:r>
      <w:r>
        <w:t>https://educationendowmentfoundation.org.uk/evaluation/evaluation-faqs/.</w:t>
      </w:r>
    </w:p>
    <w:p w14:paraId="07D7CA75" w14:textId="5EA169B0" w:rsidR="002F0E1A" w:rsidRDefault="002F0E1A" w:rsidP="002F0E1A">
      <w:pPr>
        <w:pStyle w:val="Bibliography"/>
      </w:pPr>
      <w:r>
        <w:t>Edwards, B 2012, Growing Up in Australia: The Longitudinal Study of Australian Children, no. 91, Family Matters, Australian Institute of Family Studies, Melbourne, pp.</w:t>
      </w:r>
      <w:r w:rsidR="0002388C">
        <w:t xml:space="preserve"> 7–17, viewed 20 January 2016, </w:t>
      </w:r>
      <w:r>
        <w:t>https://aifs.gov.au/sites/</w:t>
      </w:r>
      <w:r w:rsidR="0002388C">
        <w:t xml:space="preserve"> </w:t>
      </w:r>
      <w:r>
        <w:t>default/files/fm91a.pdf.</w:t>
      </w:r>
    </w:p>
    <w:p w14:paraId="7C7E937C" w14:textId="6FB460C7" w:rsidR="002F0E1A" w:rsidRDefault="002F0E1A" w:rsidP="002F0E1A">
      <w:pPr>
        <w:pStyle w:val="Bibliography"/>
      </w:pPr>
      <w:r>
        <w:t>Fowler, C 2016, One and one makes three: getting smarter with data, viewed 18 March 2016, www.ncver.edu.au/wps/portal/vetdataportal/restricted/insightArticle/</w:t>
      </w:r>
      <w:r w:rsidR="008F456B">
        <w:t xml:space="preserve"> </w:t>
      </w:r>
      <w:r>
        <w:t>!ut/p/a1/rVHJTsMwEP2aHi1PktqJjylLltK0NEhtfKmyuI0pcdLGVMDX4yDBAak</w:t>
      </w:r>
      <w:r>
        <w:lastRenderedPageBreak/>
        <w:t>UJOYyM9LT01swx2vMVX6Su1zLVuVPw8_pJrLsqzAcQ-wFk2uIknkSsaltAVC8</w:t>
      </w:r>
      <w:r w:rsidR="008F456B">
        <w:t xml:space="preserve"> </w:t>
      </w:r>
      <w:r>
        <w:t>whzzUulO1zh</w:t>
      </w:r>
      <w:r w:rsidR="0002388C">
        <w:t xml:space="preserve"> </w:t>
      </w:r>
      <w:r>
        <w:t>T5UkcN2WrtFB6BB_vCKTq5a7WXweSff8sEHFH0CqBcl</w:t>
      </w:r>
      <w:r w:rsidR="008F456B">
        <w:t xml:space="preserve"> </w:t>
      </w:r>
      <w:r>
        <w:t>WhYTf5XiBdH4UYKLtSVjhzLHfLmF0iRxQEjSmrkOd4FiooqSgRVZETZjRmRiOcGR9-ZcFAFmFA7</w:t>
      </w:r>
      <w:r w:rsidR="0002388C">
        <w:t xml:space="preserve"> </w:t>
      </w:r>
      <w:r>
        <w:t>ckACWdgIOnydnaTOjCn3wHA7g2HaydxeLewYEou</w:t>
      </w:r>
      <w:r w:rsidR="008F456B">
        <w:t xml:space="preserve"> </w:t>
      </w:r>
      <w:r>
        <w:t>MMAnww8iM-PCPSszoDj9</w:t>
      </w:r>
      <w:r w:rsidR="0002388C">
        <w:t xml:space="preserve"> </w:t>
      </w:r>
      <w:r>
        <w:t>YyzxJd8mN_l4OHDfFDhU9qLx-r8a7JrGc17Rfhm-PWyblf8O4BHq7g!!/dl5/</w:t>
      </w:r>
      <w:r w:rsidR="0002388C">
        <w:t xml:space="preserve"> </w:t>
      </w:r>
      <w:r>
        <w:t>d5/L2d</w:t>
      </w:r>
      <w:r w:rsidR="0002388C">
        <w:t>BISEvZ0FBIS9nQSEh/</w:t>
      </w:r>
      <w:r>
        <w:t>.</w:t>
      </w:r>
    </w:p>
    <w:p w14:paraId="1EED09F7" w14:textId="474BD69C" w:rsidR="002F0E1A" w:rsidRDefault="002F0E1A" w:rsidP="002F0E1A">
      <w:pPr>
        <w:pStyle w:val="Bibliography"/>
      </w:pPr>
      <w:r>
        <w:t>Gill, B, Borden, BC &amp; Hallgren, K 2014, A Conceptual Framework for Data-Driven Decision Making, Final Report of Research conducted by Mathematica Policy Research, Princeton, submitted to Bill &amp; Melinda Gates Foundation, Seattle, WA, viewed 7 March 2016, www.disabilitypolicyresearch.org/~/media/publications/</w:t>
      </w:r>
      <w:r w:rsidR="0002388C">
        <w:t xml:space="preserve"> </w:t>
      </w:r>
      <w:r>
        <w:t>pdfs/education/framework_data-driven_decision_making.pdf.</w:t>
      </w:r>
    </w:p>
    <w:p w14:paraId="06A3FD42" w14:textId="513A67D6" w:rsidR="002F0E1A" w:rsidRDefault="002F0E1A" w:rsidP="002F0E1A">
      <w:pPr>
        <w:pStyle w:val="Bibliography"/>
      </w:pPr>
      <w:r>
        <w:t>International Association for the Evaluation of Educational Achievement 2016, About - TIMSS &amp; PIRLS International Study Center, trans.</w:t>
      </w:r>
      <w:r w:rsidR="0002388C">
        <w:t xml:space="preserve"> IEA, viewed 22 February 2016, </w:t>
      </w:r>
      <w:r>
        <w:t>http://</w:t>
      </w:r>
      <w:r w:rsidR="008F456B">
        <w:t>timssandpirls.bc.edu/about.html</w:t>
      </w:r>
      <w:r>
        <w:t>.</w:t>
      </w:r>
    </w:p>
    <w:p w14:paraId="5C378D1D" w14:textId="77777777" w:rsidR="002F0E1A" w:rsidRDefault="002F0E1A" w:rsidP="002F0E1A">
      <w:pPr>
        <w:pStyle w:val="Bibliography"/>
      </w:pPr>
      <w:r>
        <w:t>Mandinach, EB 2012, ‘A Perfect Time for Data Use: Using Data-Driven Decision Making to Inform Practice’, Educational Psychologist, vol. 47, no. 2, pp. 71–85.</w:t>
      </w:r>
    </w:p>
    <w:p w14:paraId="5A2D7DF5" w14:textId="0965F82A" w:rsidR="002F0E1A" w:rsidRDefault="002F0E1A" w:rsidP="002F0E1A">
      <w:pPr>
        <w:pStyle w:val="Bibliography"/>
      </w:pPr>
      <w:r>
        <w:t>Melbourne Institute 2012, Economics of Education and Child Development Research Program, viewed 4 March 2016, www.melbourneinsti</w:t>
      </w:r>
      <w:r w:rsidR="008F456B">
        <w:t>tute.com/education/ default.html</w:t>
      </w:r>
      <w:r>
        <w:t>.</w:t>
      </w:r>
    </w:p>
    <w:p w14:paraId="1E45F37A" w14:textId="1B01CA46" w:rsidR="002F0E1A" w:rsidRDefault="002F0E1A" w:rsidP="002F0E1A">
      <w:pPr>
        <w:pStyle w:val="Bibliography"/>
      </w:pPr>
      <w:r>
        <w:t>Ministerial Council for Education, Early Childhood Development and Youth Affairs 2010, National Information Agreement on Early Childhood Education and Care, trans. MCEECDYA, viewed 30 March 2016, www.scseec.edu.au/site/DefaultSite/</w:t>
      </w:r>
      <w:r w:rsidR="008F456B">
        <w:t xml:space="preserve"> </w:t>
      </w:r>
      <w:r>
        <w:t>filesystem/documents/Reports%20and%20publications/Archive%20Publications/Early%20Childhood%20Education%20and%20Care/FINAL_National_Information_Agreement_on_Early_Childhood_Education_and_Care_-_Signed.pdf.</w:t>
      </w:r>
    </w:p>
    <w:p w14:paraId="7C9A5021" w14:textId="77777777" w:rsidR="002F0E1A" w:rsidRDefault="002F0E1A" w:rsidP="002F0E1A">
      <w:pPr>
        <w:pStyle w:val="Bibliography"/>
      </w:pPr>
      <w:r>
        <w:t>Ministerial Council on Education, Employment, Training and Youth Affairs 2008, Melbourne Declaration on Educational Goals for Young Australians, trans. MCEETYA, Melbourne.</w:t>
      </w:r>
    </w:p>
    <w:p w14:paraId="470106C3" w14:textId="3DD5C450" w:rsidR="002F0E1A" w:rsidRDefault="002F0E1A" w:rsidP="002F0E1A">
      <w:pPr>
        <w:pStyle w:val="Bibliography"/>
      </w:pPr>
      <w:r>
        <w:t>National Assessment Program 2016a, NAP sample assessments | NAP, trans. NAP, viewed 22 February 2016, www.nap.edu.au/nap-sample-assessme</w:t>
      </w:r>
      <w:r w:rsidR="008F456B">
        <w:t>nts/nap-sample-assessments.html</w:t>
      </w:r>
      <w:r>
        <w:t>.</w:t>
      </w:r>
    </w:p>
    <w:p w14:paraId="0D6D3B96" w14:textId="49685C45" w:rsidR="002F0E1A" w:rsidRDefault="002F0E1A" w:rsidP="002F0E1A">
      <w:pPr>
        <w:pStyle w:val="Bibliography"/>
      </w:pPr>
      <w:r>
        <w:t>National Assessment Program 2016b, NAPLAN - Frequently Asked Questions, trans. NAP, viewed 18 February 2016, www.nap.ed</w:t>
      </w:r>
      <w:r w:rsidR="008F456B">
        <w:t>u.au/information/faqs/faqs.html</w:t>
      </w:r>
      <w:r>
        <w:t>.</w:t>
      </w:r>
    </w:p>
    <w:p w14:paraId="3293ADAE" w14:textId="202AD9B2" w:rsidR="002F0E1A" w:rsidRDefault="002F0E1A" w:rsidP="002F0E1A">
      <w:pPr>
        <w:pStyle w:val="Bibliography"/>
      </w:pPr>
      <w:r>
        <w:t>National Statistical Service 2012, National Statistical Service § Concept Paper: Australian Longitudinal Learning Database (ALLD), trans. NSS, viewed 22 February 2016, www.nss.gov.au/nss/home.nsf/NSS/4FB1EC5C8DF5709BCA25784C000386C7?opendocument.</w:t>
      </w:r>
    </w:p>
    <w:p w14:paraId="667AAAED" w14:textId="6DE03277" w:rsidR="002F0E1A" w:rsidRDefault="002F0E1A" w:rsidP="002F0E1A">
      <w:pPr>
        <w:pStyle w:val="Bibliography"/>
      </w:pPr>
      <w:r>
        <w:t>National Statistical Service 2016a, Deterministic linking and linkage keys, trans. NSS, viewed 18 March 2016, www.nss.gov.au/nss/home.nsf/pages/Data%20integration</w:t>
      </w:r>
      <w:r w:rsidR="008F456B">
        <w:t xml:space="preserve"> </w:t>
      </w:r>
      <w:r>
        <w:t>%20-%20data%20linking%20information%20sheet%20three#Header4.</w:t>
      </w:r>
    </w:p>
    <w:p w14:paraId="0AFC2137" w14:textId="209DF9F9" w:rsidR="002F0E1A" w:rsidRDefault="002F0E1A" w:rsidP="002F0E1A">
      <w:pPr>
        <w:pStyle w:val="Bibliography"/>
      </w:pPr>
      <w:r>
        <w:lastRenderedPageBreak/>
        <w:t>National Statistical Service 2016b, Probabilistic linking, trans. NSS, viewed 18 March 2016, www.nss.gov.au/nss/home.nsf/pages/Data%20integration%20-%20data%20linking%20information%20sheet%20four.</w:t>
      </w:r>
    </w:p>
    <w:p w14:paraId="0592E9AA" w14:textId="77777777" w:rsidR="002F0E1A" w:rsidRDefault="002F0E1A" w:rsidP="002F0E1A">
      <w:pPr>
        <w:pStyle w:val="Bibliography"/>
      </w:pPr>
      <w:r>
        <w:t>Nguyen, N, Cully, M, Anlezark, A &amp; Dockery, AM 2010, A Stocktake of the Longitudinal Surveys of Australian Youth, Technical Report, no. 59, National Centre for Vocational Education Research.</w:t>
      </w:r>
    </w:p>
    <w:p w14:paraId="701AD873" w14:textId="6F4EBC1A" w:rsidR="002F0E1A" w:rsidRDefault="002F0E1A" w:rsidP="002F0E1A">
      <w:pPr>
        <w:pStyle w:val="Bibliography"/>
      </w:pPr>
      <w:r>
        <w:t>NSW Government 2014, School Measurement, Assessment and Reporting Toolkit (SMART), viewed 25 February 2016, www.schools.nsw.edu.au/learning/7-12assessments/smart/.</w:t>
      </w:r>
    </w:p>
    <w:p w14:paraId="50EEAEBC" w14:textId="77777777" w:rsidR="002F0E1A" w:rsidRDefault="002F0E1A" w:rsidP="002F0E1A">
      <w:pPr>
        <w:pStyle w:val="Bibliography"/>
      </w:pPr>
      <w:r>
        <w:t>Organisation for Economic Co-operation and Development 2015, PISA 2015 Draft Questionnaire Framework, trans. OECD.</w:t>
      </w:r>
    </w:p>
    <w:p w14:paraId="6FB23EFB" w14:textId="3A6BEFEB" w:rsidR="002F0E1A" w:rsidRDefault="002F0E1A" w:rsidP="002F0E1A">
      <w:pPr>
        <w:pStyle w:val="Bibliography"/>
      </w:pPr>
      <w:r>
        <w:t>Population Health Research Network 2011, PHRN, trans. PHRN, viewed 30 March 2016, www.phrn.org.au/.</w:t>
      </w:r>
    </w:p>
    <w:p w14:paraId="24271779" w14:textId="77777777" w:rsidR="002F0E1A" w:rsidRDefault="002F0E1A" w:rsidP="002F0E1A">
      <w:pPr>
        <w:pStyle w:val="Bibliography"/>
      </w:pPr>
      <w:r>
        <w:t>Productivity Commission 2010, Contribution of the Not for Profit Sector, trans. PC, Research report, Canberra.</w:t>
      </w:r>
    </w:p>
    <w:p w14:paraId="0ABC5334" w14:textId="77777777" w:rsidR="002F0E1A" w:rsidRDefault="002F0E1A" w:rsidP="002F0E1A">
      <w:pPr>
        <w:pStyle w:val="Bibliography"/>
      </w:pPr>
      <w:r>
        <w:t>Productivity Commission 2013, Annual Report 2012-13, trans. PC, Annual Report Series, Canberra.</w:t>
      </w:r>
    </w:p>
    <w:p w14:paraId="75D0A7FC" w14:textId="77777777" w:rsidR="002F0E1A" w:rsidRDefault="002F0E1A" w:rsidP="002F0E1A">
      <w:pPr>
        <w:pStyle w:val="Bibliography"/>
      </w:pPr>
      <w:r>
        <w:t>Stanley, F 2010, ‘Privacy or public good? Why not obtaining consent may be best practice’, Significance, no. June, pp. 72–75.</w:t>
      </w:r>
    </w:p>
    <w:p w14:paraId="60C9744B" w14:textId="7D9BD947" w:rsidR="002F0E1A" w:rsidRDefault="002F0E1A" w:rsidP="002F0E1A">
      <w:pPr>
        <w:pStyle w:val="Bibliography"/>
      </w:pPr>
      <w:r>
        <w:t>UK Data Archive 2016, Create &amp; Manage Data: Research Data Lifecycle, viewed 1 March 2016, www.data-archive.ac.uk/create-manage/life-cycle.</w:t>
      </w:r>
    </w:p>
    <w:p w14:paraId="2B7F43EE" w14:textId="144FFD19" w:rsidR="002F0E1A" w:rsidRDefault="002F0E1A" w:rsidP="002F0E1A">
      <w:pPr>
        <w:pStyle w:val="Bibliography"/>
      </w:pPr>
      <w:r>
        <w:t>Victorian Department of Education and Training 2016, Research &amp; Evaluation Publications, viewed 4 March 2016, www.education.vic.gov.au/about/research/</w:t>
      </w:r>
      <w:r w:rsidR="008F456B">
        <w:t xml:space="preserve"> Pages/publications.aspx#link7</w:t>
      </w:r>
      <w:r>
        <w:t>.</w:t>
      </w:r>
    </w:p>
    <w:p w14:paraId="4C5DBD67" w14:textId="77777777" w:rsidR="002F0E1A" w:rsidRDefault="002F0E1A" w:rsidP="002F0E1A">
      <w:pPr>
        <w:pStyle w:val="Bibliography"/>
      </w:pPr>
      <w:r>
        <w:t>Western, M, Haynes, M, Baffour, B &amp; Perales, P 2014, The Case for a New Australian Birth Cohort Study, Report prepared for the Department of Social Services, Institute for Social Science Research, University of Queensland.</w:t>
      </w:r>
    </w:p>
    <w:p w14:paraId="4337FE3F" w14:textId="306CAE1F" w:rsidR="002F0E1A" w:rsidRDefault="002F0E1A" w:rsidP="002F0E1A">
      <w:pPr>
        <w:pStyle w:val="Bibliography"/>
      </w:pPr>
      <w:r>
        <w:t>Wyn, J, Turnbull, M &amp; Grimshaw, L 2014, The Experience of Education: The impacts of high stakes testing on school students and their families, May, The Whitlam Institute, Sydney, viewed 18 March 2016, www.whitlam.org/the_program/high_</w:t>
      </w:r>
      <w:r w:rsidR="008F456B">
        <w:t xml:space="preserve"> </w:t>
      </w:r>
      <w:r>
        <w:t>stakes_testing.</w:t>
      </w:r>
    </w:p>
    <w:p w14:paraId="5CCE7568" w14:textId="73E89F0F" w:rsidR="006E37DF" w:rsidRDefault="006E37DF" w:rsidP="00120072">
      <w:pPr>
        <w:pStyle w:val="BodyText"/>
        <w:sectPr w:rsidR="006E37DF" w:rsidSect="005940EC">
          <w:headerReference w:type="even" r:id="rId27"/>
          <w:headerReference w:type="default" r:id="rId28"/>
          <w:footerReference w:type="default" r:id="rId29"/>
          <w:type w:val="oddPage"/>
          <w:pgSz w:w="11907" w:h="16840" w:code="9"/>
          <w:pgMar w:top="1985" w:right="1304" w:bottom="1247" w:left="1814" w:header="1701" w:footer="397" w:gutter="0"/>
          <w:pgNumType w:start="1" w:chapSep="period"/>
          <w:cols w:space="720"/>
        </w:sectPr>
      </w:pPr>
    </w:p>
    <w:p w14:paraId="1FB085C3" w14:textId="7C4F6B67" w:rsidR="00391500" w:rsidRDefault="00391500" w:rsidP="00926D85">
      <w:pPr>
        <w:pStyle w:val="Heading2"/>
      </w:pPr>
      <w:bookmarkStart w:id="71" w:name="_Toc445126244"/>
      <w:bookmarkStart w:id="72" w:name="_Toc445283703"/>
      <w:bookmarkStart w:id="73" w:name="_Toc445286467"/>
      <w:bookmarkStart w:id="74" w:name="_Toc445300708"/>
      <w:bookmarkStart w:id="75" w:name="_Toc447277534"/>
      <w:bookmarkStart w:id="76" w:name="_Toc447713304"/>
      <w:bookmarkStart w:id="77" w:name="_Toc447720159"/>
      <w:r>
        <w:lastRenderedPageBreak/>
        <w:t>Attachment A</w:t>
      </w:r>
      <w:bookmarkEnd w:id="71"/>
      <w:bookmarkEnd w:id="72"/>
      <w:bookmarkEnd w:id="73"/>
      <w:bookmarkEnd w:id="74"/>
      <w:r w:rsidR="00BD0B05">
        <w:t xml:space="preserve"> — How to make a submission</w:t>
      </w:r>
      <w:bookmarkEnd w:id="75"/>
      <w:bookmarkEnd w:id="76"/>
      <w:bookmarkEnd w:id="77"/>
    </w:p>
    <w:p w14:paraId="1FB085C4" w14:textId="77777777" w:rsidR="00391500" w:rsidRPr="00391500" w:rsidRDefault="00391500" w:rsidP="007A3512">
      <w:pPr>
        <w:pStyle w:val="Heading3"/>
        <w:spacing w:before="360"/>
      </w:pPr>
      <w:r>
        <w:t>H</w:t>
      </w:r>
      <w:r w:rsidRPr="00391500">
        <w:t>ow to make a submission</w:t>
      </w:r>
    </w:p>
    <w:p w14:paraId="1FB085C5" w14:textId="77777777" w:rsidR="00391500" w:rsidRDefault="00391500" w:rsidP="00391500">
      <w:pPr>
        <w:pStyle w:val="BodyText"/>
      </w:pPr>
      <w:r>
        <w:t>This Commission invites interested people and organisations to make a written submission.</w:t>
      </w:r>
    </w:p>
    <w:p w14:paraId="1FB085C6" w14:textId="77777777" w:rsidR="00BD0197" w:rsidRDefault="00391500" w:rsidP="00BD0197">
      <w:pPr>
        <w:pStyle w:val="BodyText"/>
      </w:pPr>
      <w:r>
        <w:t xml:space="preserve">Each submission, except for any information supplied in confidence (see below), will be published on the Commission’s website shortly after receipt, and will remain there indefinitely as a public document. </w:t>
      </w:r>
      <w:r w:rsidR="00BD0197">
        <w:t>The Commission reserves the right to not publish material on its website that is offensive, potentially defamatory, or clearly out of scope for the inquiry or study in question.</w:t>
      </w:r>
    </w:p>
    <w:p w14:paraId="1FB085C7" w14:textId="77777777" w:rsidR="00BD0197" w:rsidRDefault="00BD0197" w:rsidP="00BD0197">
      <w:pPr>
        <w:pStyle w:val="BodyText"/>
      </w:pPr>
      <w:r>
        <w:t>When providing a submission to the Commission, you may wish to remain anonymous or use a pseudonym. Please note that, if you choose to remain anonymous or use a pseudonym, the Commission may place less weight on your submission.</w:t>
      </w:r>
    </w:p>
    <w:p w14:paraId="1FB085C8" w14:textId="77777777" w:rsidR="00391500" w:rsidRDefault="00BD0197" w:rsidP="00BD0197">
      <w:pPr>
        <w:pStyle w:val="BodyText"/>
      </w:pPr>
      <w:r>
        <w:t>Copyright in submissions sent to the Commission resides with the author(s), not with the Commission. Submitters should ensure that they hold copyright in any submitted documents, or that the copyright holder has authorised the publication of any relevant documents on the Commission’s website.</w:t>
      </w:r>
    </w:p>
    <w:p w14:paraId="1FB085C9" w14:textId="4344A811" w:rsidR="00391500" w:rsidRDefault="00391500" w:rsidP="00391500">
      <w:pPr>
        <w:pStyle w:val="Heading4"/>
      </w:pPr>
      <w:r>
        <w:t>How to prepare a submission</w:t>
      </w:r>
    </w:p>
    <w:p w14:paraId="1FB085CA" w14:textId="77777777" w:rsidR="00391500" w:rsidRDefault="00391500" w:rsidP="00391500">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14:paraId="1FB085CB" w14:textId="77777777" w:rsidR="00391500" w:rsidRDefault="00391500" w:rsidP="00391500">
      <w:pPr>
        <w:pStyle w:val="BodyText"/>
      </w:pPr>
      <w:r>
        <w:t>This is a public review and all submissions should be provided as public documents that can be placed on the Commission’s website for others to read and comment on.</w:t>
      </w:r>
      <w:r w:rsidR="00BD0197" w:rsidRPr="00BD0197">
        <w:t xml:space="preserve"> However, information which is of a confidential nature or which is submitted in confidence can be treated as such by the Commission, provided the cause for such treatment is shown. The Commission may also request a non-confidential summary of the confidential material it is given, or the reasons why a summary cannot be provided. You are encouraged to contact the Commission for further information and advice before submitting such material. Material supplied in confidence should be provided under separate cover and clearly marked 'IN CONFIDENCE'.</w:t>
      </w:r>
    </w:p>
    <w:p w14:paraId="1FB085CC" w14:textId="77777777" w:rsidR="00391500" w:rsidRDefault="00391500" w:rsidP="007A3512">
      <w:pPr>
        <w:pStyle w:val="Heading4"/>
        <w:keepNext w:val="0"/>
      </w:pPr>
      <w:r>
        <w:t xml:space="preserve">How to </w:t>
      </w:r>
      <w:r w:rsidR="00AA4178">
        <w:t>lodge</w:t>
      </w:r>
      <w:r>
        <w:t xml:space="preserve"> a submission</w:t>
      </w:r>
    </w:p>
    <w:p w14:paraId="1FB085CD" w14:textId="77777777" w:rsidR="005C5E19" w:rsidRDefault="005C5E19" w:rsidP="007A3512">
      <w:pPr>
        <w:pStyle w:val="BodyText"/>
      </w:pPr>
      <w:r w:rsidRPr="005C5E19">
        <w:t>Each submission should be accompanied by a submission cover sheet. The submission cover she</w:t>
      </w:r>
      <w:r w:rsidR="00417EDF">
        <w:t>et is available on the inquiry</w:t>
      </w:r>
      <w:r w:rsidRPr="005C5E19">
        <w:t xml:space="preserve"> web page. For submissions received from individuals, all </w:t>
      </w:r>
      <w:r w:rsidRPr="005C5E19">
        <w:rPr>
          <w:b/>
        </w:rPr>
        <w:t>personal</w:t>
      </w:r>
      <w:r w:rsidRPr="005C5E19">
        <w:t xml:space="preserve"> details (</w:t>
      </w:r>
      <w:r w:rsidR="00417EDF">
        <w:t>for example,</w:t>
      </w:r>
      <w:r w:rsidRPr="005C5E19">
        <w:t xml:space="preserve"> home and email address, signatures, phone, </w:t>
      </w:r>
      <w:r w:rsidRPr="005C5E19">
        <w:lastRenderedPageBreak/>
        <w:t xml:space="preserve">mobile and fax numbers) will be removed before </w:t>
      </w:r>
      <w:r w:rsidR="00BD0197">
        <w:t xml:space="preserve">they are </w:t>
      </w:r>
      <w:r w:rsidRPr="005C5E19">
        <w:t>published on the website for privacy reasons.</w:t>
      </w:r>
    </w:p>
    <w:p w14:paraId="1FB085CE" w14:textId="07AC3136" w:rsidR="005C5E19" w:rsidRDefault="005C5E19" w:rsidP="007A3512">
      <w:pPr>
        <w:pStyle w:val="BodyText"/>
      </w:pPr>
      <w:r>
        <w:t>The Commission prefers to receive submissions as a Microsoft Word (.</w:t>
      </w:r>
      <w:proofErr w:type="spellStart"/>
      <w:r>
        <w:t>docx</w:t>
      </w:r>
      <w:proofErr w:type="spellEnd"/>
      <w:r>
        <w:t xml:space="preserve">) files. PDF files are acceptable if produced from a Word document or similar text based software. You may wish to research the Internet on how to make your documents more accessible or for the more technical, follow advice from </w:t>
      </w:r>
      <w:r w:rsidRPr="00C738C7">
        <w:t>Web Content Accessibility Guidelines (WCAG) 2.0</w:t>
      </w:r>
      <w:r w:rsidR="00C738C7" w:rsidRPr="00C738C7">
        <w:t xml:space="preserve"> </w:t>
      </w:r>
      <w:proofErr w:type="spellStart"/>
      <w:r w:rsidR="00C94B96" w:rsidRPr="00C94B96">
        <w:t>www.w3.org</w:t>
      </w:r>
      <w:proofErr w:type="spellEnd"/>
      <w:r w:rsidR="00C94B96" w:rsidRPr="00C94B96">
        <w:t>/</w:t>
      </w:r>
      <w:proofErr w:type="spellStart"/>
      <w:r w:rsidR="00C94B96" w:rsidRPr="00C94B96">
        <w:t>TR</w:t>
      </w:r>
      <w:proofErr w:type="spellEnd"/>
      <w:r w:rsidR="00C94B96" w:rsidRPr="00C94B96">
        <w:t>/</w:t>
      </w:r>
      <w:proofErr w:type="spellStart"/>
      <w:r w:rsidR="00C94B96" w:rsidRPr="00C94B96">
        <w:t>WCAG20</w:t>
      </w:r>
      <w:proofErr w:type="spellEnd"/>
      <w:r w:rsidR="00C94B96" w:rsidRPr="00C94B96">
        <w:t>/</w:t>
      </w:r>
      <w:r>
        <w:t>.</w:t>
      </w:r>
    </w:p>
    <w:p w14:paraId="1FB085CF" w14:textId="77777777" w:rsidR="005C5E19" w:rsidRDefault="005C5E19" w:rsidP="007A3512">
      <w:pPr>
        <w:pStyle w:val="BodyText"/>
      </w:pPr>
      <w:r>
        <w:t xml:space="preserve">Do not send password protected files. Do not send us material for which you are not the copyright owner </w:t>
      </w:r>
      <w:r w:rsidR="0045244F">
        <w:t xml:space="preserve">— </w:t>
      </w:r>
      <w:r>
        <w:t xml:space="preserve">such as newspaper articles </w:t>
      </w:r>
      <w:r w:rsidR="0045244F">
        <w:t>—</w:t>
      </w:r>
      <w:r>
        <w:t xml:space="preserve"> you should just reference or link to this material in your submission.</w:t>
      </w:r>
    </w:p>
    <w:p w14:paraId="1FB085D0" w14:textId="09AAC2ED" w:rsidR="00391500" w:rsidRDefault="00391500" w:rsidP="007A3512">
      <w:pPr>
        <w:pStyle w:val="BodyText"/>
      </w:pPr>
      <w:r>
        <w:t>Track changes, editing marks, hidden text and internal links should be removed from submissions before sending to the Commission. To ensure hyperlinks work in your submission, the Commission recommends that you type the full web address (e</w:t>
      </w:r>
      <w:r w:rsidR="00417EDF">
        <w:t>.</w:t>
      </w:r>
      <w:r>
        <w:t>g</w:t>
      </w:r>
      <w:r w:rsidR="00417EDF">
        <w:t>.</w:t>
      </w:r>
      <w:r w:rsidR="00C94B96">
        <w:t xml:space="preserve"> </w:t>
      </w:r>
      <w:proofErr w:type="spellStart"/>
      <w:r>
        <w:t>www.referred-website.com</w:t>
      </w:r>
      <w:proofErr w:type="spellEnd"/>
      <w:r>
        <w:t>/folder/file-</w:t>
      </w:r>
      <w:proofErr w:type="spellStart"/>
      <w:r>
        <w:t>name.html</w:t>
      </w:r>
      <w:proofErr w:type="spellEnd"/>
      <w:r>
        <w:t>).</w:t>
      </w:r>
    </w:p>
    <w:p w14:paraId="1FB085D1" w14:textId="77777777" w:rsidR="00AA4178" w:rsidRPr="00AA4178" w:rsidRDefault="00AA4178" w:rsidP="00AA4178">
      <w:pPr>
        <w:pStyle w:val="BodyText"/>
      </w:pPr>
      <w:r w:rsidRPr="00AA4178">
        <w:t>Submissions sent by email must not exceed 20 megabytes in size as our email system cannot accept anything larger. If your submission is greater than 20</w:t>
      </w:r>
      <w:r>
        <w:t xml:space="preserve"> </w:t>
      </w:r>
      <w:proofErr w:type="spellStart"/>
      <w:r w:rsidRPr="00AA4178">
        <w:t>mb</w:t>
      </w:r>
      <w:proofErr w:type="spellEnd"/>
      <w:r w:rsidRPr="00AA4178">
        <w:t xml:space="preserve"> in size, please contact the Administrative Officer for the relevant project to organise another method of sending your submission to the Commission.</w:t>
      </w:r>
    </w:p>
    <w:p w14:paraId="1FB085D2" w14:textId="77777777" w:rsidR="00391500" w:rsidRDefault="00AA4178" w:rsidP="00AA4178">
      <w:pPr>
        <w:pStyle w:val="BodyText"/>
      </w:pPr>
      <w:r>
        <w:t>Submissions can be accepted by email or post:</w:t>
      </w:r>
    </w:p>
    <w:tbl>
      <w:tblPr>
        <w:tblW w:w="0" w:type="auto"/>
        <w:tblLook w:val="04A0" w:firstRow="1" w:lastRow="0" w:firstColumn="1" w:lastColumn="0" w:noHBand="0" w:noVBand="1"/>
      </w:tblPr>
      <w:tblGrid>
        <w:gridCol w:w="1384"/>
        <w:gridCol w:w="7621"/>
      </w:tblGrid>
      <w:tr w:rsidR="00AA4178" w14:paraId="1FB085D5" w14:textId="77777777" w:rsidTr="00AA4178">
        <w:tc>
          <w:tcPr>
            <w:tcW w:w="1384" w:type="dxa"/>
          </w:tcPr>
          <w:p w14:paraId="1FB085D3" w14:textId="77777777" w:rsidR="00AA4178" w:rsidRDefault="00AA4178" w:rsidP="00AA4178">
            <w:pPr>
              <w:pStyle w:val="BodyText"/>
              <w:tabs>
                <w:tab w:val="left" w:pos="1701"/>
              </w:tabs>
              <w:spacing w:before="120"/>
            </w:pPr>
            <w:r>
              <w:t>Email*</w:t>
            </w:r>
          </w:p>
        </w:tc>
        <w:tc>
          <w:tcPr>
            <w:tcW w:w="7621" w:type="dxa"/>
          </w:tcPr>
          <w:p w14:paraId="1FB085D4" w14:textId="3620BD15" w:rsidR="00AA4178" w:rsidRDefault="00791F2B" w:rsidP="00791F2B">
            <w:pPr>
              <w:pStyle w:val="BodyText"/>
              <w:tabs>
                <w:tab w:val="left" w:pos="1701"/>
              </w:tabs>
              <w:spacing w:before="120"/>
            </w:pPr>
            <w:proofErr w:type="spellStart"/>
            <w:r>
              <w:t>e</w:t>
            </w:r>
            <w:r w:rsidR="007D7B13" w:rsidRPr="007D7B13">
              <w:t>ducation.</w:t>
            </w:r>
            <w:r>
              <w:t>e</w:t>
            </w:r>
            <w:r w:rsidR="007D7B13" w:rsidRPr="007D7B13">
              <w:t>vidence@pc.gov.au</w:t>
            </w:r>
            <w:proofErr w:type="spellEnd"/>
          </w:p>
        </w:tc>
      </w:tr>
      <w:tr w:rsidR="00AA4178" w14:paraId="1FB085DB" w14:textId="77777777" w:rsidTr="00AA4178">
        <w:tc>
          <w:tcPr>
            <w:tcW w:w="1384" w:type="dxa"/>
          </w:tcPr>
          <w:p w14:paraId="1FB085D6" w14:textId="77777777" w:rsidR="00AA4178" w:rsidRDefault="00AA4178" w:rsidP="00AA4178">
            <w:pPr>
              <w:pStyle w:val="BodyText"/>
              <w:tabs>
                <w:tab w:val="left" w:pos="1701"/>
              </w:tabs>
              <w:spacing w:before="120"/>
            </w:pPr>
            <w:r>
              <w:t>Post</w:t>
            </w:r>
          </w:p>
        </w:tc>
        <w:tc>
          <w:tcPr>
            <w:tcW w:w="7621" w:type="dxa"/>
          </w:tcPr>
          <w:p w14:paraId="1FB085D7" w14:textId="77777777" w:rsidR="007D7B13" w:rsidRDefault="007D7B13" w:rsidP="007D7B13">
            <w:pPr>
              <w:pStyle w:val="BodyText"/>
              <w:tabs>
                <w:tab w:val="left" w:pos="1701"/>
              </w:tabs>
              <w:spacing w:before="120"/>
            </w:pPr>
            <w:r>
              <w:t>National Education Evidence Base</w:t>
            </w:r>
          </w:p>
          <w:p w14:paraId="1FB085D8" w14:textId="77777777" w:rsidR="007D7B13" w:rsidRDefault="007D7B13" w:rsidP="007D7B13">
            <w:pPr>
              <w:pStyle w:val="BodyText"/>
              <w:tabs>
                <w:tab w:val="left" w:pos="1701"/>
              </w:tabs>
              <w:spacing w:before="120"/>
            </w:pPr>
            <w:r>
              <w:t>Productivity Commission</w:t>
            </w:r>
          </w:p>
          <w:p w14:paraId="1FB085D9" w14:textId="77777777" w:rsidR="007D7B13" w:rsidRDefault="007D7B13" w:rsidP="007D7B13">
            <w:pPr>
              <w:pStyle w:val="BodyText"/>
              <w:tabs>
                <w:tab w:val="left" w:pos="1701"/>
              </w:tabs>
              <w:spacing w:before="120"/>
            </w:pPr>
            <w:r>
              <w:t xml:space="preserve">Locked Bag 2, Collins St East PO </w:t>
            </w:r>
          </w:p>
          <w:p w14:paraId="1FB085DA" w14:textId="77777777" w:rsidR="00AA4178" w:rsidRDefault="007D7B13" w:rsidP="007D7B13">
            <w:pPr>
              <w:pStyle w:val="BodyText"/>
              <w:tabs>
                <w:tab w:val="left" w:pos="1701"/>
              </w:tabs>
              <w:spacing w:before="120"/>
              <w:jc w:val="left"/>
            </w:pPr>
            <w:r>
              <w:t>Melbourne VIC 8003</w:t>
            </w:r>
          </w:p>
        </w:tc>
      </w:tr>
    </w:tbl>
    <w:p w14:paraId="1FB085DC" w14:textId="77777777" w:rsidR="00391500" w:rsidRDefault="00391500" w:rsidP="00391500">
      <w:pPr>
        <w:pStyle w:val="BodyText"/>
      </w:pPr>
      <w:r>
        <w:t>*</w:t>
      </w:r>
      <w:r w:rsidRPr="007354B8">
        <w:t xml:space="preserve"> </w:t>
      </w:r>
      <w:r>
        <w:t>If you do not receive notification of receipt of an email message you have sent to the Commission within two working days of sending, please contact the Administrative Officer.</w:t>
      </w:r>
    </w:p>
    <w:p w14:paraId="1FB085DD" w14:textId="77777777" w:rsidR="00391500" w:rsidRPr="00391500" w:rsidRDefault="00391500" w:rsidP="00391500">
      <w:pPr>
        <w:pStyle w:val="Heading4"/>
      </w:pPr>
      <w:r w:rsidRPr="00391500">
        <w:t>Due date for submissions</w:t>
      </w:r>
    </w:p>
    <w:p w14:paraId="1FB085DE" w14:textId="634ABC6D" w:rsidR="00391500" w:rsidRDefault="00391500" w:rsidP="00391500">
      <w:pPr>
        <w:pStyle w:val="BodyText"/>
      </w:pPr>
      <w:r>
        <w:t xml:space="preserve">Please send submissions to the Commission by </w:t>
      </w:r>
      <w:r w:rsidR="00606160">
        <w:rPr>
          <w:b/>
        </w:rPr>
        <w:t>25 May 2016</w:t>
      </w:r>
      <w:r w:rsidRPr="00A516A2">
        <w:t>.</w:t>
      </w:r>
    </w:p>
    <w:sectPr w:rsidR="00391500" w:rsidSect="005940EC">
      <w:headerReference w:type="even" r:id="rId30"/>
      <w:headerReference w:type="default" r:id="rId31"/>
      <w:footerReference w:type="even" r:id="rId32"/>
      <w:footerReference w:type="default" r:id="rId33"/>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BB413" w14:textId="77777777" w:rsidR="00013885" w:rsidRDefault="00013885">
      <w:r>
        <w:separator/>
      </w:r>
    </w:p>
  </w:endnote>
  <w:endnote w:type="continuationSeparator" w:id="0">
    <w:p w14:paraId="50A3F6CB" w14:textId="77777777" w:rsidR="00013885" w:rsidRDefault="00013885">
      <w:r>
        <w:continuationSeparator/>
      </w:r>
    </w:p>
  </w:endnote>
  <w:endnote w:type="continuationNotice" w:id="1">
    <w:p w14:paraId="4BB8D714" w14:textId="77777777" w:rsidR="00013885" w:rsidRDefault="00013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13885" w14:paraId="1FB085EC" w14:textId="77777777" w:rsidTr="005F48ED">
      <w:trPr>
        <w:trHeight w:hRule="exact" w:val="567"/>
      </w:trPr>
      <w:tc>
        <w:tcPr>
          <w:tcW w:w="510" w:type="dxa"/>
        </w:tcPr>
        <w:p w14:paraId="1FB085E9" w14:textId="77777777" w:rsidR="00013885" w:rsidRDefault="00013885">
          <w:pPr>
            <w:pStyle w:val="Footer"/>
            <w:ind w:right="360" w:firstLine="360"/>
          </w:pPr>
        </w:p>
      </w:tc>
      <w:tc>
        <w:tcPr>
          <w:tcW w:w="7767" w:type="dxa"/>
        </w:tcPr>
        <w:p w14:paraId="34369E13" w14:textId="2B60B90F" w:rsidR="00013885" w:rsidRDefault="00013885" w:rsidP="0013739A">
          <w:pPr>
            <w:pStyle w:val="Footer"/>
            <w:jc w:val="right"/>
            <w:rPr>
              <w:rFonts w:cs="Arial"/>
            </w:rPr>
          </w:pPr>
          <w:r>
            <w:rPr>
              <w:rFonts w:cs="Arial"/>
            </w:rPr>
            <w:t>ISSUES PAPER</w:t>
          </w:r>
        </w:p>
        <w:p w14:paraId="1FB085EA" w14:textId="2543C704" w:rsidR="00013885" w:rsidRPr="00BA5B14" w:rsidRDefault="00013885" w:rsidP="0013739A">
          <w:pPr>
            <w:pStyle w:val="Footer"/>
            <w:jc w:val="right"/>
            <w:rPr>
              <w:rFonts w:cs="Arial"/>
            </w:rPr>
          </w:pPr>
        </w:p>
      </w:tc>
      <w:tc>
        <w:tcPr>
          <w:tcW w:w="510" w:type="dxa"/>
        </w:tcPr>
        <w:p w14:paraId="1FB085EB" w14:textId="77777777" w:rsidR="00013885" w:rsidRPr="00A24443" w:rsidRDefault="00013885">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581BA6">
            <w:rPr>
              <w:rStyle w:val="PageNumber"/>
              <w:caps w:val="0"/>
              <w:noProof/>
            </w:rPr>
            <w:t>iii</w:t>
          </w:r>
          <w:r w:rsidRPr="0045783B">
            <w:rPr>
              <w:rStyle w:val="PageNumber"/>
              <w:caps w:val="0"/>
            </w:rPr>
            <w:fldChar w:fldCharType="end"/>
          </w:r>
        </w:p>
      </w:tc>
    </w:tr>
  </w:tbl>
  <w:p w14:paraId="1FB085ED" w14:textId="77777777" w:rsidR="00013885" w:rsidRDefault="00013885">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13885" w14:paraId="1FB085F9" w14:textId="77777777" w:rsidTr="00E13F25">
      <w:trPr>
        <w:trHeight w:hRule="exact" w:val="567"/>
      </w:trPr>
      <w:tc>
        <w:tcPr>
          <w:tcW w:w="510" w:type="dxa"/>
        </w:tcPr>
        <w:p w14:paraId="1FB085F6" w14:textId="77777777" w:rsidR="00013885" w:rsidRPr="00A24443" w:rsidRDefault="00013885" w:rsidP="00E13F25">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81BA6">
            <w:rPr>
              <w:rStyle w:val="PageNumber"/>
              <w:caps w:val="0"/>
              <w:noProof/>
            </w:rPr>
            <w:t>38</w:t>
          </w:r>
          <w:r w:rsidRPr="00A24443">
            <w:rPr>
              <w:rStyle w:val="PageNumber"/>
              <w:caps w:val="0"/>
            </w:rPr>
            <w:fldChar w:fldCharType="end"/>
          </w:r>
        </w:p>
      </w:tc>
      <w:tc>
        <w:tcPr>
          <w:tcW w:w="7767" w:type="dxa"/>
        </w:tcPr>
        <w:p w14:paraId="1FB085F7" w14:textId="4524B981" w:rsidR="00013885" w:rsidRPr="0013739A" w:rsidRDefault="00013885" w:rsidP="00E13F25">
          <w:pPr>
            <w:pStyle w:val="Footer"/>
            <w:rPr>
              <w:rFonts w:cs="Arial"/>
            </w:rPr>
          </w:pPr>
          <w:r>
            <w:rPr>
              <w:rFonts w:cs="Arial"/>
            </w:rPr>
            <w:t>national education evidence base</w:t>
          </w:r>
        </w:p>
      </w:tc>
      <w:tc>
        <w:tcPr>
          <w:tcW w:w="510" w:type="dxa"/>
        </w:tcPr>
        <w:p w14:paraId="1FB085F8" w14:textId="77777777" w:rsidR="00013885" w:rsidRDefault="00013885" w:rsidP="00E13F25">
          <w:pPr>
            <w:pStyle w:val="Footer"/>
          </w:pPr>
        </w:p>
      </w:tc>
    </w:tr>
  </w:tbl>
  <w:p w14:paraId="1FB085FA" w14:textId="77777777" w:rsidR="00013885" w:rsidRDefault="00013885" w:rsidP="009F6FC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13885" w14:paraId="1FB085FE" w14:textId="77777777" w:rsidTr="005F48ED">
      <w:trPr>
        <w:trHeight w:hRule="exact" w:val="567"/>
      </w:trPr>
      <w:tc>
        <w:tcPr>
          <w:tcW w:w="510" w:type="dxa"/>
        </w:tcPr>
        <w:p w14:paraId="1FB085FB" w14:textId="77777777" w:rsidR="00013885" w:rsidRDefault="00013885">
          <w:pPr>
            <w:pStyle w:val="Footer"/>
            <w:ind w:right="360" w:firstLine="360"/>
          </w:pPr>
        </w:p>
      </w:tc>
      <w:tc>
        <w:tcPr>
          <w:tcW w:w="7767" w:type="dxa"/>
        </w:tcPr>
        <w:p w14:paraId="1FB085FC" w14:textId="38A84573" w:rsidR="00013885" w:rsidRPr="00BA5B14" w:rsidRDefault="00013885" w:rsidP="0013739A">
          <w:pPr>
            <w:pStyle w:val="Footer"/>
            <w:jc w:val="right"/>
            <w:rPr>
              <w:rFonts w:cs="Arial"/>
            </w:rPr>
          </w:pPr>
          <w:r>
            <w:rPr>
              <w:rFonts w:cs="Arial"/>
            </w:rPr>
            <w:t>ISSUES PAPER</w:t>
          </w:r>
        </w:p>
      </w:tc>
      <w:tc>
        <w:tcPr>
          <w:tcW w:w="510" w:type="dxa"/>
        </w:tcPr>
        <w:p w14:paraId="1FB085FD" w14:textId="77777777" w:rsidR="00013885" w:rsidRPr="00A24443" w:rsidRDefault="0001388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81BA6">
            <w:rPr>
              <w:rStyle w:val="PageNumber"/>
              <w:caps w:val="0"/>
              <w:noProof/>
            </w:rPr>
            <w:t>v</w:t>
          </w:r>
          <w:r w:rsidRPr="00A24443">
            <w:rPr>
              <w:rStyle w:val="PageNumber"/>
              <w:caps w:val="0"/>
            </w:rPr>
            <w:fldChar w:fldCharType="end"/>
          </w:r>
        </w:p>
      </w:tc>
    </w:tr>
  </w:tbl>
  <w:p w14:paraId="1FB085FF" w14:textId="77777777" w:rsidR="00013885" w:rsidRDefault="00013885">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13885" w14:paraId="1FB0860C" w14:textId="77777777" w:rsidTr="005F48ED">
      <w:trPr>
        <w:trHeight w:hRule="exact" w:val="567"/>
      </w:trPr>
      <w:tc>
        <w:tcPr>
          <w:tcW w:w="510" w:type="dxa"/>
        </w:tcPr>
        <w:p w14:paraId="1FB08608" w14:textId="77777777" w:rsidR="00013885" w:rsidRDefault="00013885">
          <w:pPr>
            <w:pStyle w:val="Footer"/>
            <w:ind w:right="360" w:firstLine="360"/>
          </w:pPr>
        </w:p>
      </w:tc>
      <w:tc>
        <w:tcPr>
          <w:tcW w:w="7767" w:type="dxa"/>
        </w:tcPr>
        <w:p w14:paraId="1FB08609" w14:textId="2A7D0DD1" w:rsidR="00013885" w:rsidRPr="00BA5B14" w:rsidRDefault="00013885" w:rsidP="0013739A">
          <w:pPr>
            <w:pStyle w:val="Footer"/>
            <w:jc w:val="right"/>
            <w:rPr>
              <w:rFonts w:cs="Arial"/>
            </w:rPr>
          </w:pPr>
          <w:r>
            <w:rPr>
              <w:rFonts w:cs="Arial"/>
            </w:rPr>
            <w:t>ISSUES PAPER</w:t>
          </w:r>
        </w:p>
      </w:tc>
      <w:tc>
        <w:tcPr>
          <w:tcW w:w="510" w:type="dxa"/>
        </w:tcPr>
        <w:p w14:paraId="1FB0860A" w14:textId="77777777" w:rsidR="00013885" w:rsidRDefault="00013885">
          <w:pPr>
            <w:pStyle w:val="Footer"/>
            <w:jc w:val="right"/>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81BA6">
            <w:rPr>
              <w:rStyle w:val="PageNumber"/>
              <w:caps w:val="0"/>
              <w:noProof/>
            </w:rPr>
            <w:t>37</w:t>
          </w:r>
          <w:r w:rsidRPr="00A24443">
            <w:rPr>
              <w:rStyle w:val="PageNumber"/>
              <w:caps w:val="0"/>
            </w:rPr>
            <w:fldChar w:fldCharType="end"/>
          </w:r>
        </w:p>
        <w:p w14:paraId="1FB0860B" w14:textId="77777777" w:rsidR="00013885" w:rsidRPr="00A24443" w:rsidRDefault="00013885">
          <w:pPr>
            <w:pStyle w:val="Footer"/>
            <w:jc w:val="right"/>
            <w:rPr>
              <w:caps w:val="0"/>
            </w:rPr>
          </w:pPr>
        </w:p>
      </w:tc>
    </w:tr>
  </w:tbl>
  <w:p w14:paraId="1FB0860D" w14:textId="77777777" w:rsidR="00013885" w:rsidRDefault="00013885">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13885" w14:paraId="1FB08619" w14:textId="77777777" w:rsidTr="005F48ED">
      <w:trPr>
        <w:trHeight w:hRule="exact" w:val="567"/>
      </w:trPr>
      <w:tc>
        <w:tcPr>
          <w:tcW w:w="510" w:type="dxa"/>
        </w:tcPr>
        <w:p w14:paraId="1FB08616" w14:textId="77777777" w:rsidR="00013885" w:rsidRPr="00A24443" w:rsidRDefault="0001388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81BA6">
            <w:rPr>
              <w:rStyle w:val="PageNumber"/>
              <w:caps w:val="0"/>
              <w:noProof/>
            </w:rPr>
            <w:t>40</w:t>
          </w:r>
          <w:r w:rsidRPr="00A24443">
            <w:rPr>
              <w:rStyle w:val="PageNumber"/>
              <w:caps w:val="0"/>
            </w:rPr>
            <w:fldChar w:fldCharType="end"/>
          </w:r>
        </w:p>
      </w:tc>
      <w:tc>
        <w:tcPr>
          <w:tcW w:w="7767" w:type="dxa"/>
        </w:tcPr>
        <w:p w14:paraId="1FB08617" w14:textId="137C333D" w:rsidR="00013885" w:rsidRPr="0013739A" w:rsidRDefault="00013885" w:rsidP="0013739A">
          <w:pPr>
            <w:pStyle w:val="Footer"/>
            <w:rPr>
              <w:rFonts w:cs="Arial"/>
            </w:rPr>
          </w:pPr>
          <w:r>
            <w:rPr>
              <w:rFonts w:cs="Arial"/>
            </w:rPr>
            <w:t>national education evidence base</w:t>
          </w:r>
        </w:p>
      </w:tc>
      <w:tc>
        <w:tcPr>
          <w:tcW w:w="510" w:type="dxa"/>
        </w:tcPr>
        <w:p w14:paraId="1FB08618" w14:textId="77777777" w:rsidR="00013885" w:rsidRDefault="00013885" w:rsidP="0019293B">
          <w:pPr>
            <w:pStyle w:val="Footer"/>
          </w:pPr>
        </w:p>
      </w:tc>
    </w:tr>
  </w:tbl>
  <w:p w14:paraId="1FB0861A" w14:textId="77777777" w:rsidR="00013885" w:rsidRDefault="00013885"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13885" w14:paraId="1FB0861E" w14:textId="77777777" w:rsidTr="005F48ED">
      <w:trPr>
        <w:trHeight w:hRule="exact" w:val="567"/>
      </w:trPr>
      <w:tc>
        <w:tcPr>
          <w:tcW w:w="510" w:type="dxa"/>
        </w:tcPr>
        <w:p w14:paraId="1FB0861B" w14:textId="77777777" w:rsidR="00013885" w:rsidRDefault="00013885">
          <w:pPr>
            <w:pStyle w:val="Footer"/>
            <w:ind w:right="360" w:firstLine="360"/>
          </w:pPr>
        </w:p>
      </w:tc>
      <w:tc>
        <w:tcPr>
          <w:tcW w:w="7767" w:type="dxa"/>
        </w:tcPr>
        <w:p w14:paraId="1FB0861C" w14:textId="3A08C415" w:rsidR="00013885" w:rsidRPr="00BA5B14" w:rsidRDefault="00013885" w:rsidP="00EB5731">
          <w:pPr>
            <w:pStyle w:val="Footer"/>
            <w:jc w:val="right"/>
            <w:rPr>
              <w:rFonts w:cs="Arial"/>
            </w:rPr>
          </w:pPr>
          <w:r>
            <w:rPr>
              <w:rFonts w:cs="Arial"/>
            </w:rPr>
            <w:t>ISSUES PAPER</w:t>
          </w:r>
        </w:p>
      </w:tc>
      <w:tc>
        <w:tcPr>
          <w:tcW w:w="510" w:type="dxa"/>
        </w:tcPr>
        <w:p w14:paraId="1FB0861D" w14:textId="77777777" w:rsidR="00013885" w:rsidRPr="00A24443" w:rsidRDefault="0001388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81BA6">
            <w:rPr>
              <w:rStyle w:val="PageNumber"/>
              <w:caps w:val="0"/>
              <w:noProof/>
            </w:rPr>
            <w:t>39</w:t>
          </w:r>
          <w:r w:rsidRPr="00A24443">
            <w:rPr>
              <w:rStyle w:val="PageNumber"/>
              <w:caps w:val="0"/>
            </w:rPr>
            <w:fldChar w:fldCharType="end"/>
          </w:r>
        </w:p>
      </w:tc>
    </w:tr>
  </w:tbl>
  <w:p w14:paraId="1FB0861F" w14:textId="77777777" w:rsidR="00013885" w:rsidRDefault="0001388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6FE8C" w14:textId="77777777" w:rsidR="00013885" w:rsidRDefault="00013885">
      <w:r>
        <w:separator/>
      </w:r>
    </w:p>
  </w:footnote>
  <w:footnote w:type="continuationSeparator" w:id="0">
    <w:p w14:paraId="67F4456D" w14:textId="77777777" w:rsidR="00013885" w:rsidRDefault="00013885">
      <w:r>
        <w:continuationSeparator/>
      </w:r>
    </w:p>
  </w:footnote>
  <w:footnote w:type="continuationNotice" w:id="1">
    <w:p w14:paraId="3AC5F65A" w14:textId="77777777" w:rsidR="00013885" w:rsidRDefault="000138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13885" w14:paraId="1FB085E7" w14:textId="77777777">
      <w:tc>
        <w:tcPr>
          <w:tcW w:w="6634" w:type="dxa"/>
          <w:tcBorders>
            <w:top w:val="single" w:sz="6" w:space="0" w:color="auto"/>
          </w:tcBorders>
        </w:tcPr>
        <w:p w14:paraId="1FB085E5" w14:textId="77777777" w:rsidR="00013885" w:rsidRDefault="00013885" w:rsidP="00E669E2">
          <w:pPr>
            <w:pStyle w:val="HeaderOdd"/>
          </w:pPr>
        </w:p>
      </w:tc>
      <w:tc>
        <w:tcPr>
          <w:tcW w:w="2155" w:type="dxa"/>
          <w:tcBorders>
            <w:top w:val="single" w:sz="24" w:space="0" w:color="auto"/>
          </w:tcBorders>
        </w:tcPr>
        <w:p w14:paraId="1FB085E6" w14:textId="77777777" w:rsidR="00013885" w:rsidRDefault="00013885" w:rsidP="00E669E2">
          <w:pPr>
            <w:pStyle w:val="HeaderOdd"/>
          </w:pPr>
        </w:p>
      </w:tc>
    </w:tr>
  </w:tbl>
  <w:p w14:paraId="1FB085E8" w14:textId="77777777" w:rsidR="00013885" w:rsidRDefault="00013885"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13885" w14:paraId="1FB085F0" w14:textId="77777777" w:rsidTr="00E13F25">
      <w:tc>
        <w:tcPr>
          <w:tcW w:w="2155" w:type="dxa"/>
          <w:tcBorders>
            <w:top w:val="single" w:sz="24" w:space="0" w:color="auto"/>
          </w:tcBorders>
        </w:tcPr>
        <w:p w14:paraId="1FB085EE" w14:textId="77777777" w:rsidR="00013885" w:rsidRDefault="00013885" w:rsidP="00E13F25">
          <w:pPr>
            <w:pStyle w:val="HeaderEven"/>
          </w:pPr>
        </w:p>
      </w:tc>
      <w:tc>
        <w:tcPr>
          <w:tcW w:w="6634" w:type="dxa"/>
          <w:tcBorders>
            <w:top w:val="single" w:sz="6" w:space="0" w:color="auto"/>
          </w:tcBorders>
        </w:tcPr>
        <w:p w14:paraId="1FB085EF" w14:textId="77777777" w:rsidR="00013885" w:rsidRDefault="00013885" w:rsidP="00E13F25">
          <w:pPr>
            <w:pStyle w:val="HeaderEven"/>
          </w:pPr>
        </w:p>
      </w:tc>
    </w:tr>
  </w:tbl>
  <w:p w14:paraId="1FB085F1" w14:textId="77777777" w:rsidR="00013885" w:rsidRDefault="00013885" w:rsidP="009F6FC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13885" w14:paraId="1FB085F4" w14:textId="77777777">
      <w:tc>
        <w:tcPr>
          <w:tcW w:w="6634" w:type="dxa"/>
          <w:tcBorders>
            <w:top w:val="single" w:sz="6" w:space="0" w:color="auto"/>
          </w:tcBorders>
        </w:tcPr>
        <w:p w14:paraId="1FB085F2" w14:textId="77777777" w:rsidR="00013885" w:rsidRDefault="00013885" w:rsidP="00E669E2">
          <w:pPr>
            <w:pStyle w:val="HeaderOdd"/>
          </w:pPr>
        </w:p>
      </w:tc>
      <w:tc>
        <w:tcPr>
          <w:tcW w:w="2155" w:type="dxa"/>
          <w:tcBorders>
            <w:top w:val="single" w:sz="24" w:space="0" w:color="auto"/>
          </w:tcBorders>
        </w:tcPr>
        <w:p w14:paraId="1FB085F3" w14:textId="77777777" w:rsidR="00013885" w:rsidRDefault="00013885" w:rsidP="00E669E2">
          <w:pPr>
            <w:pStyle w:val="HeaderOdd"/>
          </w:pPr>
        </w:p>
      </w:tc>
    </w:tr>
  </w:tbl>
  <w:p w14:paraId="1FB085F5" w14:textId="77777777" w:rsidR="00013885" w:rsidRDefault="00013885"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13885" w14:paraId="1FB08602" w14:textId="77777777">
      <w:tc>
        <w:tcPr>
          <w:tcW w:w="2155" w:type="dxa"/>
          <w:tcBorders>
            <w:top w:val="single" w:sz="24" w:space="0" w:color="auto"/>
          </w:tcBorders>
        </w:tcPr>
        <w:p w14:paraId="1FB08600" w14:textId="77777777" w:rsidR="00013885" w:rsidRDefault="00013885" w:rsidP="0019293B">
          <w:pPr>
            <w:pStyle w:val="HeaderEven"/>
          </w:pPr>
        </w:p>
      </w:tc>
      <w:tc>
        <w:tcPr>
          <w:tcW w:w="6634" w:type="dxa"/>
          <w:tcBorders>
            <w:top w:val="single" w:sz="6" w:space="0" w:color="auto"/>
          </w:tcBorders>
        </w:tcPr>
        <w:p w14:paraId="1FB08601" w14:textId="77777777" w:rsidR="00013885" w:rsidRDefault="00013885" w:rsidP="0019293B">
          <w:pPr>
            <w:pStyle w:val="HeaderEven"/>
          </w:pPr>
        </w:p>
      </w:tc>
    </w:tr>
  </w:tbl>
  <w:p w14:paraId="1FB08603" w14:textId="77777777" w:rsidR="00013885" w:rsidRDefault="00013885"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13885" w14:paraId="1FB08606" w14:textId="77777777">
      <w:tc>
        <w:tcPr>
          <w:tcW w:w="6634" w:type="dxa"/>
          <w:tcBorders>
            <w:top w:val="single" w:sz="6" w:space="0" w:color="auto"/>
          </w:tcBorders>
        </w:tcPr>
        <w:p w14:paraId="1FB08604" w14:textId="77777777" w:rsidR="00013885" w:rsidRDefault="00013885" w:rsidP="00E669E2">
          <w:pPr>
            <w:pStyle w:val="HeaderOdd"/>
          </w:pPr>
        </w:p>
      </w:tc>
      <w:tc>
        <w:tcPr>
          <w:tcW w:w="2155" w:type="dxa"/>
          <w:tcBorders>
            <w:top w:val="single" w:sz="24" w:space="0" w:color="auto"/>
          </w:tcBorders>
        </w:tcPr>
        <w:p w14:paraId="1FB08605" w14:textId="77777777" w:rsidR="00013885" w:rsidRDefault="00013885" w:rsidP="00E669E2">
          <w:pPr>
            <w:pStyle w:val="HeaderOdd"/>
          </w:pPr>
        </w:p>
      </w:tc>
    </w:tr>
  </w:tbl>
  <w:p w14:paraId="1FB08607" w14:textId="77777777" w:rsidR="00013885" w:rsidRDefault="00013885"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13885" w14:paraId="1FB08610" w14:textId="77777777">
      <w:tc>
        <w:tcPr>
          <w:tcW w:w="2155" w:type="dxa"/>
          <w:tcBorders>
            <w:top w:val="single" w:sz="24" w:space="0" w:color="auto"/>
          </w:tcBorders>
        </w:tcPr>
        <w:p w14:paraId="1FB0860E" w14:textId="77777777" w:rsidR="00013885" w:rsidRDefault="00013885" w:rsidP="0019293B">
          <w:pPr>
            <w:pStyle w:val="HeaderEven"/>
          </w:pPr>
        </w:p>
      </w:tc>
      <w:tc>
        <w:tcPr>
          <w:tcW w:w="6634" w:type="dxa"/>
          <w:tcBorders>
            <w:top w:val="single" w:sz="6" w:space="0" w:color="auto"/>
          </w:tcBorders>
        </w:tcPr>
        <w:p w14:paraId="1FB0860F" w14:textId="77777777" w:rsidR="00013885" w:rsidRDefault="00013885" w:rsidP="0019293B">
          <w:pPr>
            <w:pStyle w:val="HeaderEven"/>
          </w:pPr>
        </w:p>
      </w:tc>
    </w:tr>
  </w:tbl>
  <w:p w14:paraId="1FB08611" w14:textId="77777777" w:rsidR="00013885" w:rsidRDefault="00013885"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13885" w14:paraId="1FB08614" w14:textId="77777777">
      <w:tc>
        <w:tcPr>
          <w:tcW w:w="6634" w:type="dxa"/>
          <w:tcBorders>
            <w:top w:val="single" w:sz="6" w:space="0" w:color="auto"/>
          </w:tcBorders>
        </w:tcPr>
        <w:p w14:paraId="1FB08612" w14:textId="77777777" w:rsidR="00013885" w:rsidRDefault="00013885" w:rsidP="00E669E2">
          <w:pPr>
            <w:pStyle w:val="HeaderOdd"/>
          </w:pPr>
        </w:p>
      </w:tc>
      <w:tc>
        <w:tcPr>
          <w:tcW w:w="2155" w:type="dxa"/>
          <w:tcBorders>
            <w:top w:val="single" w:sz="24" w:space="0" w:color="auto"/>
          </w:tcBorders>
        </w:tcPr>
        <w:p w14:paraId="1FB08613" w14:textId="77777777" w:rsidR="00013885" w:rsidRDefault="00013885" w:rsidP="00E669E2">
          <w:pPr>
            <w:pStyle w:val="HeaderOdd"/>
          </w:pPr>
        </w:p>
      </w:tc>
    </w:tr>
  </w:tbl>
  <w:p w14:paraId="1FB08615" w14:textId="77777777" w:rsidR="00013885" w:rsidRDefault="0001388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C6F90"/>
    <w:lvl w:ilvl="0">
      <w:start w:val="1"/>
      <w:numFmt w:val="decimal"/>
      <w:lvlText w:val="%1."/>
      <w:lvlJc w:val="left"/>
      <w:pPr>
        <w:tabs>
          <w:tab w:val="num" w:pos="1492"/>
        </w:tabs>
        <w:ind w:left="1492" w:hanging="360"/>
      </w:pPr>
    </w:lvl>
  </w:abstractNum>
  <w:abstractNum w:abstractNumId="1">
    <w:nsid w:val="FFFFFF7D"/>
    <w:multiLevelType w:val="singleLevel"/>
    <w:tmpl w:val="90744332"/>
    <w:lvl w:ilvl="0">
      <w:start w:val="1"/>
      <w:numFmt w:val="decimal"/>
      <w:lvlText w:val="%1."/>
      <w:lvlJc w:val="left"/>
      <w:pPr>
        <w:tabs>
          <w:tab w:val="num" w:pos="1209"/>
        </w:tabs>
        <w:ind w:left="1209" w:hanging="360"/>
      </w:pPr>
    </w:lvl>
  </w:abstractNum>
  <w:abstractNum w:abstractNumId="2">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8600636"/>
    <w:multiLevelType w:val="multilevel"/>
    <w:tmpl w:val="0E9A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F015D7C"/>
    <w:multiLevelType w:val="hybridMultilevel"/>
    <w:tmpl w:val="3112EA20"/>
    <w:lvl w:ilvl="0" w:tplc="6C28B00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14C04E03"/>
    <w:multiLevelType w:val="hybridMultilevel"/>
    <w:tmpl w:val="61D21A86"/>
    <w:lvl w:ilvl="0" w:tplc="2E4ECE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7">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nsid w:val="2EA24B45"/>
    <w:multiLevelType w:val="hybridMultilevel"/>
    <w:tmpl w:val="2C529D78"/>
    <w:lvl w:ilvl="0" w:tplc="67BAD176">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0">
    <w:nsid w:val="38C64988"/>
    <w:multiLevelType w:val="hybridMultilevel"/>
    <w:tmpl w:val="7526A470"/>
    <w:lvl w:ilvl="0" w:tplc="0C09000F">
      <w:start w:val="1"/>
      <w:numFmt w:val="decimal"/>
      <w:lvlText w:val="%1."/>
      <w:lvlJc w:val="left"/>
      <w:pPr>
        <w:ind w:left="1003" w:hanging="360"/>
      </w:p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21">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3">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4">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5">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8">
    <w:nsid w:val="711D2FEC"/>
    <w:multiLevelType w:val="multilevel"/>
    <w:tmpl w:val="3FB0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9"/>
  </w:num>
  <w:num w:numId="2">
    <w:abstractNumId w:val="6"/>
  </w:num>
  <w:num w:numId="3">
    <w:abstractNumId w:val="22"/>
  </w:num>
  <w:num w:numId="4">
    <w:abstractNumId w:val="7"/>
  </w:num>
  <w:num w:numId="5">
    <w:abstractNumId w:val="27"/>
  </w:num>
  <w:num w:numId="6">
    <w:abstractNumId w:val="24"/>
  </w:num>
  <w:num w:numId="7">
    <w:abstractNumId w:val="13"/>
  </w:num>
  <w:num w:numId="8">
    <w:abstractNumId w:val="23"/>
  </w:num>
  <w:num w:numId="9">
    <w:abstractNumId w:val="11"/>
  </w:num>
  <w:num w:numId="10">
    <w:abstractNumId w:val="10"/>
  </w:num>
  <w:num w:numId="11">
    <w:abstractNumId w:val="16"/>
  </w:num>
  <w:num w:numId="12">
    <w:abstractNumId w:val="17"/>
  </w:num>
  <w:num w:numId="13">
    <w:abstractNumId w:val="8"/>
  </w:num>
  <w:num w:numId="14">
    <w:abstractNumId w:val="25"/>
  </w:num>
  <w:num w:numId="15">
    <w:abstractNumId w:val="29"/>
  </w:num>
  <w:num w:numId="16">
    <w:abstractNumId w:val="21"/>
  </w:num>
  <w:num w:numId="17">
    <w:abstractNumId w:val="30"/>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6"/>
  </w:num>
  <w:num w:numId="21">
    <w:abstractNumId w:val="14"/>
  </w:num>
  <w:num w:numId="22">
    <w:abstractNumId w:val="3"/>
  </w:num>
  <w:num w:numId="23">
    <w:abstractNumId w:val="2"/>
  </w:num>
  <w:num w:numId="24">
    <w:abstractNumId w:val="1"/>
  </w:num>
  <w:num w:numId="25">
    <w:abstractNumId w:val="0"/>
  </w:num>
  <w:num w:numId="26">
    <w:abstractNumId w:val="20"/>
  </w:num>
  <w:num w:numId="27">
    <w:abstractNumId w:val="18"/>
  </w:num>
  <w:num w:numId="28">
    <w:abstractNumId w:val="15"/>
  </w:num>
  <w:num w:numId="29">
    <w:abstractNumId w:val="12"/>
  </w:num>
  <w:num w:numId="30">
    <w:abstractNumId w:val="9"/>
  </w:num>
  <w:num w:numId="31">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136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5574DF"/>
    <w:rsid w:val="000010B8"/>
    <w:rsid w:val="00003E9F"/>
    <w:rsid w:val="000045BD"/>
    <w:rsid w:val="00010EE1"/>
    <w:rsid w:val="00013885"/>
    <w:rsid w:val="00013C41"/>
    <w:rsid w:val="000146BD"/>
    <w:rsid w:val="0001533B"/>
    <w:rsid w:val="0001641B"/>
    <w:rsid w:val="00021299"/>
    <w:rsid w:val="00022715"/>
    <w:rsid w:val="000227D5"/>
    <w:rsid w:val="0002388C"/>
    <w:rsid w:val="00023B56"/>
    <w:rsid w:val="000245AA"/>
    <w:rsid w:val="00025D25"/>
    <w:rsid w:val="000268AD"/>
    <w:rsid w:val="000302FB"/>
    <w:rsid w:val="0003045E"/>
    <w:rsid w:val="00030F2E"/>
    <w:rsid w:val="00031B7D"/>
    <w:rsid w:val="000325BA"/>
    <w:rsid w:val="0003332E"/>
    <w:rsid w:val="00034C9A"/>
    <w:rsid w:val="00035B2A"/>
    <w:rsid w:val="00035F06"/>
    <w:rsid w:val="0003605B"/>
    <w:rsid w:val="000363ED"/>
    <w:rsid w:val="0003660B"/>
    <w:rsid w:val="0003664B"/>
    <w:rsid w:val="00037609"/>
    <w:rsid w:val="00040EF0"/>
    <w:rsid w:val="0004111F"/>
    <w:rsid w:val="00042491"/>
    <w:rsid w:val="000424E0"/>
    <w:rsid w:val="00045C52"/>
    <w:rsid w:val="00050FEE"/>
    <w:rsid w:val="00051203"/>
    <w:rsid w:val="000528BB"/>
    <w:rsid w:val="00053F69"/>
    <w:rsid w:val="00055077"/>
    <w:rsid w:val="000565B3"/>
    <w:rsid w:val="00057001"/>
    <w:rsid w:val="00057A64"/>
    <w:rsid w:val="0006020C"/>
    <w:rsid w:val="00063122"/>
    <w:rsid w:val="00066BEE"/>
    <w:rsid w:val="0006728C"/>
    <w:rsid w:val="00067B8B"/>
    <w:rsid w:val="000703B0"/>
    <w:rsid w:val="0007150B"/>
    <w:rsid w:val="000726E1"/>
    <w:rsid w:val="00076422"/>
    <w:rsid w:val="00076709"/>
    <w:rsid w:val="00076812"/>
    <w:rsid w:val="000809E2"/>
    <w:rsid w:val="00080CA3"/>
    <w:rsid w:val="00080D56"/>
    <w:rsid w:val="00081582"/>
    <w:rsid w:val="000847B4"/>
    <w:rsid w:val="00086576"/>
    <w:rsid w:val="0008760C"/>
    <w:rsid w:val="00090010"/>
    <w:rsid w:val="00090EDE"/>
    <w:rsid w:val="00092C82"/>
    <w:rsid w:val="000930E1"/>
    <w:rsid w:val="00093278"/>
    <w:rsid w:val="000938F5"/>
    <w:rsid w:val="000939BF"/>
    <w:rsid w:val="000943C8"/>
    <w:rsid w:val="00094549"/>
    <w:rsid w:val="00095663"/>
    <w:rsid w:val="00095EF0"/>
    <w:rsid w:val="000962A7"/>
    <w:rsid w:val="000962B0"/>
    <w:rsid w:val="00096E55"/>
    <w:rsid w:val="0009783E"/>
    <w:rsid w:val="000A1242"/>
    <w:rsid w:val="000A3D1B"/>
    <w:rsid w:val="000A3D32"/>
    <w:rsid w:val="000A3EB5"/>
    <w:rsid w:val="000A49A5"/>
    <w:rsid w:val="000A5339"/>
    <w:rsid w:val="000A585F"/>
    <w:rsid w:val="000A6872"/>
    <w:rsid w:val="000B0303"/>
    <w:rsid w:val="000B1022"/>
    <w:rsid w:val="000B1134"/>
    <w:rsid w:val="000B1654"/>
    <w:rsid w:val="000B240C"/>
    <w:rsid w:val="000B5A29"/>
    <w:rsid w:val="000B601B"/>
    <w:rsid w:val="000B6210"/>
    <w:rsid w:val="000B67EE"/>
    <w:rsid w:val="000B6ACB"/>
    <w:rsid w:val="000C02F6"/>
    <w:rsid w:val="000C122A"/>
    <w:rsid w:val="000C207E"/>
    <w:rsid w:val="000C5DD3"/>
    <w:rsid w:val="000D072A"/>
    <w:rsid w:val="000D22DA"/>
    <w:rsid w:val="000D2636"/>
    <w:rsid w:val="000D41E9"/>
    <w:rsid w:val="000D6320"/>
    <w:rsid w:val="000D680F"/>
    <w:rsid w:val="000D73BD"/>
    <w:rsid w:val="000E02AD"/>
    <w:rsid w:val="000E2796"/>
    <w:rsid w:val="000E3DB8"/>
    <w:rsid w:val="000E448E"/>
    <w:rsid w:val="000F0035"/>
    <w:rsid w:val="000F07FF"/>
    <w:rsid w:val="000F1D91"/>
    <w:rsid w:val="000F29CC"/>
    <w:rsid w:val="000F3B14"/>
    <w:rsid w:val="000F3BCB"/>
    <w:rsid w:val="000F420B"/>
    <w:rsid w:val="000F4864"/>
    <w:rsid w:val="000F4FB3"/>
    <w:rsid w:val="00100A35"/>
    <w:rsid w:val="00101475"/>
    <w:rsid w:val="001025A2"/>
    <w:rsid w:val="00105F4D"/>
    <w:rsid w:val="00107321"/>
    <w:rsid w:val="001074AC"/>
    <w:rsid w:val="00110116"/>
    <w:rsid w:val="001108B3"/>
    <w:rsid w:val="00111032"/>
    <w:rsid w:val="00117047"/>
    <w:rsid w:val="00120072"/>
    <w:rsid w:val="00122AC8"/>
    <w:rsid w:val="00124FE2"/>
    <w:rsid w:val="001266E2"/>
    <w:rsid w:val="00126790"/>
    <w:rsid w:val="00126EB8"/>
    <w:rsid w:val="001274D4"/>
    <w:rsid w:val="00131059"/>
    <w:rsid w:val="00131661"/>
    <w:rsid w:val="001316B5"/>
    <w:rsid w:val="0013214C"/>
    <w:rsid w:val="0013569D"/>
    <w:rsid w:val="001363AA"/>
    <w:rsid w:val="0013739A"/>
    <w:rsid w:val="0014149F"/>
    <w:rsid w:val="00141719"/>
    <w:rsid w:val="00142843"/>
    <w:rsid w:val="001466CC"/>
    <w:rsid w:val="00146D0A"/>
    <w:rsid w:val="00150884"/>
    <w:rsid w:val="00152290"/>
    <w:rsid w:val="001532A8"/>
    <w:rsid w:val="00154A65"/>
    <w:rsid w:val="001558FA"/>
    <w:rsid w:val="0016044B"/>
    <w:rsid w:val="00160B15"/>
    <w:rsid w:val="00160CD3"/>
    <w:rsid w:val="00161C76"/>
    <w:rsid w:val="0016244D"/>
    <w:rsid w:val="0016566E"/>
    <w:rsid w:val="001659EC"/>
    <w:rsid w:val="00170285"/>
    <w:rsid w:val="00170396"/>
    <w:rsid w:val="00170460"/>
    <w:rsid w:val="00170FBC"/>
    <w:rsid w:val="00171BA2"/>
    <w:rsid w:val="00171DEB"/>
    <w:rsid w:val="001723D4"/>
    <w:rsid w:val="0017280C"/>
    <w:rsid w:val="0017293E"/>
    <w:rsid w:val="0017325A"/>
    <w:rsid w:val="001737DB"/>
    <w:rsid w:val="00175E62"/>
    <w:rsid w:val="00176299"/>
    <w:rsid w:val="00176F90"/>
    <w:rsid w:val="001805D8"/>
    <w:rsid w:val="0018129F"/>
    <w:rsid w:val="00181BA9"/>
    <w:rsid w:val="001831CA"/>
    <w:rsid w:val="00183E82"/>
    <w:rsid w:val="00185C49"/>
    <w:rsid w:val="00186CA8"/>
    <w:rsid w:val="001878BB"/>
    <w:rsid w:val="00191AE0"/>
    <w:rsid w:val="00191B01"/>
    <w:rsid w:val="0019275E"/>
    <w:rsid w:val="0019293B"/>
    <w:rsid w:val="00192A7F"/>
    <w:rsid w:val="001934F8"/>
    <w:rsid w:val="00193B3D"/>
    <w:rsid w:val="0019426B"/>
    <w:rsid w:val="00195C1C"/>
    <w:rsid w:val="00195EDC"/>
    <w:rsid w:val="001A02D0"/>
    <w:rsid w:val="001A37CD"/>
    <w:rsid w:val="001A3BC7"/>
    <w:rsid w:val="001A431B"/>
    <w:rsid w:val="001A46CD"/>
    <w:rsid w:val="001A4C90"/>
    <w:rsid w:val="001A57AE"/>
    <w:rsid w:val="001A6AFF"/>
    <w:rsid w:val="001B2B72"/>
    <w:rsid w:val="001B2CCD"/>
    <w:rsid w:val="001B2E9A"/>
    <w:rsid w:val="001B3851"/>
    <w:rsid w:val="001B3FB8"/>
    <w:rsid w:val="001B404B"/>
    <w:rsid w:val="001B4E60"/>
    <w:rsid w:val="001B549B"/>
    <w:rsid w:val="001B68F6"/>
    <w:rsid w:val="001B6EFD"/>
    <w:rsid w:val="001C020E"/>
    <w:rsid w:val="001C0601"/>
    <w:rsid w:val="001C0865"/>
    <w:rsid w:val="001C19EF"/>
    <w:rsid w:val="001C3ABA"/>
    <w:rsid w:val="001C43B9"/>
    <w:rsid w:val="001C4818"/>
    <w:rsid w:val="001C4BA6"/>
    <w:rsid w:val="001C4F66"/>
    <w:rsid w:val="001C5111"/>
    <w:rsid w:val="001C61D6"/>
    <w:rsid w:val="001C7237"/>
    <w:rsid w:val="001C7987"/>
    <w:rsid w:val="001D0D89"/>
    <w:rsid w:val="001D199A"/>
    <w:rsid w:val="001D1FA4"/>
    <w:rsid w:val="001D322B"/>
    <w:rsid w:val="001D3323"/>
    <w:rsid w:val="001D419C"/>
    <w:rsid w:val="001D52B4"/>
    <w:rsid w:val="001D5CFA"/>
    <w:rsid w:val="001D64AC"/>
    <w:rsid w:val="001D6B39"/>
    <w:rsid w:val="001D7743"/>
    <w:rsid w:val="001D7A78"/>
    <w:rsid w:val="001E050E"/>
    <w:rsid w:val="001E0B99"/>
    <w:rsid w:val="001E2369"/>
    <w:rsid w:val="001E3BCD"/>
    <w:rsid w:val="001E41A3"/>
    <w:rsid w:val="001E437C"/>
    <w:rsid w:val="001E4D46"/>
    <w:rsid w:val="001E5CD3"/>
    <w:rsid w:val="001E5E18"/>
    <w:rsid w:val="001E5EFF"/>
    <w:rsid w:val="001E6D71"/>
    <w:rsid w:val="001E7BE8"/>
    <w:rsid w:val="001E7EA6"/>
    <w:rsid w:val="001F0248"/>
    <w:rsid w:val="001F0AB5"/>
    <w:rsid w:val="001F3EB3"/>
    <w:rsid w:val="001F49AE"/>
    <w:rsid w:val="001F4BFD"/>
    <w:rsid w:val="001F4F86"/>
    <w:rsid w:val="001F5987"/>
    <w:rsid w:val="001F69D6"/>
    <w:rsid w:val="001F73D8"/>
    <w:rsid w:val="00200DE9"/>
    <w:rsid w:val="002021E0"/>
    <w:rsid w:val="00202C2C"/>
    <w:rsid w:val="00203DE5"/>
    <w:rsid w:val="00203ECB"/>
    <w:rsid w:val="0020426F"/>
    <w:rsid w:val="00204769"/>
    <w:rsid w:val="002055D3"/>
    <w:rsid w:val="00206DC2"/>
    <w:rsid w:val="002135AB"/>
    <w:rsid w:val="002144BE"/>
    <w:rsid w:val="00215116"/>
    <w:rsid w:val="0021538E"/>
    <w:rsid w:val="00217FE9"/>
    <w:rsid w:val="0022025B"/>
    <w:rsid w:val="0022094E"/>
    <w:rsid w:val="00220F82"/>
    <w:rsid w:val="002255DD"/>
    <w:rsid w:val="00225CB2"/>
    <w:rsid w:val="002270F8"/>
    <w:rsid w:val="002278DA"/>
    <w:rsid w:val="00227967"/>
    <w:rsid w:val="00227FD1"/>
    <w:rsid w:val="002306C9"/>
    <w:rsid w:val="002315F6"/>
    <w:rsid w:val="00231EC0"/>
    <w:rsid w:val="00234800"/>
    <w:rsid w:val="00234B58"/>
    <w:rsid w:val="00235E4B"/>
    <w:rsid w:val="002367CC"/>
    <w:rsid w:val="002406FF"/>
    <w:rsid w:val="00241AE8"/>
    <w:rsid w:val="00242279"/>
    <w:rsid w:val="00242A8C"/>
    <w:rsid w:val="002434FD"/>
    <w:rsid w:val="00243997"/>
    <w:rsid w:val="00244572"/>
    <w:rsid w:val="0024516C"/>
    <w:rsid w:val="0024598E"/>
    <w:rsid w:val="00245C82"/>
    <w:rsid w:val="00251CE9"/>
    <w:rsid w:val="00252B1E"/>
    <w:rsid w:val="0025543C"/>
    <w:rsid w:val="00255DFD"/>
    <w:rsid w:val="00263C74"/>
    <w:rsid w:val="00264933"/>
    <w:rsid w:val="002652B8"/>
    <w:rsid w:val="00266FC0"/>
    <w:rsid w:val="00271C08"/>
    <w:rsid w:val="002724BA"/>
    <w:rsid w:val="00272F6E"/>
    <w:rsid w:val="0027382D"/>
    <w:rsid w:val="002753D1"/>
    <w:rsid w:val="00275F85"/>
    <w:rsid w:val="00280D0C"/>
    <w:rsid w:val="0028128D"/>
    <w:rsid w:val="00283197"/>
    <w:rsid w:val="00284CED"/>
    <w:rsid w:val="00284E9F"/>
    <w:rsid w:val="00290401"/>
    <w:rsid w:val="00290470"/>
    <w:rsid w:val="00290848"/>
    <w:rsid w:val="00291AAF"/>
    <w:rsid w:val="00291B40"/>
    <w:rsid w:val="0029279A"/>
    <w:rsid w:val="00292FDC"/>
    <w:rsid w:val="00294BCC"/>
    <w:rsid w:val="00295D10"/>
    <w:rsid w:val="00295FA1"/>
    <w:rsid w:val="00296082"/>
    <w:rsid w:val="00296A2A"/>
    <w:rsid w:val="0029756D"/>
    <w:rsid w:val="002A00AF"/>
    <w:rsid w:val="002A14B9"/>
    <w:rsid w:val="002A29CF"/>
    <w:rsid w:val="002A340E"/>
    <w:rsid w:val="002A3646"/>
    <w:rsid w:val="002A4B33"/>
    <w:rsid w:val="002A6AB6"/>
    <w:rsid w:val="002B05FB"/>
    <w:rsid w:val="002B075C"/>
    <w:rsid w:val="002B0A92"/>
    <w:rsid w:val="002B4008"/>
    <w:rsid w:val="002B49A0"/>
    <w:rsid w:val="002B558B"/>
    <w:rsid w:val="002B5B36"/>
    <w:rsid w:val="002B74AE"/>
    <w:rsid w:val="002C3AE1"/>
    <w:rsid w:val="002C439F"/>
    <w:rsid w:val="002C4622"/>
    <w:rsid w:val="002C73DE"/>
    <w:rsid w:val="002C7FA3"/>
    <w:rsid w:val="002D0E8E"/>
    <w:rsid w:val="002D1344"/>
    <w:rsid w:val="002D3CDF"/>
    <w:rsid w:val="002D3F35"/>
    <w:rsid w:val="002D483C"/>
    <w:rsid w:val="002D62E8"/>
    <w:rsid w:val="002D6398"/>
    <w:rsid w:val="002E13BA"/>
    <w:rsid w:val="002E2637"/>
    <w:rsid w:val="002E324C"/>
    <w:rsid w:val="002E3FAF"/>
    <w:rsid w:val="002E50E5"/>
    <w:rsid w:val="002E5765"/>
    <w:rsid w:val="002E5A2C"/>
    <w:rsid w:val="002E6F7A"/>
    <w:rsid w:val="002F0956"/>
    <w:rsid w:val="002F0E1A"/>
    <w:rsid w:val="002F1389"/>
    <w:rsid w:val="002F3C28"/>
    <w:rsid w:val="002F3D23"/>
    <w:rsid w:val="002F51FE"/>
    <w:rsid w:val="00301189"/>
    <w:rsid w:val="003012BE"/>
    <w:rsid w:val="00301E4A"/>
    <w:rsid w:val="0030274A"/>
    <w:rsid w:val="00306AF5"/>
    <w:rsid w:val="00311CB3"/>
    <w:rsid w:val="00313536"/>
    <w:rsid w:val="003168B8"/>
    <w:rsid w:val="00317396"/>
    <w:rsid w:val="003173CE"/>
    <w:rsid w:val="00317CD6"/>
    <w:rsid w:val="00317FCA"/>
    <w:rsid w:val="00320CDC"/>
    <w:rsid w:val="00323E09"/>
    <w:rsid w:val="00323E6E"/>
    <w:rsid w:val="00327418"/>
    <w:rsid w:val="003338D6"/>
    <w:rsid w:val="00333932"/>
    <w:rsid w:val="00333CD3"/>
    <w:rsid w:val="00334E12"/>
    <w:rsid w:val="00335270"/>
    <w:rsid w:val="003353D0"/>
    <w:rsid w:val="00335441"/>
    <w:rsid w:val="003359C9"/>
    <w:rsid w:val="00341486"/>
    <w:rsid w:val="003429D3"/>
    <w:rsid w:val="00342B25"/>
    <w:rsid w:val="003433B6"/>
    <w:rsid w:val="00346765"/>
    <w:rsid w:val="003467BC"/>
    <w:rsid w:val="00347650"/>
    <w:rsid w:val="00350A01"/>
    <w:rsid w:val="003518AA"/>
    <w:rsid w:val="00351F8D"/>
    <w:rsid w:val="00352165"/>
    <w:rsid w:val="00352565"/>
    <w:rsid w:val="003525DC"/>
    <w:rsid w:val="00353182"/>
    <w:rsid w:val="00353ABE"/>
    <w:rsid w:val="00353F37"/>
    <w:rsid w:val="003547D1"/>
    <w:rsid w:val="00354CD1"/>
    <w:rsid w:val="003565D9"/>
    <w:rsid w:val="003602E1"/>
    <w:rsid w:val="003612ED"/>
    <w:rsid w:val="00361EEC"/>
    <w:rsid w:val="003625A4"/>
    <w:rsid w:val="00362CB7"/>
    <w:rsid w:val="00370147"/>
    <w:rsid w:val="003701DF"/>
    <w:rsid w:val="0037026F"/>
    <w:rsid w:val="00371240"/>
    <w:rsid w:val="00371A41"/>
    <w:rsid w:val="00372D65"/>
    <w:rsid w:val="0037342B"/>
    <w:rsid w:val="00374731"/>
    <w:rsid w:val="00376CAB"/>
    <w:rsid w:val="00376E59"/>
    <w:rsid w:val="00376ED8"/>
    <w:rsid w:val="00377E14"/>
    <w:rsid w:val="00380340"/>
    <w:rsid w:val="00381415"/>
    <w:rsid w:val="00381A60"/>
    <w:rsid w:val="00382469"/>
    <w:rsid w:val="00382D31"/>
    <w:rsid w:val="00382D61"/>
    <w:rsid w:val="00386641"/>
    <w:rsid w:val="00386810"/>
    <w:rsid w:val="00387B4D"/>
    <w:rsid w:val="00391500"/>
    <w:rsid w:val="003919F9"/>
    <w:rsid w:val="00391A15"/>
    <w:rsid w:val="003943FA"/>
    <w:rsid w:val="00396519"/>
    <w:rsid w:val="00397F7C"/>
    <w:rsid w:val="003A12D3"/>
    <w:rsid w:val="003A291D"/>
    <w:rsid w:val="003A3920"/>
    <w:rsid w:val="003A46EF"/>
    <w:rsid w:val="003A531A"/>
    <w:rsid w:val="003A57AB"/>
    <w:rsid w:val="003A7542"/>
    <w:rsid w:val="003B002D"/>
    <w:rsid w:val="003B01C5"/>
    <w:rsid w:val="003B04BA"/>
    <w:rsid w:val="003B1027"/>
    <w:rsid w:val="003B20B7"/>
    <w:rsid w:val="003B23C2"/>
    <w:rsid w:val="003B2B05"/>
    <w:rsid w:val="003B2EE7"/>
    <w:rsid w:val="003B3085"/>
    <w:rsid w:val="003B3A23"/>
    <w:rsid w:val="003B3C6A"/>
    <w:rsid w:val="003C24AB"/>
    <w:rsid w:val="003C3013"/>
    <w:rsid w:val="003C3361"/>
    <w:rsid w:val="003C3378"/>
    <w:rsid w:val="003C38B5"/>
    <w:rsid w:val="003C38E4"/>
    <w:rsid w:val="003C5AED"/>
    <w:rsid w:val="003C5D99"/>
    <w:rsid w:val="003C7562"/>
    <w:rsid w:val="003D1087"/>
    <w:rsid w:val="003D1635"/>
    <w:rsid w:val="003D2A6A"/>
    <w:rsid w:val="003D6527"/>
    <w:rsid w:val="003E0965"/>
    <w:rsid w:val="003E0AC0"/>
    <w:rsid w:val="003E107C"/>
    <w:rsid w:val="003E1EDC"/>
    <w:rsid w:val="003E2F59"/>
    <w:rsid w:val="003E367F"/>
    <w:rsid w:val="003E376F"/>
    <w:rsid w:val="003E38D8"/>
    <w:rsid w:val="003E53A3"/>
    <w:rsid w:val="003E71E2"/>
    <w:rsid w:val="003E746B"/>
    <w:rsid w:val="003F0789"/>
    <w:rsid w:val="003F20A6"/>
    <w:rsid w:val="003F45E0"/>
    <w:rsid w:val="003F4670"/>
    <w:rsid w:val="003F5BB7"/>
    <w:rsid w:val="003F5FF5"/>
    <w:rsid w:val="003F6E7A"/>
    <w:rsid w:val="00401822"/>
    <w:rsid w:val="00401882"/>
    <w:rsid w:val="00403668"/>
    <w:rsid w:val="0040460B"/>
    <w:rsid w:val="00405166"/>
    <w:rsid w:val="004061DC"/>
    <w:rsid w:val="00406AF6"/>
    <w:rsid w:val="004100C8"/>
    <w:rsid w:val="004107F2"/>
    <w:rsid w:val="00410DA9"/>
    <w:rsid w:val="00410F2B"/>
    <w:rsid w:val="00411DBD"/>
    <w:rsid w:val="00412ACE"/>
    <w:rsid w:val="00412C22"/>
    <w:rsid w:val="0041432F"/>
    <w:rsid w:val="004145D2"/>
    <w:rsid w:val="004146C7"/>
    <w:rsid w:val="004147A9"/>
    <w:rsid w:val="00414EB5"/>
    <w:rsid w:val="00415F39"/>
    <w:rsid w:val="00416A16"/>
    <w:rsid w:val="00417EDF"/>
    <w:rsid w:val="004200C5"/>
    <w:rsid w:val="004206C5"/>
    <w:rsid w:val="00421B8F"/>
    <w:rsid w:val="00421FC1"/>
    <w:rsid w:val="00422456"/>
    <w:rsid w:val="004242F7"/>
    <w:rsid w:val="00424782"/>
    <w:rsid w:val="00424EED"/>
    <w:rsid w:val="00425401"/>
    <w:rsid w:val="00426494"/>
    <w:rsid w:val="00426CB4"/>
    <w:rsid w:val="004302C4"/>
    <w:rsid w:val="00430B8D"/>
    <w:rsid w:val="00431249"/>
    <w:rsid w:val="00433C40"/>
    <w:rsid w:val="004343B7"/>
    <w:rsid w:val="00434C19"/>
    <w:rsid w:val="004355A6"/>
    <w:rsid w:val="0043576A"/>
    <w:rsid w:val="00437D9F"/>
    <w:rsid w:val="004406CE"/>
    <w:rsid w:val="004415D7"/>
    <w:rsid w:val="00442866"/>
    <w:rsid w:val="00442C52"/>
    <w:rsid w:val="00442D7E"/>
    <w:rsid w:val="00443394"/>
    <w:rsid w:val="0044384A"/>
    <w:rsid w:val="00444695"/>
    <w:rsid w:val="00444CC6"/>
    <w:rsid w:val="004459F3"/>
    <w:rsid w:val="00446EAB"/>
    <w:rsid w:val="00447070"/>
    <w:rsid w:val="00450810"/>
    <w:rsid w:val="00450CCA"/>
    <w:rsid w:val="004516B3"/>
    <w:rsid w:val="0045244F"/>
    <w:rsid w:val="00453870"/>
    <w:rsid w:val="00456C50"/>
    <w:rsid w:val="004574F7"/>
    <w:rsid w:val="00460488"/>
    <w:rsid w:val="00460B3F"/>
    <w:rsid w:val="00461391"/>
    <w:rsid w:val="00461E6C"/>
    <w:rsid w:val="00464602"/>
    <w:rsid w:val="0046498B"/>
    <w:rsid w:val="00465718"/>
    <w:rsid w:val="0047031E"/>
    <w:rsid w:val="00470737"/>
    <w:rsid w:val="0047184B"/>
    <w:rsid w:val="0047323C"/>
    <w:rsid w:val="00473551"/>
    <w:rsid w:val="004752AC"/>
    <w:rsid w:val="00477144"/>
    <w:rsid w:val="0047729A"/>
    <w:rsid w:val="00482E88"/>
    <w:rsid w:val="00483020"/>
    <w:rsid w:val="00483353"/>
    <w:rsid w:val="004849DA"/>
    <w:rsid w:val="00486CC7"/>
    <w:rsid w:val="00487749"/>
    <w:rsid w:val="00490E99"/>
    <w:rsid w:val="00491380"/>
    <w:rsid w:val="00492A09"/>
    <w:rsid w:val="00492DB2"/>
    <w:rsid w:val="0049459F"/>
    <w:rsid w:val="00494F5D"/>
    <w:rsid w:val="004979BB"/>
    <w:rsid w:val="004979F1"/>
    <w:rsid w:val="004A0815"/>
    <w:rsid w:val="004A0FE2"/>
    <w:rsid w:val="004A27C8"/>
    <w:rsid w:val="004A38DD"/>
    <w:rsid w:val="004A6080"/>
    <w:rsid w:val="004A6CEA"/>
    <w:rsid w:val="004B06CF"/>
    <w:rsid w:val="004B43AE"/>
    <w:rsid w:val="004B50BA"/>
    <w:rsid w:val="004C1E98"/>
    <w:rsid w:val="004C263D"/>
    <w:rsid w:val="004C2E32"/>
    <w:rsid w:val="004C30ED"/>
    <w:rsid w:val="004C38ED"/>
    <w:rsid w:val="004C3FC3"/>
    <w:rsid w:val="004C55C0"/>
    <w:rsid w:val="004C5C25"/>
    <w:rsid w:val="004D0867"/>
    <w:rsid w:val="004D1621"/>
    <w:rsid w:val="004D18BE"/>
    <w:rsid w:val="004D2EFE"/>
    <w:rsid w:val="004D39ED"/>
    <w:rsid w:val="004D5675"/>
    <w:rsid w:val="004D6106"/>
    <w:rsid w:val="004D6217"/>
    <w:rsid w:val="004D70FB"/>
    <w:rsid w:val="004E0A50"/>
    <w:rsid w:val="004E103C"/>
    <w:rsid w:val="004E11CE"/>
    <w:rsid w:val="004E163F"/>
    <w:rsid w:val="004F1C2E"/>
    <w:rsid w:val="004F223D"/>
    <w:rsid w:val="004F2D0C"/>
    <w:rsid w:val="004F4109"/>
    <w:rsid w:val="004F54EA"/>
    <w:rsid w:val="004F59D9"/>
    <w:rsid w:val="004F5B2E"/>
    <w:rsid w:val="004F6A4A"/>
    <w:rsid w:val="004F711D"/>
    <w:rsid w:val="004F788A"/>
    <w:rsid w:val="00500CCB"/>
    <w:rsid w:val="00500EFD"/>
    <w:rsid w:val="00501BFE"/>
    <w:rsid w:val="00501C66"/>
    <w:rsid w:val="005033BB"/>
    <w:rsid w:val="005036E5"/>
    <w:rsid w:val="005038F4"/>
    <w:rsid w:val="00506F52"/>
    <w:rsid w:val="005109AA"/>
    <w:rsid w:val="00511447"/>
    <w:rsid w:val="00512CF6"/>
    <w:rsid w:val="0051465E"/>
    <w:rsid w:val="0051580A"/>
    <w:rsid w:val="0051616E"/>
    <w:rsid w:val="005174D2"/>
    <w:rsid w:val="00517795"/>
    <w:rsid w:val="00520318"/>
    <w:rsid w:val="00521061"/>
    <w:rsid w:val="00521B63"/>
    <w:rsid w:val="0052263E"/>
    <w:rsid w:val="005233DB"/>
    <w:rsid w:val="00523639"/>
    <w:rsid w:val="00524A18"/>
    <w:rsid w:val="00526E07"/>
    <w:rsid w:val="005279CD"/>
    <w:rsid w:val="00530278"/>
    <w:rsid w:val="00530531"/>
    <w:rsid w:val="005305D6"/>
    <w:rsid w:val="00531FE5"/>
    <w:rsid w:val="005333F7"/>
    <w:rsid w:val="00533406"/>
    <w:rsid w:val="00534CC8"/>
    <w:rsid w:val="0053617B"/>
    <w:rsid w:val="005373F4"/>
    <w:rsid w:val="005402FA"/>
    <w:rsid w:val="00540DD2"/>
    <w:rsid w:val="005422E5"/>
    <w:rsid w:val="00542447"/>
    <w:rsid w:val="00542C5E"/>
    <w:rsid w:val="00543DBB"/>
    <w:rsid w:val="005441FB"/>
    <w:rsid w:val="0054477C"/>
    <w:rsid w:val="00551623"/>
    <w:rsid w:val="00552F85"/>
    <w:rsid w:val="005534BF"/>
    <w:rsid w:val="00556749"/>
    <w:rsid w:val="005574DF"/>
    <w:rsid w:val="005612DE"/>
    <w:rsid w:val="00570426"/>
    <w:rsid w:val="005718BB"/>
    <w:rsid w:val="00571B37"/>
    <w:rsid w:val="005729BD"/>
    <w:rsid w:val="00573632"/>
    <w:rsid w:val="00573B8C"/>
    <w:rsid w:val="005742CD"/>
    <w:rsid w:val="00574FA0"/>
    <w:rsid w:val="005767C4"/>
    <w:rsid w:val="00576BC4"/>
    <w:rsid w:val="0058083A"/>
    <w:rsid w:val="0058144A"/>
    <w:rsid w:val="00581A75"/>
    <w:rsid w:val="00581BA6"/>
    <w:rsid w:val="00582352"/>
    <w:rsid w:val="0058270E"/>
    <w:rsid w:val="00582D7D"/>
    <w:rsid w:val="00583364"/>
    <w:rsid w:val="00583C39"/>
    <w:rsid w:val="005845B4"/>
    <w:rsid w:val="005845B5"/>
    <w:rsid w:val="00584D82"/>
    <w:rsid w:val="00586047"/>
    <w:rsid w:val="00587F28"/>
    <w:rsid w:val="005909CF"/>
    <w:rsid w:val="00590A53"/>
    <w:rsid w:val="00591E71"/>
    <w:rsid w:val="0059230B"/>
    <w:rsid w:val="005935E6"/>
    <w:rsid w:val="005940EC"/>
    <w:rsid w:val="005941EA"/>
    <w:rsid w:val="00595380"/>
    <w:rsid w:val="005A0C69"/>
    <w:rsid w:val="005A0D41"/>
    <w:rsid w:val="005A4249"/>
    <w:rsid w:val="005A5E8C"/>
    <w:rsid w:val="005A6286"/>
    <w:rsid w:val="005B0638"/>
    <w:rsid w:val="005B08BF"/>
    <w:rsid w:val="005B3C21"/>
    <w:rsid w:val="005B58C3"/>
    <w:rsid w:val="005B6782"/>
    <w:rsid w:val="005B70A9"/>
    <w:rsid w:val="005C2380"/>
    <w:rsid w:val="005C4F28"/>
    <w:rsid w:val="005C5C11"/>
    <w:rsid w:val="005C5E19"/>
    <w:rsid w:val="005C5E7E"/>
    <w:rsid w:val="005C605B"/>
    <w:rsid w:val="005D0C39"/>
    <w:rsid w:val="005D1070"/>
    <w:rsid w:val="005D2045"/>
    <w:rsid w:val="005D287B"/>
    <w:rsid w:val="005D2E94"/>
    <w:rsid w:val="005D6C0D"/>
    <w:rsid w:val="005D6E6E"/>
    <w:rsid w:val="005D6F20"/>
    <w:rsid w:val="005D727C"/>
    <w:rsid w:val="005E3372"/>
    <w:rsid w:val="005E4D59"/>
    <w:rsid w:val="005E7D00"/>
    <w:rsid w:val="005F22EF"/>
    <w:rsid w:val="005F42C9"/>
    <w:rsid w:val="005F48ED"/>
    <w:rsid w:val="005F64A7"/>
    <w:rsid w:val="00600C04"/>
    <w:rsid w:val="00601FA9"/>
    <w:rsid w:val="00603423"/>
    <w:rsid w:val="00604897"/>
    <w:rsid w:val="00606160"/>
    <w:rsid w:val="006066A9"/>
    <w:rsid w:val="00606E78"/>
    <w:rsid w:val="00607BF1"/>
    <w:rsid w:val="006112B5"/>
    <w:rsid w:val="0061151B"/>
    <w:rsid w:val="00612FBD"/>
    <w:rsid w:val="006159BB"/>
    <w:rsid w:val="00616313"/>
    <w:rsid w:val="006169A6"/>
    <w:rsid w:val="00617104"/>
    <w:rsid w:val="006207C4"/>
    <w:rsid w:val="00620B87"/>
    <w:rsid w:val="0062197F"/>
    <w:rsid w:val="00621FA7"/>
    <w:rsid w:val="006258BD"/>
    <w:rsid w:val="006260DC"/>
    <w:rsid w:val="0062612A"/>
    <w:rsid w:val="00627824"/>
    <w:rsid w:val="0062793B"/>
    <w:rsid w:val="0063019D"/>
    <w:rsid w:val="00630D4D"/>
    <w:rsid w:val="00630F6B"/>
    <w:rsid w:val="006327C3"/>
    <w:rsid w:val="00632A74"/>
    <w:rsid w:val="00636DF7"/>
    <w:rsid w:val="00637669"/>
    <w:rsid w:val="00637B78"/>
    <w:rsid w:val="0064252E"/>
    <w:rsid w:val="00642F33"/>
    <w:rsid w:val="006439A8"/>
    <w:rsid w:val="00645795"/>
    <w:rsid w:val="006458BD"/>
    <w:rsid w:val="006514CD"/>
    <w:rsid w:val="006519A0"/>
    <w:rsid w:val="00653480"/>
    <w:rsid w:val="0065461A"/>
    <w:rsid w:val="00654D42"/>
    <w:rsid w:val="00656888"/>
    <w:rsid w:val="006579E1"/>
    <w:rsid w:val="00661F1C"/>
    <w:rsid w:val="00662543"/>
    <w:rsid w:val="006626D3"/>
    <w:rsid w:val="00663C28"/>
    <w:rsid w:val="00663CBA"/>
    <w:rsid w:val="00664109"/>
    <w:rsid w:val="00666058"/>
    <w:rsid w:val="00666E9A"/>
    <w:rsid w:val="0067035B"/>
    <w:rsid w:val="00671377"/>
    <w:rsid w:val="006734ED"/>
    <w:rsid w:val="006751A3"/>
    <w:rsid w:val="006758AD"/>
    <w:rsid w:val="0067686E"/>
    <w:rsid w:val="00680F91"/>
    <w:rsid w:val="00681B63"/>
    <w:rsid w:val="00681F37"/>
    <w:rsid w:val="00681FE8"/>
    <w:rsid w:val="00682DF5"/>
    <w:rsid w:val="00683F50"/>
    <w:rsid w:val="0068460A"/>
    <w:rsid w:val="00684F02"/>
    <w:rsid w:val="00686196"/>
    <w:rsid w:val="00691426"/>
    <w:rsid w:val="00691CD6"/>
    <w:rsid w:val="00691EC6"/>
    <w:rsid w:val="006932E0"/>
    <w:rsid w:val="006951C0"/>
    <w:rsid w:val="00695F5C"/>
    <w:rsid w:val="00697781"/>
    <w:rsid w:val="006A0AF6"/>
    <w:rsid w:val="006A0E0F"/>
    <w:rsid w:val="006A27A4"/>
    <w:rsid w:val="006A39DD"/>
    <w:rsid w:val="006A4655"/>
    <w:rsid w:val="006A5617"/>
    <w:rsid w:val="006B0407"/>
    <w:rsid w:val="006B1F01"/>
    <w:rsid w:val="006B2837"/>
    <w:rsid w:val="006B2B3C"/>
    <w:rsid w:val="006B3825"/>
    <w:rsid w:val="006B3A24"/>
    <w:rsid w:val="006B3D3D"/>
    <w:rsid w:val="006B5BB7"/>
    <w:rsid w:val="006B6B7B"/>
    <w:rsid w:val="006B7F21"/>
    <w:rsid w:val="006C06C3"/>
    <w:rsid w:val="006C09DD"/>
    <w:rsid w:val="006C1443"/>
    <w:rsid w:val="006C1D81"/>
    <w:rsid w:val="006C366B"/>
    <w:rsid w:val="006C383A"/>
    <w:rsid w:val="006C4453"/>
    <w:rsid w:val="006C6291"/>
    <w:rsid w:val="006C7038"/>
    <w:rsid w:val="006C72FA"/>
    <w:rsid w:val="006C7AE4"/>
    <w:rsid w:val="006D21A3"/>
    <w:rsid w:val="006D2554"/>
    <w:rsid w:val="006D55AC"/>
    <w:rsid w:val="006D7036"/>
    <w:rsid w:val="006E04A6"/>
    <w:rsid w:val="006E20DF"/>
    <w:rsid w:val="006E2858"/>
    <w:rsid w:val="006E2CAB"/>
    <w:rsid w:val="006E37DF"/>
    <w:rsid w:val="006E66DA"/>
    <w:rsid w:val="006E73EF"/>
    <w:rsid w:val="006F04A5"/>
    <w:rsid w:val="006F0CE7"/>
    <w:rsid w:val="006F0DD5"/>
    <w:rsid w:val="006F1529"/>
    <w:rsid w:val="006F2584"/>
    <w:rsid w:val="006F7164"/>
    <w:rsid w:val="006F772D"/>
    <w:rsid w:val="00700431"/>
    <w:rsid w:val="00702199"/>
    <w:rsid w:val="00702980"/>
    <w:rsid w:val="00704B55"/>
    <w:rsid w:val="00705811"/>
    <w:rsid w:val="00706408"/>
    <w:rsid w:val="007079C9"/>
    <w:rsid w:val="00710249"/>
    <w:rsid w:val="007112CF"/>
    <w:rsid w:val="00714D4D"/>
    <w:rsid w:val="00714D8B"/>
    <w:rsid w:val="007150BA"/>
    <w:rsid w:val="00715DB5"/>
    <w:rsid w:val="0071738C"/>
    <w:rsid w:val="00717B60"/>
    <w:rsid w:val="00721A73"/>
    <w:rsid w:val="00723705"/>
    <w:rsid w:val="00723DB3"/>
    <w:rsid w:val="00723EBA"/>
    <w:rsid w:val="007249D0"/>
    <w:rsid w:val="0072556C"/>
    <w:rsid w:val="007266D3"/>
    <w:rsid w:val="00732029"/>
    <w:rsid w:val="0073489F"/>
    <w:rsid w:val="007348A0"/>
    <w:rsid w:val="00735971"/>
    <w:rsid w:val="007364BE"/>
    <w:rsid w:val="00736A09"/>
    <w:rsid w:val="00736BED"/>
    <w:rsid w:val="00736F09"/>
    <w:rsid w:val="0073742D"/>
    <w:rsid w:val="00737ECE"/>
    <w:rsid w:val="007421E4"/>
    <w:rsid w:val="0074239F"/>
    <w:rsid w:val="007426BE"/>
    <w:rsid w:val="00743080"/>
    <w:rsid w:val="00743ADC"/>
    <w:rsid w:val="007465CA"/>
    <w:rsid w:val="00746D1C"/>
    <w:rsid w:val="00750E82"/>
    <w:rsid w:val="00751AD0"/>
    <w:rsid w:val="00751BEA"/>
    <w:rsid w:val="00751CA3"/>
    <w:rsid w:val="00754299"/>
    <w:rsid w:val="00755EA6"/>
    <w:rsid w:val="00756DA9"/>
    <w:rsid w:val="00757499"/>
    <w:rsid w:val="007604BB"/>
    <w:rsid w:val="00762EEE"/>
    <w:rsid w:val="0076519E"/>
    <w:rsid w:val="0076556E"/>
    <w:rsid w:val="00766E7F"/>
    <w:rsid w:val="007712B4"/>
    <w:rsid w:val="007726BD"/>
    <w:rsid w:val="00772E69"/>
    <w:rsid w:val="00772F20"/>
    <w:rsid w:val="00773185"/>
    <w:rsid w:val="007763F3"/>
    <w:rsid w:val="00776C7B"/>
    <w:rsid w:val="00777225"/>
    <w:rsid w:val="00777355"/>
    <w:rsid w:val="00780A74"/>
    <w:rsid w:val="00782959"/>
    <w:rsid w:val="00782D06"/>
    <w:rsid w:val="00785232"/>
    <w:rsid w:val="0078573A"/>
    <w:rsid w:val="007869F5"/>
    <w:rsid w:val="0079076C"/>
    <w:rsid w:val="00791F2B"/>
    <w:rsid w:val="00792375"/>
    <w:rsid w:val="0079266C"/>
    <w:rsid w:val="007930F8"/>
    <w:rsid w:val="00793406"/>
    <w:rsid w:val="007947E4"/>
    <w:rsid w:val="0079484B"/>
    <w:rsid w:val="0079701E"/>
    <w:rsid w:val="007A158E"/>
    <w:rsid w:val="007A1E31"/>
    <w:rsid w:val="007A21D1"/>
    <w:rsid w:val="007A21EB"/>
    <w:rsid w:val="007A27CE"/>
    <w:rsid w:val="007A3512"/>
    <w:rsid w:val="007A428D"/>
    <w:rsid w:val="007A4F34"/>
    <w:rsid w:val="007A53F5"/>
    <w:rsid w:val="007A5E3F"/>
    <w:rsid w:val="007A6400"/>
    <w:rsid w:val="007A7848"/>
    <w:rsid w:val="007B07EA"/>
    <w:rsid w:val="007B0D14"/>
    <w:rsid w:val="007B1A93"/>
    <w:rsid w:val="007B215D"/>
    <w:rsid w:val="007B3509"/>
    <w:rsid w:val="007B3673"/>
    <w:rsid w:val="007B4F18"/>
    <w:rsid w:val="007B5CF9"/>
    <w:rsid w:val="007B5E21"/>
    <w:rsid w:val="007C015F"/>
    <w:rsid w:val="007C1FAA"/>
    <w:rsid w:val="007C36C9"/>
    <w:rsid w:val="007C3FDB"/>
    <w:rsid w:val="007C5584"/>
    <w:rsid w:val="007C7ADA"/>
    <w:rsid w:val="007D32BE"/>
    <w:rsid w:val="007D3401"/>
    <w:rsid w:val="007D3462"/>
    <w:rsid w:val="007D550E"/>
    <w:rsid w:val="007D5B7D"/>
    <w:rsid w:val="007D6401"/>
    <w:rsid w:val="007D6CC2"/>
    <w:rsid w:val="007D6F9D"/>
    <w:rsid w:val="007D7B13"/>
    <w:rsid w:val="007E01E4"/>
    <w:rsid w:val="007E236E"/>
    <w:rsid w:val="007E4765"/>
    <w:rsid w:val="007E4A27"/>
    <w:rsid w:val="007E52F0"/>
    <w:rsid w:val="007E5DEB"/>
    <w:rsid w:val="007E6E34"/>
    <w:rsid w:val="007E7201"/>
    <w:rsid w:val="007E7A12"/>
    <w:rsid w:val="007E7BD9"/>
    <w:rsid w:val="007E7DBF"/>
    <w:rsid w:val="007F1686"/>
    <w:rsid w:val="007F1FD4"/>
    <w:rsid w:val="007F2E5C"/>
    <w:rsid w:val="007F347C"/>
    <w:rsid w:val="007F3889"/>
    <w:rsid w:val="007F56CE"/>
    <w:rsid w:val="007F606E"/>
    <w:rsid w:val="007F66E2"/>
    <w:rsid w:val="007F7107"/>
    <w:rsid w:val="007F7FDC"/>
    <w:rsid w:val="00800D4C"/>
    <w:rsid w:val="00802773"/>
    <w:rsid w:val="00802B77"/>
    <w:rsid w:val="008033BC"/>
    <w:rsid w:val="008043CC"/>
    <w:rsid w:val="00805146"/>
    <w:rsid w:val="008054E0"/>
    <w:rsid w:val="008058CB"/>
    <w:rsid w:val="0081030F"/>
    <w:rsid w:val="00810B1A"/>
    <w:rsid w:val="00812EE6"/>
    <w:rsid w:val="00812F4A"/>
    <w:rsid w:val="00813008"/>
    <w:rsid w:val="00813E8D"/>
    <w:rsid w:val="008140E0"/>
    <w:rsid w:val="008145E3"/>
    <w:rsid w:val="0081490A"/>
    <w:rsid w:val="00814D22"/>
    <w:rsid w:val="00816FF9"/>
    <w:rsid w:val="00817036"/>
    <w:rsid w:val="008177E4"/>
    <w:rsid w:val="0082028B"/>
    <w:rsid w:val="008205D1"/>
    <w:rsid w:val="0082087D"/>
    <w:rsid w:val="0082157F"/>
    <w:rsid w:val="00824AA5"/>
    <w:rsid w:val="00824EEE"/>
    <w:rsid w:val="008273A7"/>
    <w:rsid w:val="00827CF0"/>
    <w:rsid w:val="008301BC"/>
    <w:rsid w:val="00831143"/>
    <w:rsid w:val="008327CF"/>
    <w:rsid w:val="00833F58"/>
    <w:rsid w:val="00834B6C"/>
    <w:rsid w:val="008354FD"/>
    <w:rsid w:val="00835771"/>
    <w:rsid w:val="008361F4"/>
    <w:rsid w:val="008363D0"/>
    <w:rsid w:val="008366EF"/>
    <w:rsid w:val="0083779F"/>
    <w:rsid w:val="00842933"/>
    <w:rsid w:val="00844AAB"/>
    <w:rsid w:val="0084561D"/>
    <w:rsid w:val="00846811"/>
    <w:rsid w:val="0084781A"/>
    <w:rsid w:val="008543D2"/>
    <w:rsid w:val="00854905"/>
    <w:rsid w:val="00855CFC"/>
    <w:rsid w:val="008604EA"/>
    <w:rsid w:val="0086063F"/>
    <w:rsid w:val="0086082C"/>
    <w:rsid w:val="008611CA"/>
    <w:rsid w:val="008611F9"/>
    <w:rsid w:val="008613C6"/>
    <w:rsid w:val="008638F8"/>
    <w:rsid w:val="0086403C"/>
    <w:rsid w:val="00864ACE"/>
    <w:rsid w:val="00864ADC"/>
    <w:rsid w:val="00870999"/>
    <w:rsid w:val="0087140E"/>
    <w:rsid w:val="00871972"/>
    <w:rsid w:val="00872C8D"/>
    <w:rsid w:val="00874E71"/>
    <w:rsid w:val="008761BF"/>
    <w:rsid w:val="0087687C"/>
    <w:rsid w:val="008768F7"/>
    <w:rsid w:val="00877273"/>
    <w:rsid w:val="0087759C"/>
    <w:rsid w:val="00880153"/>
    <w:rsid w:val="00880325"/>
    <w:rsid w:val="0088074A"/>
    <w:rsid w:val="00880F97"/>
    <w:rsid w:val="0088133A"/>
    <w:rsid w:val="00884800"/>
    <w:rsid w:val="0088503B"/>
    <w:rsid w:val="008860B1"/>
    <w:rsid w:val="008870C1"/>
    <w:rsid w:val="008909C9"/>
    <w:rsid w:val="00891B6D"/>
    <w:rsid w:val="0089221E"/>
    <w:rsid w:val="0089285E"/>
    <w:rsid w:val="008930AD"/>
    <w:rsid w:val="00893189"/>
    <w:rsid w:val="0089436C"/>
    <w:rsid w:val="00894C80"/>
    <w:rsid w:val="00895AA9"/>
    <w:rsid w:val="00896DA9"/>
    <w:rsid w:val="008A0E93"/>
    <w:rsid w:val="008A1BC6"/>
    <w:rsid w:val="008A3811"/>
    <w:rsid w:val="008A415A"/>
    <w:rsid w:val="008A53EA"/>
    <w:rsid w:val="008A699F"/>
    <w:rsid w:val="008A7302"/>
    <w:rsid w:val="008A7EC5"/>
    <w:rsid w:val="008B1C3D"/>
    <w:rsid w:val="008B1D6C"/>
    <w:rsid w:val="008B2413"/>
    <w:rsid w:val="008B283F"/>
    <w:rsid w:val="008B3B69"/>
    <w:rsid w:val="008C126B"/>
    <w:rsid w:val="008C399A"/>
    <w:rsid w:val="008C68CA"/>
    <w:rsid w:val="008D016E"/>
    <w:rsid w:val="008D176E"/>
    <w:rsid w:val="008D30AD"/>
    <w:rsid w:val="008D34B8"/>
    <w:rsid w:val="008D365C"/>
    <w:rsid w:val="008D4AD0"/>
    <w:rsid w:val="008D51EB"/>
    <w:rsid w:val="008D60EB"/>
    <w:rsid w:val="008D7CDD"/>
    <w:rsid w:val="008E0A4F"/>
    <w:rsid w:val="008E266F"/>
    <w:rsid w:val="008E4903"/>
    <w:rsid w:val="008E685C"/>
    <w:rsid w:val="008E7834"/>
    <w:rsid w:val="008F1859"/>
    <w:rsid w:val="008F1F73"/>
    <w:rsid w:val="008F36E9"/>
    <w:rsid w:val="008F4113"/>
    <w:rsid w:val="008F456B"/>
    <w:rsid w:val="008F5071"/>
    <w:rsid w:val="008F7156"/>
    <w:rsid w:val="00900757"/>
    <w:rsid w:val="00901278"/>
    <w:rsid w:val="00901DDB"/>
    <w:rsid w:val="00902480"/>
    <w:rsid w:val="00902802"/>
    <w:rsid w:val="009030BF"/>
    <w:rsid w:val="00903B52"/>
    <w:rsid w:val="00903FA6"/>
    <w:rsid w:val="00905D4C"/>
    <w:rsid w:val="0091032F"/>
    <w:rsid w:val="009108EE"/>
    <w:rsid w:val="0091100B"/>
    <w:rsid w:val="00911596"/>
    <w:rsid w:val="009133D3"/>
    <w:rsid w:val="009134C6"/>
    <w:rsid w:val="009137A4"/>
    <w:rsid w:val="00914368"/>
    <w:rsid w:val="009167DB"/>
    <w:rsid w:val="00917542"/>
    <w:rsid w:val="00920C76"/>
    <w:rsid w:val="009252A5"/>
    <w:rsid w:val="00926D85"/>
    <w:rsid w:val="0092731E"/>
    <w:rsid w:val="0092747E"/>
    <w:rsid w:val="00931076"/>
    <w:rsid w:val="00931D2F"/>
    <w:rsid w:val="009321DD"/>
    <w:rsid w:val="00933635"/>
    <w:rsid w:val="009345D9"/>
    <w:rsid w:val="00934B15"/>
    <w:rsid w:val="00935877"/>
    <w:rsid w:val="00936604"/>
    <w:rsid w:val="009366B0"/>
    <w:rsid w:val="00936718"/>
    <w:rsid w:val="00937A51"/>
    <w:rsid w:val="009406F9"/>
    <w:rsid w:val="00940AAC"/>
    <w:rsid w:val="00940C87"/>
    <w:rsid w:val="00942B62"/>
    <w:rsid w:val="00944D05"/>
    <w:rsid w:val="00946F75"/>
    <w:rsid w:val="00950155"/>
    <w:rsid w:val="0095323B"/>
    <w:rsid w:val="00953291"/>
    <w:rsid w:val="00953ABE"/>
    <w:rsid w:val="009546EE"/>
    <w:rsid w:val="00956063"/>
    <w:rsid w:val="0095653D"/>
    <w:rsid w:val="00956A0C"/>
    <w:rsid w:val="00956BD9"/>
    <w:rsid w:val="00960953"/>
    <w:rsid w:val="00961E95"/>
    <w:rsid w:val="00962489"/>
    <w:rsid w:val="00965229"/>
    <w:rsid w:val="0096527E"/>
    <w:rsid w:val="0096766D"/>
    <w:rsid w:val="00967CD3"/>
    <w:rsid w:val="0097009B"/>
    <w:rsid w:val="00972449"/>
    <w:rsid w:val="00975A85"/>
    <w:rsid w:val="00976245"/>
    <w:rsid w:val="009762D0"/>
    <w:rsid w:val="00976FC6"/>
    <w:rsid w:val="00977D32"/>
    <w:rsid w:val="00977F78"/>
    <w:rsid w:val="00981652"/>
    <w:rsid w:val="00982F29"/>
    <w:rsid w:val="00983AFE"/>
    <w:rsid w:val="00984275"/>
    <w:rsid w:val="00990C2C"/>
    <w:rsid w:val="009916B3"/>
    <w:rsid w:val="00993096"/>
    <w:rsid w:val="009953B9"/>
    <w:rsid w:val="0099687E"/>
    <w:rsid w:val="00996F53"/>
    <w:rsid w:val="009A0505"/>
    <w:rsid w:val="009A19E8"/>
    <w:rsid w:val="009A1AF0"/>
    <w:rsid w:val="009A564F"/>
    <w:rsid w:val="009A5C2F"/>
    <w:rsid w:val="009A6B86"/>
    <w:rsid w:val="009A6F4F"/>
    <w:rsid w:val="009A7B35"/>
    <w:rsid w:val="009B068B"/>
    <w:rsid w:val="009B0F51"/>
    <w:rsid w:val="009B0F8A"/>
    <w:rsid w:val="009B112C"/>
    <w:rsid w:val="009B4102"/>
    <w:rsid w:val="009B5830"/>
    <w:rsid w:val="009B7504"/>
    <w:rsid w:val="009C020E"/>
    <w:rsid w:val="009C043B"/>
    <w:rsid w:val="009C0AD8"/>
    <w:rsid w:val="009C1149"/>
    <w:rsid w:val="009C196A"/>
    <w:rsid w:val="009C1EEF"/>
    <w:rsid w:val="009C454F"/>
    <w:rsid w:val="009C4A1E"/>
    <w:rsid w:val="009C51C0"/>
    <w:rsid w:val="009C6AE5"/>
    <w:rsid w:val="009C76F9"/>
    <w:rsid w:val="009D0328"/>
    <w:rsid w:val="009D05E4"/>
    <w:rsid w:val="009D1599"/>
    <w:rsid w:val="009D2301"/>
    <w:rsid w:val="009D2445"/>
    <w:rsid w:val="009D55EB"/>
    <w:rsid w:val="009D5680"/>
    <w:rsid w:val="009D6B71"/>
    <w:rsid w:val="009E14EE"/>
    <w:rsid w:val="009E1844"/>
    <w:rsid w:val="009E19B0"/>
    <w:rsid w:val="009E2513"/>
    <w:rsid w:val="009E5323"/>
    <w:rsid w:val="009E599D"/>
    <w:rsid w:val="009E7B61"/>
    <w:rsid w:val="009E7E0E"/>
    <w:rsid w:val="009F0D1B"/>
    <w:rsid w:val="009F23F9"/>
    <w:rsid w:val="009F3E26"/>
    <w:rsid w:val="009F5BBD"/>
    <w:rsid w:val="009F696D"/>
    <w:rsid w:val="009F6BC6"/>
    <w:rsid w:val="009F6FCD"/>
    <w:rsid w:val="009F71AE"/>
    <w:rsid w:val="009F74EF"/>
    <w:rsid w:val="00A01F34"/>
    <w:rsid w:val="00A028DE"/>
    <w:rsid w:val="00A02A8A"/>
    <w:rsid w:val="00A02EDC"/>
    <w:rsid w:val="00A03683"/>
    <w:rsid w:val="00A0409C"/>
    <w:rsid w:val="00A05338"/>
    <w:rsid w:val="00A05380"/>
    <w:rsid w:val="00A065D9"/>
    <w:rsid w:val="00A07421"/>
    <w:rsid w:val="00A10335"/>
    <w:rsid w:val="00A15D5A"/>
    <w:rsid w:val="00A17328"/>
    <w:rsid w:val="00A23A20"/>
    <w:rsid w:val="00A24443"/>
    <w:rsid w:val="00A25020"/>
    <w:rsid w:val="00A268B9"/>
    <w:rsid w:val="00A26C38"/>
    <w:rsid w:val="00A2703A"/>
    <w:rsid w:val="00A27A5A"/>
    <w:rsid w:val="00A305B0"/>
    <w:rsid w:val="00A33DFF"/>
    <w:rsid w:val="00A35115"/>
    <w:rsid w:val="00A36D9A"/>
    <w:rsid w:val="00A374AA"/>
    <w:rsid w:val="00A37E90"/>
    <w:rsid w:val="00A37F3D"/>
    <w:rsid w:val="00A37F7F"/>
    <w:rsid w:val="00A42369"/>
    <w:rsid w:val="00A423BE"/>
    <w:rsid w:val="00A42A5E"/>
    <w:rsid w:val="00A4332E"/>
    <w:rsid w:val="00A43AFB"/>
    <w:rsid w:val="00A44A1E"/>
    <w:rsid w:val="00A45BC8"/>
    <w:rsid w:val="00A45E1F"/>
    <w:rsid w:val="00A52F1D"/>
    <w:rsid w:val="00A53899"/>
    <w:rsid w:val="00A53BC2"/>
    <w:rsid w:val="00A554AB"/>
    <w:rsid w:val="00A556B2"/>
    <w:rsid w:val="00A55EE1"/>
    <w:rsid w:val="00A57062"/>
    <w:rsid w:val="00A57744"/>
    <w:rsid w:val="00A57925"/>
    <w:rsid w:val="00A60A7A"/>
    <w:rsid w:val="00A60F77"/>
    <w:rsid w:val="00A6115C"/>
    <w:rsid w:val="00A61C69"/>
    <w:rsid w:val="00A64B47"/>
    <w:rsid w:val="00A653F2"/>
    <w:rsid w:val="00A65AB2"/>
    <w:rsid w:val="00A669E9"/>
    <w:rsid w:val="00A67181"/>
    <w:rsid w:val="00A67781"/>
    <w:rsid w:val="00A67CB8"/>
    <w:rsid w:val="00A70D9A"/>
    <w:rsid w:val="00A70E28"/>
    <w:rsid w:val="00A7136D"/>
    <w:rsid w:val="00A73C7C"/>
    <w:rsid w:val="00A74084"/>
    <w:rsid w:val="00A761F9"/>
    <w:rsid w:val="00A76BFF"/>
    <w:rsid w:val="00A8204F"/>
    <w:rsid w:val="00A82676"/>
    <w:rsid w:val="00A836F0"/>
    <w:rsid w:val="00A84AC3"/>
    <w:rsid w:val="00A84B4C"/>
    <w:rsid w:val="00A84ED3"/>
    <w:rsid w:val="00A85AFF"/>
    <w:rsid w:val="00A863EA"/>
    <w:rsid w:val="00A8698E"/>
    <w:rsid w:val="00A91638"/>
    <w:rsid w:val="00A91ECB"/>
    <w:rsid w:val="00A92B53"/>
    <w:rsid w:val="00A940F1"/>
    <w:rsid w:val="00A94FA6"/>
    <w:rsid w:val="00A94FC7"/>
    <w:rsid w:val="00A96A6F"/>
    <w:rsid w:val="00AA0069"/>
    <w:rsid w:val="00AA2D2F"/>
    <w:rsid w:val="00AA329E"/>
    <w:rsid w:val="00AA4178"/>
    <w:rsid w:val="00AA4590"/>
    <w:rsid w:val="00AA46F6"/>
    <w:rsid w:val="00AA492D"/>
    <w:rsid w:val="00AA49A0"/>
    <w:rsid w:val="00AA60B0"/>
    <w:rsid w:val="00AA63AB"/>
    <w:rsid w:val="00AA6710"/>
    <w:rsid w:val="00AA7040"/>
    <w:rsid w:val="00AA71FE"/>
    <w:rsid w:val="00AA7372"/>
    <w:rsid w:val="00AB0519"/>
    <w:rsid w:val="00AB0681"/>
    <w:rsid w:val="00AB1132"/>
    <w:rsid w:val="00AB28DE"/>
    <w:rsid w:val="00AB3B9F"/>
    <w:rsid w:val="00AB6716"/>
    <w:rsid w:val="00AB6A5B"/>
    <w:rsid w:val="00AC090D"/>
    <w:rsid w:val="00AC0BD2"/>
    <w:rsid w:val="00AC1066"/>
    <w:rsid w:val="00AC17AF"/>
    <w:rsid w:val="00AC1B53"/>
    <w:rsid w:val="00AC29DD"/>
    <w:rsid w:val="00AC3872"/>
    <w:rsid w:val="00AC4F19"/>
    <w:rsid w:val="00AC733C"/>
    <w:rsid w:val="00AD0006"/>
    <w:rsid w:val="00AD14C5"/>
    <w:rsid w:val="00AD23D7"/>
    <w:rsid w:val="00AD36E6"/>
    <w:rsid w:val="00AD488F"/>
    <w:rsid w:val="00AD51C1"/>
    <w:rsid w:val="00AD520B"/>
    <w:rsid w:val="00AE2AB5"/>
    <w:rsid w:val="00AE3BCC"/>
    <w:rsid w:val="00AE4F30"/>
    <w:rsid w:val="00AE55CE"/>
    <w:rsid w:val="00AF388D"/>
    <w:rsid w:val="00AF3BA5"/>
    <w:rsid w:val="00AF5B84"/>
    <w:rsid w:val="00AF78A7"/>
    <w:rsid w:val="00B000E2"/>
    <w:rsid w:val="00B004D8"/>
    <w:rsid w:val="00B0060E"/>
    <w:rsid w:val="00B05962"/>
    <w:rsid w:val="00B065E3"/>
    <w:rsid w:val="00B06DC0"/>
    <w:rsid w:val="00B07CFA"/>
    <w:rsid w:val="00B131F3"/>
    <w:rsid w:val="00B13C69"/>
    <w:rsid w:val="00B14830"/>
    <w:rsid w:val="00B14888"/>
    <w:rsid w:val="00B14BF8"/>
    <w:rsid w:val="00B150EF"/>
    <w:rsid w:val="00B1726E"/>
    <w:rsid w:val="00B22ACB"/>
    <w:rsid w:val="00B24399"/>
    <w:rsid w:val="00B26453"/>
    <w:rsid w:val="00B279C6"/>
    <w:rsid w:val="00B27B40"/>
    <w:rsid w:val="00B31128"/>
    <w:rsid w:val="00B31D9E"/>
    <w:rsid w:val="00B32AE1"/>
    <w:rsid w:val="00B330E5"/>
    <w:rsid w:val="00B3530A"/>
    <w:rsid w:val="00B357CF"/>
    <w:rsid w:val="00B3642D"/>
    <w:rsid w:val="00B36973"/>
    <w:rsid w:val="00B36B95"/>
    <w:rsid w:val="00B405EB"/>
    <w:rsid w:val="00B411F9"/>
    <w:rsid w:val="00B4197A"/>
    <w:rsid w:val="00B4231E"/>
    <w:rsid w:val="00B425C3"/>
    <w:rsid w:val="00B43E4C"/>
    <w:rsid w:val="00B440AD"/>
    <w:rsid w:val="00B4423B"/>
    <w:rsid w:val="00B44FE4"/>
    <w:rsid w:val="00B4531B"/>
    <w:rsid w:val="00B479BB"/>
    <w:rsid w:val="00B52451"/>
    <w:rsid w:val="00B53226"/>
    <w:rsid w:val="00B53E7E"/>
    <w:rsid w:val="00B54795"/>
    <w:rsid w:val="00B554F6"/>
    <w:rsid w:val="00B55AB1"/>
    <w:rsid w:val="00B57490"/>
    <w:rsid w:val="00B579CA"/>
    <w:rsid w:val="00B626AB"/>
    <w:rsid w:val="00B629BE"/>
    <w:rsid w:val="00B62FF9"/>
    <w:rsid w:val="00B6342E"/>
    <w:rsid w:val="00B6382A"/>
    <w:rsid w:val="00B64483"/>
    <w:rsid w:val="00B6556F"/>
    <w:rsid w:val="00B65848"/>
    <w:rsid w:val="00B7113F"/>
    <w:rsid w:val="00B72176"/>
    <w:rsid w:val="00B75030"/>
    <w:rsid w:val="00B773E4"/>
    <w:rsid w:val="00B8001B"/>
    <w:rsid w:val="00B81465"/>
    <w:rsid w:val="00B83CA8"/>
    <w:rsid w:val="00B8416C"/>
    <w:rsid w:val="00B84F69"/>
    <w:rsid w:val="00B857AB"/>
    <w:rsid w:val="00B8759F"/>
    <w:rsid w:val="00B90A1C"/>
    <w:rsid w:val="00B92E1D"/>
    <w:rsid w:val="00B93248"/>
    <w:rsid w:val="00B93384"/>
    <w:rsid w:val="00B94380"/>
    <w:rsid w:val="00BA0995"/>
    <w:rsid w:val="00BA0B38"/>
    <w:rsid w:val="00BA113D"/>
    <w:rsid w:val="00BA1804"/>
    <w:rsid w:val="00BA1ED0"/>
    <w:rsid w:val="00BA2BCF"/>
    <w:rsid w:val="00BA33D0"/>
    <w:rsid w:val="00BA477C"/>
    <w:rsid w:val="00BA4DB2"/>
    <w:rsid w:val="00BA56A2"/>
    <w:rsid w:val="00BA5B14"/>
    <w:rsid w:val="00BA73B6"/>
    <w:rsid w:val="00BA7E27"/>
    <w:rsid w:val="00BB08F0"/>
    <w:rsid w:val="00BB1190"/>
    <w:rsid w:val="00BB1A8B"/>
    <w:rsid w:val="00BB1B06"/>
    <w:rsid w:val="00BB2603"/>
    <w:rsid w:val="00BB2663"/>
    <w:rsid w:val="00BB31E2"/>
    <w:rsid w:val="00BB3359"/>
    <w:rsid w:val="00BB3CB4"/>
    <w:rsid w:val="00BB4FCD"/>
    <w:rsid w:val="00BB538D"/>
    <w:rsid w:val="00BB635F"/>
    <w:rsid w:val="00BB6EB3"/>
    <w:rsid w:val="00BC04E9"/>
    <w:rsid w:val="00BC2551"/>
    <w:rsid w:val="00BC6E7B"/>
    <w:rsid w:val="00BC7993"/>
    <w:rsid w:val="00BD0197"/>
    <w:rsid w:val="00BD05C7"/>
    <w:rsid w:val="00BD0B05"/>
    <w:rsid w:val="00BD13E5"/>
    <w:rsid w:val="00BD13EA"/>
    <w:rsid w:val="00BD1D1F"/>
    <w:rsid w:val="00BD2BD0"/>
    <w:rsid w:val="00BD2F94"/>
    <w:rsid w:val="00BD366E"/>
    <w:rsid w:val="00BD65C9"/>
    <w:rsid w:val="00BD7E6A"/>
    <w:rsid w:val="00BE034D"/>
    <w:rsid w:val="00BE0EE7"/>
    <w:rsid w:val="00BE1006"/>
    <w:rsid w:val="00BE30CC"/>
    <w:rsid w:val="00BE3808"/>
    <w:rsid w:val="00BE7045"/>
    <w:rsid w:val="00BF498A"/>
    <w:rsid w:val="00BF59F3"/>
    <w:rsid w:val="00BF7B99"/>
    <w:rsid w:val="00C00998"/>
    <w:rsid w:val="00C00A68"/>
    <w:rsid w:val="00C028AA"/>
    <w:rsid w:val="00C062E9"/>
    <w:rsid w:val="00C06ED6"/>
    <w:rsid w:val="00C07B64"/>
    <w:rsid w:val="00C1136C"/>
    <w:rsid w:val="00C11CBB"/>
    <w:rsid w:val="00C13721"/>
    <w:rsid w:val="00C13C73"/>
    <w:rsid w:val="00C14632"/>
    <w:rsid w:val="00C14FE4"/>
    <w:rsid w:val="00C1506F"/>
    <w:rsid w:val="00C157C7"/>
    <w:rsid w:val="00C160A6"/>
    <w:rsid w:val="00C1633E"/>
    <w:rsid w:val="00C16C31"/>
    <w:rsid w:val="00C2109E"/>
    <w:rsid w:val="00C2237A"/>
    <w:rsid w:val="00C236C0"/>
    <w:rsid w:val="00C23BDB"/>
    <w:rsid w:val="00C23C77"/>
    <w:rsid w:val="00C249F3"/>
    <w:rsid w:val="00C27276"/>
    <w:rsid w:val="00C279AC"/>
    <w:rsid w:val="00C27FE6"/>
    <w:rsid w:val="00C3066D"/>
    <w:rsid w:val="00C31E43"/>
    <w:rsid w:val="00C3250C"/>
    <w:rsid w:val="00C33B8A"/>
    <w:rsid w:val="00C36EA0"/>
    <w:rsid w:val="00C409E2"/>
    <w:rsid w:val="00C4206D"/>
    <w:rsid w:val="00C453FB"/>
    <w:rsid w:val="00C50962"/>
    <w:rsid w:val="00C52416"/>
    <w:rsid w:val="00C53058"/>
    <w:rsid w:val="00C543F4"/>
    <w:rsid w:val="00C54AD0"/>
    <w:rsid w:val="00C562DD"/>
    <w:rsid w:val="00C56CBB"/>
    <w:rsid w:val="00C572A4"/>
    <w:rsid w:val="00C5782E"/>
    <w:rsid w:val="00C610D7"/>
    <w:rsid w:val="00C622BD"/>
    <w:rsid w:val="00C6291C"/>
    <w:rsid w:val="00C633CB"/>
    <w:rsid w:val="00C63F3A"/>
    <w:rsid w:val="00C63FE9"/>
    <w:rsid w:val="00C64B58"/>
    <w:rsid w:val="00C65609"/>
    <w:rsid w:val="00C664CD"/>
    <w:rsid w:val="00C669A0"/>
    <w:rsid w:val="00C67BF7"/>
    <w:rsid w:val="00C7086A"/>
    <w:rsid w:val="00C720C2"/>
    <w:rsid w:val="00C736B7"/>
    <w:rsid w:val="00C738B6"/>
    <w:rsid w:val="00C738C7"/>
    <w:rsid w:val="00C7600E"/>
    <w:rsid w:val="00C763A1"/>
    <w:rsid w:val="00C769EF"/>
    <w:rsid w:val="00C771AB"/>
    <w:rsid w:val="00C8139B"/>
    <w:rsid w:val="00C81D4A"/>
    <w:rsid w:val="00C83796"/>
    <w:rsid w:val="00C84BED"/>
    <w:rsid w:val="00C86049"/>
    <w:rsid w:val="00C8672E"/>
    <w:rsid w:val="00C8730F"/>
    <w:rsid w:val="00C8762C"/>
    <w:rsid w:val="00C878D5"/>
    <w:rsid w:val="00C908DC"/>
    <w:rsid w:val="00C9136E"/>
    <w:rsid w:val="00C921CD"/>
    <w:rsid w:val="00C934A2"/>
    <w:rsid w:val="00C94B96"/>
    <w:rsid w:val="00C94D45"/>
    <w:rsid w:val="00C95557"/>
    <w:rsid w:val="00C95B9E"/>
    <w:rsid w:val="00CA00F9"/>
    <w:rsid w:val="00CA0122"/>
    <w:rsid w:val="00CA03C4"/>
    <w:rsid w:val="00CA2239"/>
    <w:rsid w:val="00CA2961"/>
    <w:rsid w:val="00CA4F94"/>
    <w:rsid w:val="00CA524F"/>
    <w:rsid w:val="00CA618E"/>
    <w:rsid w:val="00CA6B22"/>
    <w:rsid w:val="00CA6CA3"/>
    <w:rsid w:val="00CA73C9"/>
    <w:rsid w:val="00CA7D08"/>
    <w:rsid w:val="00CB04B6"/>
    <w:rsid w:val="00CB2C4E"/>
    <w:rsid w:val="00CB4350"/>
    <w:rsid w:val="00CB50D7"/>
    <w:rsid w:val="00CB5F35"/>
    <w:rsid w:val="00CB6581"/>
    <w:rsid w:val="00CB6899"/>
    <w:rsid w:val="00CB7177"/>
    <w:rsid w:val="00CB7913"/>
    <w:rsid w:val="00CB7A03"/>
    <w:rsid w:val="00CB7CED"/>
    <w:rsid w:val="00CC0524"/>
    <w:rsid w:val="00CC070F"/>
    <w:rsid w:val="00CC0A94"/>
    <w:rsid w:val="00CC1998"/>
    <w:rsid w:val="00CC3176"/>
    <w:rsid w:val="00CC4946"/>
    <w:rsid w:val="00CC64A1"/>
    <w:rsid w:val="00CC7A09"/>
    <w:rsid w:val="00CC7BE9"/>
    <w:rsid w:val="00CD04BF"/>
    <w:rsid w:val="00CD0D71"/>
    <w:rsid w:val="00CD1132"/>
    <w:rsid w:val="00CD12BA"/>
    <w:rsid w:val="00CD3B0A"/>
    <w:rsid w:val="00CD3C3C"/>
    <w:rsid w:val="00CD4089"/>
    <w:rsid w:val="00CD5CC0"/>
    <w:rsid w:val="00CD5D21"/>
    <w:rsid w:val="00CD6568"/>
    <w:rsid w:val="00CD7795"/>
    <w:rsid w:val="00CE580D"/>
    <w:rsid w:val="00CE603E"/>
    <w:rsid w:val="00CE73EC"/>
    <w:rsid w:val="00CE7E02"/>
    <w:rsid w:val="00CF1171"/>
    <w:rsid w:val="00CF2884"/>
    <w:rsid w:val="00CF366F"/>
    <w:rsid w:val="00CF3B11"/>
    <w:rsid w:val="00CF4EB8"/>
    <w:rsid w:val="00CF52D7"/>
    <w:rsid w:val="00CF548F"/>
    <w:rsid w:val="00CF5E5D"/>
    <w:rsid w:val="00CF79FE"/>
    <w:rsid w:val="00D0134D"/>
    <w:rsid w:val="00D056BA"/>
    <w:rsid w:val="00D06070"/>
    <w:rsid w:val="00D10431"/>
    <w:rsid w:val="00D10884"/>
    <w:rsid w:val="00D11A2C"/>
    <w:rsid w:val="00D11EF4"/>
    <w:rsid w:val="00D1297F"/>
    <w:rsid w:val="00D14897"/>
    <w:rsid w:val="00D16727"/>
    <w:rsid w:val="00D16D53"/>
    <w:rsid w:val="00D17F02"/>
    <w:rsid w:val="00D17F74"/>
    <w:rsid w:val="00D2043E"/>
    <w:rsid w:val="00D20F82"/>
    <w:rsid w:val="00D21C58"/>
    <w:rsid w:val="00D21E0E"/>
    <w:rsid w:val="00D24361"/>
    <w:rsid w:val="00D243C6"/>
    <w:rsid w:val="00D2475D"/>
    <w:rsid w:val="00D24F3A"/>
    <w:rsid w:val="00D258FC"/>
    <w:rsid w:val="00D2600D"/>
    <w:rsid w:val="00D2666C"/>
    <w:rsid w:val="00D26852"/>
    <w:rsid w:val="00D26F44"/>
    <w:rsid w:val="00D270A4"/>
    <w:rsid w:val="00D27454"/>
    <w:rsid w:val="00D309F8"/>
    <w:rsid w:val="00D315A7"/>
    <w:rsid w:val="00D318B8"/>
    <w:rsid w:val="00D31FE9"/>
    <w:rsid w:val="00D338BA"/>
    <w:rsid w:val="00D34DD0"/>
    <w:rsid w:val="00D34E1B"/>
    <w:rsid w:val="00D350C6"/>
    <w:rsid w:val="00D3585C"/>
    <w:rsid w:val="00D35E0B"/>
    <w:rsid w:val="00D35FE1"/>
    <w:rsid w:val="00D376BA"/>
    <w:rsid w:val="00D37B4B"/>
    <w:rsid w:val="00D41A6E"/>
    <w:rsid w:val="00D4220D"/>
    <w:rsid w:val="00D43326"/>
    <w:rsid w:val="00D45634"/>
    <w:rsid w:val="00D45F3A"/>
    <w:rsid w:val="00D461DD"/>
    <w:rsid w:val="00D47674"/>
    <w:rsid w:val="00D47ED1"/>
    <w:rsid w:val="00D47FD5"/>
    <w:rsid w:val="00D51013"/>
    <w:rsid w:val="00D52D20"/>
    <w:rsid w:val="00D52EC3"/>
    <w:rsid w:val="00D53887"/>
    <w:rsid w:val="00D554DA"/>
    <w:rsid w:val="00D5568A"/>
    <w:rsid w:val="00D570D9"/>
    <w:rsid w:val="00D60207"/>
    <w:rsid w:val="00D606BC"/>
    <w:rsid w:val="00D63D73"/>
    <w:rsid w:val="00D64452"/>
    <w:rsid w:val="00D653B2"/>
    <w:rsid w:val="00D6552B"/>
    <w:rsid w:val="00D6656D"/>
    <w:rsid w:val="00D669DA"/>
    <w:rsid w:val="00D66E1E"/>
    <w:rsid w:val="00D70696"/>
    <w:rsid w:val="00D72AE6"/>
    <w:rsid w:val="00D74396"/>
    <w:rsid w:val="00D75722"/>
    <w:rsid w:val="00D77C78"/>
    <w:rsid w:val="00D802FF"/>
    <w:rsid w:val="00D80CF5"/>
    <w:rsid w:val="00D84232"/>
    <w:rsid w:val="00D8716C"/>
    <w:rsid w:val="00D90646"/>
    <w:rsid w:val="00D90D89"/>
    <w:rsid w:val="00D91368"/>
    <w:rsid w:val="00D91ACB"/>
    <w:rsid w:val="00D93023"/>
    <w:rsid w:val="00D93EA0"/>
    <w:rsid w:val="00D94D04"/>
    <w:rsid w:val="00D95FF2"/>
    <w:rsid w:val="00D96800"/>
    <w:rsid w:val="00D971FF"/>
    <w:rsid w:val="00D97F5F"/>
    <w:rsid w:val="00DA02E5"/>
    <w:rsid w:val="00DA0AC5"/>
    <w:rsid w:val="00DA23CA"/>
    <w:rsid w:val="00DA35B3"/>
    <w:rsid w:val="00DA3D89"/>
    <w:rsid w:val="00DA3EB4"/>
    <w:rsid w:val="00DA440C"/>
    <w:rsid w:val="00DA5BBA"/>
    <w:rsid w:val="00DA6193"/>
    <w:rsid w:val="00DA6470"/>
    <w:rsid w:val="00DA68B9"/>
    <w:rsid w:val="00DA6E24"/>
    <w:rsid w:val="00DA79EE"/>
    <w:rsid w:val="00DB072D"/>
    <w:rsid w:val="00DB26D2"/>
    <w:rsid w:val="00DB2AE0"/>
    <w:rsid w:val="00DB2CCF"/>
    <w:rsid w:val="00DB4EA5"/>
    <w:rsid w:val="00DB67C9"/>
    <w:rsid w:val="00DB693F"/>
    <w:rsid w:val="00DB7877"/>
    <w:rsid w:val="00DB7C4D"/>
    <w:rsid w:val="00DC0C15"/>
    <w:rsid w:val="00DC0C95"/>
    <w:rsid w:val="00DC101E"/>
    <w:rsid w:val="00DC167E"/>
    <w:rsid w:val="00DC1BDB"/>
    <w:rsid w:val="00DC2426"/>
    <w:rsid w:val="00DC2826"/>
    <w:rsid w:val="00DC5E15"/>
    <w:rsid w:val="00DC62FD"/>
    <w:rsid w:val="00DC71C5"/>
    <w:rsid w:val="00DC7234"/>
    <w:rsid w:val="00DC76D5"/>
    <w:rsid w:val="00DC7BE8"/>
    <w:rsid w:val="00DC7FB1"/>
    <w:rsid w:val="00DD0896"/>
    <w:rsid w:val="00DD4A16"/>
    <w:rsid w:val="00DD5249"/>
    <w:rsid w:val="00DD5648"/>
    <w:rsid w:val="00DD6580"/>
    <w:rsid w:val="00DE4232"/>
    <w:rsid w:val="00DE478C"/>
    <w:rsid w:val="00DE56CD"/>
    <w:rsid w:val="00DE592F"/>
    <w:rsid w:val="00DE5E95"/>
    <w:rsid w:val="00DE75A8"/>
    <w:rsid w:val="00DF4E47"/>
    <w:rsid w:val="00DF6AE3"/>
    <w:rsid w:val="00DF6F62"/>
    <w:rsid w:val="00DF71C8"/>
    <w:rsid w:val="00E000B5"/>
    <w:rsid w:val="00E01D7F"/>
    <w:rsid w:val="00E01D9B"/>
    <w:rsid w:val="00E044C3"/>
    <w:rsid w:val="00E04A4C"/>
    <w:rsid w:val="00E04ED7"/>
    <w:rsid w:val="00E05C1A"/>
    <w:rsid w:val="00E05EFA"/>
    <w:rsid w:val="00E113B3"/>
    <w:rsid w:val="00E12EF7"/>
    <w:rsid w:val="00E13E87"/>
    <w:rsid w:val="00E13F25"/>
    <w:rsid w:val="00E17C72"/>
    <w:rsid w:val="00E17FF7"/>
    <w:rsid w:val="00E20666"/>
    <w:rsid w:val="00E20967"/>
    <w:rsid w:val="00E20C55"/>
    <w:rsid w:val="00E211DD"/>
    <w:rsid w:val="00E21FC6"/>
    <w:rsid w:val="00E233C6"/>
    <w:rsid w:val="00E237A0"/>
    <w:rsid w:val="00E24286"/>
    <w:rsid w:val="00E260AF"/>
    <w:rsid w:val="00E2640F"/>
    <w:rsid w:val="00E30DDE"/>
    <w:rsid w:val="00E3245C"/>
    <w:rsid w:val="00E368A2"/>
    <w:rsid w:val="00E370FD"/>
    <w:rsid w:val="00E40CD0"/>
    <w:rsid w:val="00E431A9"/>
    <w:rsid w:val="00E46E0B"/>
    <w:rsid w:val="00E47583"/>
    <w:rsid w:val="00E476AE"/>
    <w:rsid w:val="00E51725"/>
    <w:rsid w:val="00E51D3F"/>
    <w:rsid w:val="00E522D4"/>
    <w:rsid w:val="00E53651"/>
    <w:rsid w:val="00E5418F"/>
    <w:rsid w:val="00E545E8"/>
    <w:rsid w:val="00E54723"/>
    <w:rsid w:val="00E551F4"/>
    <w:rsid w:val="00E55A5E"/>
    <w:rsid w:val="00E57079"/>
    <w:rsid w:val="00E607F0"/>
    <w:rsid w:val="00E60A24"/>
    <w:rsid w:val="00E63160"/>
    <w:rsid w:val="00E636C3"/>
    <w:rsid w:val="00E6426C"/>
    <w:rsid w:val="00E669E2"/>
    <w:rsid w:val="00E66B69"/>
    <w:rsid w:val="00E67B20"/>
    <w:rsid w:val="00E71C27"/>
    <w:rsid w:val="00E75331"/>
    <w:rsid w:val="00E754FD"/>
    <w:rsid w:val="00E75656"/>
    <w:rsid w:val="00E76135"/>
    <w:rsid w:val="00E76B31"/>
    <w:rsid w:val="00E81E6B"/>
    <w:rsid w:val="00E82545"/>
    <w:rsid w:val="00E829D7"/>
    <w:rsid w:val="00E82F4F"/>
    <w:rsid w:val="00E84B6F"/>
    <w:rsid w:val="00E8539D"/>
    <w:rsid w:val="00E86349"/>
    <w:rsid w:val="00E864DF"/>
    <w:rsid w:val="00E87879"/>
    <w:rsid w:val="00E90B49"/>
    <w:rsid w:val="00E91F29"/>
    <w:rsid w:val="00E95141"/>
    <w:rsid w:val="00E974D1"/>
    <w:rsid w:val="00E97639"/>
    <w:rsid w:val="00EA0915"/>
    <w:rsid w:val="00EA2E78"/>
    <w:rsid w:val="00EA3413"/>
    <w:rsid w:val="00EA3E06"/>
    <w:rsid w:val="00EA45F9"/>
    <w:rsid w:val="00EA4AE7"/>
    <w:rsid w:val="00EA4EA4"/>
    <w:rsid w:val="00EA5930"/>
    <w:rsid w:val="00EA70F3"/>
    <w:rsid w:val="00EA7FB0"/>
    <w:rsid w:val="00EB02AC"/>
    <w:rsid w:val="00EB1867"/>
    <w:rsid w:val="00EB2D26"/>
    <w:rsid w:val="00EB3FBF"/>
    <w:rsid w:val="00EB5715"/>
    <w:rsid w:val="00EB5731"/>
    <w:rsid w:val="00EB6914"/>
    <w:rsid w:val="00EB71E0"/>
    <w:rsid w:val="00EB74E1"/>
    <w:rsid w:val="00EB7614"/>
    <w:rsid w:val="00EB78B3"/>
    <w:rsid w:val="00EC0151"/>
    <w:rsid w:val="00EC0A05"/>
    <w:rsid w:val="00EC10F3"/>
    <w:rsid w:val="00EC2844"/>
    <w:rsid w:val="00EC2C2F"/>
    <w:rsid w:val="00EC4F1A"/>
    <w:rsid w:val="00EC5500"/>
    <w:rsid w:val="00EC555E"/>
    <w:rsid w:val="00ED18F8"/>
    <w:rsid w:val="00ED227B"/>
    <w:rsid w:val="00ED2AC7"/>
    <w:rsid w:val="00ED3575"/>
    <w:rsid w:val="00ED5021"/>
    <w:rsid w:val="00ED5784"/>
    <w:rsid w:val="00ED6A81"/>
    <w:rsid w:val="00EE1C8D"/>
    <w:rsid w:val="00EE612D"/>
    <w:rsid w:val="00EE6189"/>
    <w:rsid w:val="00EE6C1B"/>
    <w:rsid w:val="00EE6EDA"/>
    <w:rsid w:val="00EE6EDE"/>
    <w:rsid w:val="00EE7790"/>
    <w:rsid w:val="00EE7F87"/>
    <w:rsid w:val="00EF0048"/>
    <w:rsid w:val="00EF06C8"/>
    <w:rsid w:val="00EF1148"/>
    <w:rsid w:val="00EF1A21"/>
    <w:rsid w:val="00EF6C6C"/>
    <w:rsid w:val="00F016A1"/>
    <w:rsid w:val="00F01F33"/>
    <w:rsid w:val="00F033B9"/>
    <w:rsid w:val="00F037C8"/>
    <w:rsid w:val="00F05275"/>
    <w:rsid w:val="00F056FC"/>
    <w:rsid w:val="00F0632F"/>
    <w:rsid w:val="00F069AE"/>
    <w:rsid w:val="00F07E75"/>
    <w:rsid w:val="00F07F28"/>
    <w:rsid w:val="00F10476"/>
    <w:rsid w:val="00F1108A"/>
    <w:rsid w:val="00F120E5"/>
    <w:rsid w:val="00F135B9"/>
    <w:rsid w:val="00F135D8"/>
    <w:rsid w:val="00F13AC8"/>
    <w:rsid w:val="00F14561"/>
    <w:rsid w:val="00F14DC1"/>
    <w:rsid w:val="00F173B8"/>
    <w:rsid w:val="00F179FC"/>
    <w:rsid w:val="00F17B81"/>
    <w:rsid w:val="00F2018B"/>
    <w:rsid w:val="00F220E5"/>
    <w:rsid w:val="00F250B0"/>
    <w:rsid w:val="00F2518D"/>
    <w:rsid w:val="00F267C5"/>
    <w:rsid w:val="00F26D56"/>
    <w:rsid w:val="00F30EBF"/>
    <w:rsid w:val="00F31299"/>
    <w:rsid w:val="00F32C1D"/>
    <w:rsid w:val="00F33B7E"/>
    <w:rsid w:val="00F33F8E"/>
    <w:rsid w:val="00F3534A"/>
    <w:rsid w:val="00F40E89"/>
    <w:rsid w:val="00F42228"/>
    <w:rsid w:val="00F42805"/>
    <w:rsid w:val="00F42DE5"/>
    <w:rsid w:val="00F43500"/>
    <w:rsid w:val="00F45589"/>
    <w:rsid w:val="00F4588B"/>
    <w:rsid w:val="00F46689"/>
    <w:rsid w:val="00F478D5"/>
    <w:rsid w:val="00F51061"/>
    <w:rsid w:val="00F51532"/>
    <w:rsid w:val="00F515BE"/>
    <w:rsid w:val="00F51609"/>
    <w:rsid w:val="00F51DB7"/>
    <w:rsid w:val="00F52095"/>
    <w:rsid w:val="00F52ADD"/>
    <w:rsid w:val="00F52BE8"/>
    <w:rsid w:val="00F55C25"/>
    <w:rsid w:val="00F57133"/>
    <w:rsid w:val="00F6026E"/>
    <w:rsid w:val="00F62ACB"/>
    <w:rsid w:val="00F62E39"/>
    <w:rsid w:val="00F62E65"/>
    <w:rsid w:val="00F63CD8"/>
    <w:rsid w:val="00F65554"/>
    <w:rsid w:val="00F667ED"/>
    <w:rsid w:val="00F6794A"/>
    <w:rsid w:val="00F70CCD"/>
    <w:rsid w:val="00F71194"/>
    <w:rsid w:val="00F71DEA"/>
    <w:rsid w:val="00F75EFC"/>
    <w:rsid w:val="00F766A7"/>
    <w:rsid w:val="00F767A4"/>
    <w:rsid w:val="00F767A6"/>
    <w:rsid w:val="00F770EE"/>
    <w:rsid w:val="00F774E3"/>
    <w:rsid w:val="00F80041"/>
    <w:rsid w:val="00F80888"/>
    <w:rsid w:val="00F81006"/>
    <w:rsid w:val="00F815A8"/>
    <w:rsid w:val="00F83D41"/>
    <w:rsid w:val="00F84865"/>
    <w:rsid w:val="00F84A8E"/>
    <w:rsid w:val="00F84E7A"/>
    <w:rsid w:val="00F85325"/>
    <w:rsid w:val="00F86824"/>
    <w:rsid w:val="00F91CEF"/>
    <w:rsid w:val="00F92D84"/>
    <w:rsid w:val="00F93374"/>
    <w:rsid w:val="00F9402C"/>
    <w:rsid w:val="00F97CDB"/>
    <w:rsid w:val="00FA117E"/>
    <w:rsid w:val="00FB1F33"/>
    <w:rsid w:val="00FB20A0"/>
    <w:rsid w:val="00FB28DD"/>
    <w:rsid w:val="00FB33AD"/>
    <w:rsid w:val="00FB5850"/>
    <w:rsid w:val="00FB5E55"/>
    <w:rsid w:val="00FB7729"/>
    <w:rsid w:val="00FC1EA1"/>
    <w:rsid w:val="00FD0174"/>
    <w:rsid w:val="00FD1815"/>
    <w:rsid w:val="00FD22B1"/>
    <w:rsid w:val="00FD33F1"/>
    <w:rsid w:val="00FD3566"/>
    <w:rsid w:val="00FD4098"/>
    <w:rsid w:val="00FD40A3"/>
    <w:rsid w:val="00FD6BE3"/>
    <w:rsid w:val="00FE0237"/>
    <w:rsid w:val="00FE0379"/>
    <w:rsid w:val="00FE0C08"/>
    <w:rsid w:val="00FE3ED9"/>
    <w:rsid w:val="00FE5397"/>
    <w:rsid w:val="00FE6F8B"/>
    <w:rsid w:val="00FF0539"/>
    <w:rsid w:val="00FF19A7"/>
    <w:rsid w:val="00FF203C"/>
    <w:rsid w:val="00FF2860"/>
    <w:rsid w:val="00FF5307"/>
    <w:rsid w:val="00FF71F5"/>
    <w:rsid w:val="00FF7604"/>
    <w:rsid w:val="00FF7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1FB0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1" w:uiPriority="39"/>
    <w:lsdException w:name="toc 2" w:uiPriority="39"/>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06070"/>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customStyle="1" w:styleId="Heading1NotTOC">
    <w:name w:val="Heading 1 Not TOC"/>
    <w:basedOn w:val="Heading1"/>
    <w:next w:val="BodyText"/>
    <w:rsid w:val="00F52BE8"/>
    <w:rPr>
      <w:kern w:val="28"/>
      <w:szCs w:val="26"/>
      <w:lang w:eastAsia="en-US"/>
    </w:rPr>
  </w:style>
  <w:style w:type="character" w:customStyle="1" w:styleId="TOC1Char">
    <w:name w:val="TOC 1 Char"/>
    <w:basedOn w:val="DefaultParagraphFont"/>
    <w:link w:val="TOC1"/>
    <w:uiPriority w:val="39"/>
    <w:rsid w:val="00F52BE8"/>
    <w:rPr>
      <w:rFonts w:ascii="Arial" w:hAnsi="Arial"/>
      <w:b/>
      <w:caps/>
      <w:sz w:val="24"/>
      <w:szCs w:val="24"/>
    </w:rPr>
  </w:style>
  <w:style w:type="character" w:customStyle="1" w:styleId="QuoteChar">
    <w:name w:val="Quote Char"/>
    <w:basedOn w:val="DefaultParagraphFont"/>
    <w:link w:val="Quote"/>
    <w:rsid w:val="000943C8"/>
    <w:rPr>
      <w:sz w:val="22"/>
    </w:rPr>
  </w:style>
  <w:style w:type="character" w:customStyle="1" w:styleId="FooterDraftReportChar">
    <w:name w:val="FooterDraftReport Char"/>
    <w:basedOn w:val="FooterChar"/>
    <w:link w:val="FooterDraftReport"/>
    <w:rsid w:val="000943C8"/>
    <w:rPr>
      <w:rFonts w:ascii="Arial" w:hAnsi="Arial" w:cs="Arial"/>
      <w:caps/>
      <w:color w:val="000000" w:themeColor="text1"/>
      <w:spacing w:val="-4"/>
      <w:sz w:val="16"/>
      <w14:textFill>
        <w14:solidFill>
          <w14:schemeClr w14:val="tx1">
            <w14:lumMod w14:val="50000"/>
            <w14:lumOff w14:val="50000"/>
            <w14:lumMod w14:val="50000"/>
            <w14:lumOff w14:val="50000"/>
          </w14:schemeClr>
        </w14:solidFill>
      </w14:textFill>
    </w:rPr>
  </w:style>
  <w:style w:type="paragraph" w:customStyle="1" w:styleId="ListBulet">
    <w:name w:val="List Bulet"/>
    <w:basedOn w:val="BodyText"/>
    <w:rsid w:val="000943C8"/>
  </w:style>
  <w:style w:type="paragraph" w:styleId="CommentSubject">
    <w:name w:val="annotation subject"/>
    <w:basedOn w:val="CommentText"/>
    <w:next w:val="CommentText"/>
    <w:link w:val="CommentSubjectChar"/>
    <w:rsid w:val="007F1686"/>
    <w:pPr>
      <w:spacing w:before="0" w:line="240" w:lineRule="auto"/>
      <w:ind w:left="0" w:firstLine="0"/>
    </w:pPr>
    <w:rPr>
      <w:b/>
      <w:bCs/>
      <w:szCs w:val="20"/>
    </w:rPr>
  </w:style>
  <w:style w:type="character" w:customStyle="1" w:styleId="CommentSubjectChar">
    <w:name w:val="Comment Subject Char"/>
    <w:basedOn w:val="CommentTextChar"/>
    <w:link w:val="CommentSubject"/>
    <w:rsid w:val="007F1686"/>
    <w:rPr>
      <w:b/>
      <w:bCs/>
      <w:lang w:eastAsia="en-US"/>
    </w:rPr>
  </w:style>
  <w:style w:type="paragraph" w:styleId="Revision">
    <w:name w:val="Revision"/>
    <w:hidden/>
    <w:uiPriority w:val="99"/>
    <w:semiHidden/>
    <w:rsid w:val="00F037C8"/>
    <w:rPr>
      <w:sz w:val="24"/>
      <w:szCs w:val="24"/>
    </w:rPr>
  </w:style>
  <w:style w:type="paragraph" w:styleId="Bibliography">
    <w:name w:val="Bibliography"/>
    <w:basedOn w:val="Normal"/>
    <w:next w:val="Normal"/>
    <w:uiPriority w:val="37"/>
    <w:unhideWhenUsed/>
    <w:rsid w:val="00D11A2C"/>
    <w:pPr>
      <w:spacing w:after="240"/>
      <w:ind w:left="720" w:hanging="720"/>
    </w:pPr>
  </w:style>
  <w:style w:type="paragraph" w:customStyle="1" w:styleId="BoxText">
    <w:name w:val="Box Text"/>
    <w:basedOn w:val="BodyText"/>
    <w:rsid w:val="00777355"/>
  </w:style>
  <w:style w:type="character" w:customStyle="1" w:styleId="Heading1Char">
    <w:name w:val="Heading 1 Char"/>
    <w:basedOn w:val="DefaultParagraphFont"/>
    <w:link w:val="Heading1"/>
    <w:rsid w:val="005940EC"/>
    <w:rPr>
      <w:sz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1" w:uiPriority="39"/>
    <w:lsdException w:name="toc 2" w:uiPriority="39"/>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06070"/>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uiPriority w:val="39"/>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customStyle="1" w:styleId="Heading1NotTOC">
    <w:name w:val="Heading 1 Not TOC"/>
    <w:basedOn w:val="Heading1"/>
    <w:next w:val="BodyText"/>
    <w:rsid w:val="00F52BE8"/>
    <w:rPr>
      <w:kern w:val="28"/>
      <w:szCs w:val="26"/>
      <w:lang w:eastAsia="en-US"/>
    </w:rPr>
  </w:style>
  <w:style w:type="character" w:customStyle="1" w:styleId="TOC1Char">
    <w:name w:val="TOC 1 Char"/>
    <w:basedOn w:val="DefaultParagraphFont"/>
    <w:link w:val="TOC1"/>
    <w:uiPriority w:val="39"/>
    <w:rsid w:val="00F52BE8"/>
    <w:rPr>
      <w:rFonts w:ascii="Arial" w:hAnsi="Arial"/>
      <w:b/>
      <w:caps/>
      <w:sz w:val="24"/>
      <w:szCs w:val="24"/>
    </w:rPr>
  </w:style>
  <w:style w:type="character" w:customStyle="1" w:styleId="QuoteChar">
    <w:name w:val="Quote Char"/>
    <w:basedOn w:val="DefaultParagraphFont"/>
    <w:link w:val="Quote"/>
    <w:rsid w:val="000943C8"/>
    <w:rPr>
      <w:sz w:val="22"/>
    </w:rPr>
  </w:style>
  <w:style w:type="character" w:customStyle="1" w:styleId="FooterDraftReportChar">
    <w:name w:val="FooterDraftReport Char"/>
    <w:basedOn w:val="FooterChar"/>
    <w:link w:val="FooterDraftReport"/>
    <w:rsid w:val="000943C8"/>
    <w:rPr>
      <w:rFonts w:ascii="Arial" w:hAnsi="Arial" w:cs="Arial"/>
      <w:caps/>
      <w:color w:val="000000" w:themeColor="text1"/>
      <w:spacing w:val="-4"/>
      <w:sz w:val="16"/>
      <w14:textFill>
        <w14:solidFill>
          <w14:schemeClr w14:val="tx1">
            <w14:lumMod w14:val="50000"/>
            <w14:lumOff w14:val="50000"/>
            <w14:lumMod w14:val="50000"/>
            <w14:lumOff w14:val="50000"/>
          </w14:schemeClr>
        </w14:solidFill>
      </w14:textFill>
    </w:rPr>
  </w:style>
  <w:style w:type="paragraph" w:customStyle="1" w:styleId="ListBulet">
    <w:name w:val="List Bulet"/>
    <w:basedOn w:val="BodyText"/>
    <w:rsid w:val="000943C8"/>
  </w:style>
  <w:style w:type="paragraph" w:styleId="CommentSubject">
    <w:name w:val="annotation subject"/>
    <w:basedOn w:val="CommentText"/>
    <w:next w:val="CommentText"/>
    <w:link w:val="CommentSubjectChar"/>
    <w:rsid w:val="007F1686"/>
    <w:pPr>
      <w:spacing w:before="0" w:line="240" w:lineRule="auto"/>
      <w:ind w:left="0" w:firstLine="0"/>
    </w:pPr>
    <w:rPr>
      <w:b/>
      <w:bCs/>
      <w:szCs w:val="20"/>
    </w:rPr>
  </w:style>
  <w:style w:type="character" w:customStyle="1" w:styleId="CommentSubjectChar">
    <w:name w:val="Comment Subject Char"/>
    <w:basedOn w:val="CommentTextChar"/>
    <w:link w:val="CommentSubject"/>
    <w:rsid w:val="007F1686"/>
    <w:rPr>
      <w:b/>
      <w:bCs/>
      <w:lang w:eastAsia="en-US"/>
    </w:rPr>
  </w:style>
  <w:style w:type="paragraph" w:styleId="Revision">
    <w:name w:val="Revision"/>
    <w:hidden/>
    <w:uiPriority w:val="99"/>
    <w:semiHidden/>
    <w:rsid w:val="00F037C8"/>
    <w:rPr>
      <w:sz w:val="24"/>
      <w:szCs w:val="24"/>
    </w:rPr>
  </w:style>
  <w:style w:type="paragraph" w:styleId="Bibliography">
    <w:name w:val="Bibliography"/>
    <w:basedOn w:val="Normal"/>
    <w:next w:val="Normal"/>
    <w:uiPriority w:val="37"/>
    <w:unhideWhenUsed/>
    <w:rsid w:val="00D11A2C"/>
    <w:pPr>
      <w:spacing w:after="240"/>
      <w:ind w:left="720" w:hanging="720"/>
    </w:pPr>
  </w:style>
  <w:style w:type="paragraph" w:customStyle="1" w:styleId="BoxText">
    <w:name w:val="Box Text"/>
    <w:basedOn w:val="BodyText"/>
    <w:rsid w:val="00777355"/>
  </w:style>
  <w:style w:type="character" w:customStyle="1" w:styleId="Heading1Char">
    <w:name w:val="Heading 1 Char"/>
    <w:basedOn w:val="DefaultParagraphFont"/>
    <w:link w:val="Heading1"/>
    <w:rsid w:val="005940EC"/>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240214749">
      <w:bodyDiv w:val="1"/>
      <w:marLeft w:val="0"/>
      <w:marRight w:val="0"/>
      <w:marTop w:val="0"/>
      <w:marBottom w:val="0"/>
      <w:divBdr>
        <w:top w:val="none" w:sz="0" w:space="0" w:color="auto"/>
        <w:left w:val="none" w:sz="0" w:space="0" w:color="auto"/>
        <w:bottom w:val="none" w:sz="0" w:space="0" w:color="auto"/>
        <w:right w:val="none" w:sz="0" w:space="0" w:color="auto"/>
      </w:divBdr>
      <w:divsChild>
        <w:div w:id="1682392573">
          <w:marLeft w:val="0"/>
          <w:marRight w:val="0"/>
          <w:marTop w:val="0"/>
          <w:marBottom w:val="0"/>
          <w:divBdr>
            <w:top w:val="none" w:sz="0" w:space="0" w:color="auto"/>
            <w:left w:val="none" w:sz="0" w:space="0" w:color="auto"/>
            <w:bottom w:val="none" w:sz="0" w:space="0" w:color="auto"/>
            <w:right w:val="none" w:sz="0" w:space="0" w:color="auto"/>
          </w:divBdr>
          <w:divsChild>
            <w:div w:id="369494556">
              <w:marLeft w:val="0"/>
              <w:marRight w:val="0"/>
              <w:marTop w:val="0"/>
              <w:marBottom w:val="0"/>
              <w:divBdr>
                <w:top w:val="none" w:sz="0" w:space="0" w:color="auto"/>
                <w:left w:val="none" w:sz="0" w:space="0" w:color="auto"/>
                <w:bottom w:val="none" w:sz="0" w:space="0" w:color="auto"/>
                <w:right w:val="none" w:sz="0" w:space="0" w:color="auto"/>
              </w:divBdr>
              <w:divsChild>
                <w:div w:id="399330900">
                  <w:marLeft w:val="0"/>
                  <w:marRight w:val="0"/>
                  <w:marTop w:val="0"/>
                  <w:marBottom w:val="0"/>
                  <w:divBdr>
                    <w:top w:val="none" w:sz="0" w:space="0" w:color="auto"/>
                    <w:left w:val="none" w:sz="0" w:space="0" w:color="auto"/>
                    <w:bottom w:val="none" w:sz="0" w:space="0" w:color="auto"/>
                    <w:right w:val="none" w:sz="0" w:space="0" w:color="auto"/>
                  </w:divBdr>
                  <w:divsChild>
                    <w:div w:id="1840533747">
                      <w:marLeft w:val="0"/>
                      <w:marRight w:val="0"/>
                      <w:marTop w:val="0"/>
                      <w:marBottom w:val="0"/>
                      <w:divBdr>
                        <w:top w:val="none" w:sz="0" w:space="0" w:color="auto"/>
                        <w:left w:val="none" w:sz="0" w:space="0" w:color="auto"/>
                        <w:bottom w:val="none" w:sz="0" w:space="0" w:color="auto"/>
                        <w:right w:val="none" w:sz="0" w:space="0" w:color="auto"/>
                      </w:divBdr>
                      <w:divsChild>
                        <w:div w:id="946348210">
                          <w:marLeft w:val="0"/>
                          <w:marRight w:val="0"/>
                          <w:marTop w:val="0"/>
                          <w:marBottom w:val="0"/>
                          <w:divBdr>
                            <w:top w:val="none" w:sz="0" w:space="0" w:color="auto"/>
                            <w:left w:val="none" w:sz="0" w:space="0" w:color="auto"/>
                            <w:bottom w:val="none" w:sz="0" w:space="0" w:color="auto"/>
                            <w:right w:val="none" w:sz="0" w:space="0" w:color="auto"/>
                          </w:divBdr>
                          <w:divsChild>
                            <w:div w:id="578758767">
                              <w:marLeft w:val="0"/>
                              <w:marRight w:val="0"/>
                              <w:marTop w:val="0"/>
                              <w:marBottom w:val="0"/>
                              <w:divBdr>
                                <w:top w:val="none" w:sz="0" w:space="0" w:color="auto"/>
                                <w:left w:val="none" w:sz="0" w:space="0" w:color="auto"/>
                                <w:bottom w:val="none" w:sz="0" w:space="0" w:color="auto"/>
                                <w:right w:val="none" w:sz="0" w:space="0" w:color="auto"/>
                              </w:divBdr>
                              <w:divsChild>
                                <w:div w:id="207257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diagramColors" Target="diagrams/colors1.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diagramQuickStyle" Target="diagrams/quickStyle1.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diagramLayout" Target="diagrams/layout1.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diagramData" Target="diagrams/data1.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59EE8E-A567-4225-8C33-E8822C7D29CF}"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AU"/>
        </a:p>
      </dgm:t>
    </dgm:pt>
    <dgm:pt modelId="{273016BF-B8DC-43D6-9BA7-32D9974D0C0E}">
      <dgm:prSet phldrT="[Text]"/>
      <dgm:spPr>
        <a:xfrm>
          <a:off x="2137327" y="1027234"/>
          <a:ext cx="1126019" cy="1126019"/>
        </a:xfrm>
        <a:solidFill>
          <a:srgbClr val="78A22F">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Arial"/>
              <a:ea typeface="+mn-ea"/>
              <a:cs typeface="+mn-cs"/>
            </a:rPr>
            <a:t>Improving education outcomes</a:t>
          </a:r>
        </a:p>
      </dgm:t>
    </dgm:pt>
    <dgm:pt modelId="{7E0A8C9A-ED49-43C5-82ED-EBFDF392417D}" type="parTrans" cxnId="{58052BAA-91BB-4749-9F2D-D28D296CA2EB}">
      <dgm:prSet/>
      <dgm:spPr/>
      <dgm:t>
        <a:bodyPr/>
        <a:lstStyle/>
        <a:p>
          <a:endParaRPr lang="en-AU"/>
        </a:p>
      </dgm:t>
    </dgm:pt>
    <dgm:pt modelId="{54AB793A-F95E-47D4-9A5B-B77BD98123A4}" type="sibTrans" cxnId="{58052BAA-91BB-4749-9F2D-D28D296CA2EB}">
      <dgm:prSet/>
      <dgm:spPr/>
      <dgm:t>
        <a:bodyPr/>
        <a:lstStyle/>
        <a:p>
          <a:endParaRPr lang="en-AU"/>
        </a:p>
      </dgm:t>
    </dgm:pt>
    <dgm:pt modelId="{9186DD6D-9C6D-40BC-B5EA-21A2BD37AE43}">
      <dgm:prSet phldrT="[Text]"/>
      <dgm:spPr>
        <a:xfrm>
          <a:off x="2306230" y="1215"/>
          <a:ext cx="788213" cy="788213"/>
        </a:xfrm>
        <a:solidFill>
          <a:srgbClr val="78A22F">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Arial"/>
              <a:ea typeface="+mn-ea"/>
              <a:cs typeface="+mn-cs"/>
            </a:rPr>
            <a:t>1. Monitor progress</a:t>
          </a:r>
        </a:p>
      </dgm:t>
    </dgm:pt>
    <dgm:pt modelId="{DBEB028D-BD5F-4E08-BCD9-D4D4C1BBE707}" type="parTrans" cxnId="{9ABC5AC8-25C2-4291-9580-8742E9290205}">
      <dgm:prSet/>
      <dgm:spPr/>
      <dgm:t>
        <a:bodyPr/>
        <a:lstStyle/>
        <a:p>
          <a:endParaRPr lang="en-AU"/>
        </a:p>
      </dgm:t>
    </dgm:pt>
    <dgm:pt modelId="{2F928231-B699-49E8-9953-DA40BDB7BD6B}" type="sibTrans" cxnId="{9ABC5AC8-25C2-4291-9580-8742E9290205}">
      <dgm:prSet/>
      <dgm:spPr>
        <a:xfrm>
          <a:off x="1477039" y="366946"/>
          <a:ext cx="2446595" cy="2446595"/>
        </a:xfrm>
        <a:solidFill>
          <a:srgbClr val="78A22F">
            <a:tint val="60000"/>
            <a:hueOff val="0"/>
            <a:satOff val="0"/>
            <a:lumOff val="0"/>
            <a:alphaOff val="0"/>
          </a:srgbClr>
        </a:solidFill>
        <a:ln>
          <a:noFill/>
        </a:ln>
        <a:effectLst/>
      </dgm:spPr>
      <dgm:t>
        <a:bodyPr/>
        <a:lstStyle/>
        <a:p>
          <a:endParaRPr lang="en-AU"/>
        </a:p>
      </dgm:t>
    </dgm:pt>
    <dgm:pt modelId="{FBC8F674-8428-4E88-8270-54A85297941C}">
      <dgm:prSet phldrT="[Text]"/>
      <dgm:spPr>
        <a:xfrm>
          <a:off x="3341063" y="1793598"/>
          <a:ext cx="788213" cy="788213"/>
        </a:xfrm>
        <a:solidFill>
          <a:srgbClr val="78A22F">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Arial"/>
              <a:ea typeface="+mn-ea"/>
              <a:cs typeface="+mn-cs"/>
            </a:rPr>
            <a:t>2. Evaluate policies and programs</a:t>
          </a:r>
        </a:p>
      </dgm:t>
    </dgm:pt>
    <dgm:pt modelId="{0B7FA4BD-3E4C-4A42-8CF3-B3C8741E7F5C}" type="parTrans" cxnId="{722BA424-0B4B-4E83-BCEE-ECE355665161}">
      <dgm:prSet/>
      <dgm:spPr/>
      <dgm:t>
        <a:bodyPr/>
        <a:lstStyle/>
        <a:p>
          <a:endParaRPr lang="en-AU"/>
        </a:p>
      </dgm:t>
    </dgm:pt>
    <dgm:pt modelId="{0C348932-B8BB-4DBC-AF0B-EC92ED12229F}" type="sibTrans" cxnId="{722BA424-0B4B-4E83-BCEE-ECE355665161}">
      <dgm:prSet/>
      <dgm:spPr>
        <a:xfrm>
          <a:off x="1477039" y="366946"/>
          <a:ext cx="2446595" cy="2446595"/>
        </a:xfrm>
        <a:solidFill>
          <a:srgbClr val="78A22F">
            <a:tint val="60000"/>
            <a:hueOff val="0"/>
            <a:satOff val="0"/>
            <a:lumOff val="0"/>
            <a:alphaOff val="0"/>
          </a:srgbClr>
        </a:solidFill>
        <a:ln>
          <a:noFill/>
        </a:ln>
        <a:effectLst/>
      </dgm:spPr>
      <dgm:t>
        <a:bodyPr/>
        <a:lstStyle/>
        <a:p>
          <a:endParaRPr lang="en-AU"/>
        </a:p>
      </dgm:t>
    </dgm:pt>
    <dgm:pt modelId="{B1EB3A24-93F3-4442-9B79-A98ED8BBBF3F}">
      <dgm:prSet phldrT="[Text]"/>
      <dgm:spPr>
        <a:xfrm>
          <a:off x="1271397" y="1793598"/>
          <a:ext cx="788213" cy="788213"/>
        </a:xfrm>
        <a:solidFill>
          <a:srgbClr val="78A22F">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a:solidFill>
                <a:sysClr val="window" lastClr="FFFFFF"/>
              </a:solidFill>
              <a:latin typeface="Arial"/>
              <a:ea typeface="+mn-ea"/>
              <a:cs typeface="+mn-cs"/>
            </a:rPr>
            <a:t>3. Inform decision making</a:t>
          </a:r>
        </a:p>
      </dgm:t>
    </dgm:pt>
    <dgm:pt modelId="{83E3A844-FE4D-42FA-B8F6-66F54BC97137}" type="parTrans" cxnId="{45C5696E-3A23-452D-87FF-237F0F058404}">
      <dgm:prSet/>
      <dgm:spPr/>
      <dgm:t>
        <a:bodyPr/>
        <a:lstStyle/>
        <a:p>
          <a:endParaRPr lang="en-AU"/>
        </a:p>
      </dgm:t>
    </dgm:pt>
    <dgm:pt modelId="{A15FAB1A-F5C1-472A-8A30-6EACF47F96BD}" type="sibTrans" cxnId="{45C5696E-3A23-452D-87FF-237F0F058404}">
      <dgm:prSet/>
      <dgm:spPr>
        <a:xfrm>
          <a:off x="1477039" y="366946"/>
          <a:ext cx="2446595" cy="2446595"/>
        </a:xfrm>
        <a:solidFill>
          <a:srgbClr val="78A22F">
            <a:tint val="60000"/>
            <a:hueOff val="0"/>
            <a:satOff val="0"/>
            <a:lumOff val="0"/>
            <a:alphaOff val="0"/>
          </a:srgbClr>
        </a:solidFill>
        <a:ln>
          <a:noFill/>
        </a:ln>
        <a:effectLst/>
      </dgm:spPr>
      <dgm:t>
        <a:bodyPr/>
        <a:lstStyle/>
        <a:p>
          <a:endParaRPr lang="en-AU"/>
        </a:p>
      </dgm:t>
    </dgm:pt>
    <dgm:pt modelId="{1938DFD1-511E-4C4C-9795-E4C002D12A8E}" type="pres">
      <dgm:prSet presAssocID="{AD59EE8E-A567-4225-8C33-E8822C7D29CF}" presName="Name0" presStyleCnt="0">
        <dgm:presLayoutVars>
          <dgm:chMax val="1"/>
          <dgm:dir/>
          <dgm:animLvl val="ctr"/>
          <dgm:resizeHandles val="exact"/>
        </dgm:presLayoutVars>
      </dgm:prSet>
      <dgm:spPr/>
      <dgm:t>
        <a:bodyPr/>
        <a:lstStyle/>
        <a:p>
          <a:endParaRPr lang="en-AU"/>
        </a:p>
      </dgm:t>
    </dgm:pt>
    <dgm:pt modelId="{95A9860F-8995-4554-A975-2E20E531ECE1}" type="pres">
      <dgm:prSet presAssocID="{273016BF-B8DC-43D6-9BA7-32D9974D0C0E}" presName="centerShape" presStyleLbl="node0" presStyleIdx="0" presStyleCnt="1"/>
      <dgm:spPr>
        <a:prstGeom prst="ellipse">
          <a:avLst/>
        </a:prstGeom>
      </dgm:spPr>
      <dgm:t>
        <a:bodyPr/>
        <a:lstStyle/>
        <a:p>
          <a:endParaRPr lang="en-AU"/>
        </a:p>
      </dgm:t>
    </dgm:pt>
    <dgm:pt modelId="{88B785A9-B50A-4089-BF95-3CB9CA7797D0}" type="pres">
      <dgm:prSet presAssocID="{9186DD6D-9C6D-40BC-B5EA-21A2BD37AE43}" presName="node" presStyleLbl="node1" presStyleIdx="0" presStyleCnt="3">
        <dgm:presLayoutVars>
          <dgm:bulletEnabled val="1"/>
        </dgm:presLayoutVars>
      </dgm:prSet>
      <dgm:spPr>
        <a:prstGeom prst="ellipse">
          <a:avLst/>
        </a:prstGeom>
      </dgm:spPr>
      <dgm:t>
        <a:bodyPr/>
        <a:lstStyle/>
        <a:p>
          <a:endParaRPr lang="en-AU"/>
        </a:p>
      </dgm:t>
    </dgm:pt>
    <dgm:pt modelId="{18492DF1-531C-4A04-A7E6-58A33EA4E7C5}" type="pres">
      <dgm:prSet presAssocID="{9186DD6D-9C6D-40BC-B5EA-21A2BD37AE43}" presName="dummy" presStyleCnt="0"/>
      <dgm:spPr/>
    </dgm:pt>
    <dgm:pt modelId="{88E3DAF8-6F2F-4D39-A0B6-B5F86BEBC249}" type="pres">
      <dgm:prSet presAssocID="{2F928231-B699-49E8-9953-DA40BDB7BD6B}" presName="sibTrans" presStyleLbl="sibTrans2D1" presStyleIdx="0" presStyleCnt="3"/>
      <dgm:spPr>
        <a:prstGeom prst="blockArc">
          <a:avLst>
            <a:gd name="adj1" fmla="val 16200000"/>
            <a:gd name="adj2" fmla="val 1800000"/>
            <a:gd name="adj3" fmla="val 4639"/>
          </a:avLst>
        </a:prstGeom>
      </dgm:spPr>
      <dgm:t>
        <a:bodyPr/>
        <a:lstStyle/>
        <a:p>
          <a:endParaRPr lang="en-AU"/>
        </a:p>
      </dgm:t>
    </dgm:pt>
    <dgm:pt modelId="{8E672A5E-DD6B-4548-ABB7-6CA672AFCA50}" type="pres">
      <dgm:prSet presAssocID="{FBC8F674-8428-4E88-8270-54A85297941C}" presName="node" presStyleLbl="node1" presStyleIdx="1" presStyleCnt="3">
        <dgm:presLayoutVars>
          <dgm:bulletEnabled val="1"/>
        </dgm:presLayoutVars>
      </dgm:prSet>
      <dgm:spPr>
        <a:prstGeom prst="ellipse">
          <a:avLst/>
        </a:prstGeom>
      </dgm:spPr>
      <dgm:t>
        <a:bodyPr/>
        <a:lstStyle/>
        <a:p>
          <a:endParaRPr lang="en-AU"/>
        </a:p>
      </dgm:t>
    </dgm:pt>
    <dgm:pt modelId="{4FA0E6D0-EACA-49E2-A8D4-8886C986DA0B}" type="pres">
      <dgm:prSet presAssocID="{FBC8F674-8428-4E88-8270-54A85297941C}" presName="dummy" presStyleCnt="0"/>
      <dgm:spPr/>
    </dgm:pt>
    <dgm:pt modelId="{D2B2152E-2307-4852-A537-1C16F2D356FC}" type="pres">
      <dgm:prSet presAssocID="{0C348932-B8BB-4DBC-AF0B-EC92ED12229F}" presName="sibTrans" presStyleLbl="sibTrans2D1" presStyleIdx="1" presStyleCnt="3"/>
      <dgm:spPr>
        <a:prstGeom prst="blockArc">
          <a:avLst>
            <a:gd name="adj1" fmla="val 1800000"/>
            <a:gd name="adj2" fmla="val 9000000"/>
            <a:gd name="adj3" fmla="val 4639"/>
          </a:avLst>
        </a:prstGeom>
      </dgm:spPr>
      <dgm:t>
        <a:bodyPr/>
        <a:lstStyle/>
        <a:p>
          <a:endParaRPr lang="en-AU"/>
        </a:p>
      </dgm:t>
    </dgm:pt>
    <dgm:pt modelId="{A2EBBF3C-31F3-4378-B251-67112666974B}" type="pres">
      <dgm:prSet presAssocID="{B1EB3A24-93F3-4442-9B79-A98ED8BBBF3F}" presName="node" presStyleLbl="node1" presStyleIdx="2" presStyleCnt="3">
        <dgm:presLayoutVars>
          <dgm:bulletEnabled val="1"/>
        </dgm:presLayoutVars>
      </dgm:prSet>
      <dgm:spPr>
        <a:prstGeom prst="ellipse">
          <a:avLst/>
        </a:prstGeom>
      </dgm:spPr>
      <dgm:t>
        <a:bodyPr/>
        <a:lstStyle/>
        <a:p>
          <a:endParaRPr lang="en-AU"/>
        </a:p>
      </dgm:t>
    </dgm:pt>
    <dgm:pt modelId="{B69DC988-1822-4430-8F8A-041A01193DB0}" type="pres">
      <dgm:prSet presAssocID="{B1EB3A24-93F3-4442-9B79-A98ED8BBBF3F}" presName="dummy" presStyleCnt="0"/>
      <dgm:spPr/>
    </dgm:pt>
    <dgm:pt modelId="{0E365634-E6B5-4E27-A9D1-1F3BA15C14A6}" type="pres">
      <dgm:prSet presAssocID="{A15FAB1A-F5C1-472A-8A30-6EACF47F96BD}" presName="sibTrans" presStyleLbl="sibTrans2D1" presStyleIdx="2" presStyleCnt="3"/>
      <dgm:spPr>
        <a:prstGeom prst="blockArc">
          <a:avLst>
            <a:gd name="adj1" fmla="val 9000000"/>
            <a:gd name="adj2" fmla="val 16200000"/>
            <a:gd name="adj3" fmla="val 4639"/>
          </a:avLst>
        </a:prstGeom>
      </dgm:spPr>
      <dgm:t>
        <a:bodyPr/>
        <a:lstStyle/>
        <a:p>
          <a:endParaRPr lang="en-AU"/>
        </a:p>
      </dgm:t>
    </dgm:pt>
  </dgm:ptLst>
  <dgm:cxnLst>
    <dgm:cxn modelId="{45C5696E-3A23-452D-87FF-237F0F058404}" srcId="{273016BF-B8DC-43D6-9BA7-32D9974D0C0E}" destId="{B1EB3A24-93F3-4442-9B79-A98ED8BBBF3F}" srcOrd="2" destOrd="0" parTransId="{83E3A844-FE4D-42FA-B8F6-66F54BC97137}" sibTransId="{A15FAB1A-F5C1-472A-8A30-6EACF47F96BD}"/>
    <dgm:cxn modelId="{FD37101D-C099-4702-9D9F-8AA0A7EA48D1}" type="presOf" srcId="{2F928231-B699-49E8-9953-DA40BDB7BD6B}" destId="{88E3DAF8-6F2F-4D39-A0B6-B5F86BEBC249}" srcOrd="0" destOrd="0" presId="urn:microsoft.com/office/officeart/2005/8/layout/radial6"/>
    <dgm:cxn modelId="{691C76E8-64CB-49D1-9BF2-4E92D9F0F257}" type="presOf" srcId="{0C348932-B8BB-4DBC-AF0B-EC92ED12229F}" destId="{D2B2152E-2307-4852-A537-1C16F2D356FC}" srcOrd="0" destOrd="0" presId="urn:microsoft.com/office/officeart/2005/8/layout/radial6"/>
    <dgm:cxn modelId="{58052BAA-91BB-4749-9F2D-D28D296CA2EB}" srcId="{AD59EE8E-A567-4225-8C33-E8822C7D29CF}" destId="{273016BF-B8DC-43D6-9BA7-32D9974D0C0E}" srcOrd="0" destOrd="0" parTransId="{7E0A8C9A-ED49-43C5-82ED-EBFDF392417D}" sibTransId="{54AB793A-F95E-47D4-9A5B-B77BD98123A4}"/>
    <dgm:cxn modelId="{661670BD-321F-4456-A430-D121C8F18FCE}" type="presOf" srcId="{9186DD6D-9C6D-40BC-B5EA-21A2BD37AE43}" destId="{88B785A9-B50A-4089-BF95-3CB9CA7797D0}" srcOrd="0" destOrd="0" presId="urn:microsoft.com/office/officeart/2005/8/layout/radial6"/>
    <dgm:cxn modelId="{9CA7A290-DF01-467D-A090-44837A2FAAD5}" type="presOf" srcId="{AD59EE8E-A567-4225-8C33-E8822C7D29CF}" destId="{1938DFD1-511E-4C4C-9795-E4C002D12A8E}" srcOrd="0" destOrd="0" presId="urn:microsoft.com/office/officeart/2005/8/layout/radial6"/>
    <dgm:cxn modelId="{722BA424-0B4B-4E83-BCEE-ECE355665161}" srcId="{273016BF-B8DC-43D6-9BA7-32D9974D0C0E}" destId="{FBC8F674-8428-4E88-8270-54A85297941C}" srcOrd="1" destOrd="0" parTransId="{0B7FA4BD-3E4C-4A42-8CF3-B3C8741E7F5C}" sibTransId="{0C348932-B8BB-4DBC-AF0B-EC92ED12229F}"/>
    <dgm:cxn modelId="{9ABC5AC8-25C2-4291-9580-8742E9290205}" srcId="{273016BF-B8DC-43D6-9BA7-32D9974D0C0E}" destId="{9186DD6D-9C6D-40BC-B5EA-21A2BD37AE43}" srcOrd="0" destOrd="0" parTransId="{DBEB028D-BD5F-4E08-BCD9-D4D4C1BBE707}" sibTransId="{2F928231-B699-49E8-9953-DA40BDB7BD6B}"/>
    <dgm:cxn modelId="{0B74359C-EF72-4F84-B176-6A483304C357}" type="presOf" srcId="{B1EB3A24-93F3-4442-9B79-A98ED8BBBF3F}" destId="{A2EBBF3C-31F3-4378-B251-67112666974B}" srcOrd="0" destOrd="0" presId="urn:microsoft.com/office/officeart/2005/8/layout/radial6"/>
    <dgm:cxn modelId="{26513450-6440-4F61-ADA2-976937E2C282}" type="presOf" srcId="{273016BF-B8DC-43D6-9BA7-32D9974D0C0E}" destId="{95A9860F-8995-4554-A975-2E20E531ECE1}" srcOrd="0" destOrd="0" presId="urn:microsoft.com/office/officeart/2005/8/layout/radial6"/>
    <dgm:cxn modelId="{A7D49FB7-5C42-43A5-AD44-F9419D597F9B}" type="presOf" srcId="{A15FAB1A-F5C1-472A-8A30-6EACF47F96BD}" destId="{0E365634-E6B5-4E27-A9D1-1F3BA15C14A6}" srcOrd="0" destOrd="0" presId="urn:microsoft.com/office/officeart/2005/8/layout/radial6"/>
    <dgm:cxn modelId="{36297BBE-8E8B-4819-8CE6-F3F227F2FDC4}" type="presOf" srcId="{FBC8F674-8428-4E88-8270-54A85297941C}" destId="{8E672A5E-DD6B-4548-ABB7-6CA672AFCA50}" srcOrd="0" destOrd="0" presId="urn:microsoft.com/office/officeart/2005/8/layout/radial6"/>
    <dgm:cxn modelId="{E2FCFD37-62E2-4B05-94BB-BEE456137185}" type="presParOf" srcId="{1938DFD1-511E-4C4C-9795-E4C002D12A8E}" destId="{95A9860F-8995-4554-A975-2E20E531ECE1}" srcOrd="0" destOrd="0" presId="urn:microsoft.com/office/officeart/2005/8/layout/radial6"/>
    <dgm:cxn modelId="{1D3393E7-3332-48E3-BE19-17EB0B51F9C4}" type="presParOf" srcId="{1938DFD1-511E-4C4C-9795-E4C002D12A8E}" destId="{88B785A9-B50A-4089-BF95-3CB9CA7797D0}" srcOrd="1" destOrd="0" presId="urn:microsoft.com/office/officeart/2005/8/layout/radial6"/>
    <dgm:cxn modelId="{29E90293-B0EF-4B9B-A35D-5CBE380DEE68}" type="presParOf" srcId="{1938DFD1-511E-4C4C-9795-E4C002D12A8E}" destId="{18492DF1-531C-4A04-A7E6-58A33EA4E7C5}" srcOrd="2" destOrd="0" presId="urn:microsoft.com/office/officeart/2005/8/layout/radial6"/>
    <dgm:cxn modelId="{56CCC94F-BB30-47E4-B6FB-16BEE6F734FC}" type="presParOf" srcId="{1938DFD1-511E-4C4C-9795-E4C002D12A8E}" destId="{88E3DAF8-6F2F-4D39-A0B6-B5F86BEBC249}" srcOrd="3" destOrd="0" presId="urn:microsoft.com/office/officeart/2005/8/layout/radial6"/>
    <dgm:cxn modelId="{852388F8-A50F-42F9-9B84-A5A215B6703B}" type="presParOf" srcId="{1938DFD1-511E-4C4C-9795-E4C002D12A8E}" destId="{8E672A5E-DD6B-4548-ABB7-6CA672AFCA50}" srcOrd="4" destOrd="0" presId="urn:microsoft.com/office/officeart/2005/8/layout/radial6"/>
    <dgm:cxn modelId="{5CC960EB-0114-414C-9CE3-448B771F35C6}" type="presParOf" srcId="{1938DFD1-511E-4C4C-9795-E4C002D12A8E}" destId="{4FA0E6D0-EACA-49E2-A8D4-8886C986DA0B}" srcOrd="5" destOrd="0" presId="urn:microsoft.com/office/officeart/2005/8/layout/radial6"/>
    <dgm:cxn modelId="{8E99FD2A-35DB-407B-B00E-51F9516BC339}" type="presParOf" srcId="{1938DFD1-511E-4C4C-9795-E4C002D12A8E}" destId="{D2B2152E-2307-4852-A537-1C16F2D356FC}" srcOrd="6" destOrd="0" presId="urn:microsoft.com/office/officeart/2005/8/layout/radial6"/>
    <dgm:cxn modelId="{515048D1-5668-45BF-B695-8A2914A54B6D}" type="presParOf" srcId="{1938DFD1-511E-4C4C-9795-E4C002D12A8E}" destId="{A2EBBF3C-31F3-4378-B251-67112666974B}" srcOrd="7" destOrd="0" presId="urn:microsoft.com/office/officeart/2005/8/layout/radial6"/>
    <dgm:cxn modelId="{88B9DCFF-A33C-4135-BBE3-43AE72A8C759}" type="presParOf" srcId="{1938DFD1-511E-4C4C-9795-E4C002D12A8E}" destId="{B69DC988-1822-4430-8F8A-041A01193DB0}" srcOrd="8" destOrd="0" presId="urn:microsoft.com/office/officeart/2005/8/layout/radial6"/>
    <dgm:cxn modelId="{CD22FADA-A2CE-43CC-B269-90188E3F9398}" type="presParOf" srcId="{1938DFD1-511E-4C4C-9795-E4C002D12A8E}" destId="{0E365634-E6B5-4E27-A9D1-1F3BA15C14A6}" srcOrd="9" destOrd="0" presId="urn:microsoft.com/office/officeart/2005/8/layout/radial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365634-E6B5-4E27-A9D1-1F3BA15C14A6}">
      <dsp:nvSpPr>
        <dsp:cNvPr id="0" name=""/>
        <dsp:cNvSpPr/>
      </dsp:nvSpPr>
      <dsp:spPr>
        <a:xfrm>
          <a:off x="1477039" y="366946"/>
          <a:ext cx="2446595" cy="2446595"/>
        </a:xfrm>
        <a:prstGeom prst="blockArc">
          <a:avLst>
            <a:gd name="adj1" fmla="val 9000000"/>
            <a:gd name="adj2" fmla="val 16200000"/>
            <a:gd name="adj3" fmla="val 4639"/>
          </a:avLst>
        </a:prstGeom>
        <a:solidFill>
          <a:srgbClr val="78A22F">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2B2152E-2307-4852-A537-1C16F2D356FC}">
      <dsp:nvSpPr>
        <dsp:cNvPr id="0" name=""/>
        <dsp:cNvSpPr/>
      </dsp:nvSpPr>
      <dsp:spPr>
        <a:xfrm>
          <a:off x="1477039" y="366946"/>
          <a:ext cx="2446595" cy="2446595"/>
        </a:xfrm>
        <a:prstGeom prst="blockArc">
          <a:avLst>
            <a:gd name="adj1" fmla="val 1800000"/>
            <a:gd name="adj2" fmla="val 9000000"/>
            <a:gd name="adj3" fmla="val 4639"/>
          </a:avLst>
        </a:prstGeom>
        <a:solidFill>
          <a:srgbClr val="78A22F">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8E3DAF8-6F2F-4D39-A0B6-B5F86BEBC249}">
      <dsp:nvSpPr>
        <dsp:cNvPr id="0" name=""/>
        <dsp:cNvSpPr/>
      </dsp:nvSpPr>
      <dsp:spPr>
        <a:xfrm>
          <a:off x="1477039" y="366946"/>
          <a:ext cx="2446595" cy="2446595"/>
        </a:xfrm>
        <a:prstGeom prst="blockArc">
          <a:avLst>
            <a:gd name="adj1" fmla="val 16200000"/>
            <a:gd name="adj2" fmla="val 1800000"/>
            <a:gd name="adj3" fmla="val 4639"/>
          </a:avLst>
        </a:prstGeom>
        <a:solidFill>
          <a:srgbClr val="78A22F">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5A9860F-8995-4554-A975-2E20E531ECE1}">
      <dsp:nvSpPr>
        <dsp:cNvPr id="0" name=""/>
        <dsp:cNvSpPr/>
      </dsp:nvSpPr>
      <dsp:spPr>
        <a:xfrm>
          <a:off x="2137327" y="1027234"/>
          <a:ext cx="1126019" cy="1126019"/>
        </a:xfrm>
        <a:prstGeom prst="ellipse">
          <a:avLst/>
        </a:prstGeom>
        <a:solidFill>
          <a:srgbClr val="78A22F">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AU" sz="1300" kern="1200">
              <a:solidFill>
                <a:sysClr val="window" lastClr="FFFFFF"/>
              </a:solidFill>
              <a:latin typeface="Arial"/>
              <a:ea typeface="+mn-ea"/>
              <a:cs typeface="+mn-cs"/>
            </a:rPr>
            <a:t>Improving education outcomes</a:t>
          </a:r>
        </a:p>
      </dsp:txBody>
      <dsp:txXfrm>
        <a:off x="2302229" y="1192136"/>
        <a:ext cx="796215" cy="796215"/>
      </dsp:txXfrm>
    </dsp:sp>
    <dsp:sp modelId="{88B785A9-B50A-4089-BF95-3CB9CA7797D0}">
      <dsp:nvSpPr>
        <dsp:cNvPr id="0" name=""/>
        <dsp:cNvSpPr/>
      </dsp:nvSpPr>
      <dsp:spPr>
        <a:xfrm>
          <a:off x="2306230" y="1215"/>
          <a:ext cx="788213" cy="788213"/>
        </a:xfrm>
        <a:prstGeom prst="ellipse">
          <a:avLst/>
        </a:prstGeom>
        <a:solidFill>
          <a:srgbClr val="78A22F">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Arial"/>
              <a:ea typeface="+mn-ea"/>
              <a:cs typeface="+mn-cs"/>
            </a:rPr>
            <a:t>1. Monitor progress</a:t>
          </a:r>
        </a:p>
      </dsp:txBody>
      <dsp:txXfrm>
        <a:off x="2421661" y="116646"/>
        <a:ext cx="557351" cy="557351"/>
      </dsp:txXfrm>
    </dsp:sp>
    <dsp:sp modelId="{8E672A5E-DD6B-4548-ABB7-6CA672AFCA50}">
      <dsp:nvSpPr>
        <dsp:cNvPr id="0" name=""/>
        <dsp:cNvSpPr/>
      </dsp:nvSpPr>
      <dsp:spPr>
        <a:xfrm>
          <a:off x="3341063" y="1793598"/>
          <a:ext cx="788213" cy="788213"/>
        </a:xfrm>
        <a:prstGeom prst="ellipse">
          <a:avLst/>
        </a:prstGeom>
        <a:solidFill>
          <a:srgbClr val="78A22F">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Arial"/>
              <a:ea typeface="+mn-ea"/>
              <a:cs typeface="+mn-cs"/>
            </a:rPr>
            <a:t>2. Evaluate policies and programs</a:t>
          </a:r>
        </a:p>
      </dsp:txBody>
      <dsp:txXfrm>
        <a:off x="3456494" y="1909029"/>
        <a:ext cx="557351" cy="557351"/>
      </dsp:txXfrm>
    </dsp:sp>
    <dsp:sp modelId="{A2EBBF3C-31F3-4378-B251-67112666974B}">
      <dsp:nvSpPr>
        <dsp:cNvPr id="0" name=""/>
        <dsp:cNvSpPr/>
      </dsp:nvSpPr>
      <dsp:spPr>
        <a:xfrm>
          <a:off x="1271397" y="1793598"/>
          <a:ext cx="788213" cy="788213"/>
        </a:xfrm>
        <a:prstGeom prst="ellipse">
          <a:avLst/>
        </a:prstGeom>
        <a:solidFill>
          <a:srgbClr val="78A22F">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AU" sz="800" kern="1200">
              <a:solidFill>
                <a:sysClr val="window" lastClr="FFFFFF"/>
              </a:solidFill>
              <a:latin typeface="Arial"/>
              <a:ea typeface="+mn-ea"/>
              <a:cs typeface="+mn-cs"/>
            </a:rPr>
            <a:t>3. Inform decision making</a:t>
          </a:r>
        </a:p>
      </dsp:txBody>
      <dsp:txXfrm>
        <a:off x="1386828" y="1909029"/>
        <a:ext cx="557351" cy="5573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C4AD1956202E7E4FB59C7BD7F20F00A1" ma:contentTypeVersion="0" ma:contentTypeDescription="" ma:contentTypeScope="" ma:versionID="379b6baf0a0ef294e85f2ee084d34859">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3e0361dcc8be0f2e233846e7f1437ed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Archive" minOccurs="0"/>
                <xsd:element ref="ns3: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2" nillable="true" ma:displayName="Archive" ma:default="0" ma:internalName="Archive">
      <xsd:simpleType>
        <xsd:restriction base="dms:Boolean"/>
      </xsd:simpleType>
    </xsd:element>
    <xsd:element name="Visit_x0020_Location" ma:index="13"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p:properties xmlns:p="http://schemas.microsoft.com/office/2006/metadata/properties" xmlns:xsi="http://www.w3.org/2001/XMLSchema-instance" xmlns:pc="http://schemas.microsoft.com/office/infopath/2007/PartnerControls">
  <documentManagement>
    <Visit_x0020_Location xmlns="8044c801-d84b-4ee1-a77e-678f8dcdee17" xsi:nil="true"/>
    <TaxKeywordTaxHTField xmlns="3f4bcce7-ac1a-4c9d-aa3e-7e77695652db">
      <Terms xmlns="http://schemas.microsoft.com/office/infopath/2007/PartnerControls">
        <TermInfo xmlns="http://schemas.microsoft.com/office/infopath/2007/PartnerControls">
          <TermName xmlns="http://schemas.microsoft.com/office/infopath/2007/PartnerControls">Issues Paper</TermName>
          <TermId xmlns="http://schemas.microsoft.com/office/infopath/2007/PartnerControls">36385256-9409-4566-b304-2918de0a4ddd</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Issues Papers</TermName>
          <TermId xmlns="http://schemas.microsoft.com/office/infopath/2007/PartnerControls">3f58d8d8-eba3-4f69-b92f-42d45f1952c5</TermId>
        </TermInfo>
      </Terms>
    </p7a0baa8c88445a78b6f55906390ba17>
    <TaxCatchAll xmlns="3f4bcce7-ac1a-4c9d-aa3e-7e77695652db">
      <Value>249</Value>
      <Value>802</Value>
    </TaxCatchAl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171-2FC3-4359-9652-DB57218E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E10DE-A7E4-4C85-A052-661AC8032549}">
  <ds:schemaRefs>
    <ds:schemaRef ds:uri="Microsoft.SharePoint.Taxonomy.ContentTypeSync"/>
  </ds:schemaRefs>
</ds:datastoreItem>
</file>

<file path=customXml/itemProps3.xml><?xml version="1.0" encoding="utf-8"?>
<ds:datastoreItem xmlns:ds="http://schemas.openxmlformats.org/officeDocument/2006/customXml" ds:itemID="{89C25277-5212-4949-B3CE-24FA619FB7F7}">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8044c801-d84b-4ee1-a77e-678f8dcdee17"/>
    <ds:schemaRef ds:uri="3f4bcce7-ac1a-4c9d-aa3e-7e77695652db"/>
  </ds:schemaRefs>
</ds:datastoreItem>
</file>

<file path=customXml/itemProps4.xml><?xml version="1.0" encoding="utf-8"?>
<ds:datastoreItem xmlns:ds="http://schemas.openxmlformats.org/officeDocument/2006/customXml" ds:itemID="{076ED860-6E40-4555-969B-FE20B41A10B1}">
  <ds:schemaRefs>
    <ds:schemaRef ds:uri="http://schemas.microsoft.com/office/2006/metadata/customXsn"/>
  </ds:schemaRefs>
</ds:datastoreItem>
</file>

<file path=customXml/itemProps5.xml><?xml version="1.0" encoding="utf-8"?>
<ds:datastoreItem xmlns:ds="http://schemas.openxmlformats.org/officeDocument/2006/customXml" ds:itemID="{3C4267AC-823D-421F-86E9-AD7FC649FEDF}">
  <ds:schemaRefs>
    <ds:schemaRef ds:uri="http://schemas.microsoft.com/sharepoint/v3/contenttype/forms"/>
  </ds:schemaRefs>
</ds:datastoreItem>
</file>

<file path=customXml/itemProps6.xml><?xml version="1.0" encoding="utf-8"?>
<ds:datastoreItem xmlns:ds="http://schemas.openxmlformats.org/officeDocument/2006/customXml" ds:itemID="{E306AB62-AC16-4D50-9595-7E5A3E7F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17</TotalTime>
  <Pages>46</Pages>
  <Words>14034</Words>
  <Characters>90324</Characters>
  <Application>Microsoft Office Word</Application>
  <DocSecurity>0</DocSecurity>
  <Lines>2007</Lines>
  <Paragraphs>821</Paragraphs>
  <ScaleCrop>false</ScaleCrop>
  <HeadingPairs>
    <vt:vector size="2" baseType="variant">
      <vt:variant>
        <vt:lpstr>Title</vt:lpstr>
      </vt:variant>
      <vt:variant>
        <vt:i4>1</vt:i4>
      </vt:variant>
    </vt:vector>
  </HeadingPairs>
  <TitlesOfParts>
    <vt:vector size="1" baseType="lpstr">
      <vt:lpstr>Issues paper - Education Evidence Base</vt:lpstr>
    </vt:vector>
  </TitlesOfParts>
  <Company>Productivity Commission</Company>
  <LinksUpToDate>false</LinksUpToDate>
  <CharactersWithSpaces>103537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Education Evidence Base</dc:title>
  <dc:subject>Report</dc:subject>
  <dc:creator>Productivity Commission</dc:creator>
  <cp:keywords>Issues Paper</cp:keywords>
  <cp:lastModifiedBy>Productivity Commission</cp:lastModifiedBy>
  <cp:revision>8</cp:revision>
  <cp:lastPrinted>2016-04-07T02:31:00Z</cp:lastPrinted>
  <dcterms:created xsi:type="dcterms:W3CDTF">2016-04-07T23:53:00Z</dcterms:created>
  <dcterms:modified xsi:type="dcterms:W3CDTF">2016-04-08T02:20:00Z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0x0101007916246811615643A710C6FEAFF56A87110100EEFE548D9549EA4098E3A65339C068F300C4AD1956202E7E4FB59C7BD7F20F00A1</vt:lpwstr>
  </property>
  <property fmtid="{D5CDD505-2E9C-101B-9397-08002B2CF9AE}" pid="3" name="Order">
    <vt:r8>1300</vt:r8>
  </property>
  <property fmtid="{D5CDD505-2E9C-101B-9397-08002B2CF9AE}" pid="4" name="TaxKeyword">
    <vt:lpwstr>802;#Issues Paper|36385256-9409-4566-b304-2918de0a4ddd</vt:lpwstr>
  </property>
  <property fmtid="{D5CDD505-2E9C-101B-9397-08002B2CF9AE}" pid="5" name="Record Tag">
    <vt:lpwstr>249;#Issues Papers|3f58d8d8-eba3-4f69-b92f-42d45f1952c5</vt:lpwstr>
  </property>
  <property fmtid="{D5CDD505-2E9C-101B-9397-08002B2CF9AE}" pid="6" name="ZOTERO_PREF_2">
    <vt:lpwstr>lue="true"/&gt;&lt;pref name="automaticJournalAbbreviations" value="true"/&gt;&lt;pref name="noteType" value="0"/&gt;&lt;/prefs&gt;&lt;/data&gt;</vt:lpwstr>
  </property>
  <property fmtid="{D5CDD505-2E9C-101B-9397-08002B2CF9AE}" pid="7" name="ZOTERO_PREF_1">
    <vt:lpwstr>&lt;data data-version="3" zotero-version="4.0.20"&gt;&lt;session id="9nnVCrjp"/&gt;&lt;style id="http://www.zotero.org/styles/unisa-harvard" hasBibliography="1" bibliographyStyleHasBeenSet="1"/&gt;&lt;prefs&gt;&lt;pref name="fieldType" value="Field"/&gt;&lt;pref name="storeReferences" va</vt:lpwstr>
  </property>
</Properties>
</file>