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014" w:rsidRDefault="00FF1534" w:rsidP="006F36A8">
      <w:pPr>
        <w:pStyle w:val="Chapter"/>
        <w:ind w:left="907" w:hanging="907"/>
      </w:pPr>
      <w:bookmarkStart w:id="0" w:name="_GoBack"/>
      <w:bookmarkEnd w:id="0"/>
      <w:r>
        <w:t xml:space="preserve">Draft </w:t>
      </w:r>
      <w:r w:rsidR="007F6CF5">
        <w:t>Recommendations</w:t>
      </w:r>
      <w:r w:rsidR="005764B4">
        <w:t xml:space="preserve"> and findings</w:t>
      </w:r>
    </w:p>
    <w:p w:rsidR="00F0131E" w:rsidRDefault="00F0131E" w:rsidP="00ED5A99">
      <w:pPr>
        <w:pStyle w:val="Heading3"/>
      </w:pPr>
      <w:r>
        <w:t>Chapter 5</w:t>
      </w:r>
      <w:r w:rsidR="00ED5A99">
        <w:t xml:space="preserve"> Regulatory incentives</w:t>
      </w:r>
    </w:p>
    <w:p w:rsidR="00727A49" w:rsidRDefault="00727A49" w:rsidP="00727A49">
      <w:pPr>
        <w:pStyle w:val="RecTitle"/>
        <w:framePr w:wrap="notBeside"/>
      </w:pPr>
      <w:r>
        <w:t>Draft Recommendation</w:t>
      </w:r>
      <w:r w:rsidR="00854894">
        <w:t xml:space="preserve"> 5.1</w:t>
      </w:r>
    </w:p>
    <w:p w:rsidR="00727A49" w:rsidRPr="006C0BD9" w:rsidRDefault="00727A49" w:rsidP="00727A49">
      <w:pPr>
        <w:keepLines/>
        <w:spacing w:before="180" w:line="320" w:lineRule="atLeast"/>
        <w:jc w:val="both"/>
        <w:rPr>
          <w:b/>
          <w:i/>
          <w:szCs w:val="20"/>
        </w:rPr>
      </w:pPr>
      <w:r w:rsidRPr="00737007">
        <w:rPr>
          <w:b/>
          <w:i/>
          <w:szCs w:val="20"/>
        </w:rPr>
        <w:t>The A</w:t>
      </w:r>
      <w:r w:rsidR="00432E1E">
        <w:rPr>
          <w:b/>
          <w:i/>
          <w:szCs w:val="20"/>
        </w:rPr>
        <w:t xml:space="preserve">ustralian </w:t>
      </w:r>
      <w:r w:rsidRPr="00737007">
        <w:rPr>
          <w:b/>
          <w:i/>
          <w:szCs w:val="20"/>
        </w:rPr>
        <w:t>E</w:t>
      </w:r>
      <w:r w:rsidR="00432E1E">
        <w:rPr>
          <w:b/>
          <w:i/>
          <w:szCs w:val="20"/>
        </w:rPr>
        <w:t>nergy Regulator</w:t>
      </w:r>
      <w:r w:rsidRPr="00737007">
        <w:rPr>
          <w:b/>
          <w:i/>
          <w:szCs w:val="20"/>
        </w:rPr>
        <w:t xml:space="preserve"> should develop an efficiency benefit sharing scheme to apply to capital expenditure that provides consistent incentives to reduce capital expenditure, both over time and when compa</w:t>
      </w:r>
      <w:r>
        <w:rPr>
          <w:b/>
          <w:i/>
          <w:szCs w:val="20"/>
        </w:rPr>
        <w:t>red with operating expenditure.</w:t>
      </w:r>
    </w:p>
    <w:p w:rsidR="00727A49" w:rsidRDefault="00727A49" w:rsidP="00727A49">
      <w:pPr>
        <w:pStyle w:val="RecTitle"/>
        <w:framePr w:wrap="notBeside"/>
      </w:pPr>
      <w:r>
        <w:t>draft Recommendation 5.2</w:t>
      </w:r>
    </w:p>
    <w:p w:rsidR="00727A49" w:rsidRDefault="00727A49" w:rsidP="00727A49">
      <w:pPr>
        <w:pStyle w:val="Rec"/>
      </w:pPr>
      <w:r>
        <w:t>The National Electricity Rules should specify the interdependent nature of the parameters used to estimate the weighted average cost of capital, and specify that any merit</w:t>
      </w:r>
      <w:r w:rsidR="00642B9E">
        <w:t>s</w:t>
      </w:r>
      <w:r>
        <w:t xml:space="preserve"> review must also consider the relevant rule in that light. </w:t>
      </w:r>
    </w:p>
    <w:p w:rsidR="00727A49" w:rsidRDefault="00727A49" w:rsidP="00727A49">
      <w:pPr>
        <w:pStyle w:val="RecTitle"/>
        <w:framePr w:wrap="notBeside"/>
      </w:pPr>
      <w:r>
        <w:t xml:space="preserve">draft Recommendation </w:t>
      </w:r>
      <w:r w:rsidR="00854894">
        <w:t>5.3</w:t>
      </w:r>
    </w:p>
    <w:p w:rsidR="00727A49" w:rsidRPr="006E0C66" w:rsidRDefault="00727A49" w:rsidP="00727A49">
      <w:pPr>
        <w:pStyle w:val="Rec"/>
      </w:pPr>
      <w:r>
        <w:t xml:space="preserve">Estimates of the debt risk premium and risk free rate used in the calculation of the </w:t>
      </w:r>
      <w:r w:rsidR="003B5A45">
        <w:t xml:space="preserve">weighted average cost </w:t>
      </w:r>
      <w:r w:rsidR="00432E1E">
        <w:t xml:space="preserve">of </w:t>
      </w:r>
      <w:r w:rsidR="003B5A45">
        <w:t xml:space="preserve">capital </w:t>
      </w:r>
      <w:r>
        <w:t xml:space="preserve">should be calculated using </w:t>
      </w:r>
      <w:r w:rsidR="00642B9E">
        <w:t>long-</w:t>
      </w:r>
      <w:r>
        <w:t>term trailing averages.</w:t>
      </w:r>
    </w:p>
    <w:p w:rsidR="00727A49" w:rsidRDefault="00727A49" w:rsidP="00727A49">
      <w:pPr>
        <w:pStyle w:val="RecTitle"/>
        <w:framePr w:wrap="notBeside"/>
      </w:pPr>
      <w:r>
        <w:t>draft Recommendation 5.4</w:t>
      </w:r>
    </w:p>
    <w:p w:rsidR="00727A49" w:rsidRDefault="00727A49" w:rsidP="00727A49">
      <w:pPr>
        <w:pStyle w:val="Rec"/>
      </w:pPr>
      <w:r>
        <w:t xml:space="preserve">Where, within a given regulatory period, a network business spends materially more capital than that allowed for in the Australian Energy Regulator’s final ex ante regulatory determination, then </w:t>
      </w:r>
      <w:r w:rsidR="00865D08">
        <w:t xml:space="preserve">its </w:t>
      </w:r>
      <w:r>
        <w:t>entire capital expenditure should be subject to an ex post prudency test:</w:t>
      </w:r>
    </w:p>
    <w:p w:rsidR="00727A49" w:rsidRDefault="00727A49" w:rsidP="00727A49">
      <w:pPr>
        <w:pStyle w:val="RecBullet"/>
      </w:pPr>
      <w:r>
        <w:t xml:space="preserve">Only spending that is deemed efficient and prudent, given the information available to the </w:t>
      </w:r>
      <w:r w:rsidR="00E500B9">
        <w:t xml:space="preserve">network business </w:t>
      </w:r>
      <w:r>
        <w:t>at the time, should be included in the Regulatory Asset Base at the end of the period, subject to the condition that:</w:t>
      </w:r>
    </w:p>
    <w:p w:rsidR="00727A49" w:rsidRDefault="00727A49" w:rsidP="00727A49">
      <w:pPr>
        <w:pStyle w:val="Rec"/>
        <w:numPr>
          <w:ilvl w:val="0"/>
          <w:numId w:val="21"/>
        </w:numPr>
      </w:pPr>
      <w:r>
        <w:t xml:space="preserve">the maximum disallowable expenditure is no more than the difference between the </w:t>
      </w:r>
      <w:proofErr w:type="spellStart"/>
      <w:r>
        <w:t>ex</w:t>
      </w:r>
      <w:r w:rsidR="00E500B9">
        <w:t xml:space="preserve"> </w:t>
      </w:r>
      <w:r>
        <w:t>ante</w:t>
      </w:r>
      <w:proofErr w:type="spellEnd"/>
      <w:r>
        <w:t xml:space="preserve"> forecast and realised expenditure</w:t>
      </w:r>
    </w:p>
    <w:p w:rsidR="00727A49" w:rsidRDefault="00727A49" w:rsidP="00727A49">
      <w:pPr>
        <w:pStyle w:val="RecBullet"/>
      </w:pPr>
      <w:r>
        <w:t xml:space="preserve">If </w:t>
      </w:r>
      <w:r w:rsidR="00865D08">
        <w:t xml:space="preserve">a </w:t>
      </w:r>
      <w:r>
        <w:t>network businesse</w:t>
      </w:r>
      <w:r w:rsidR="00B673C1">
        <w:t>s</w:t>
      </w:r>
      <w:r>
        <w:t xml:space="preserve"> </w:t>
      </w:r>
      <w:r w:rsidR="00865D08">
        <w:t xml:space="preserve">is </w:t>
      </w:r>
      <w:r>
        <w:t xml:space="preserve">aware that </w:t>
      </w:r>
      <w:r w:rsidR="00865D08">
        <w:t xml:space="preserve">it is </w:t>
      </w:r>
      <w:r>
        <w:t xml:space="preserve">going to exceed pre-approved spending levels, </w:t>
      </w:r>
      <w:r w:rsidR="00865D08">
        <w:t xml:space="preserve">it </w:t>
      </w:r>
      <w:r>
        <w:t>should be able to apply for pre-approval to avoid the ex post assessment.</w:t>
      </w:r>
    </w:p>
    <w:p w:rsidR="00727A49" w:rsidRDefault="00727A49" w:rsidP="00727A49">
      <w:pPr>
        <w:pStyle w:val="Rec"/>
      </w:pPr>
      <w:r>
        <w:lastRenderedPageBreak/>
        <w:t>The prudency test should not apply to cost pass throughs and contingent projects permitted under chapters 6 and 6A of the National Electricity Rules.</w:t>
      </w:r>
    </w:p>
    <w:p w:rsidR="00432E1E" w:rsidRDefault="00432E1E" w:rsidP="00432E1E">
      <w:pPr>
        <w:pStyle w:val="RecTitle"/>
        <w:framePr w:wrap="notBeside"/>
      </w:pPr>
      <w:r>
        <w:t>Draft recommendation 5.5</w:t>
      </w:r>
    </w:p>
    <w:p w:rsidR="00432E1E" w:rsidRDefault="00432E1E" w:rsidP="00432E1E">
      <w:pPr>
        <w:pStyle w:val="Rec"/>
      </w:pPr>
      <w:r>
        <w:t xml:space="preserve">The National Electricity Rules should be clarified to indicate that the Australian Energy Regulator is only required to test the reasonableness of the overall expenditure proposal. The Regulator should only be obliged to consider the reasonableness of a specific expenditure item if it could materially affect the judgment of the reasonableness of the total expenditure forecast. </w:t>
      </w:r>
    </w:p>
    <w:p w:rsidR="00432E1E" w:rsidRDefault="00432E1E" w:rsidP="00432E1E">
      <w:pPr>
        <w:pStyle w:val="RecTitle"/>
        <w:framePr w:wrap="notBeside"/>
      </w:pPr>
      <w:r>
        <w:t>Draft recommendation 5.6</w:t>
      </w:r>
    </w:p>
    <w:p w:rsidR="00432E1E" w:rsidRPr="00260F46" w:rsidRDefault="00432E1E" w:rsidP="00432E1E">
      <w:pPr>
        <w:pStyle w:val="Rec"/>
      </w:pPr>
      <w:r>
        <w:t>In cases w</w:t>
      </w:r>
      <w:r w:rsidRPr="008567C5">
        <w:t xml:space="preserve">here the Australian Energy Regulator </w:t>
      </w:r>
      <w:r>
        <w:t xml:space="preserve">considers </w:t>
      </w:r>
      <w:r w:rsidR="00E500B9">
        <w:t xml:space="preserve">that the National Electricity Rules constrain its capacity to make appropriate </w:t>
      </w:r>
      <w:r w:rsidRPr="008567C5">
        <w:t>revenue determination</w:t>
      </w:r>
      <w:r>
        <w:t>s</w:t>
      </w:r>
      <w:r w:rsidRPr="008567C5">
        <w:t>, it should publish its preferred estimate along with the final determinat</w:t>
      </w:r>
      <w:r>
        <w:t>ion, explaining the differences</w:t>
      </w:r>
      <w:r w:rsidRPr="008567C5">
        <w:t>.</w:t>
      </w:r>
      <w:r>
        <w:t xml:space="preserve"> In any subsequent merits review of its determination, the Australian Energy Regulator should ensure that the reasons behind its preferred estimate are clearly communicated to the merits </w:t>
      </w:r>
      <w:r w:rsidR="00E500B9">
        <w:t xml:space="preserve">review </w:t>
      </w:r>
      <w:r>
        <w:t>body.</w:t>
      </w:r>
    </w:p>
    <w:p w:rsidR="009E5EF4" w:rsidRDefault="00485B14" w:rsidP="00507B9F">
      <w:pPr>
        <w:pStyle w:val="Heading3"/>
      </w:pPr>
      <w:r>
        <w:t>Chapter </w:t>
      </w:r>
      <w:r w:rsidR="00325A41">
        <w:t>7 Ownership</w:t>
      </w:r>
      <w:r>
        <w:t xml:space="preserve"> </w:t>
      </w:r>
    </w:p>
    <w:p w:rsidR="00432E1E" w:rsidRDefault="00432E1E" w:rsidP="00432E1E">
      <w:pPr>
        <w:pStyle w:val="RecTitle"/>
        <w:framePr w:wrap="notBeside"/>
      </w:pPr>
      <w:r>
        <w:t>Draft recommendation 7.1</w:t>
      </w:r>
    </w:p>
    <w:p w:rsidR="00432E1E" w:rsidRPr="00C638DF" w:rsidRDefault="00432E1E" w:rsidP="00432E1E">
      <w:pPr>
        <w:pStyle w:val="BodyText"/>
        <w:rPr>
          <w:b/>
          <w:i/>
        </w:rPr>
      </w:pPr>
      <w:r w:rsidRPr="00C638DF">
        <w:rPr>
          <w:b/>
          <w:i/>
        </w:rPr>
        <w:t>State and territory governments should privatise their state-owned network businesses.</w:t>
      </w:r>
    </w:p>
    <w:p w:rsidR="00432E1E" w:rsidRDefault="00432E1E" w:rsidP="00432E1E">
      <w:pPr>
        <w:pStyle w:val="RecTitle"/>
        <w:framePr w:wrap="notBeside"/>
      </w:pPr>
      <w:r>
        <w:t>Draft recommendation 7.2</w:t>
      </w:r>
    </w:p>
    <w:p w:rsidR="00432E1E" w:rsidRDefault="00432E1E" w:rsidP="00432E1E">
      <w:pPr>
        <w:pStyle w:val="Rec"/>
      </w:pPr>
      <w:r>
        <w:t>If state and territory governments do not implement draft recommendation 7.1, then they should promote more efficient outcomes for their state-owned network businesses by ensuring that:</w:t>
      </w:r>
    </w:p>
    <w:p w:rsidR="00432E1E" w:rsidRDefault="00432E1E" w:rsidP="00432E1E">
      <w:pPr>
        <w:pStyle w:val="RecBullet"/>
      </w:pPr>
      <w:r>
        <w:t xml:space="preserve">directors </w:t>
      </w:r>
      <w:r w:rsidR="00540640">
        <w:t>are</w:t>
      </w:r>
      <w:r>
        <w:t xml:space="preserve"> appointed on merit, following a transparent selection process</w:t>
      </w:r>
    </w:p>
    <w:p w:rsidR="00432E1E" w:rsidRDefault="00432E1E" w:rsidP="00432E1E">
      <w:pPr>
        <w:pStyle w:val="RecBullet"/>
      </w:pPr>
      <w:r>
        <w:t xml:space="preserve">ministerial directions </w:t>
      </w:r>
      <w:r w:rsidR="00540640">
        <w:t>are</w:t>
      </w:r>
      <w:r>
        <w:t xml:space="preserve"> publicly disclosed at the time they are made and disclosed in the annual report</w:t>
      </w:r>
    </w:p>
    <w:p w:rsidR="00432E1E" w:rsidRDefault="00432E1E" w:rsidP="00432E1E">
      <w:pPr>
        <w:pStyle w:val="RecBullet"/>
      </w:pPr>
      <w:r>
        <w:t xml:space="preserve">directors and officers </w:t>
      </w:r>
      <w:r w:rsidR="00540640">
        <w:t>are</w:t>
      </w:r>
      <w:r>
        <w:t xml:space="preserve"> subject to the obligations under the Corporations Act </w:t>
      </w:r>
    </w:p>
    <w:p w:rsidR="00432E1E" w:rsidRDefault="00432E1E" w:rsidP="00432E1E">
      <w:pPr>
        <w:pStyle w:val="RecBullet"/>
      </w:pPr>
      <w:r>
        <w:t xml:space="preserve">governments review objectives currently given to network businesses and: </w:t>
      </w:r>
    </w:p>
    <w:p w:rsidR="00432E1E" w:rsidRDefault="00432E1E" w:rsidP="00432E1E">
      <w:pPr>
        <w:pStyle w:val="RecBullet"/>
        <w:numPr>
          <w:ilvl w:val="0"/>
          <w:numId w:val="0"/>
        </w:numPr>
        <w:ind w:left="340"/>
      </w:pPr>
      <w:r>
        <w:t>–</w:t>
      </w:r>
      <w:r>
        <w:tab/>
        <w:t>remove those that would be more appropriately allocated to other agencies</w:t>
      </w:r>
    </w:p>
    <w:p w:rsidR="00432E1E" w:rsidRDefault="00432E1E" w:rsidP="00432E1E">
      <w:pPr>
        <w:pStyle w:val="RecBullet"/>
        <w:numPr>
          <w:ilvl w:val="0"/>
          <w:numId w:val="25"/>
        </w:numPr>
      </w:pPr>
      <w:r>
        <w:lastRenderedPageBreak/>
        <w:t xml:space="preserve">remove those that are non–commercial </w:t>
      </w:r>
      <w:r w:rsidRPr="000A2DE5">
        <w:t xml:space="preserve">and make it clear that the </w:t>
      </w:r>
      <w:r>
        <w:t>b</w:t>
      </w:r>
      <w:r w:rsidRPr="000A2DE5">
        <w:t xml:space="preserve">oard is expected to deliver a </w:t>
      </w:r>
      <w:r w:rsidR="00FE58C0">
        <w:t xml:space="preserve">dividend payout and </w:t>
      </w:r>
      <w:r w:rsidRPr="000A2DE5">
        <w:t xml:space="preserve">rate of return on the equity invested in the network business </w:t>
      </w:r>
      <w:r>
        <w:t>that</w:t>
      </w:r>
      <w:r w:rsidRPr="000A2DE5">
        <w:t xml:space="preserve"> would be considered acceptable by an independent investor</w:t>
      </w:r>
    </w:p>
    <w:p w:rsidR="00432E1E" w:rsidRDefault="00432E1E" w:rsidP="00432E1E">
      <w:pPr>
        <w:pStyle w:val="RecBullet"/>
        <w:numPr>
          <w:ilvl w:val="0"/>
          <w:numId w:val="25"/>
        </w:numPr>
      </w:pPr>
      <w:r>
        <w:t xml:space="preserve">where conflicting objectives remain, </w:t>
      </w:r>
      <w:r w:rsidR="00540640">
        <w:t xml:space="preserve">provide </w:t>
      </w:r>
      <w:r w:rsidR="00FE58C0">
        <w:t xml:space="preserve">publicly transparent </w:t>
      </w:r>
      <w:r>
        <w:t>guidance on how to prioritise them.</w:t>
      </w:r>
    </w:p>
    <w:p w:rsidR="00325A41" w:rsidRDefault="00325A41" w:rsidP="00DB08FA">
      <w:pPr>
        <w:pStyle w:val="Heading3"/>
      </w:pPr>
      <w:r>
        <w:t xml:space="preserve">Chapter 8 Using benchmarking </w:t>
      </w:r>
    </w:p>
    <w:p w:rsidR="00432E1E" w:rsidRDefault="00432E1E" w:rsidP="00432E1E">
      <w:pPr>
        <w:pStyle w:val="RecTitle"/>
        <w:framePr w:wrap="notBeside"/>
      </w:pPr>
      <w:r>
        <w:t xml:space="preserve">DRaft Recommendation </w:t>
      </w:r>
      <w:r w:rsidR="00C710C0">
        <w:t>8.1</w:t>
      </w:r>
    </w:p>
    <w:p w:rsidR="00432E1E" w:rsidRDefault="00432E1E" w:rsidP="00432E1E">
      <w:pPr>
        <w:pStyle w:val="Rec"/>
      </w:pPr>
      <w:r>
        <w:t>The Australian Energy Regulator should regularly undertake aggregate benchmarking of the performance of network businesses, including of their:</w:t>
      </w:r>
    </w:p>
    <w:p w:rsidR="00432E1E" w:rsidRDefault="00432E1E" w:rsidP="00432E1E">
      <w:pPr>
        <w:pStyle w:val="RecBullet"/>
      </w:pPr>
      <w:r>
        <w:t xml:space="preserve">multifactor productivity — the output of services for given inputs </w:t>
      </w:r>
    </w:p>
    <w:p w:rsidR="00432E1E" w:rsidRDefault="00432E1E" w:rsidP="00432E1E">
      <w:pPr>
        <w:pStyle w:val="RecBullet"/>
      </w:pPr>
      <w:r>
        <w:t>separate productivity of capital, labour and intermediate inputs</w:t>
      </w:r>
      <w:r w:rsidR="0059658E">
        <w:t>.</w:t>
      </w:r>
    </w:p>
    <w:p w:rsidR="00432E1E" w:rsidRDefault="00432E1E" w:rsidP="00432E1E">
      <w:pPr>
        <w:pStyle w:val="Rec"/>
      </w:pPr>
      <w:r>
        <w:t>The results should control, to the best extent available, for any significant variations in the operating environments of the businesses, including customer density, line type and length, reliability requirements, and the capital vintage of relevant assets.</w:t>
      </w:r>
    </w:p>
    <w:p w:rsidR="00432E1E" w:rsidRDefault="00432E1E" w:rsidP="00432E1E">
      <w:pPr>
        <w:pStyle w:val="RecTitle"/>
        <w:framePr w:wrap="notBeside"/>
      </w:pPr>
      <w:r>
        <w:t xml:space="preserve">draft Recommendation </w:t>
      </w:r>
      <w:r w:rsidR="00C710C0">
        <w:t>8.2</w:t>
      </w:r>
    </w:p>
    <w:p w:rsidR="00432E1E" w:rsidRDefault="00432E1E" w:rsidP="00432E1E">
      <w:pPr>
        <w:pStyle w:val="Rec"/>
      </w:pPr>
      <w:r>
        <w:t>Subject to compliance and other costs (draft recommendation 8.12), the Australian Energy Regulator should accompany aggregate analysis with detailed benchmarking of particular aspects of the performance of the businesses, including:</w:t>
      </w:r>
    </w:p>
    <w:p w:rsidR="00432E1E" w:rsidRDefault="00432E1E" w:rsidP="00432E1E">
      <w:pPr>
        <w:pStyle w:val="RecBullet"/>
      </w:pPr>
      <w:r>
        <w:t>the rate of investment relative to the age-weighted capital stock by asset class</w:t>
      </w:r>
    </w:p>
    <w:p w:rsidR="00432E1E" w:rsidRDefault="00432E1E" w:rsidP="00432E1E">
      <w:pPr>
        <w:pStyle w:val="RecBullet"/>
      </w:pPr>
      <w:r>
        <w:t>the efficiency of major maintenance activities</w:t>
      </w:r>
    </w:p>
    <w:p w:rsidR="00432E1E" w:rsidRDefault="00432E1E" w:rsidP="00432E1E">
      <w:pPr>
        <w:pStyle w:val="RecBullet"/>
      </w:pPr>
      <w:r>
        <w:t>the adoption rate of best-practice commercial processes and equipment, including the use of customer panels and surveys, outsourcing, demand management, information technologies, financial controls, procurement practices, occupational safety, and project management.</w:t>
      </w:r>
    </w:p>
    <w:p w:rsidR="00432E1E" w:rsidRDefault="00432E1E" w:rsidP="00432E1E">
      <w:pPr>
        <w:pStyle w:val="Rec"/>
      </w:pPr>
      <w:r>
        <w:t>In determining relevant benchmarking performance and control variables, the Australian Energy Regulator should consult with:</w:t>
      </w:r>
    </w:p>
    <w:p w:rsidR="00432E1E" w:rsidRDefault="00432E1E" w:rsidP="00432E1E">
      <w:pPr>
        <w:pStyle w:val="RecBullet"/>
      </w:pPr>
      <w:r>
        <w:t>network businesses, generators, retailers and network equipment suppliers</w:t>
      </w:r>
    </w:p>
    <w:p w:rsidR="00432E1E" w:rsidRDefault="00432E1E" w:rsidP="00432E1E">
      <w:pPr>
        <w:pStyle w:val="RecBullet"/>
      </w:pPr>
      <w:r>
        <w:t>customer representatives</w:t>
      </w:r>
    </w:p>
    <w:p w:rsidR="00432E1E" w:rsidRDefault="00432E1E" w:rsidP="00432E1E">
      <w:pPr>
        <w:pStyle w:val="RecBullet"/>
      </w:pPr>
      <w:r>
        <w:t>relevant experts within Australia and internationally.</w:t>
      </w:r>
    </w:p>
    <w:p w:rsidR="00F9766D" w:rsidRDefault="00F9766D" w:rsidP="00F9766D">
      <w:pPr>
        <w:pStyle w:val="BodyText"/>
      </w:pPr>
    </w:p>
    <w:p w:rsidR="00432E1E" w:rsidRDefault="00432E1E" w:rsidP="00432E1E">
      <w:pPr>
        <w:pStyle w:val="RecTitle"/>
        <w:framePr w:wrap="notBeside"/>
      </w:pPr>
      <w:r>
        <w:lastRenderedPageBreak/>
        <w:t xml:space="preserve">draft Recommendation </w:t>
      </w:r>
      <w:r w:rsidR="00C710C0">
        <w:t>8.3</w:t>
      </w:r>
    </w:p>
    <w:p w:rsidR="00432E1E" w:rsidRDefault="00432E1E" w:rsidP="00432E1E">
      <w:pPr>
        <w:pStyle w:val="Rec"/>
      </w:pPr>
      <w:r>
        <w:t>The Australian Energy Regulator should periodically assess the comparative performance of network business units within particular sub-regions of the National Electricity Market, where:</w:t>
      </w:r>
    </w:p>
    <w:p w:rsidR="00432E1E" w:rsidRDefault="00432E1E" w:rsidP="00432E1E">
      <w:pPr>
        <w:pStyle w:val="RecBullet"/>
      </w:pPr>
      <w:r>
        <w:t>those sub-regions share similar physical operating environments</w:t>
      </w:r>
    </w:p>
    <w:p w:rsidR="00432E1E" w:rsidRDefault="00432E1E" w:rsidP="00432E1E">
      <w:pPr>
        <w:pStyle w:val="RecBullet"/>
      </w:pPr>
      <w:r>
        <w:t>the costs and informational requirements of doing this are not too great (draft recommendation 8.12).</w:t>
      </w:r>
    </w:p>
    <w:p w:rsidR="00432E1E" w:rsidRDefault="00432E1E" w:rsidP="00432E1E">
      <w:pPr>
        <w:pStyle w:val="Rec"/>
      </w:pPr>
      <w:r>
        <w:t>The comparisons should relate to business units within a particular business, as well as comparable business units in different businesses.</w:t>
      </w:r>
    </w:p>
    <w:p w:rsidR="00432E1E" w:rsidRDefault="00432E1E" w:rsidP="00432E1E">
      <w:pPr>
        <w:pStyle w:val="Rec"/>
      </w:pPr>
      <w:r>
        <w:t>The Australian Energy Regulator should place most emphasis on comparisons of the efficiency of distribution networks in different metropolitan areas.</w:t>
      </w:r>
    </w:p>
    <w:p w:rsidR="00432E1E" w:rsidRDefault="00432E1E" w:rsidP="00432E1E">
      <w:pPr>
        <w:pStyle w:val="RecTitle"/>
        <w:framePr w:wrap="notBeside"/>
      </w:pPr>
      <w:r>
        <w:t xml:space="preserve">draft Recommendation </w:t>
      </w:r>
      <w:r w:rsidR="00C710C0">
        <w:t>8.4</w:t>
      </w:r>
    </w:p>
    <w:p w:rsidR="00432E1E" w:rsidRDefault="00F9766D" w:rsidP="00432E1E">
      <w:pPr>
        <w:pStyle w:val="Rec"/>
      </w:pPr>
      <w:r w:rsidRPr="00F9766D">
        <w:t>The Rules should be changed to allow the Regulator to have the discretion to initiate a three-way negotiation of a mutually acceptable settlement, involving itself, the business, and a representative and qualified customer group similar, or identical, to that identified in draft recommendation 21.3.</w:t>
      </w:r>
    </w:p>
    <w:p w:rsidR="00F9766D" w:rsidRDefault="00F9766D" w:rsidP="00F9766D">
      <w:pPr>
        <w:pStyle w:val="RecBullet"/>
      </w:pPr>
      <w:r>
        <w:t xml:space="preserve">Negotiation would only be triggered if the Australian Energy Regulator judged that the divergence between aggregate benchmarking estimates of forecast spending and the business’s proposal were sufficiently narrow. </w:t>
      </w:r>
    </w:p>
    <w:p w:rsidR="00F9766D" w:rsidRDefault="00F9766D" w:rsidP="00F9766D">
      <w:pPr>
        <w:pStyle w:val="RecBullet"/>
      </w:pPr>
      <w:r>
        <w:t>Where an arrangement was successfully negotiated using this process, the Australian Energy Regulator should not be obliged to go through the current formal draft/final determination processes.</w:t>
      </w:r>
    </w:p>
    <w:p w:rsidR="00432E1E" w:rsidRDefault="00432E1E" w:rsidP="00432E1E">
      <w:pPr>
        <w:pStyle w:val="RecTitle"/>
        <w:framePr w:wrap="notBeside"/>
      </w:pPr>
      <w:r>
        <w:t xml:space="preserve">draft Recommendation </w:t>
      </w:r>
      <w:r w:rsidR="00C710C0">
        <w:t>8.5</w:t>
      </w:r>
    </w:p>
    <w:p w:rsidR="00432E1E" w:rsidRDefault="00432E1E" w:rsidP="00432E1E">
      <w:pPr>
        <w:pStyle w:val="Rec"/>
      </w:pPr>
      <w:r>
        <w:t>In any of the next rounds of regulatory determinations, the Australian Energy Regulator should not use aggregate benchmarking as the exclusive basis for making a determination. Instead, the Australian Energy Regulator should use such aggregate benchmarking results as a diagnostic tool in responding to business cost forecasts.</w:t>
      </w:r>
    </w:p>
    <w:p w:rsidR="00432E1E" w:rsidRDefault="00432E1E" w:rsidP="00432E1E">
      <w:pPr>
        <w:pStyle w:val="Rec"/>
      </w:pPr>
      <w:r>
        <w:t>However, if the processes proposed in draft recommendations 8.9 to 8.11 led to sufficiently robust benchmarking, then:</w:t>
      </w:r>
    </w:p>
    <w:p w:rsidR="00432E1E" w:rsidRDefault="00432E1E" w:rsidP="00432E1E">
      <w:pPr>
        <w:pStyle w:val="RecBullet"/>
      </w:pPr>
      <w:r>
        <w:lastRenderedPageBreak/>
        <w:t>a business would continue to make a detailed cost proposal, but if the overall proposal were divergent from the regulator’s benchmarking estimate, the onus of proof would be for a network business to provide quantitative evidence demonstrating why its cost forecast was preferable in meeting the National Electricity Objective</w:t>
      </w:r>
    </w:p>
    <w:p w:rsidR="00432E1E" w:rsidRDefault="00432E1E" w:rsidP="00432E1E">
      <w:pPr>
        <w:pStyle w:val="RecBullet"/>
      </w:pPr>
      <w:r>
        <w:t xml:space="preserve"> the Australian Energy Regulator’s efficiency threshold applied to firms should be set close to, but below, the level of the most efficient firm.</w:t>
      </w:r>
    </w:p>
    <w:p w:rsidR="00386103" w:rsidRDefault="00386103" w:rsidP="00386103">
      <w:pPr>
        <w:pStyle w:val="RecTitle"/>
        <w:framePr w:wrap="notBeside"/>
      </w:pPr>
      <w:r>
        <w:t xml:space="preserve">draft Recommendation </w:t>
      </w:r>
      <w:r w:rsidR="00C710C0">
        <w:t>8.6</w:t>
      </w:r>
    </w:p>
    <w:p w:rsidR="00386103" w:rsidRDefault="00386103" w:rsidP="00386103">
      <w:pPr>
        <w:pStyle w:val="Rec"/>
      </w:pPr>
      <w:r w:rsidRPr="008D54FB">
        <w:t>The Australian Energy Regula</w:t>
      </w:r>
      <w:r w:rsidR="00296A8B">
        <w:t>tor should develop and maintain</w:t>
      </w:r>
      <w:r w:rsidRPr="008D54FB">
        <w:t xml:space="preserve"> app</w:t>
      </w:r>
      <w:r w:rsidR="00296A8B">
        <w:t>ropriate benchmarking databases</w:t>
      </w:r>
      <w:r w:rsidRPr="008D54FB">
        <w:t xml:space="preserve"> and in-house expertise for the technical analysis required to undertake sophisticated benchmarking.</w:t>
      </w:r>
    </w:p>
    <w:p w:rsidR="00386103" w:rsidRDefault="00386103" w:rsidP="00386103">
      <w:pPr>
        <w:pStyle w:val="RecTitle"/>
        <w:framePr w:wrap="notBeside"/>
      </w:pPr>
      <w:r>
        <w:t xml:space="preserve">draft Recommendation </w:t>
      </w:r>
      <w:r w:rsidR="00C710C0">
        <w:t>8.7</w:t>
      </w:r>
    </w:p>
    <w:p w:rsidR="00386103" w:rsidRPr="00E86101" w:rsidRDefault="00386103" w:rsidP="00386103">
      <w:pPr>
        <w:pStyle w:val="Rec"/>
      </w:pPr>
      <w:r w:rsidRPr="00E86101">
        <w:t>The Australian Energy Regulator should make all benchmarking input data publicly available (recognising that the businesses being benchmarked are regulated monopolies) except where the data can be demonstrated to be genuinely commercial-in</w:t>
      </w:r>
      <w:r w:rsidR="00970019">
        <w:t>-</w:t>
      </w:r>
      <w:r w:rsidRPr="00E86101">
        <w:t xml:space="preserve">confidence. </w:t>
      </w:r>
    </w:p>
    <w:p w:rsidR="00386103" w:rsidRPr="00E86101" w:rsidRDefault="00970019" w:rsidP="00386103">
      <w:pPr>
        <w:pStyle w:val="Rec"/>
      </w:pPr>
      <w:r w:rsidRPr="00970019">
        <w:t>Where the latter holds, the Australian Energy Regulator should still make the full datasets available to:</w:t>
      </w:r>
    </w:p>
    <w:p w:rsidR="00970019" w:rsidRDefault="00970019" w:rsidP="00970019">
      <w:pPr>
        <w:pStyle w:val="RecBullet"/>
      </w:pPr>
      <w:r>
        <w:t>independent researchers who are using the results for non-commercial purposes</w:t>
      </w:r>
    </w:p>
    <w:p w:rsidR="00386103" w:rsidRDefault="00970019" w:rsidP="00970019">
      <w:pPr>
        <w:pStyle w:val="RecBullet"/>
      </w:pPr>
      <w:r>
        <w:t>the consumer group involved in any negotiations described under draft recommendation 8.4</w:t>
      </w:r>
    </w:p>
    <w:p w:rsidR="009001D8" w:rsidRDefault="009001D8" w:rsidP="009001D8">
      <w:pPr>
        <w:pStyle w:val="RecBullet"/>
        <w:numPr>
          <w:ilvl w:val="0"/>
          <w:numId w:val="25"/>
        </w:numPr>
      </w:pPr>
      <w:r w:rsidRPr="009001D8">
        <w:t>but subject to statutory requirements for non-disclosure of information predetermined as commercially-in-confidence, drawing on existing models for data protection.</w:t>
      </w:r>
    </w:p>
    <w:p w:rsidR="00386103" w:rsidRDefault="00386103" w:rsidP="00386103">
      <w:pPr>
        <w:pStyle w:val="RecTitle"/>
        <w:framePr w:wrap="notBeside"/>
      </w:pPr>
      <w:r>
        <w:t xml:space="preserve">draft Recommendation </w:t>
      </w:r>
      <w:r w:rsidR="00C710C0">
        <w:t>8.8</w:t>
      </w:r>
    </w:p>
    <w:p w:rsidR="00195D33" w:rsidRDefault="00195D33" w:rsidP="00195D33">
      <w:pPr>
        <w:pStyle w:val="Rec"/>
      </w:pPr>
      <w:r>
        <w:t xml:space="preserve">When making its revenue allowance determinations, the Australian Energy Regulator should make judgments about capital expenditure forecasts that take account of any discrepancy between the Australian Energy Market Operator’s top-down peak and average demand forecasts and the aggregate of distribution businesses’ bottoms-up peak and average demand forecasts. </w:t>
      </w:r>
    </w:p>
    <w:p w:rsidR="00386103" w:rsidRDefault="00195D33" w:rsidP="00195D33">
      <w:pPr>
        <w:pStyle w:val="Rec"/>
      </w:pPr>
      <w:r>
        <w:t>The Australian Energy Regulator should use benchmarking of the discrepancies between previous expenditure forecasts and actual outcomes by different parties to inform that process.</w:t>
      </w:r>
    </w:p>
    <w:p w:rsidR="00386103" w:rsidRDefault="00386103" w:rsidP="00386103">
      <w:pPr>
        <w:pStyle w:val="RecTitle"/>
        <w:framePr w:wrap="notBeside"/>
      </w:pPr>
      <w:r>
        <w:lastRenderedPageBreak/>
        <w:t xml:space="preserve">draft Recommendation </w:t>
      </w:r>
      <w:r w:rsidR="00C710C0">
        <w:t>8.9</w:t>
      </w:r>
    </w:p>
    <w:p w:rsidR="00386103" w:rsidRDefault="00386103" w:rsidP="00386103">
      <w:pPr>
        <w:pStyle w:val="Rec"/>
      </w:pPr>
      <w:r>
        <w:t>The Australian Energy Regulator should collaborate with other leading regulatory agencies, academic experts and global commercial benchmarking specialists to enable robust meta-analysis of electricity network benchmarking results from individual country (and where credible, multi-country) studies. The collaboration should include cooperation in developing:</w:t>
      </w:r>
    </w:p>
    <w:p w:rsidR="00386103" w:rsidRDefault="00386103" w:rsidP="00386103">
      <w:pPr>
        <w:pStyle w:val="RecBullet"/>
      </w:pPr>
      <w:r>
        <w:t>the most meaningful measures of performance</w:t>
      </w:r>
    </w:p>
    <w:p w:rsidR="00386103" w:rsidRDefault="00386103" w:rsidP="00386103">
      <w:pPr>
        <w:pStyle w:val="RecBullet"/>
      </w:pPr>
      <w:r>
        <w:t>consistent data collection</w:t>
      </w:r>
    </w:p>
    <w:p w:rsidR="00386103" w:rsidRDefault="00386103" w:rsidP="00386103">
      <w:pPr>
        <w:pStyle w:val="RecBullet"/>
      </w:pPr>
      <w:r>
        <w:t>consistent reporting of results</w:t>
      </w:r>
    </w:p>
    <w:p w:rsidR="00386103" w:rsidRDefault="00386103" w:rsidP="00386103">
      <w:pPr>
        <w:pStyle w:val="RecBullet"/>
      </w:pPr>
      <w:r>
        <w:t>best-practice analytic frameworks.</w:t>
      </w:r>
    </w:p>
    <w:p w:rsidR="00386103" w:rsidRDefault="00386103" w:rsidP="00386103">
      <w:pPr>
        <w:pStyle w:val="RecTitle"/>
        <w:framePr w:wrap="notBeside"/>
      </w:pPr>
      <w:r>
        <w:t xml:space="preserve">draft Recommendation </w:t>
      </w:r>
      <w:r w:rsidR="00C710C0">
        <w:t>8.10</w:t>
      </w:r>
    </w:p>
    <w:p w:rsidR="00386103" w:rsidRDefault="00386103" w:rsidP="00386103">
      <w:pPr>
        <w:pStyle w:val="Rec"/>
      </w:pPr>
      <w:r w:rsidRPr="005B21D8">
        <w:t>The Australian Energy Regulator should submit its major benchmarking analyses of electricity networks for independent expert peer review to establish their ongoing relevance, scientific validity, adoption of best</w:t>
      </w:r>
      <w:r w:rsidR="003C12F8">
        <w:t>-</w:t>
      </w:r>
      <w:r w:rsidRPr="005B21D8">
        <w:t>practice, and to gauge the degree of uncertainty in the results.</w:t>
      </w:r>
    </w:p>
    <w:p w:rsidR="00386103" w:rsidRDefault="00386103" w:rsidP="00386103">
      <w:pPr>
        <w:pStyle w:val="RecTitle"/>
        <w:framePr w:wrap="notBeside"/>
      </w:pPr>
      <w:r>
        <w:t xml:space="preserve">draft Recommendation </w:t>
      </w:r>
      <w:r w:rsidR="00C710C0">
        <w:t>8.11</w:t>
      </w:r>
    </w:p>
    <w:p w:rsidR="00386103" w:rsidRPr="00FE1772" w:rsidRDefault="00386103" w:rsidP="00386103">
      <w:pPr>
        <w:pStyle w:val="Rec"/>
      </w:pPr>
      <w:r w:rsidRPr="00FE1772">
        <w:t>The Australian Energy Regulator should make its benchmarking results publicly available, with:</w:t>
      </w:r>
    </w:p>
    <w:p w:rsidR="00386103" w:rsidRPr="00FE1772" w:rsidRDefault="00386103" w:rsidP="00386103">
      <w:pPr>
        <w:pStyle w:val="RecBullet"/>
      </w:pPr>
      <w:r w:rsidRPr="00FE1772">
        <w:t>accessible reporting of the results to inform consumer groups, network businesses, and others</w:t>
      </w:r>
    </w:p>
    <w:p w:rsidR="00386103" w:rsidRPr="00FE1772" w:rsidRDefault="00386103" w:rsidP="00386103">
      <w:pPr>
        <w:pStyle w:val="RecBullet"/>
      </w:pPr>
      <w:r w:rsidRPr="00FE1772">
        <w:t>disclosure of the importance of factors outside the control of businesses, but that may be controllable by governments</w:t>
      </w:r>
    </w:p>
    <w:p w:rsidR="00386103" w:rsidRPr="00FE1772" w:rsidRDefault="00386103" w:rsidP="00386103">
      <w:pPr>
        <w:pStyle w:val="RecBullet"/>
      </w:pPr>
      <w:r w:rsidRPr="00FE1772">
        <w:t>publication of the modelling strategy used to produce the results</w:t>
      </w:r>
    </w:p>
    <w:p w:rsidR="00386103" w:rsidRPr="00FE1772" w:rsidRDefault="00386103" w:rsidP="00386103">
      <w:pPr>
        <w:pStyle w:val="RecBullet"/>
      </w:pPr>
      <w:r w:rsidRPr="00FE1772">
        <w:t>the sensitivity of the results to changes in key assumptions</w:t>
      </w:r>
    </w:p>
    <w:p w:rsidR="00386103" w:rsidRDefault="00386103" w:rsidP="00386103">
      <w:pPr>
        <w:pStyle w:val="RecBullet"/>
      </w:pPr>
      <w:r w:rsidRPr="00FE1772">
        <w:t>the performance of any statistical models agains</w:t>
      </w:r>
      <w:r w:rsidR="00132449">
        <w:t xml:space="preserve">t accepted scientific standards, </w:t>
      </w:r>
      <w:r w:rsidRPr="00FE1772">
        <w:t>including confidence intervals, parameter stability, and specification testing.</w:t>
      </w:r>
    </w:p>
    <w:p w:rsidR="00132449" w:rsidRDefault="00132449">
      <w:pPr>
        <w:rPr>
          <w:b/>
          <w:i/>
          <w:szCs w:val="20"/>
        </w:rPr>
      </w:pPr>
      <w:r>
        <w:br w:type="page"/>
      </w:r>
    </w:p>
    <w:p w:rsidR="00386103" w:rsidRDefault="00386103" w:rsidP="00386103">
      <w:pPr>
        <w:pStyle w:val="RecTitle"/>
        <w:framePr w:wrap="notBeside"/>
      </w:pPr>
      <w:r>
        <w:lastRenderedPageBreak/>
        <w:t xml:space="preserve">draft Recommendation </w:t>
      </w:r>
      <w:r w:rsidR="00C710C0">
        <w:t>8.12</w:t>
      </w:r>
    </w:p>
    <w:p w:rsidR="00386103" w:rsidRPr="00742432" w:rsidRDefault="00386103" w:rsidP="00386103">
      <w:pPr>
        <w:pStyle w:val="Rec"/>
      </w:pPr>
      <w:r w:rsidRPr="00742432">
        <w:t>The Australian Energy Regulator should periodically examine its detailed benchmarking methodologies and processes to assess their compliance costs for businesses and the costs for the Australian Energy Regulator. It should compare these costs with the likely benefits when determining the appropriate frequency and type of detailed benchmarking. In undertaking such assessments, the Australian Energy Regulator should consult closely with network businesses.</w:t>
      </w:r>
    </w:p>
    <w:p w:rsidR="00386103" w:rsidRDefault="00386103" w:rsidP="00386103">
      <w:pPr>
        <w:pStyle w:val="Rec"/>
      </w:pPr>
      <w:r w:rsidRPr="00742432">
        <w:t>The Australian Energy Regulator should make all such assessments publicly available.</w:t>
      </w:r>
    </w:p>
    <w:p w:rsidR="00826785" w:rsidRDefault="00826785" w:rsidP="00386103">
      <w:pPr>
        <w:pStyle w:val="Rec"/>
      </w:pPr>
      <w:r w:rsidRPr="00826785">
        <w:t>The overall costs of benchmarking should be subject to independent review after five years.</w:t>
      </w:r>
    </w:p>
    <w:p w:rsidR="00610AED" w:rsidRDefault="00610AED" w:rsidP="00610AED">
      <w:pPr>
        <w:pStyle w:val="Heading3"/>
      </w:pPr>
      <w:r>
        <w:t>Chapter </w:t>
      </w:r>
      <w:r w:rsidR="00200627">
        <w:t>10</w:t>
      </w:r>
      <w:r>
        <w:t xml:space="preserve"> Demand management technologies</w:t>
      </w:r>
    </w:p>
    <w:p w:rsidR="00D570CB" w:rsidRDefault="00D570CB" w:rsidP="00D570CB">
      <w:pPr>
        <w:pStyle w:val="RecTitle"/>
        <w:framePr w:wrap="notBeside"/>
      </w:pPr>
      <w:r>
        <w:t>draft RECOMMENDATION 10.1</w:t>
      </w:r>
    </w:p>
    <w:p w:rsidR="00D570CB" w:rsidRDefault="00ED3143" w:rsidP="00D570CB">
      <w:pPr>
        <w:pStyle w:val="Rec"/>
      </w:pPr>
      <w:r w:rsidRPr="00ED3143">
        <w:t>Distribution businesses should implement the roll-out of advanced metering infrastructure — so called smart meters — on a region-by-region basis within their network.</w:t>
      </w:r>
      <w:r w:rsidR="00D570CB">
        <w:t xml:space="preserve"> </w:t>
      </w:r>
    </w:p>
    <w:p w:rsidR="00D570CB" w:rsidRDefault="00ED3143" w:rsidP="00ED3143">
      <w:pPr>
        <w:pStyle w:val="RecBullet"/>
      </w:pPr>
      <w:r w:rsidRPr="00ED3143">
        <w:t>Before any roll-out, the Australian Energy Regulator, drawing on the proposal and supporting evidence from the distribution business, should assess the net present value of costs and benefits, and be required to consider demand management options that do not rely on smart meters.</w:t>
      </w:r>
    </w:p>
    <w:p w:rsidR="00D570CB" w:rsidRDefault="00ED3143" w:rsidP="00ED3143">
      <w:pPr>
        <w:pStyle w:val="RecBullet"/>
      </w:pPr>
      <w:r w:rsidRPr="00ED3143">
        <w:t>When the Australian Energy Regulator determines the optimal start date of the roll-out, the relevant distributor must submit a costing to the Regulator for approval and agree to an appropriate timeline for implementation.</w:t>
      </w:r>
    </w:p>
    <w:p w:rsidR="00D570CB" w:rsidRDefault="00ED3143" w:rsidP="00ED3143">
      <w:pPr>
        <w:pStyle w:val="RecBullet"/>
      </w:pPr>
      <w:r w:rsidRPr="00ED3143">
        <w:t>Mandatory time-based network charges to retailers (draft recommendation 11.3) should be implemented once smart meters are installed, appropriate customer consultation and education has taken place, and retail price regulation is removed (draft recommendation 12.3).</w:t>
      </w:r>
      <w:r w:rsidR="00D570CB">
        <w:t xml:space="preserve"> </w:t>
      </w:r>
    </w:p>
    <w:p w:rsidR="000565FE" w:rsidRDefault="000565FE">
      <w:pPr>
        <w:rPr>
          <w:rFonts w:ascii="Arial" w:hAnsi="Arial"/>
          <w:b/>
          <w:szCs w:val="20"/>
        </w:rPr>
      </w:pPr>
      <w:r>
        <w:br w:type="page"/>
      </w:r>
    </w:p>
    <w:p w:rsidR="009E5EF4" w:rsidRDefault="006C76A2" w:rsidP="00507B9F">
      <w:pPr>
        <w:pStyle w:val="Heading3"/>
      </w:pPr>
      <w:r>
        <w:lastRenderedPageBreak/>
        <w:t>Chapter 1</w:t>
      </w:r>
      <w:r w:rsidR="00200627">
        <w:t>1</w:t>
      </w:r>
      <w:r w:rsidR="003D4F61">
        <w:t xml:space="preserve"> </w:t>
      </w:r>
      <w:r>
        <w:t>Time-based p</w:t>
      </w:r>
      <w:r w:rsidR="003D4F61">
        <w:t xml:space="preserve">ricing </w:t>
      </w:r>
    </w:p>
    <w:p w:rsidR="00BD350D" w:rsidRPr="00C7320B" w:rsidRDefault="00BD350D" w:rsidP="00D11DBB">
      <w:pPr>
        <w:pStyle w:val="RecTitle"/>
        <w:framePr w:wrap="notBeside"/>
      </w:pPr>
      <w:r w:rsidRPr="00C7320B">
        <w:t>Draft recommendation 11.1</w:t>
      </w:r>
    </w:p>
    <w:p w:rsidR="00BD350D" w:rsidRPr="00C7320B" w:rsidRDefault="000565FE" w:rsidP="00BD350D">
      <w:pPr>
        <w:keepLines/>
        <w:spacing w:before="180" w:line="320" w:lineRule="atLeast"/>
        <w:jc w:val="both"/>
        <w:rPr>
          <w:b/>
          <w:i/>
          <w:szCs w:val="20"/>
        </w:rPr>
      </w:pPr>
      <w:r w:rsidRPr="000565FE">
        <w:rPr>
          <w:b/>
          <w:i/>
          <w:szCs w:val="20"/>
        </w:rPr>
        <w:t>The Standing Council on Energy and Resources should be tasked with overseeing the progressive implementation of cost-reflective, time-based pricing for electricity distribution network services, predicated on the long run marginal costs of meeting peak demand. Amongst other things, the Council should:</w:t>
      </w:r>
    </w:p>
    <w:p w:rsidR="00BD350D" w:rsidRDefault="000565FE" w:rsidP="000565FE">
      <w:pPr>
        <w:pStyle w:val="RecBullet"/>
      </w:pPr>
      <w:r w:rsidRPr="000565FE">
        <w:t>following consultation with key stakeholders, set timelines for the various steps in the development and implementation process, having regard to:</w:t>
      </w:r>
    </w:p>
    <w:p w:rsidR="00BD350D" w:rsidRDefault="00BD350D" w:rsidP="00BD350D">
      <w:pPr>
        <w:pStyle w:val="ListBullet2"/>
        <w:rPr>
          <w:b/>
          <w:i/>
        </w:rPr>
      </w:pPr>
      <w:r w:rsidRPr="00C7320B">
        <w:t xml:space="preserve"> </w:t>
      </w:r>
      <w:r w:rsidRPr="00874756">
        <w:rPr>
          <w:b/>
          <w:i/>
        </w:rPr>
        <w:t>the Commission’s specific proposals in relation to this process (draft recommendations 11.2 to 11.7</w:t>
      </w:r>
      <w:r w:rsidR="00B105A2">
        <w:rPr>
          <w:b/>
          <w:i/>
        </w:rPr>
        <w:t>)</w:t>
      </w:r>
    </w:p>
    <w:p w:rsidR="00BD350D" w:rsidRPr="00874756" w:rsidRDefault="00BD350D" w:rsidP="00BD350D">
      <w:pPr>
        <w:pStyle w:val="ListBullet2"/>
        <w:rPr>
          <w:b/>
          <w:i/>
        </w:rPr>
      </w:pPr>
      <w:r w:rsidRPr="00874756">
        <w:rPr>
          <w:b/>
          <w:i/>
        </w:rPr>
        <w:t xml:space="preserve"> progress </w:t>
      </w:r>
      <w:r>
        <w:rPr>
          <w:b/>
          <w:i/>
        </w:rPr>
        <w:t>in making</w:t>
      </w:r>
      <w:r w:rsidRPr="00874756">
        <w:rPr>
          <w:b/>
          <w:i/>
        </w:rPr>
        <w:t xml:space="preserve"> necessary </w:t>
      </w:r>
      <w:r>
        <w:rPr>
          <w:b/>
          <w:i/>
        </w:rPr>
        <w:t>changes</w:t>
      </w:r>
      <w:r w:rsidRPr="00874756">
        <w:rPr>
          <w:b/>
          <w:i/>
        </w:rPr>
        <w:t xml:space="preserve"> elsewhere in the system</w:t>
      </w:r>
    </w:p>
    <w:p w:rsidR="00BD350D" w:rsidRPr="00C7320B" w:rsidRDefault="00BD350D" w:rsidP="00BD350D">
      <w:pPr>
        <w:numPr>
          <w:ilvl w:val="0"/>
          <w:numId w:val="9"/>
        </w:numPr>
        <w:spacing w:before="80" w:line="320" w:lineRule="atLeast"/>
        <w:jc w:val="both"/>
        <w:rPr>
          <w:b/>
          <w:i/>
          <w:szCs w:val="20"/>
        </w:rPr>
      </w:pPr>
      <w:r w:rsidRPr="00C7320B">
        <w:rPr>
          <w:b/>
          <w:i/>
          <w:szCs w:val="20"/>
        </w:rPr>
        <w:t>monitor compliance with those timelines</w:t>
      </w:r>
    </w:p>
    <w:p w:rsidR="00BD350D" w:rsidRPr="00C7320B" w:rsidRDefault="00BD350D" w:rsidP="00BD350D">
      <w:pPr>
        <w:numPr>
          <w:ilvl w:val="0"/>
          <w:numId w:val="9"/>
        </w:numPr>
        <w:spacing w:before="80" w:line="320" w:lineRule="atLeast"/>
        <w:jc w:val="both"/>
        <w:rPr>
          <w:b/>
          <w:i/>
          <w:szCs w:val="20"/>
        </w:rPr>
      </w:pPr>
      <w:r w:rsidRPr="00C7320B">
        <w:rPr>
          <w:b/>
          <w:i/>
          <w:szCs w:val="20"/>
        </w:rPr>
        <w:t xml:space="preserve">address any areas where greater engagement between key stakeholders (distribution businesses, retailers, state and territory governments, the Australian Energy Regulator and customer representatives) would assist the expeditious implementation of the new </w:t>
      </w:r>
      <w:r>
        <w:rPr>
          <w:b/>
          <w:i/>
          <w:szCs w:val="20"/>
        </w:rPr>
        <w:t>pricing</w:t>
      </w:r>
      <w:r w:rsidRPr="00C7320B">
        <w:rPr>
          <w:b/>
          <w:i/>
          <w:szCs w:val="20"/>
        </w:rPr>
        <w:t xml:space="preserve"> regime</w:t>
      </w:r>
    </w:p>
    <w:p w:rsidR="00BD350D" w:rsidRPr="00C7320B" w:rsidRDefault="00BD350D" w:rsidP="00BD350D">
      <w:pPr>
        <w:numPr>
          <w:ilvl w:val="0"/>
          <w:numId w:val="9"/>
        </w:numPr>
        <w:spacing w:before="80" w:line="320" w:lineRule="atLeast"/>
        <w:jc w:val="both"/>
        <w:rPr>
          <w:b/>
          <w:i/>
          <w:szCs w:val="20"/>
        </w:rPr>
      </w:pPr>
      <w:r w:rsidRPr="00C7320B">
        <w:rPr>
          <w:b/>
          <w:i/>
          <w:szCs w:val="20"/>
        </w:rPr>
        <w:t>if and as necessary, take specific steps to address implementation delays.</w:t>
      </w:r>
    </w:p>
    <w:p w:rsidR="009A7BD7" w:rsidRPr="009A7BD7" w:rsidRDefault="009A7BD7" w:rsidP="005E43BF">
      <w:pPr>
        <w:pStyle w:val="RecTitle"/>
        <w:framePr w:wrap="notBeside"/>
      </w:pPr>
      <w:r>
        <w:t>Draft recommendation 11.2</w:t>
      </w:r>
    </w:p>
    <w:p w:rsidR="005E43BF" w:rsidRDefault="005E43BF" w:rsidP="005E43BF">
      <w:pPr>
        <w:pStyle w:val="Rec"/>
      </w:pPr>
      <w:r>
        <w:t>The Standing Council on Energy and Resources should initiate a process to establish a uniform set of licence conditions for all transmission and distribution network businesses in the National Electricity Market. The Council should task the Australian Energy Market Commission to undertake a framework review to assist that process.</w:t>
      </w:r>
    </w:p>
    <w:p w:rsidR="005E43BF" w:rsidRDefault="005E43BF" w:rsidP="005E43BF">
      <w:pPr>
        <w:pStyle w:val="Rec"/>
      </w:pPr>
      <w:r>
        <w:t xml:space="preserve">The development of a uniform set of licence conditions should have regard to the Commission’s proposed changes to the reliability framework (draft recommendations 15.1 and 16.1) and should not in any way conflict with, or impede, the implementation of that framework. </w:t>
      </w:r>
    </w:p>
    <w:p w:rsidR="005E43BF" w:rsidRDefault="005E43BF" w:rsidP="005E43BF">
      <w:pPr>
        <w:pStyle w:val="Rec"/>
      </w:pPr>
      <w:r>
        <w:t>The uniform licence conditions should be included in the National Electricity Rules and replace the current state and territory licence conditions.</w:t>
      </w:r>
    </w:p>
    <w:p w:rsidR="005E43BF" w:rsidRDefault="005E43BF" w:rsidP="005E43BF">
      <w:pPr>
        <w:pStyle w:val="Rec"/>
      </w:pPr>
      <w:r>
        <w:t>It may not be immediately feasible to develop standardised provisions governing technical standards and safety, though these should ultimately be encompassed in the national set of licence conditions.</w:t>
      </w:r>
    </w:p>
    <w:p w:rsidR="005E43BF" w:rsidRDefault="005E43BF" w:rsidP="005E43BF">
      <w:pPr>
        <w:pStyle w:val="Rec"/>
      </w:pPr>
      <w:r>
        <w:t>The justification for any jurisdiction-specific conditions included in the new licensing regime should be clearly and cogently spelt out in the supporting framework review.</w:t>
      </w:r>
    </w:p>
    <w:p w:rsidR="00AB13F6" w:rsidRDefault="005E43BF" w:rsidP="005E43BF">
      <w:pPr>
        <w:pStyle w:val="Rec"/>
      </w:pPr>
      <w:r>
        <w:lastRenderedPageBreak/>
        <w:t>Before incorporation into national licence conditions, preparatory work would be needed to develop a common approach to the identification of customers in need of special support to meet their electricity bills or pay for smart meters (draft recommendation 11.6), but:</w:t>
      </w:r>
    </w:p>
    <w:p w:rsidR="00AB13F6" w:rsidRPr="00096092" w:rsidRDefault="00AB13F6" w:rsidP="00AB13F6">
      <w:pPr>
        <w:pStyle w:val="RecBullet"/>
      </w:pPr>
      <w:r>
        <w:t>pending agreement on</w:t>
      </w:r>
      <w:r w:rsidRPr="00FE7254">
        <w:t xml:space="preserve"> </w:t>
      </w:r>
      <w:r>
        <w:t xml:space="preserve">appropriate national criteria and approaches to funding, each state and territory government </w:t>
      </w:r>
      <w:r w:rsidR="005E43BF">
        <w:t>should</w:t>
      </w:r>
      <w:r>
        <w:t xml:space="preserve"> continue to be responsible for targeted financial support to address affordability. </w:t>
      </w:r>
    </w:p>
    <w:p w:rsidR="00AB13F6" w:rsidRPr="00096092" w:rsidRDefault="00AB13F6" w:rsidP="00AB13F6">
      <w:pPr>
        <w:pStyle w:val="Rec"/>
      </w:pPr>
      <w:r w:rsidRPr="00096092">
        <w:t>T</w:t>
      </w:r>
      <w:r>
        <w:t>he Australian Energy Regulator sh</w:t>
      </w:r>
      <w:r w:rsidRPr="00096092">
        <w:t>ould</w:t>
      </w:r>
      <w:r>
        <w:t xml:space="preserve"> be responsible for ensuring compliance with the new conditions and would have the authority to</w:t>
      </w:r>
      <w:r w:rsidRPr="00096092">
        <w:t>:</w:t>
      </w:r>
    </w:p>
    <w:p w:rsidR="00AB13F6" w:rsidRPr="00096092" w:rsidRDefault="00AB13F6" w:rsidP="00AB13F6">
      <w:pPr>
        <w:pStyle w:val="RecBullet"/>
      </w:pPr>
      <w:r w:rsidRPr="00096092">
        <w:t>issue and retract licences</w:t>
      </w:r>
    </w:p>
    <w:p w:rsidR="00AB13F6" w:rsidRDefault="00AB13F6" w:rsidP="00AB13F6">
      <w:pPr>
        <w:pStyle w:val="RecBullet"/>
      </w:pPr>
      <w:r>
        <w:t>seek</w:t>
      </w:r>
      <w:r w:rsidRPr="00096092">
        <w:t xml:space="preserve"> advice from relevant agencies </w:t>
      </w:r>
      <w:r>
        <w:t>on</w:t>
      </w:r>
      <w:r w:rsidRPr="00096092">
        <w:t xml:space="preserve"> any technical matters</w:t>
      </w:r>
      <w:r>
        <w:t xml:space="preserve"> relating to compliance assessment.</w:t>
      </w:r>
    </w:p>
    <w:p w:rsidR="00AB13F6" w:rsidRPr="00096092" w:rsidRDefault="00AB13F6" w:rsidP="00AB13F6">
      <w:pPr>
        <w:pStyle w:val="Rec"/>
      </w:pPr>
      <w:r>
        <w:t>Provision could also be made in the</w:t>
      </w:r>
      <w:r w:rsidRPr="00096092">
        <w:t xml:space="preserve"> Rules </w:t>
      </w:r>
      <w:r>
        <w:t xml:space="preserve">for the Australian Energy Regulator to delegate </w:t>
      </w:r>
      <w:r w:rsidRPr="00096092">
        <w:t xml:space="preserve">responsibility for </w:t>
      </w:r>
      <w:r>
        <w:t xml:space="preserve">assessing </w:t>
      </w:r>
      <w:r w:rsidRPr="00096092">
        <w:t xml:space="preserve">compliance </w:t>
      </w:r>
      <w:r>
        <w:t>with particular</w:t>
      </w:r>
      <w:r w:rsidRPr="00096092">
        <w:t xml:space="preserve"> licen</w:t>
      </w:r>
      <w:r>
        <w:t>c</w:t>
      </w:r>
      <w:r w:rsidRPr="00096092">
        <w:t>e conditions</w:t>
      </w:r>
      <w:r>
        <w:t xml:space="preserve"> to a relevant state-level regulator</w:t>
      </w:r>
      <w:r w:rsidRPr="00096092">
        <w:t>.</w:t>
      </w:r>
    </w:p>
    <w:p w:rsidR="00BD350D" w:rsidRDefault="00BD350D" w:rsidP="00BD350D">
      <w:pPr>
        <w:pStyle w:val="RecTitle"/>
        <w:framePr w:wrap="notBeside"/>
        <w:tabs>
          <w:tab w:val="left" w:pos="3735"/>
        </w:tabs>
      </w:pPr>
      <w:r>
        <w:t>Draft Recommendation 11.3</w:t>
      </w:r>
    </w:p>
    <w:p w:rsidR="00BD350D" w:rsidRDefault="00BD350D" w:rsidP="00BD350D">
      <w:pPr>
        <w:pStyle w:val="Rec"/>
      </w:pPr>
      <w:r>
        <w:t xml:space="preserve">When the process of implementing </w:t>
      </w:r>
      <w:r w:rsidR="00CF0C3A">
        <w:t>cost-</w:t>
      </w:r>
      <w:r>
        <w:t xml:space="preserve">reflective, </w:t>
      </w:r>
      <w:r w:rsidR="008041F1">
        <w:t>time-</w:t>
      </w:r>
      <w:r>
        <w:t>based prices for distribution network services is sufficiently advanced to reasonably allow for a tightening of relevant clauses in the National Electricity Rules:</w:t>
      </w:r>
    </w:p>
    <w:p w:rsidR="00BD350D" w:rsidRDefault="00BD350D" w:rsidP="00BD350D">
      <w:pPr>
        <w:pStyle w:val="RecBullet"/>
      </w:pPr>
      <w:r>
        <w:t xml:space="preserve">clause 6.18.5(b)(1) should be amended so as to ensure that </w:t>
      </w:r>
      <w:r w:rsidR="008041F1">
        <w:t>time-based</w:t>
      </w:r>
      <w:r>
        <w:t xml:space="preserve"> tariffs</w:t>
      </w:r>
      <w:r w:rsidRPr="00AE7402">
        <w:t xml:space="preserve"> </w:t>
      </w:r>
      <w:r>
        <w:t>ar</w:t>
      </w:r>
      <w:r w:rsidRPr="00AE7402">
        <w:t xml:space="preserve">e determined by (rather than </w:t>
      </w:r>
      <w:r>
        <w:t>‘</w:t>
      </w:r>
      <w:r w:rsidRPr="00AE7402">
        <w:t>take into account</w:t>
      </w:r>
      <w:r>
        <w:t>’</w:t>
      </w:r>
      <w:r w:rsidRPr="00AE7402">
        <w:t>)</w:t>
      </w:r>
      <w:r>
        <w:t xml:space="preserve"> a reasonable estimate of the long run marginal cost for the service concerned</w:t>
      </w:r>
    </w:p>
    <w:p w:rsidR="00BD350D" w:rsidRDefault="00BD350D" w:rsidP="00BD350D">
      <w:pPr>
        <w:pStyle w:val="RecBullet"/>
      </w:pPr>
      <w:r>
        <w:t>clause 6.18.3(d)(1) should be amended so as:</w:t>
      </w:r>
    </w:p>
    <w:p w:rsidR="00BD350D" w:rsidRDefault="00BD350D" w:rsidP="00BD350D">
      <w:pPr>
        <w:pStyle w:val="ListBullet2"/>
        <w:rPr>
          <w:b/>
          <w:i/>
        </w:rPr>
      </w:pPr>
      <w:r>
        <w:t xml:space="preserve"> </w:t>
      </w:r>
      <w:r w:rsidRPr="00CA2363">
        <w:rPr>
          <w:b/>
          <w:i/>
        </w:rPr>
        <w:t xml:space="preserve">to ensure that the grouping of customers for the purposes of setting </w:t>
      </w:r>
      <w:r w:rsidR="008041F1">
        <w:rPr>
          <w:b/>
          <w:i/>
        </w:rPr>
        <w:t>time-based</w:t>
      </w:r>
      <w:r w:rsidRPr="00CA2363">
        <w:rPr>
          <w:b/>
          <w:i/>
        </w:rPr>
        <w:t xml:space="preserve"> tariffs </w:t>
      </w:r>
      <w:r>
        <w:rPr>
          <w:b/>
          <w:i/>
        </w:rPr>
        <w:t>is</w:t>
      </w:r>
      <w:r w:rsidRPr="00CA2363">
        <w:rPr>
          <w:b/>
          <w:i/>
        </w:rPr>
        <w:t xml:space="preserve"> based on economic efficiency (rather than ‘hav</w:t>
      </w:r>
      <w:r>
        <w:rPr>
          <w:b/>
          <w:i/>
        </w:rPr>
        <w:t>ing</w:t>
      </w:r>
      <w:r w:rsidRPr="00CA2363">
        <w:rPr>
          <w:b/>
          <w:i/>
        </w:rPr>
        <w:t xml:space="preserve"> regard to’ it) </w:t>
      </w:r>
    </w:p>
    <w:p w:rsidR="00BD350D" w:rsidRPr="00CA2363" w:rsidRDefault="00BD350D" w:rsidP="00BD350D">
      <w:pPr>
        <w:pStyle w:val="ListBullet2"/>
        <w:rPr>
          <w:b/>
          <w:i/>
        </w:rPr>
      </w:pPr>
      <w:r w:rsidRPr="00CA2363">
        <w:rPr>
          <w:b/>
          <w:i/>
        </w:rPr>
        <w:t xml:space="preserve">to make it explicit that </w:t>
      </w:r>
      <w:r>
        <w:rPr>
          <w:b/>
          <w:i/>
        </w:rPr>
        <w:t xml:space="preserve">significant </w:t>
      </w:r>
      <w:r w:rsidRPr="00CA2363">
        <w:rPr>
          <w:b/>
          <w:i/>
        </w:rPr>
        <w:t xml:space="preserve">differences in the long run marginal cost of meeting peak demand between locations and </w:t>
      </w:r>
      <w:r>
        <w:rPr>
          <w:b/>
          <w:i/>
        </w:rPr>
        <w:t xml:space="preserve">across </w:t>
      </w:r>
      <w:r w:rsidRPr="00CA2363">
        <w:rPr>
          <w:b/>
          <w:i/>
        </w:rPr>
        <w:t>customer groups</w:t>
      </w:r>
      <w:r>
        <w:rPr>
          <w:b/>
          <w:i/>
        </w:rPr>
        <w:t xml:space="preserve"> should be reflected in network pricing structures.</w:t>
      </w:r>
    </w:p>
    <w:p w:rsidR="00C2093E" w:rsidRDefault="00C2093E" w:rsidP="00C2093E">
      <w:pPr>
        <w:pStyle w:val="RecTitle"/>
        <w:framePr w:wrap="notBeside"/>
      </w:pPr>
      <w:r>
        <w:t>Draft Recommendation 11.4</w:t>
      </w:r>
    </w:p>
    <w:p w:rsidR="00BD350D" w:rsidRPr="00BC1F62" w:rsidRDefault="00BD350D" w:rsidP="00BD350D">
      <w:pPr>
        <w:pStyle w:val="Rec"/>
      </w:pPr>
      <w:r>
        <w:t xml:space="preserve">When the process of implementing </w:t>
      </w:r>
      <w:r w:rsidR="00CF0C3A">
        <w:t>cost-</w:t>
      </w:r>
      <w:r>
        <w:t xml:space="preserve">reflective, </w:t>
      </w:r>
      <w:r w:rsidR="008041F1">
        <w:t>time-based</w:t>
      </w:r>
      <w:r>
        <w:t xml:space="preserve"> prices for distribution network services is suitably advanced, the requirements governing assessments by the Australian Energy Regulator of pricing proposals by distribution network service providers should be amended such that the regulator:</w:t>
      </w:r>
    </w:p>
    <w:p w:rsidR="00BD350D" w:rsidRDefault="00BD350D" w:rsidP="00BD350D">
      <w:pPr>
        <w:pStyle w:val="RecBullet"/>
      </w:pPr>
      <w:r>
        <w:lastRenderedPageBreak/>
        <w:t xml:space="preserve">can only approve a distribution business’s peak demand forecasts if they include reasonable forward estimates of the likely demand response to </w:t>
      </w:r>
      <w:r w:rsidR="008041F1">
        <w:t>time-based</w:t>
      </w:r>
      <w:r>
        <w:t xml:space="preserve"> pricing</w:t>
      </w:r>
    </w:p>
    <w:p w:rsidR="00BD350D" w:rsidRPr="00885E50" w:rsidRDefault="00BD350D" w:rsidP="00BD350D">
      <w:pPr>
        <w:pStyle w:val="RecBullet"/>
        <w:rPr>
          <w:spacing w:val="-4"/>
        </w:rPr>
      </w:pPr>
      <w:r w:rsidRPr="00885E50">
        <w:rPr>
          <w:spacing w:val="-4"/>
        </w:rPr>
        <w:t xml:space="preserve">subject to the above condition, </w:t>
      </w:r>
      <w:r>
        <w:rPr>
          <w:spacing w:val="-4"/>
        </w:rPr>
        <w:t xml:space="preserve">must </w:t>
      </w:r>
      <w:r w:rsidRPr="00885E50">
        <w:rPr>
          <w:spacing w:val="-4"/>
        </w:rPr>
        <w:t xml:space="preserve">approve any reasonable estimate by </w:t>
      </w:r>
      <w:r>
        <w:rPr>
          <w:spacing w:val="-4"/>
        </w:rPr>
        <w:t>a</w:t>
      </w:r>
      <w:r w:rsidRPr="00885E50">
        <w:rPr>
          <w:spacing w:val="-4"/>
        </w:rPr>
        <w:t xml:space="preserve"> distribution business of the long</w:t>
      </w:r>
      <w:r>
        <w:rPr>
          <w:spacing w:val="-4"/>
        </w:rPr>
        <w:t xml:space="preserve"> </w:t>
      </w:r>
      <w:r w:rsidRPr="00885E50">
        <w:rPr>
          <w:spacing w:val="-4"/>
        </w:rPr>
        <w:t xml:space="preserve">run marginal costs of meeting peak </w:t>
      </w:r>
      <w:r>
        <w:rPr>
          <w:spacing w:val="-4"/>
        </w:rPr>
        <w:t>demand.</w:t>
      </w:r>
    </w:p>
    <w:p w:rsidR="00BD350D" w:rsidRDefault="00BD350D" w:rsidP="00BD350D">
      <w:pPr>
        <w:pStyle w:val="Rec"/>
      </w:pPr>
      <w:r>
        <w:t xml:space="preserve">To support these changes, the Australian Energy Regulator should develop a capacity to model demand responsiveness to </w:t>
      </w:r>
      <w:r w:rsidR="008041F1">
        <w:t>time-based</w:t>
      </w:r>
      <w:r>
        <w:t xml:space="preserve"> pricing.</w:t>
      </w:r>
    </w:p>
    <w:p w:rsidR="00896410" w:rsidRDefault="00896410" w:rsidP="00896410">
      <w:pPr>
        <w:pStyle w:val="RecTitle"/>
        <w:framePr w:wrap="notBeside"/>
      </w:pPr>
      <w:r>
        <w:t>DRAFT RECOMMENDATION 11.5</w:t>
      </w:r>
    </w:p>
    <w:p w:rsidR="00BD350D" w:rsidRDefault="00BD350D" w:rsidP="00BD350D">
      <w:pPr>
        <w:pStyle w:val="Rec"/>
      </w:pPr>
      <w:r>
        <w:t>Clause 6.2.8(a)(3) of the National Electricity Rules should be amended to:</w:t>
      </w:r>
    </w:p>
    <w:p w:rsidR="00BD350D" w:rsidRDefault="00BD350D" w:rsidP="00BD350D">
      <w:pPr>
        <w:pStyle w:val="RecBullet"/>
      </w:pPr>
      <w:r>
        <w:t>require the Australian Energy Regulator to publish guidelines on the methodology or methodologies that are appropriate for estimating the long</w:t>
      </w:r>
      <w:r w:rsidR="00A273D4">
        <w:noBreakHyphen/>
      </w:r>
      <w:r>
        <w:t>run marginal costs of meeting peak demand, and the factors that should be encompassed in those estimates</w:t>
      </w:r>
    </w:p>
    <w:p w:rsidR="00BD350D" w:rsidRDefault="00BD350D" w:rsidP="00BD350D">
      <w:pPr>
        <w:pStyle w:val="RecBullet"/>
      </w:pPr>
      <w:r>
        <w:t>give the Australian Energy Regulator the authority to</w:t>
      </w:r>
      <w:r w:rsidRPr="00AE5766">
        <w:t xml:space="preserve"> publish </w:t>
      </w:r>
      <w:r>
        <w:t xml:space="preserve">binding </w:t>
      </w:r>
      <w:r w:rsidRPr="00AE5766">
        <w:t>guidelines about efficient</w:t>
      </w:r>
      <w:r>
        <w:t xml:space="preserve">, </w:t>
      </w:r>
      <w:r w:rsidR="008041F1">
        <w:t>time-based</w:t>
      </w:r>
      <w:r w:rsidRPr="00AE5766">
        <w:t xml:space="preserve"> tariff structures, including definition</w:t>
      </w:r>
      <w:r>
        <w:t>s</w:t>
      </w:r>
      <w:r w:rsidRPr="00AE5766">
        <w:t xml:space="preserve"> of ‘peak’ pricing events.</w:t>
      </w:r>
    </w:p>
    <w:p w:rsidR="00BD350D" w:rsidRDefault="00BD350D" w:rsidP="00BD350D">
      <w:pPr>
        <w:pStyle w:val="Rec"/>
      </w:pPr>
      <w:r>
        <w:t xml:space="preserve">These guidelines should be developed in consultation with the relevant stakeholders and should be improved over time as the implementation of </w:t>
      </w:r>
      <w:r w:rsidR="008041F1">
        <w:t>time-based</w:t>
      </w:r>
      <w:r>
        <w:t xml:space="preserve"> pricing progresses.</w:t>
      </w:r>
    </w:p>
    <w:p w:rsidR="00854894" w:rsidRDefault="00854894" w:rsidP="00BD350D">
      <w:pPr>
        <w:pStyle w:val="Rec"/>
      </w:pPr>
    </w:p>
    <w:p w:rsidR="00896410" w:rsidRDefault="00896410" w:rsidP="00896410">
      <w:pPr>
        <w:pStyle w:val="RecTitle"/>
        <w:framePr w:wrap="notBeside"/>
      </w:pPr>
      <w:r>
        <w:t>draft RECOMMENDATION 11.6</w:t>
      </w:r>
    </w:p>
    <w:p w:rsidR="00BD350D" w:rsidRDefault="00BD350D" w:rsidP="00BD350D">
      <w:pPr>
        <w:pStyle w:val="Rec"/>
      </w:pPr>
      <w:r>
        <w:t>T</w:t>
      </w:r>
      <w:r w:rsidRPr="00B32004">
        <w:t>he</w:t>
      </w:r>
      <w:r>
        <w:t xml:space="preserve"> implementation of </w:t>
      </w:r>
      <w:r w:rsidR="00CF0C3A">
        <w:t>cost-</w:t>
      </w:r>
      <w:r>
        <w:t xml:space="preserve">reflective, </w:t>
      </w:r>
      <w:r w:rsidR="008041F1">
        <w:t>time-based</w:t>
      </w:r>
      <w:r>
        <w:t xml:space="preserve"> pricing for distribution network services</w:t>
      </w:r>
      <w:r w:rsidRPr="00B32004">
        <w:t xml:space="preserve"> should be </w:t>
      </w:r>
      <w:r>
        <w:t>accompanied by assistance</w:t>
      </w:r>
      <w:r w:rsidRPr="00B32004">
        <w:t xml:space="preserve"> for vulnerable consumers</w:t>
      </w:r>
      <w:r>
        <w:t>, which should target those who:</w:t>
      </w:r>
    </w:p>
    <w:p w:rsidR="00BD350D" w:rsidRDefault="00BD350D" w:rsidP="00BD350D">
      <w:pPr>
        <w:pStyle w:val="RecBullet"/>
      </w:pPr>
      <w:r>
        <w:t>are potentially exposed</w:t>
      </w:r>
      <w:r w:rsidRPr="00B32004">
        <w:t xml:space="preserve"> to large price increases</w:t>
      </w:r>
      <w:r>
        <w:t xml:space="preserve"> </w:t>
      </w:r>
      <w:r w:rsidRPr="00B32004">
        <w:t xml:space="preserve">and who </w:t>
      </w:r>
      <w:r>
        <w:t>do not have reasonable opportunities to</w:t>
      </w:r>
      <w:r w:rsidRPr="00B32004">
        <w:t xml:space="preserve"> switch </w:t>
      </w:r>
      <w:r>
        <w:t>their demand to non-peak periods</w:t>
      </w:r>
      <w:r w:rsidRPr="00B32004">
        <w:t xml:space="preserve"> </w:t>
      </w:r>
    </w:p>
    <w:p w:rsidR="00BD350D" w:rsidRDefault="00BD350D" w:rsidP="00BD350D">
      <w:pPr>
        <w:pStyle w:val="RecBullet"/>
      </w:pPr>
      <w:r>
        <w:t>will potentially face significant difficulty in meeting the charges used to recover the costs of smart meters.</w:t>
      </w:r>
    </w:p>
    <w:p w:rsidR="00BD350D" w:rsidRDefault="00BD350D" w:rsidP="00BD350D">
      <w:pPr>
        <w:pStyle w:val="Rec"/>
      </w:pPr>
      <w:r>
        <w:lastRenderedPageBreak/>
        <w:t xml:space="preserve">The Standing Council on Energy and Resources should develop common criteria for identifying who should receive such assistance, </w:t>
      </w:r>
      <w:r w:rsidRPr="00015AC2">
        <w:t xml:space="preserve">and when it should be delivered through electricity specific mechanisms rather than through the Australian Government’s tax </w:t>
      </w:r>
      <w:r w:rsidR="0093615A">
        <w:t xml:space="preserve">and </w:t>
      </w:r>
      <w:r w:rsidRPr="00015AC2">
        <w:t>transfer system</w:t>
      </w:r>
      <w:r w:rsidRPr="006245EB">
        <w:t>.</w:t>
      </w:r>
      <w:r>
        <w:t xml:space="preserve"> These criteria should be based on the outcomes of a review commissioned by</w:t>
      </w:r>
      <w:r w:rsidRPr="00646A8D">
        <w:t xml:space="preserve"> </w:t>
      </w:r>
      <w:r>
        <w:t>the Council of Australian Governments</w:t>
      </w:r>
      <w:r w:rsidRPr="00646A8D">
        <w:t xml:space="preserve"> of concessions </w:t>
      </w:r>
      <w:r>
        <w:t>for</w:t>
      </w:r>
      <w:r w:rsidRPr="00646A8D">
        <w:t xml:space="preserve"> utility services across all levels of government (consistent with recommendation</w:t>
      </w:r>
      <w:r>
        <w:t> </w:t>
      </w:r>
      <w:r w:rsidRPr="00646A8D">
        <w:t>8.1 of the Productivity Commission’s Urban Water Sector Inquiry report).</w:t>
      </w:r>
    </w:p>
    <w:p w:rsidR="00BD350D" w:rsidRDefault="00BD350D" w:rsidP="00BD350D">
      <w:pPr>
        <w:pStyle w:val="Rec"/>
      </w:pPr>
      <w:r>
        <w:t>These criteria,</w:t>
      </w:r>
      <w:r w:rsidRPr="00B32004">
        <w:t xml:space="preserve"> </w:t>
      </w:r>
      <w:r>
        <w:t xml:space="preserve">and a commitment to transparent funding of the electricity sector-specific support should then be reflected in the new </w:t>
      </w:r>
      <w:r w:rsidR="00854894">
        <w:t>National Electricity Market</w:t>
      </w:r>
      <w:r>
        <w:t>-wide licence conditions for network businesses (draft recommendation 11.2)</w:t>
      </w:r>
      <w:r w:rsidRPr="00B32004">
        <w:t>.</w:t>
      </w:r>
      <w:r>
        <w:t xml:space="preserve"> </w:t>
      </w:r>
    </w:p>
    <w:p w:rsidR="00896410" w:rsidRDefault="00896410" w:rsidP="00896410">
      <w:pPr>
        <w:pStyle w:val="RecTitle"/>
        <w:framePr w:wrap="notBeside"/>
      </w:pPr>
      <w:r>
        <w:t>Draft recommendation 11.</w:t>
      </w:r>
      <w:r w:rsidR="00BD350D">
        <w:t>7</w:t>
      </w:r>
    </w:p>
    <w:p w:rsidR="00BD350D" w:rsidRDefault="00BD350D" w:rsidP="00BD350D">
      <w:pPr>
        <w:pStyle w:val="Rec"/>
      </w:pPr>
      <w:r>
        <w:t>The Australian Energy Regulator should require:</w:t>
      </w:r>
    </w:p>
    <w:p w:rsidR="00BD350D" w:rsidRDefault="00BD350D" w:rsidP="0047483A">
      <w:pPr>
        <w:pStyle w:val="RecBullet"/>
      </w:pPr>
      <w:r>
        <w:t xml:space="preserve">distribution network businesses to </w:t>
      </w:r>
      <w:r w:rsidRPr="007D30CD">
        <w:t xml:space="preserve">demonstrate that they have actively engaged with retailers </w:t>
      </w:r>
      <w:r>
        <w:t xml:space="preserve">very early in the development of new </w:t>
      </w:r>
      <w:r w:rsidR="008041F1">
        <w:t>time-based</w:t>
      </w:r>
      <w:r>
        <w:t xml:space="preserve"> pricing structures, including on ways to </w:t>
      </w:r>
      <w:r w:rsidR="0047483A" w:rsidRPr="0047483A">
        <w:t xml:space="preserve">incorporate </w:t>
      </w:r>
      <w:r>
        <w:t xml:space="preserve">those charges in retail prices to clearly signal to customers the costs of meeting peak network demand </w:t>
      </w:r>
    </w:p>
    <w:p w:rsidR="00BD350D" w:rsidRDefault="00BD350D" w:rsidP="00BD350D">
      <w:pPr>
        <w:pStyle w:val="RecBullet"/>
      </w:pPr>
      <w:r>
        <w:t xml:space="preserve">distributors and retailers to demonstrate that they have engaged with, and educated, customers prior to the introduction of smart meters, and again prior to the introduction of new time-based customer tariffs. </w:t>
      </w:r>
    </w:p>
    <w:p w:rsidR="00BD350D" w:rsidRPr="00321070" w:rsidRDefault="00BD350D" w:rsidP="00BD350D">
      <w:pPr>
        <w:pStyle w:val="ListBullet2"/>
        <w:rPr>
          <w:b/>
          <w:i/>
        </w:rPr>
      </w:pPr>
      <w:r>
        <w:rPr>
          <w:b/>
          <w:i/>
        </w:rPr>
        <w:t xml:space="preserve">Such engagement should occur sufficiently early to ensure that customers </w:t>
      </w:r>
      <w:r w:rsidRPr="00321070">
        <w:rPr>
          <w:b/>
          <w:i/>
        </w:rPr>
        <w:t xml:space="preserve">have </w:t>
      </w:r>
      <w:r>
        <w:rPr>
          <w:b/>
          <w:i/>
        </w:rPr>
        <w:t xml:space="preserve">the knowledge and </w:t>
      </w:r>
      <w:r w:rsidRPr="00321070">
        <w:rPr>
          <w:b/>
          <w:i/>
        </w:rPr>
        <w:t xml:space="preserve">time to respond appropriately to </w:t>
      </w:r>
      <w:r w:rsidR="008041F1">
        <w:rPr>
          <w:b/>
          <w:i/>
        </w:rPr>
        <w:t>time-based</w:t>
      </w:r>
      <w:r w:rsidRPr="00321070">
        <w:rPr>
          <w:b/>
          <w:i/>
        </w:rPr>
        <w:t xml:space="preserve"> pricing</w:t>
      </w:r>
      <w:r>
        <w:rPr>
          <w:b/>
          <w:i/>
        </w:rPr>
        <w:t xml:space="preserve"> (including of the various means to manage their peak demand)</w:t>
      </w:r>
      <w:r w:rsidRPr="00321070">
        <w:rPr>
          <w:b/>
          <w:i/>
        </w:rPr>
        <w:t xml:space="preserve">; are aware of the implications for their electricity bills; </w:t>
      </w:r>
      <w:r>
        <w:rPr>
          <w:b/>
          <w:i/>
        </w:rPr>
        <w:t xml:space="preserve">understand the way in which advance warning of critical peak pricing events will be communicated; </w:t>
      </w:r>
      <w:r w:rsidRPr="00321070">
        <w:rPr>
          <w:b/>
          <w:i/>
        </w:rPr>
        <w:t>and are aware of the support mechanisms in the event that the new pricing regime create</w:t>
      </w:r>
      <w:r w:rsidR="0047483A">
        <w:rPr>
          <w:b/>
          <w:i/>
        </w:rPr>
        <w:t>s</w:t>
      </w:r>
      <w:r w:rsidRPr="00321070">
        <w:rPr>
          <w:b/>
          <w:i/>
        </w:rPr>
        <w:t xml:space="preserve"> financial difficulties for them.</w:t>
      </w:r>
    </w:p>
    <w:p w:rsidR="00896410" w:rsidRDefault="00896410" w:rsidP="00896410">
      <w:pPr>
        <w:pStyle w:val="Heading3"/>
      </w:pPr>
      <w:r>
        <w:t xml:space="preserve">Chapter 12 Complementary reforms to support </w:t>
      </w:r>
      <w:r w:rsidR="00D773A9">
        <w:t>demand management</w:t>
      </w:r>
    </w:p>
    <w:p w:rsidR="00896410" w:rsidRDefault="00896410" w:rsidP="00896410">
      <w:pPr>
        <w:pStyle w:val="RecTitle"/>
        <w:framePr w:wrap="notBeside"/>
      </w:pPr>
      <w:r>
        <w:t>Draft RECOMMENDATION 12.1</w:t>
      </w:r>
    </w:p>
    <w:p w:rsidR="000233BA" w:rsidRDefault="00896410" w:rsidP="00896410">
      <w:pPr>
        <w:pStyle w:val="Rec"/>
      </w:pPr>
      <w:r>
        <w:t>Coinciding with the gradual roll</w:t>
      </w:r>
      <w:r w:rsidR="000233BA">
        <w:t>-</w:t>
      </w:r>
      <w:r>
        <w:t>out of smart meters to allow more cost-reflective network pricing, revenues from all distribution network ‘standard control services’ should be subject to regulated weighted average price (not revenue) caps. This should not apply to transmission businesses, which</w:t>
      </w:r>
      <w:r w:rsidR="000233BA">
        <w:t>,</w:t>
      </w:r>
      <w:r>
        <w:t xml:space="preserve"> given the complexities and lower net-benefits</w:t>
      </w:r>
      <w:r w:rsidR="000233BA">
        <w:t>,</w:t>
      </w:r>
      <w:r>
        <w:t xml:space="preserve"> should continue to be subject to revenue caps.</w:t>
      </w:r>
    </w:p>
    <w:p w:rsidR="00896410" w:rsidRDefault="00896410" w:rsidP="00896410">
      <w:pPr>
        <w:pStyle w:val="RecTitle"/>
        <w:framePr w:wrap="notBeside"/>
      </w:pPr>
      <w:r>
        <w:lastRenderedPageBreak/>
        <w:t>Draft recommendation 12.2</w:t>
      </w:r>
    </w:p>
    <w:p w:rsidR="00896410" w:rsidRDefault="00896410" w:rsidP="00896410">
      <w:pPr>
        <w:pStyle w:val="Rec"/>
      </w:pPr>
      <w:r w:rsidRPr="00CC31F8">
        <w:t xml:space="preserve">The </w:t>
      </w:r>
      <w:r>
        <w:t>Australian Energy Regulator</w:t>
      </w:r>
      <w:r w:rsidRPr="00CC31F8">
        <w:t xml:space="preserve"> should </w:t>
      </w:r>
      <w:r>
        <w:t xml:space="preserve">review the operation of, and the incentives provided by, </w:t>
      </w:r>
      <w:r w:rsidRPr="00CC31F8">
        <w:t xml:space="preserve">the Demand Management </w:t>
      </w:r>
      <w:r>
        <w:t xml:space="preserve">and Embedded Generation Connection </w:t>
      </w:r>
      <w:r w:rsidRPr="00CC31F8">
        <w:t>Incentive Scheme</w:t>
      </w:r>
      <w:r>
        <w:t>. In doing so, the Australian Energy Regulator should ensure that distribution companies’ incentives are appropriately aligned with the objective of achieving efficient demand management. The</w:t>
      </w:r>
      <w:r w:rsidRPr="00CC31F8">
        <w:t xml:space="preserve"> innovation allowance component of</w:t>
      </w:r>
      <w:r>
        <w:t xml:space="preserve"> this scheme should also be increased.</w:t>
      </w:r>
    </w:p>
    <w:p w:rsidR="00896410" w:rsidRDefault="00896410" w:rsidP="00896410">
      <w:pPr>
        <w:pStyle w:val="RecTitle"/>
        <w:framePr w:wrap="notBeside"/>
      </w:pPr>
      <w:r>
        <w:t>draft RECOMMENDATION 12.3</w:t>
      </w:r>
    </w:p>
    <w:p w:rsidR="00CC5CBC" w:rsidRDefault="00CC5CBC" w:rsidP="00CC5CBC">
      <w:pPr>
        <w:pStyle w:val="Rec"/>
      </w:pPr>
      <w:r>
        <w:t xml:space="preserve">Where retail price regulation exists, the Australian Energy Market Commission should review the market for effective competition. </w:t>
      </w:r>
    </w:p>
    <w:p w:rsidR="00CC5CBC" w:rsidRDefault="00CC5CBC" w:rsidP="00CC5CBC">
      <w:pPr>
        <w:pStyle w:val="RecBullet"/>
        <w:numPr>
          <w:ilvl w:val="0"/>
          <w:numId w:val="29"/>
        </w:numPr>
      </w:pPr>
      <w:r>
        <w:t xml:space="preserve">In jurisdictions where the </w:t>
      </w:r>
      <w:r w:rsidR="00865D08">
        <w:t>Australian Energy Market Commission</w:t>
      </w:r>
      <w:r w:rsidR="00865D08" w:rsidDel="00865D08">
        <w:t xml:space="preserve"> </w:t>
      </w:r>
      <w:r>
        <w:t>advises that retail price regulation should be removed, the relevant state or territory government should remove retail price regulation as soon as practicable</w:t>
      </w:r>
      <w:r w:rsidR="00361DBC">
        <w:t>.</w:t>
      </w:r>
    </w:p>
    <w:p w:rsidR="00CC5CBC" w:rsidRDefault="00CC5CBC" w:rsidP="00CC5CBC">
      <w:pPr>
        <w:pStyle w:val="RecBullet"/>
        <w:numPr>
          <w:ilvl w:val="0"/>
          <w:numId w:val="29"/>
        </w:numPr>
      </w:pPr>
      <w:r>
        <w:t>Where the Australian Energy Market Commission advises that there is strong evidence that competitive pressures would be weak with the removal of the regulation, and could not be addressed by consumer awareness measures:</w:t>
      </w:r>
    </w:p>
    <w:p w:rsidR="00CC5CBC" w:rsidRPr="00CC5CBC" w:rsidRDefault="00361DBC" w:rsidP="00CC5CBC">
      <w:pPr>
        <w:pStyle w:val="ListBullet2"/>
      </w:pPr>
      <w:r>
        <w:rPr>
          <w:b/>
          <w:i/>
        </w:rPr>
        <w:t>it</w:t>
      </w:r>
      <w:r w:rsidR="00CC5CBC">
        <w:rPr>
          <w:b/>
          <w:i/>
        </w:rPr>
        <w:t xml:space="preserve"> should suggest any structural reforms that would be necessary to develop workable competition</w:t>
      </w:r>
      <w:r w:rsidR="00CC5CBC">
        <w:rPr>
          <w:b/>
          <w:i/>
          <w:color w:val="1B06BA"/>
        </w:rPr>
        <w:t xml:space="preserve">. </w:t>
      </w:r>
      <w:r w:rsidR="00CC5CBC" w:rsidRPr="00CC5CBC">
        <w:rPr>
          <w:b/>
          <w:i/>
        </w:rPr>
        <w:t>These reforms should be promptly progressed by the relevant jurisdictions</w:t>
      </w:r>
      <w:r>
        <w:rPr>
          <w:b/>
          <w:i/>
        </w:rPr>
        <w:t>,</w:t>
      </w:r>
      <w:r w:rsidR="00CC5CBC" w:rsidRPr="00CC5CBC">
        <w:rPr>
          <w:b/>
          <w:i/>
        </w:rPr>
        <w:t xml:space="preserve"> and retail price regulations should be removed </w:t>
      </w:r>
      <w:r w:rsidR="00CC5CBC">
        <w:rPr>
          <w:b/>
          <w:i/>
        </w:rPr>
        <w:t xml:space="preserve">by </w:t>
      </w:r>
      <w:r w:rsidR="00CC5CBC" w:rsidRPr="00CC5CBC">
        <w:rPr>
          <w:b/>
          <w:i/>
        </w:rPr>
        <w:t>no later than 2015.</w:t>
      </w:r>
    </w:p>
    <w:p w:rsidR="00B42A86" w:rsidRDefault="00351A36" w:rsidP="00507B9F">
      <w:pPr>
        <w:pStyle w:val="Heading3"/>
      </w:pPr>
      <w:r>
        <w:t>Chapter 1</w:t>
      </w:r>
      <w:r w:rsidR="00896410">
        <w:t>3</w:t>
      </w:r>
      <w:r>
        <w:t xml:space="preserve"> Distributed generation</w:t>
      </w:r>
    </w:p>
    <w:p w:rsidR="00FC511B" w:rsidRDefault="00FC511B" w:rsidP="00FC511B">
      <w:pPr>
        <w:pStyle w:val="RecTitle"/>
        <w:framePr w:wrap="notBeside"/>
      </w:pPr>
      <w:r>
        <w:t>draft Recommendation 13.1</w:t>
      </w:r>
    </w:p>
    <w:p w:rsidR="00FC511B" w:rsidRDefault="00FC511B" w:rsidP="00FC511B">
      <w:pPr>
        <w:pStyle w:val="Rec"/>
      </w:pPr>
      <w:r>
        <w:t>Governments should, as soon as practicable, discontinue subsidies for rooftop photovoltaic units and other forms of distributed generation delivered via feed-in tariffs</w:t>
      </w:r>
      <w:r w:rsidR="00885CF9">
        <w:t>,</w:t>
      </w:r>
      <w:r>
        <w:t xml:space="preserve"> and the s</w:t>
      </w:r>
      <w:r w:rsidRPr="00FF4D6C">
        <w:t xml:space="preserve">mall-scale </w:t>
      </w:r>
      <w:r>
        <w:t>component</w:t>
      </w:r>
      <w:r w:rsidDel="00066E53">
        <w:t xml:space="preserve"> </w:t>
      </w:r>
      <w:r>
        <w:t>of the Renewable Energy Target</w:t>
      </w:r>
      <w:r w:rsidR="00495F0E">
        <w:t xml:space="preserve"> s</w:t>
      </w:r>
      <w:r>
        <w:t xml:space="preserve">cheme. </w:t>
      </w:r>
    </w:p>
    <w:p w:rsidR="00FC511B" w:rsidRDefault="00FC511B" w:rsidP="00FC511B">
      <w:pPr>
        <w:pStyle w:val="Rec"/>
      </w:pPr>
      <w:r>
        <w:t>State and territory governments should change the way small-scale distributed generators are reimbursed for exporting power into the grid. This would involve:</w:t>
      </w:r>
    </w:p>
    <w:p w:rsidR="00FC511B" w:rsidRPr="002774FE" w:rsidRDefault="00FC511B" w:rsidP="002774FE">
      <w:pPr>
        <w:pStyle w:val="ListBullet2"/>
        <w:rPr>
          <w:b/>
          <w:i/>
        </w:rPr>
      </w:pPr>
      <w:r w:rsidRPr="002774FE">
        <w:rPr>
          <w:b/>
          <w:i/>
        </w:rPr>
        <w:t>feed</w:t>
      </w:r>
      <w:r w:rsidRPr="002774FE">
        <w:rPr>
          <w:b/>
          <w:i/>
        </w:rPr>
        <w:noBreakHyphen/>
        <w:t>in tariffs that approximate the wholesale price of electricity at times of peak and non-peak demand</w:t>
      </w:r>
    </w:p>
    <w:p w:rsidR="00FC511B" w:rsidRPr="002774FE" w:rsidRDefault="00FC511B" w:rsidP="002774FE">
      <w:pPr>
        <w:pStyle w:val="ListBullet2"/>
        <w:rPr>
          <w:b/>
          <w:i/>
        </w:rPr>
      </w:pPr>
      <w:r w:rsidRPr="002774FE">
        <w:rPr>
          <w:b/>
          <w:i/>
        </w:rPr>
        <w:t>arrangements that provide for direct payments from distribution businesses to distributed generation providers, which reflect the network value of their distributed generation capacity and output.</w:t>
      </w:r>
    </w:p>
    <w:p w:rsidR="00FC511B" w:rsidRDefault="00FC511B" w:rsidP="00FC511B">
      <w:pPr>
        <w:pStyle w:val="Rec"/>
      </w:pPr>
      <w:r>
        <w:lastRenderedPageBreak/>
        <w:t xml:space="preserve">To provide a transition to the new arrangements, current feed-in tariff schemes should continue for existing customers until the end of their contract period or until those schemes expire (whichever is earlier), but be closed to new entrants one year from </w:t>
      </w:r>
      <w:r w:rsidR="00235289">
        <w:t>g</w:t>
      </w:r>
      <w:r>
        <w:t>overnment</w:t>
      </w:r>
      <w:r w:rsidR="00235289">
        <w:t>s’</w:t>
      </w:r>
      <w:r>
        <w:t xml:space="preserve"> formal acceptance of this recommendation. Prior to that date, state and territory governments should develop replacement feed</w:t>
      </w:r>
      <w:r>
        <w:noBreakHyphen/>
        <w:t>in schemes with tariffs that approximate the wholesale price of electricity.</w:t>
      </w:r>
    </w:p>
    <w:p w:rsidR="00507B9F" w:rsidRDefault="00507B9F" w:rsidP="00507B9F">
      <w:pPr>
        <w:pStyle w:val="Heading3"/>
      </w:pPr>
      <w:r>
        <w:t>Chapter 1</w:t>
      </w:r>
      <w:r w:rsidR="00896410">
        <w:t>4</w:t>
      </w:r>
      <w:r>
        <w:t xml:space="preserve"> Reliability frameworks</w:t>
      </w:r>
    </w:p>
    <w:p w:rsidR="0006377E" w:rsidRPr="00E4686B" w:rsidRDefault="0006377E" w:rsidP="001E47A3">
      <w:pPr>
        <w:pStyle w:val="FindingTitle"/>
        <w:framePr w:wrap="notBeside"/>
      </w:pPr>
      <w:r w:rsidRPr="00E4686B">
        <w:t>Draft finding 1</w:t>
      </w:r>
      <w:r>
        <w:t>4</w:t>
      </w:r>
      <w:r w:rsidRPr="00E4686B">
        <w:t>.1</w:t>
      </w:r>
    </w:p>
    <w:p w:rsidR="0006377E" w:rsidRPr="00E4686B" w:rsidRDefault="0006377E" w:rsidP="0006377E">
      <w:pPr>
        <w:pStyle w:val="Finding"/>
      </w:pPr>
      <w:r w:rsidRPr="00E4686B">
        <w:t xml:space="preserve">Efficient levels of reliability are based on balancing the benefits to customers of fewer interruptions with the costs to network businesses of building, maintaining and operating reliable networks. Identifying the point at which the </w:t>
      </w:r>
      <w:r>
        <w:t xml:space="preserve">costs to network businesses of further increments in reliability exceed the additional </w:t>
      </w:r>
      <w:r w:rsidRPr="00E4686B">
        <w:t xml:space="preserve">benefits </w:t>
      </w:r>
      <w:r>
        <w:t>for customers</w:t>
      </w:r>
      <w:r w:rsidRPr="00E4686B">
        <w:t xml:space="preserve"> should be the first step in regulating reliability.</w:t>
      </w:r>
    </w:p>
    <w:p w:rsidR="0006377E" w:rsidRPr="00E4686B" w:rsidRDefault="0006377E" w:rsidP="0006377E">
      <w:pPr>
        <w:pStyle w:val="RecTitle"/>
        <w:framePr w:wrap="notBeside"/>
      </w:pPr>
      <w:r w:rsidRPr="00E4686B">
        <w:t>draft finding 1</w:t>
      </w:r>
      <w:r>
        <w:t>4</w:t>
      </w:r>
      <w:r w:rsidRPr="00E4686B">
        <w:t>.2</w:t>
      </w:r>
    </w:p>
    <w:p w:rsidR="0006377E" w:rsidRPr="00E4686B" w:rsidRDefault="0006377E" w:rsidP="0006377E">
      <w:pPr>
        <w:pStyle w:val="Finding"/>
      </w:pPr>
      <w:r w:rsidRPr="00E4686B">
        <w:t>Current estimates of the value that customers place on reliability are based on inadequate sampling, data and methodology and need to be updated regularly.</w:t>
      </w:r>
    </w:p>
    <w:p w:rsidR="0006377E" w:rsidRPr="00E4686B" w:rsidRDefault="0006377E" w:rsidP="0006377E">
      <w:pPr>
        <w:pStyle w:val="RecTitle"/>
        <w:framePr w:wrap="notBeside"/>
      </w:pPr>
      <w:r w:rsidRPr="00E4686B">
        <w:t>DRAFT RECOMMENDATION 1</w:t>
      </w:r>
      <w:r>
        <w:t>4</w:t>
      </w:r>
      <w:r w:rsidRPr="00E4686B">
        <w:t>.1</w:t>
      </w:r>
    </w:p>
    <w:p w:rsidR="0006377E" w:rsidRPr="00E4686B" w:rsidRDefault="0006377E" w:rsidP="0006377E">
      <w:pPr>
        <w:pStyle w:val="Rec"/>
      </w:pPr>
      <w:r w:rsidRPr="00E4686B">
        <w:t>The Australian Energy Market Operator should commission and pay the Australian Bureau of Statistics to undertake r</w:t>
      </w:r>
      <w:r w:rsidR="007D2052">
        <w:t>egular, detailed, disaggregated</w:t>
      </w:r>
      <w:r w:rsidRPr="00E4686B">
        <w:t xml:space="preserve"> surveys based on best practice methodologies to reveal the value of reliability for different categories of customers, with the methodologies and results made public. </w:t>
      </w:r>
    </w:p>
    <w:p w:rsidR="0006377E" w:rsidRDefault="0006377E" w:rsidP="0006377E">
      <w:pPr>
        <w:pStyle w:val="Rec"/>
      </w:pPr>
      <w:r w:rsidRPr="00E4686B">
        <w:t xml:space="preserve">The Australian Energy Market Operator should commission suitably qualified experts to consider and measure the costs of interruptions not </w:t>
      </w:r>
      <w:r>
        <w:t xml:space="preserve">likely to be </w:t>
      </w:r>
      <w:r w:rsidRPr="00E4686B">
        <w:t xml:space="preserve">captured in the </w:t>
      </w:r>
      <w:r>
        <w:t xml:space="preserve">Australian Bureau of Statistics </w:t>
      </w:r>
      <w:r w:rsidRPr="00E4686B">
        <w:t>surveys. This should include the costs associated with citywide disruptions, including to telecommunications</w:t>
      </w:r>
      <w:r>
        <w:t xml:space="preserve">, water services </w:t>
      </w:r>
      <w:r w:rsidRPr="00E4686B">
        <w:t>and public transport, and the resulting loss of international reputation from lower reliability. The Australian Energy Market Operator should use these measures to supplement the results of the surveys.</w:t>
      </w:r>
    </w:p>
    <w:p w:rsidR="0022222C" w:rsidRDefault="0022222C" w:rsidP="0006377E">
      <w:pPr>
        <w:pStyle w:val="Rec"/>
      </w:pPr>
    </w:p>
    <w:p w:rsidR="0022222C" w:rsidRDefault="0022222C" w:rsidP="0006377E">
      <w:pPr>
        <w:pStyle w:val="Rec"/>
      </w:pPr>
    </w:p>
    <w:p w:rsidR="0022222C" w:rsidRPr="0022222C" w:rsidRDefault="003663A9" w:rsidP="0022222C">
      <w:pPr>
        <w:pStyle w:val="Heading3"/>
      </w:pPr>
      <w:r>
        <w:lastRenderedPageBreak/>
        <w:t>Chapter 15 Transmission reliability</w:t>
      </w:r>
    </w:p>
    <w:p w:rsidR="0006377E" w:rsidRDefault="0006377E" w:rsidP="0006377E">
      <w:pPr>
        <w:pStyle w:val="RecTitle"/>
        <w:framePr w:wrap="notBeside"/>
      </w:pPr>
      <w:r>
        <w:t>draft recommendation 15.1</w:t>
      </w:r>
    </w:p>
    <w:p w:rsidR="0006377E" w:rsidRDefault="0006377E" w:rsidP="0006377E">
      <w:pPr>
        <w:pStyle w:val="Rec"/>
      </w:pPr>
      <w:r w:rsidRPr="00932551">
        <w:t>The Standing Council on Energy and Resources should</w:t>
      </w:r>
      <w:r>
        <w:t xml:space="preserve">, in consultation with </w:t>
      </w:r>
      <w:r w:rsidR="00132197">
        <w:t>the Australian Energy Market Operator</w:t>
      </w:r>
      <w:r w:rsidR="003663A9">
        <w:t xml:space="preserve"> and the </w:t>
      </w:r>
      <w:r w:rsidR="00132197">
        <w:t>Australian Energy Market Commission</w:t>
      </w:r>
      <w:r>
        <w:t>,</w:t>
      </w:r>
      <w:r w:rsidRPr="00932551">
        <w:t xml:space="preserve"> </w:t>
      </w:r>
      <w:r>
        <w:t xml:space="preserve">develop </w:t>
      </w:r>
      <w:r w:rsidRPr="00932551">
        <w:t>a National Electricity Market-wide reliability framework in which reliability settings would be determined by customer preferences.</w:t>
      </w:r>
      <w:r>
        <w:t xml:space="preserve"> </w:t>
      </w:r>
    </w:p>
    <w:p w:rsidR="0006377E" w:rsidRDefault="0006377E" w:rsidP="0006377E">
      <w:pPr>
        <w:pStyle w:val="Rec"/>
      </w:pPr>
      <w:r>
        <w:t xml:space="preserve">This framework should replace all jurisdiction-specific reliability settings. </w:t>
      </w:r>
    </w:p>
    <w:p w:rsidR="0006377E" w:rsidRDefault="0006377E" w:rsidP="0006377E">
      <w:pPr>
        <w:pStyle w:val="RecTitle"/>
        <w:framePr w:wrap="notBeside"/>
      </w:pPr>
      <w:r>
        <w:t>Draft recommendation 15.2</w:t>
      </w:r>
    </w:p>
    <w:p w:rsidR="0006377E" w:rsidRPr="00C53051" w:rsidRDefault="0006377E" w:rsidP="0006377E">
      <w:pPr>
        <w:pStyle w:val="Rec"/>
      </w:pPr>
      <w:r w:rsidRPr="00C53051">
        <w:t>Drawing on the current Victorian experiences, the Australian Energy Market Operator should carry out transmission planning for all transmission networks in the National Electricity Market. The Operator should:</w:t>
      </w:r>
    </w:p>
    <w:p w:rsidR="0006377E" w:rsidRPr="00C53051" w:rsidRDefault="0006377E" w:rsidP="0006377E">
      <w:pPr>
        <w:pStyle w:val="RecBullet"/>
      </w:pPr>
      <w:r w:rsidRPr="00C53051">
        <w:t>use Values of Customer Reliability (as obtained through draft recommendation 1</w:t>
      </w:r>
      <w:r>
        <w:t>4</w:t>
      </w:r>
      <w:r w:rsidRPr="00C53051">
        <w:t>.1)</w:t>
      </w:r>
    </w:p>
    <w:p w:rsidR="003663A9" w:rsidRDefault="0006377E" w:rsidP="003663A9">
      <w:pPr>
        <w:pStyle w:val="RecBullet"/>
      </w:pPr>
      <w:r w:rsidRPr="00C53051">
        <w:t>use best practi</w:t>
      </w:r>
      <w:r>
        <w:t>c</w:t>
      </w:r>
      <w:r w:rsidRPr="00C53051">
        <w:t xml:space="preserve">e probabilistic processes in </w:t>
      </w:r>
      <w:r w:rsidR="00132197">
        <w:t>its</w:t>
      </w:r>
      <w:r w:rsidRPr="00C53051">
        <w:t xml:space="preserve"> co</w:t>
      </w:r>
      <w:r w:rsidR="0022222C">
        <w:t>st</w:t>
      </w:r>
      <w:r w:rsidR="0022222C">
        <w:noBreakHyphen/>
      </w:r>
      <w:r>
        <w:t xml:space="preserve">benefit analysis of network </w:t>
      </w:r>
      <w:r w:rsidR="0022222C">
        <w:t>and non</w:t>
      </w:r>
      <w:r w:rsidR="0022222C">
        <w:noBreakHyphen/>
      </w:r>
      <w:r w:rsidRPr="00C53051">
        <w:t>network options to address reliability issues and/or constraints</w:t>
      </w:r>
    </w:p>
    <w:p w:rsidR="00FF4A5F" w:rsidRPr="00C53051" w:rsidRDefault="00FF4A5F" w:rsidP="00FF4A5F">
      <w:pPr>
        <w:pStyle w:val="RecBullet"/>
      </w:pPr>
      <w:r w:rsidRPr="00FF4A5F">
        <w:t xml:space="preserve">describe </w:t>
      </w:r>
      <w:r w:rsidR="00132197">
        <w:t>its</w:t>
      </w:r>
      <w:r w:rsidR="008C1722">
        <w:t xml:space="preserve"> full cost</w:t>
      </w:r>
      <w:r w:rsidR="008C1722">
        <w:noBreakHyphen/>
      </w:r>
      <w:r w:rsidRPr="00FF4A5F">
        <w:t xml:space="preserve">benefit analysis as part of </w:t>
      </w:r>
      <w:r w:rsidR="00132197">
        <w:t>its process for the</w:t>
      </w:r>
      <w:r w:rsidRPr="00FF4A5F">
        <w:t xml:space="preserve"> </w:t>
      </w:r>
      <w:r w:rsidR="00132197">
        <w:t>Regulatory Investment Test for Transmission</w:t>
      </w:r>
    </w:p>
    <w:p w:rsidR="0006377E" w:rsidRPr="00C53051" w:rsidRDefault="0006377E" w:rsidP="0006377E">
      <w:pPr>
        <w:pStyle w:val="RecBullet"/>
      </w:pPr>
      <w:r w:rsidRPr="00C53051">
        <w:t>make public all methodologies, parameters, data and other inputs used in the analysis</w:t>
      </w:r>
    </w:p>
    <w:p w:rsidR="0006377E" w:rsidRPr="00C53051" w:rsidRDefault="0006377E" w:rsidP="0006377E">
      <w:pPr>
        <w:pStyle w:val="RecBullet"/>
      </w:pPr>
      <w:r w:rsidRPr="00C53051">
        <w:t>work closely with each of the transmission companies concerned to make sure that their experience and input is fully understood and where mutually agreed, appropriately incorporated into the analysis</w:t>
      </w:r>
    </w:p>
    <w:p w:rsidR="0006377E" w:rsidRPr="00C53051" w:rsidRDefault="0006377E" w:rsidP="0006377E">
      <w:pPr>
        <w:pStyle w:val="RecBullet"/>
      </w:pPr>
      <w:r w:rsidRPr="00C53051">
        <w:t xml:space="preserve">use </w:t>
      </w:r>
      <w:r w:rsidR="00132197">
        <w:t>its</w:t>
      </w:r>
      <w:r w:rsidRPr="00C53051">
        <w:t xml:space="preserve"> best estimate of peak demand forecasts, having sought input from all relevant stakeholders</w:t>
      </w:r>
    </w:p>
    <w:p w:rsidR="0006377E" w:rsidRDefault="0006377E" w:rsidP="0006377E">
      <w:pPr>
        <w:pStyle w:val="RecBullet"/>
      </w:pPr>
      <w:r w:rsidRPr="00C53051">
        <w:t>ensure that planning decisions are consistent with National Electricity Ma</w:t>
      </w:r>
      <w:r w:rsidR="003A7E99">
        <w:t>rket</w:t>
      </w:r>
      <w:r w:rsidR="003A7E99">
        <w:noBreakHyphen/>
      </w:r>
      <w:r>
        <w:t>wide efficiency objectives</w:t>
      </w:r>
    </w:p>
    <w:p w:rsidR="0006377E" w:rsidRDefault="0006377E" w:rsidP="0006377E">
      <w:pPr>
        <w:pStyle w:val="RecBullet"/>
      </w:pPr>
      <w:r>
        <w:t xml:space="preserve">not carry out the ‘procurer’ role currently done in Victoria until it can be demonstrated that the benefits of such an approach exceed the costs in the Australian </w:t>
      </w:r>
      <w:r w:rsidR="00132197">
        <w:t>National Electricity Market</w:t>
      </w:r>
      <w:r w:rsidR="005B0480">
        <w:t xml:space="preserve"> environment</w:t>
      </w:r>
      <w:r>
        <w:t>.</w:t>
      </w:r>
    </w:p>
    <w:p w:rsidR="0006377E" w:rsidRDefault="0006377E" w:rsidP="0006377E">
      <w:pPr>
        <w:pStyle w:val="RecTitle"/>
        <w:framePr w:wrap="notBeside"/>
      </w:pPr>
      <w:r>
        <w:t>draft recommendation 15.3</w:t>
      </w:r>
    </w:p>
    <w:p w:rsidR="001931F9" w:rsidRDefault="001931F9" w:rsidP="0006377E">
      <w:pPr>
        <w:pStyle w:val="Rec"/>
      </w:pPr>
      <w:r w:rsidRPr="001931F9">
        <w:t>In consultation with the transmission network businesses, the Australian Energy Market Operator should specify th</w:t>
      </w:r>
      <w:r w:rsidR="00A904CA">
        <w:t>e details of the network or non</w:t>
      </w:r>
      <w:r w:rsidR="00A904CA">
        <w:noBreakHyphen/>
      </w:r>
      <w:r w:rsidRPr="001931F9">
        <w:t xml:space="preserve">network solution to an identified constraint. </w:t>
      </w:r>
    </w:p>
    <w:p w:rsidR="0006377E" w:rsidRDefault="0006377E" w:rsidP="0006377E">
      <w:pPr>
        <w:pStyle w:val="Rec"/>
      </w:pPr>
      <w:r>
        <w:t>If the cost of the solution is less than an appropriate threshold, then:</w:t>
      </w:r>
    </w:p>
    <w:p w:rsidR="0006377E" w:rsidRDefault="0006377E" w:rsidP="0006377E">
      <w:pPr>
        <w:pStyle w:val="RecBullet"/>
      </w:pPr>
      <w:r>
        <w:lastRenderedPageBreak/>
        <w:t xml:space="preserve">the </w:t>
      </w:r>
      <w:r w:rsidRPr="00526360">
        <w:t>Australi</w:t>
      </w:r>
      <w:r>
        <w:t xml:space="preserve">an Energy Market Operator and the network business should negotiate and agree on the required expenditure. If there is no agreement, the Australian Energy Regulator should determine the allowable spending. </w:t>
      </w:r>
    </w:p>
    <w:p w:rsidR="0006377E" w:rsidRDefault="0006377E" w:rsidP="0006377E">
      <w:pPr>
        <w:pStyle w:val="Rec"/>
      </w:pPr>
      <w:r>
        <w:t>If the costs exceed the above threshold, then:</w:t>
      </w:r>
    </w:p>
    <w:p w:rsidR="0006377E" w:rsidRDefault="0006377E" w:rsidP="0006377E">
      <w:pPr>
        <w:pStyle w:val="RecBullet"/>
      </w:pPr>
      <w:r>
        <w:t>the transmission business should submit detailed and final costings to the Australian Energy Regulator</w:t>
      </w:r>
    </w:p>
    <w:p w:rsidR="0006377E" w:rsidRDefault="0006377E" w:rsidP="0006377E">
      <w:pPr>
        <w:pStyle w:val="RecBullet"/>
      </w:pPr>
      <w:r>
        <w:t xml:space="preserve">with advice from the </w:t>
      </w:r>
      <w:r w:rsidRPr="00526360">
        <w:t>Australi</w:t>
      </w:r>
      <w:r>
        <w:t>an Energy Market Operator, the Australian Energy Regulator should determine the allowable expenditure.</w:t>
      </w:r>
    </w:p>
    <w:p w:rsidR="00696B65" w:rsidRPr="002654EE" w:rsidRDefault="00696B65" w:rsidP="00696B65">
      <w:pPr>
        <w:pStyle w:val="Rec"/>
      </w:pPr>
      <w:r w:rsidRPr="00696B65">
        <w:t xml:space="preserve">The Australian Energy Regulator should automatically include the relevant agreed allowable expenditure </w:t>
      </w:r>
      <w:r>
        <w:t>in</w:t>
      </w:r>
      <w:r w:rsidRPr="00696B65">
        <w:t xml:space="preserve"> the revenue allowance for the transmission business.</w:t>
      </w:r>
    </w:p>
    <w:p w:rsidR="002654EE" w:rsidRDefault="002654EE" w:rsidP="002654EE">
      <w:pPr>
        <w:pStyle w:val="Rec"/>
      </w:pPr>
      <w:r>
        <w:t>A</w:t>
      </w:r>
      <w:r w:rsidRPr="002654EE">
        <w:t xml:space="preserve">t the next regulatory reset, the actual capital spent on such projects should be included </w:t>
      </w:r>
      <w:r w:rsidR="00A904CA">
        <w:t>in the transmission business’s Regulated Asset B</w:t>
      </w:r>
      <w:r w:rsidRPr="002654EE">
        <w:t>ase.</w:t>
      </w:r>
    </w:p>
    <w:p w:rsidR="0006377E" w:rsidRPr="00526360" w:rsidRDefault="0006377E" w:rsidP="0006377E">
      <w:pPr>
        <w:keepNext/>
        <w:framePr w:hSpace="181" w:wrap="notBeside" w:vAnchor="text" w:hAnchor="text" w:xAlign="outside" w:y="1"/>
        <w:spacing w:before="240" w:line="320" w:lineRule="atLeast"/>
        <w:jc w:val="both"/>
        <w:rPr>
          <w:caps/>
          <w:sz w:val="16"/>
          <w:szCs w:val="20"/>
        </w:rPr>
      </w:pPr>
      <w:r w:rsidRPr="00526360">
        <w:rPr>
          <w:caps/>
          <w:sz w:val="16"/>
          <w:szCs w:val="20"/>
        </w:rPr>
        <w:t xml:space="preserve">draft Recommendation </w:t>
      </w:r>
      <w:r>
        <w:rPr>
          <w:caps/>
          <w:sz w:val="16"/>
          <w:szCs w:val="20"/>
        </w:rPr>
        <w:t>15.4</w:t>
      </w:r>
    </w:p>
    <w:p w:rsidR="0006377E" w:rsidRPr="00526360" w:rsidRDefault="0006377E" w:rsidP="0006377E">
      <w:pPr>
        <w:pStyle w:val="Rec"/>
      </w:pPr>
      <w:r w:rsidRPr="00ED5F8A">
        <w:t>The Australian Energy Regulator should ensure that</w:t>
      </w:r>
      <w:r>
        <w:t>,</w:t>
      </w:r>
      <w:r w:rsidRPr="00ED5F8A">
        <w:t xml:space="preserve"> </w:t>
      </w:r>
      <w:r>
        <w:t xml:space="preserve">in the </w:t>
      </w:r>
      <w:r w:rsidRPr="00ED5F8A">
        <w:t>Australian Energy Market Operator’s</w:t>
      </w:r>
      <w:r>
        <w:t xml:space="preserve"> role as a transmission planner, its public </w:t>
      </w:r>
      <w:r w:rsidRPr="00ED5F8A">
        <w:t xml:space="preserve">reporting </w:t>
      </w:r>
      <w:r>
        <w:t xml:space="preserve">and </w:t>
      </w:r>
      <w:r w:rsidRPr="00ED5F8A">
        <w:t>plann</w:t>
      </w:r>
      <w:r>
        <w:t xml:space="preserve">ing processes are </w:t>
      </w:r>
      <w:r w:rsidRPr="00ED5F8A">
        <w:t>adequate, transparent and meet the National Electricity Objective.</w:t>
      </w:r>
    </w:p>
    <w:p w:rsidR="0006377E" w:rsidRPr="00526360" w:rsidRDefault="0006377E" w:rsidP="0006377E">
      <w:pPr>
        <w:keepNext/>
        <w:framePr w:hSpace="181" w:wrap="notBeside" w:vAnchor="text" w:hAnchor="text" w:xAlign="outside" w:y="1"/>
        <w:spacing w:before="240" w:line="320" w:lineRule="atLeast"/>
        <w:jc w:val="both"/>
        <w:rPr>
          <w:caps/>
          <w:sz w:val="16"/>
          <w:szCs w:val="20"/>
        </w:rPr>
      </w:pPr>
      <w:r w:rsidRPr="00526360">
        <w:rPr>
          <w:caps/>
          <w:sz w:val="16"/>
          <w:szCs w:val="20"/>
        </w:rPr>
        <w:t xml:space="preserve">drat Recommendation </w:t>
      </w:r>
      <w:r>
        <w:rPr>
          <w:caps/>
          <w:sz w:val="16"/>
          <w:szCs w:val="20"/>
        </w:rPr>
        <w:t>15.5</w:t>
      </w:r>
    </w:p>
    <w:p w:rsidR="0006377E" w:rsidRPr="00526360" w:rsidRDefault="0006377E" w:rsidP="0006377E">
      <w:pPr>
        <w:pStyle w:val="Rec"/>
      </w:pPr>
      <w:r>
        <w:t xml:space="preserve">The </w:t>
      </w:r>
      <w:r w:rsidRPr="00526360">
        <w:t>Australian Energy Market Operator</w:t>
      </w:r>
      <w:r>
        <w:t xml:space="preserve"> should review and, where necessary improve, </w:t>
      </w:r>
      <w:r w:rsidRPr="00526360">
        <w:t xml:space="preserve">the technical aspects of </w:t>
      </w:r>
      <w:r w:rsidR="002654EE">
        <w:t>its</w:t>
      </w:r>
      <w:r>
        <w:t xml:space="preserve"> </w:t>
      </w:r>
      <w:r w:rsidRPr="00526360">
        <w:t>probabilistic processes</w:t>
      </w:r>
      <w:r>
        <w:t xml:space="preserve">, particularly those relating to low-probability, high risk events. In undertaking the review, the </w:t>
      </w:r>
      <w:r w:rsidRPr="00526360">
        <w:t>Australian Energy Market Operator</w:t>
      </w:r>
      <w:r>
        <w:t xml:space="preserve"> should closely consult with network businesses and seek independent peer review of its technical methods.</w:t>
      </w:r>
      <w:r w:rsidRPr="00526360">
        <w:t xml:space="preserve"> </w:t>
      </w:r>
    </w:p>
    <w:p w:rsidR="0006377E" w:rsidRPr="00526360" w:rsidRDefault="0006377E" w:rsidP="0006377E">
      <w:pPr>
        <w:keepNext/>
        <w:framePr w:hSpace="181" w:wrap="notBeside" w:vAnchor="text" w:hAnchor="text" w:xAlign="outside" w:y="1"/>
        <w:spacing w:before="240" w:line="320" w:lineRule="atLeast"/>
        <w:jc w:val="both"/>
        <w:rPr>
          <w:caps/>
          <w:sz w:val="16"/>
          <w:szCs w:val="20"/>
        </w:rPr>
      </w:pPr>
      <w:r w:rsidRPr="00526360">
        <w:rPr>
          <w:caps/>
          <w:sz w:val="16"/>
          <w:szCs w:val="20"/>
        </w:rPr>
        <w:t xml:space="preserve">draft Recommendation </w:t>
      </w:r>
      <w:r>
        <w:rPr>
          <w:caps/>
          <w:sz w:val="16"/>
          <w:szCs w:val="20"/>
        </w:rPr>
        <w:t>15.6</w:t>
      </w:r>
    </w:p>
    <w:p w:rsidR="0006377E" w:rsidRPr="003B7B11" w:rsidRDefault="0006377E" w:rsidP="0006377E">
      <w:pPr>
        <w:pStyle w:val="Rec"/>
      </w:pPr>
      <w:r w:rsidRPr="003B7B11">
        <w:t xml:space="preserve">If the Standing Council on Energy and Resources does not accept draft </w:t>
      </w:r>
      <w:r w:rsidRPr="000B158E">
        <w:t>recommendations 15.2 and 15.3, then it should implement a second best option in</w:t>
      </w:r>
      <w:r w:rsidRPr="003B7B11">
        <w:t xml:space="preserve"> which:</w:t>
      </w:r>
    </w:p>
    <w:p w:rsidR="0006377E" w:rsidRPr="003B7B11" w:rsidRDefault="0006377E" w:rsidP="0006377E">
      <w:pPr>
        <w:pStyle w:val="RecBullet"/>
      </w:pPr>
      <w:r w:rsidRPr="003B7B11">
        <w:t>transmission businesses would retain the function of planning and making augmentation decisions</w:t>
      </w:r>
    </w:p>
    <w:p w:rsidR="0006377E" w:rsidRPr="003B7B11" w:rsidRDefault="0006377E" w:rsidP="0006377E">
      <w:pPr>
        <w:pStyle w:val="RecBullet"/>
      </w:pPr>
      <w:r w:rsidRPr="003B7B11">
        <w:t xml:space="preserve">the Australian Energy Market Operator would set hybrid standards for connection points every five years, with standards that could fall as well as rise, and would provide advice on efficient investment to meet those standards </w:t>
      </w:r>
    </w:p>
    <w:p w:rsidR="0006377E" w:rsidRPr="003B7B11" w:rsidRDefault="0006377E" w:rsidP="0006377E">
      <w:pPr>
        <w:pStyle w:val="RecBullet"/>
      </w:pPr>
      <w:r w:rsidRPr="003B7B11">
        <w:lastRenderedPageBreak/>
        <w:t xml:space="preserve">in consultation with network businesses, the Australian Energy Market Operator would develop peak demand forecasts. The Australian Energy Regulator would use these demand forecasts in </w:t>
      </w:r>
      <w:r w:rsidR="002654EE">
        <w:t>its</w:t>
      </w:r>
      <w:r w:rsidRPr="003B7B11">
        <w:t xml:space="preserve"> regulatory determinations in accordance with draft recommendation 8.4</w:t>
      </w:r>
    </w:p>
    <w:p w:rsidR="0006377E" w:rsidRPr="003B7B11" w:rsidRDefault="0006377E" w:rsidP="0006377E">
      <w:pPr>
        <w:pStyle w:val="RecBullet"/>
      </w:pPr>
      <w:r w:rsidRPr="003B7B11">
        <w:t xml:space="preserve">the National Electricity Rules should be amended to allow the Australian Energy Regulator to accept the Australian Energy Market Operator’s advice on the </w:t>
      </w:r>
      <w:r>
        <w:t>preferred</w:t>
      </w:r>
      <w:r w:rsidRPr="003B7B11">
        <w:t xml:space="preserve"> network and non-network </w:t>
      </w:r>
      <w:r>
        <w:t>options</w:t>
      </w:r>
      <w:r w:rsidRPr="003B7B11">
        <w:t xml:space="preserve"> and </w:t>
      </w:r>
      <w:r>
        <w:t>their</w:t>
      </w:r>
      <w:r w:rsidRPr="003B7B11">
        <w:t xml:space="preserve"> cost as the default proposal, requiring the transmission business to show why its alternative was more efficient</w:t>
      </w:r>
    </w:p>
    <w:p w:rsidR="0006377E" w:rsidRPr="003B7B11" w:rsidRDefault="0006377E" w:rsidP="0006377E">
      <w:pPr>
        <w:pStyle w:val="RecBullet"/>
      </w:pPr>
      <w:r w:rsidRPr="003B7B11">
        <w:t>the Victorian Government should not be required to relinquish its current planning framework, with the adapted hybrid model only applying to other jurisdictions. Other jurisdictions should be free to adopt the Victorian planning model.</w:t>
      </w:r>
    </w:p>
    <w:p w:rsidR="0006377E" w:rsidRDefault="0006377E" w:rsidP="0006377E">
      <w:pPr>
        <w:pStyle w:val="RecTitle"/>
        <w:framePr w:wrap="notBeside"/>
      </w:pPr>
      <w:r>
        <w:t>draft recommendation 15.7</w:t>
      </w:r>
    </w:p>
    <w:p w:rsidR="0006377E" w:rsidRDefault="0006377E" w:rsidP="0006377E">
      <w:pPr>
        <w:pStyle w:val="Rec"/>
      </w:pPr>
      <w:r>
        <w:t>W</w:t>
      </w:r>
      <w:r w:rsidRPr="004E6863">
        <w:t>here necessary</w:t>
      </w:r>
      <w:r>
        <w:t xml:space="preserve">, the </w:t>
      </w:r>
      <w:r w:rsidRPr="00526360">
        <w:t>Australi</w:t>
      </w:r>
      <w:r>
        <w:t>an Energy Market Operator</w:t>
      </w:r>
      <w:r w:rsidRPr="004E6863">
        <w:t xml:space="preserve"> </w:t>
      </w:r>
      <w:r>
        <w:t xml:space="preserve">should assist </w:t>
      </w:r>
      <w:r w:rsidRPr="004E6863">
        <w:t xml:space="preserve">the </w:t>
      </w:r>
      <w:r>
        <w:t>Australian Energy Regulator</w:t>
      </w:r>
      <w:r w:rsidRPr="004E6863">
        <w:t xml:space="preserve"> in its compliance and </w:t>
      </w:r>
      <w:r>
        <w:t xml:space="preserve">auditing </w:t>
      </w:r>
      <w:r w:rsidRPr="004E6863">
        <w:t>of transmission networks, to ensure that the agreed projects are completed and intrinsic network reliability is maintained</w:t>
      </w:r>
      <w:r>
        <w:t>.</w:t>
      </w:r>
    </w:p>
    <w:p w:rsidR="0006377E" w:rsidRDefault="0006377E" w:rsidP="003663A9">
      <w:pPr>
        <w:pStyle w:val="RecTitle"/>
        <w:framePr w:wrap="notBeside"/>
      </w:pPr>
      <w:r>
        <w:t xml:space="preserve">draft </w:t>
      </w:r>
      <w:r w:rsidRPr="003663A9">
        <w:t>recommendation</w:t>
      </w:r>
      <w:r>
        <w:t> 15.8</w:t>
      </w:r>
    </w:p>
    <w:p w:rsidR="00854894" w:rsidRDefault="0006377E" w:rsidP="0006377E">
      <w:pPr>
        <w:pStyle w:val="Rec"/>
      </w:pPr>
      <w:r w:rsidRPr="004F0BB4">
        <w:t>The Australian Energy Market Operator should act as the planner of last resort where it considers that underinvestment could expose the network to serious reliability problems</w:t>
      </w:r>
      <w:r>
        <w:t xml:space="preserve">, with the right to direct investment should </w:t>
      </w:r>
      <w:r w:rsidR="006A77E8">
        <w:t xml:space="preserve">the </w:t>
      </w:r>
      <w:r w:rsidR="00865D08">
        <w:t>Aus</w:t>
      </w:r>
      <w:r w:rsidR="006A77E8">
        <w:t>tralian Energy Market Operator</w:t>
      </w:r>
      <w:r w:rsidR="00865D08" w:rsidDel="00865D08">
        <w:t xml:space="preserve"> </w:t>
      </w:r>
      <w:r>
        <w:t>believe that not to do so could seriously compromise the relia</w:t>
      </w:r>
      <w:r w:rsidR="006A77E8">
        <w:t>bility of the National Electricity Market. The</w:t>
      </w:r>
      <w:r>
        <w:t xml:space="preserve"> </w:t>
      </w:r>
      <w:r w:rsidR="00865D08">
        <w:t xml:space="preserve">Australian Energy Regulator </w:t>
      </w:r>
      <w:r>
        <w:t>would act as an arbitrator in any disputes.</w:t>
      </w:r>
    </w:p>
    <w:p w:rsidR="0006377E" w:rsidRPr="00526360" w:rsidRDefault="0006377E" w:rsidP="0006377E">
      <w:pPr>
        <w:keepNext/>
        <w:framePr w:hSpace="181" w:wrap="notBeside" w:vAnchor="text" w:hAnchor="text" w:xAlign="outside" w:y="1"/>
        <w:spacing w:before="240" w:line="320" w:lineRule="atLeast"/>
        <w:jc w:val="both"/>
        <w:rPr>
          <w:caps/>
          <w:sz w:val="16"/>
          <w:szCs w:val="20"/>
        </w:rPr>
      </w:pPr>
      <w:r w:rsidRPr="00526360">
        <w:rPr>
          <w:caps/>
          <w:sz w:val="16"/>
          <w:szCs w:val="20"/>
        </w:rPr>
        <w:t xml:space="preserve">draft Recommendation </w:t>
      </w:r>
      <w:r>
        <w:rPr>
          <w:caps/>
          <w:sz w:val="16"/>
          <w:szCs w:val="20"/>
        </w:rPr>
        <w:t>15.9</w:t>
      </w:r>
    </w:p>
    <w:p w:rsidR="0006377E" w:rsidRPr="00526360" w:rsidRDefault="0006377E" w:rsidP="0006377E">
      <w:pPr>
        <w:pStyle w:val="Rec"/>
      </w:pPr>
      <w:r w:rsidRPr="00526360">
        <w:t>The Australian Energy Regulator should review the Service Target Performance Incentive Scheme for Transmission to ensure the incentives and targets are consistent with the new National Electricity Market-wide reliability framework.</w:t>
      </w:r>
    </w:p>
    <w:p w:rsidR="0006377E" w:rsidRPr="00526360" w:rsidRDefault="0006377E" w:rsidP="0006377E">
      <w:pPr>
        <w:keepNext/>
        <w:framePr w:hSpace="181" w:wrap="notBeside" w:vAnchor="text" w:hAnchor="text" w:xAlign="outside" w:y="1"/>
        <w:spacing w:before="240" w:line="320" w:lineRule="atLeast"/>
        <w:jc w:val="both"/>
        <w:rPr>
          <w:caps/>
          <w:sz w:val="16"/>
          <w:szCs w:val="20"/>
        </w:rPr>
      </w:pPr>
      <w:r w:rsidRPr="00526360">
        <w:rPr>
          <w:caps/>
          <w:sz w:val="16"/>
          <w:szCs w:val="20"/>
        </w:rPr>
        <w:t xml:space="preserve">draft Recommendation </w:t>
      </w:r>
      <w:r>
        <w:rPr>
          <w:caps/>
          <w:sz w:val="16"/>
          <w:szCs w:val="20"/>
        </w:rPr>
        <w:t>15.10</w:t>
      </w:r>
    </w:p>
    <w:p w:rsidR="0006377E" w:rsidRPr="001C1C8C" w:rsidRDefault="0006377E" w:rsidP="0006377E">
      <w:pPr>
        <w:pStyle w:val="Rec"/>
      </w:pPr>
      <w:r w:rsidRPr="00526360">
        <w:t>Transmission businesses not already using this approach should transition to dynamic capacity ratings on all cr</w:t>
      </w:r>
      <w:r>
        <w:t>i</w:t>
      </w:r>
      <w:r w:rsidRPr="00526360">
        <w:t xml:space="preserve">tical equipment. </w:t>
      </w:r>
    </w:p>
    <w:p w:rsidR="00507B9F" w:rsidRDefault="00507B9F" w:rsidP="00507B9F">
      <w:pPr>
        <w:pStyle w:val="Heading3"/>
      </w:pPr>
      <w:r>
        <w:lastRenderedPageBreak/>
        <w:t>Chapter 1</w:t>
      </w:r>
      <w:r w:rsidR="00EB4206">
        <w:t>6</w:t>
      </w:r>
      <w:r>
        <w:t xml:space="preserve"> </w:t>
      </w:r>
      <w:r w:rsidR="00B2499A">
        <w:t>Distribution</w:t>
      </w:r>
      <w:r>
        <w:t xml:space="preserve"> reliability</w:t>
      </w:r>
    </w:p>
    <w:p w:rsidR="0006377E" w:rsidRPr="007F6CF5" w:rsidRDefault="0006377E" w:rsidP="0006377E">
      <w:pPr>
        <w:pStyle w:val="RecTitle"/>
        <w:framePr w:wrap="notBeside"/>
        <w:rPr>
          <w:rFonts w:ascii="Calibri" w:hAnsi="Calibri" w:cs="Calibri"/>
          <w:sz w:val="24"/>
        </w:rPr>
      </w:pPr>
      <w:r w:rsidRPr="007F6CF5">
        <w:t>DRAFT RECOMMENDATION 1</w:t>
      </w:r>
      <w:r>
        <w:t>6</w:t>
      </w:r>
      <w:r w:rsidRPr="007F6CF5">
        <w:t>.1</w:t>
      </w:r>
    </w:p>
    <w:p w:rsidR="0006377E" w:rsidRDefault="0006377E" w:rsidP="0006377E">
      <w:pPr>
        <w:pStyle w:val="Rec"/>
      </w:pPr>
      <w:r w:rsidRPr="007F6CF5">
        <w:t>The Standing Council on Energy and Resources should specify that</w:t>
      </w:r>
      <w:r>
        <w:t xml:space="preserve"> </w:t>
      </w:r>
      <w:r w:rsidRPr="007F6CF5">
        <w:t>reliability requirements for distribution businesses be</w:t>
      </w:r>
      <w:r>
        <w:t xml:space="preserve"> included </w:t>
      </w:r>
      <w:r w:rsidRPr="007F6CF5">
        <w:t>in the Australian Energy Regulator’s Service Target Performance Incentive Scheme</w:t>
      </w:r>
      <w:r>
        <w:t xml:space="preserve">, replacing all existing </w:t>
      </w:r>
      <w:r w:rsidRPr="007F6CF5">
        <w:t>jurisdiction-specific reliability settings</w:t>
      </w:r>
      <w:r>
        <w:t>.</w:t>
      </w:r>
    </w:p>
    <w:p w:rsidR="0006377E" w:rsidRPr="00571B07" w:rsidRDefault="0006377E" w:rsidP="0006377E">
      <w:pPr>
        <w:pStyle w:val="RecBullet"/>
      </w:pPr>
      <w:r>
        <w:t>T</w:t>
      </w:r>
      <w:r w:rsidRPr="00571B07">
        <w:t xml:space="preserve">he </w:t>
      </w:r>
      <w:r>
        <w:t xml:space="preserve">reliability requirements should reflect </w:t>
      </w:r>
      <w:r w:rsidRPr="00571B07">
        <w:t xml:space="preserve">the preferences of customers </w:t>
      </w:r>
      <w:r>
        <w:t xml:space="preserve">by using the estimated </w:t>
      </w:r>
      <w:r w:rsidRPr="00571B07">
        <w:t>value</w:t>
      </w:r>
      <w:r>
        <w:t>s</w:t>
      </w:r>
      <w:r w:rsidRPr="00571B07">
        <w:t xml:space="preserve"> of customer reliability</w:t>
      </w:r>
      <w:r>
        <w:t xml:space="preserve">, as spelt out in </w:t>
      </w:r>
      <w:r w:rsidR="00E7664A">
        <w:t xml:space="preserve">draft </w:t>
      </w:r>
      <w:r>
        <w:t>recommendation 14</w:t>
      </w:r>
      <w:r w:rsidRPr="00571B07">
        <w:t>.1</w:t>
      </w:r>
      <w:r>
        <w:t>,</w:t>
      </w:r>
      <w:r w:rsidRPr="00F6478D">
        <w:t xml:space="preserve"> </w:t>
      </w:r>
      <w:r>
        <w:t>and should be</w:t>
      </w:r>
      <w:r w:rsidRPr="00571B07">
        <w:t xml:space="preserve"> specific to the distribution business</w:t>
      </w:r>
      <w:r>
        <w:t>.</w:t>
      </w:r>
    </w:p>
    <w:p w:rsidR="0006377E" w:rsidRPr="007F6CF5" w:rsidRDefault="0006377E" w:rsidP="0006377E">
      <w:pPr>
        <w:pStyle w:val="RecTitle"/>
        <w:framePr w:wrap="notBeside"/>
        <w:rPr>
          <w:rFonts w:ascii="Calibri" w:hAnsi="Calibri" w:cs="Calibri"/>
          <w:sz w:val="24"/>
        </w:rPr>
      </w:pPr>
      <w:r w:rsidRPr="007F6CF5">
        <w:t>DRAFT RECOMMENDATION 1</w:t>
      </w:r>
      <w:r>
        <w:t>6</w:t>
      </w:r>
      <w:r w:rsidRPr="007F6CF5">
        <w:t>.</w:t>
      </w:r>
      <w:r>
        <w:t>2</w:t>
      </w:r>
    </w:p>
    <w:p w:rsidR="0006377E" w:rsidRPr="00373C47" w:rsidRDefault="0006377E" w:rsidP="0006377E">
      <w:pPr>
        <w:pStyle w:val="Rec"/>
        <w:rPr>
          <w:rFonts w:ascii="Calibri" w:hAnsi="Calibri" w:cs="Calibri"/>
        </w:rPr>
      </w:pPr>
      <w:r w:rsidRPr="007F6CF5">
        <w:t xml:space="preserve">The Australian Energy Regulator should also make the following amendments to </w:t>
      </w:r>
      <w:r w:rsidRPr="00373C47">
        <w:t>the Service Target Performance Incentive Scheme:</w:t>
      </w:r>
    </w:p>
    <w:p w:rsidR="0006377E" w:rsidRPr="00373C47" w:rsidRDefault="0006377E" w:rsidP="00865D08">
      <w:pPr>
        <w:pStyle w:val="RecBullet"/>
      </w:pPr>
      <w:r w:rsidRPr="00373C47">
        <w:t xml:space="preserve">reliability performance targets for </w:t>
      </w:r>
      <w:r w:rsidR="00865D08">
        <w:t>the s</w:t>
      </w:r>
      <w:r w:rsidR="00865D08" w:rsidRPr="00865D08">
        <w:t>ystem average interruption duration index</w:t>
      </w:r>
      <w:r w:rsidRPr="00373C47">
        <w:t xml:space="preserve">, </w:t>
      </w:r>
      <w:r w:rsidR="00865D08">
        <w:t>s</w:t>
      </w:r>
      <w:r w:rsidR="00865D08" w:rsidRPr="00865D08">
        <w:t>ystem average interruption frequency index</w:t>
      </w:r>
      <w:r w:rsidR="00865D08" w:rsidRPr="00865D08" w:rsidDel="00865D08">
        <w:t xml:space="preserve"> </w:t>
      </w:r>
      <w:r w:rsidRPr="00373C47">
        <w:t xml:space="preserve">and </w:t>
      </w:r>
      <w:r w:rsidR="00865D08">
        <w:t>m</w:t>
      </w:r>
      <w:r w:rsidR="00865D08" w:rsidRPr="00865D08">
        <w:t>omentary average interruption frequency index</w:t>
      </w:r>
      <w:r w:rsidR="00865D08" w:rsidRPr="00865D08" w:rsidDel="00865D08">
        <w:t xml:space="preserve"> </w:t>
      </w:r>
      <w:r w:rsidRPr="00373C47">
        <w:t>should be adjusted annu</w:t>
      </w:r>
      <w:r w:rsidR="003A6415">
        <w:t>ally, according to rolling five</w:t>
      </w:r>
      <w:r w:rsidR="003A6415">
        <w:noBreakHyphen/>
      </w:r>
      <w:r w:rsidRPr="00373C47">
        <w:t>year average annual performance</w:t>
      </w:r>
    </w:p>
    <w:p w:rsidR="0006377E" w:rsidRPr="007F6CF5" w:rsidRDefault="003A6415" w:rsidP="0006377E">
      <w:pPr>
        <w:pStyle w:val="RecBullet"/>
      </w:pPr>
      <w:r>
        <w:t>r</w:t>
      </w:r>
      <w:r w:rsidR="0006377E" w:rsidRPr="00575870">
        <w:t>evenue at risk should be negotiated as part of the Australian Energy Regulator’s revenue determination process</w:t>
      </w:r>
    </w:p>
    <w:p w:rsidR="0006377E" w:rsidRDefault="0006377E" w:rsidP="0006377E">
      <w:pPr>
        <w:pStyle w:val="RecBullet"/>
      </w:pPr>
      <w:r w:rsidRPr="007F6CF5">
        <w:t xml:space="preserve">the reporting and information component </w:t>
      </w:r>
      <w:r>
        <w:t xml:space="preserve">of this scheme </w:t>
      </w:r>
      <w:r w:rsidRPr="007F6CF5">
        <w:t xml:space="preserve">should require distribution businesses to report their reliability performance at the </w:t>
      </w:r>
      <w:r>
        <w:t>zone substation</w:t>
      </w:r>
      <w:r w:rsidRPr="007F6CF5">
        <w:t xml:space="preserve"> level. Worst performing feeders should be identified as part of this process</w:t>
      </w:r>
    </w:p>
    <w:p w:rsidR="00854894" w:rsidRPr="00373C47" w:rsidRDefault="0006377E" w:rsidP="003A6415">
      <w:pPr>
        <w:pStyle w:val="RecBullet"/>
      </w:pPr>
      <w:r w:rsidRPr="00373C47">
        <w:t>reporting by all distribution businesses of performance against the parameters in the scheme should be published annually and be at least as detailed and comprehensive as current reporting mechanisms for distribution businesses in Victoria.</w:t>
      </w:r>
    </w:p>
    <w:p w:rsidR="0006377E" w:rsidRPr="007F6CF5" w:rsidRDefault="0006377E" w:rsidP="0006377E">
      <w:pPr>
        <w:pStyle w:val="RecTitle"/>
        <w:framePr w:wrap="notBeside"/>
        <w:rPr>
          <w:rFonts w:ascii="Calibri" w:hAnsi="Calibri" w:cs="Calibri"/>
          <w:sz w:val="24"/>
        </w:rPr>
      </w:pPr>
      <w:r w:rsidRPr="007F6CF5">
        <w:t>DRAFT RECOMMENDATION 1</w:t>
      </w:r>
      <w:r>
        <w:t>6</w:t>
      </w:r>
      <w:r w:rsidRPr="007F6CF5">
        <w:t>.</w:t>
      </w:r>
      <w:r>
        <w:t>3</w:t>
      </w:r>
    </w:p>
    <w:p w:rsidR="0006377E" w:rsidRDefault="0006377E" w:rsidP="0006377E">
      <w:pPr>
        <w:pStyle w:val="Rec"/>
      </w:pPr>
      <w:r w:rsidRPr="007F6CF5">
        <w:t xml:space="preserve">Where a distribution business can show that they are unable to </w:t>
      </w:r>
      <w:r>
        <w:t xml:space="preserve">technically </w:t>
      </w:r>
      <w:r w:rsidRPr="007F6CF5">
        <w:t>comply with one or more parameters</w:t>
      </w:r>
      <w:r w:rsidRPr="00AB64A9">
        <w:t xml:space="preserve"> </w:t>
      </w:r>
      <w:r>
        <w:t xml:space="preserve">of the </w:t>
      </w:r>
      <w:r w:rsidRPr="007F6CF5">
        <w:t>Service Target Performance Incentive Scheme</w:t>
      </w:r>
      <w:r>
        <w:t>, and where satisfied that</w:t>
      </w:r>
      <w:r w:rsidRPr="007F6CF5">
        <w:t xml:space="preserve"> </w:t>
      </w:r>
      <w:r>
        <w:t>the benefits exceed the costs,</w:t>
      </w:r>
      <w:r w:rsidRPr="007F6CF5">
        <w:t xml:space="preserve"> the Australian Energy Regulator </w:t>
      </w:r>
      <w:r>
        <w:t>should:</w:t>
      </w:r>
    </w:p>
    <w:p w:rsidR="0006377E" w:rsidRDefault="0006377E" w:rsidP="0006377E">
      <w:pPr>
        <w:pStyle w:val="RecBullet"/>
      </w:pPr>
      <w:r w:rsidRPr="007F6CF5">
        <w:t>approve the required revenue for the distribution business to install the necessary equipment</w:t>
      </w:r>
    </w:p>
    <w:p w:rsidR="0006377E" w:rsidRPr="007F6CF5" w:rsidRDefault="0006377E" w:rsidP="0006377E">
      <w:pPr>
        <w:pStyle w:val="RecBullet"/>
      </w:pPr>
      <w:r>
        <w:t>require compliance</w:t>
      </w:r>
      <w:r w:rsidRPr="007F6CF5">
        <w:t xml:space="preserve"> as </w:t>
      </w:r>
      <w:r>
        <w:t>soon as possible</w:t>
      </w:r>
      <w:r w:rsidRPr="007F6CF5">
        <w:t>.</w:t>
      </w:r>
    </w:p>
    <w:p w:rsidR="007F6CF5" w:rsidRDefault="00BE2E65" w:rsidP="002543F4">
      <w:pPr>
        <w:pStyle w:val="Heading3"/>
      </w:pPr>
      <w:r>
        <w:lastRenderedPageBreak/>
        <w:t>Chapter 1</w:t>
      </w:r>
      <w:r w:rsidR="00EB4206">
        <w:t>7</w:t>
      </w:r>
      <w:r>
        <w:t xml:space="preserve"> </w:t>
      </w:r>
      <w:r w:rsidR="002543F4">
        <w:t>The role of interconnectors</w:t>
      </w:r>
    </w:p>
    <w:p w:rsidR="00234C12" w:rsidRDefault="00234C12" w:rsidP="00234C12">
      <w:pPr>
        <w:pStyle w:val="FindingTitle"/>
        <w:framePr w:wrap="notBeside"/>
      </w:pPr>
      <w:r>
        <w:t>DRAFT FINDING 1</w:t>
      </w:r>
      <w:r w:rsidR="008C5EF8">
        <w:t>7</w:t>
      </w:r>
      <w:r>
        <w:t>.1</w:t>
      </w:r>
    </w:p>
    <w:p w:rsidR="00234C12" w:rsidRDefault="00234C12" w:rsidP="00234C12">
      <w:pPr>
        <w:pStyle w:val="Finding"/>
      </w:pPr>
      <w:r>
        <w:t>The available evidence suggests that, given the existing network conditions, the current physical capacity of interconnectors is reasonably appropriate.</w:t>
      </w:r>
    </w:p>
    <w:p w:rsidR="002543F4" w:rsidRDefault="002543F4" w:rsidP="00F4796B">
      <w:pPr>
        <w:pStyle w:val="Heading3"/>
      </w:pPr>
      <w:r>
        <w:t>Chapter 1</w:t>
      </w:r>
      <w:r w:rsidR="00234C12">
        <w:t>8</w:t>
      </w:r>
      <w:r w:rsidR="00FC511B">
        <w:t xml:space="preserve"> </w:t>
      </w:r>
      <w:r>
        <w:t xml:space="preserve">The </w:t>
      </w:r>
      <w:r w:rsidR="00F4796B">
        <w:t>e</w:t>
      </w:r>
      <w:r>
        <w:t>ff</w:t>
      </w:r>
      <w:r w:rsidR="00F4796B">
        <w:t>icient use of interconnectors</w:t>
      </w:r>
    </w:p>
    <w:p w:rsidR="00234C12" w:rsidRDefault="00234C12" w:rsidP="00234C12">
      <w:pPr>
        <w:pStyle w:val="RecTitle"/>
        <w:framePr w:wrap="notBeside"/>
      </w:pPr>
      <w:r>
        <w:t xml:space="preserve">DRAFT Recommendation </w:t>
      </w:r>
      <w:r w:rsidR="00043096">
        <w:t>18.1</w:t>
      </w:r>
    </w:p>
    <w:p w:rsidR="00234C12" w:rsidRDefault="00234C12" w:rsidP="00234C12">
      <w:pPr>
        <w:pStyle w:val="Rec"/>
      </w:pPr>
      <w:r>
        <w:t xml:space="preserve">In the absence of any unintended consequences identified during current consultation processes, the Australian Energy Market Commission’s ‘optional firm access’ package for generator access to the transmission network should be implemented. </w:t>
      </w:r>
    </w:p>
    <w:p w:rsidR="00234C12" w:rsidRDefault="00234C12" w:rsidP="00234C12">
      <w:pPr>
        <w:pStyle w:val="RecBullet"/>
      </w:pPr>
      <w:r>
        <w:t>It should operate for a period of at least 10 years.</w:t>
      </w:r>
    </w:p>
    <w:p w:rsidR="00234C12" w:rsidRDefault="00234C12" w:rsidP="00234C12">
      <w:pPr>
        <w:pStyle w:val="RecBullet"/>
      </w:pPr>
      <w:r>
        <w:t>It should be monitored by the Australian Energy Market Operator for its effects on network planning and performance and, in concert with the Australian Energy Regulator, changes in observed patterns of generator bidding behaviour. Monitoring results should be made public annually.</w:t>
      </w:r>
    </w:p>
    <w:p w:rsidR="008C5EF8" w:rsidRDefault="008C5EF8" w:rsidP="008C5EF8">
      <w:pPr>
        <w:pStyle w:val="RecTitle"/>
        <w:framePr w:wrap="notBeside"/>
      </w:pPr>
      <w:r>
        <w:t xml:space="preserve">draft Recommendation </w:t>
      </w:r>
      <w:r w:rsidR="00043096">
        <w:t>18.2</w:t>
      </w:r>
    </w:p>
    <w:p w:rsidR="008C5EF8" w:rsidRDefault="008C5EF8" w:rsidP="008C5EF8">
      <w:pPr>
        <w:pStyle w:val="Rec"/>
      </w:pPr>
      <w:r>
        <w:t>After the optional firm access package has been operational for 10 years, a cost</w:t>
      </w:r>
      <w:r>
        <w:noBreakHyphen/>
        <w:t>benefit analysis should be conducted, with particular regard to the structure of the National Electricity Market at the time, the views of consumers, and any remaining barriers to the introduction of nodal pricing.</w:t>
      </w:r>
    </w:p>
    <w:p w:rsidR="008C5EF8" w:rsidRPr="006941F9" w:rsidRDefault="008C5EF8" w:rsidP="006941F9">
      <w:pPr>
        <w:pStyle w:val="RecBullet"/>
      </w:pPr>
      <w:r w:rsidRPr="006941F9">
        <w:t>If the analysis finds net benefits are likely, and no significant and insurmountable barriers or risks are identified, nodal pricing (including financial transmission rights) should be introduced with appropriate transitional arrangements and arrangements for disadvantaged consumers.</w:t>
      </w:r>
    </w:p>
    <w:p w:rsidR="00F4796B" w:rsidRDefault="00F4796B" w:rsidP="00F4796B">
      <w:pPr>
        <w:pStyle w:val="Heading3"/>
      </w:pPr>
      <w:r>
        <w:t>Chapter 1</w:t>
      </w:r>
      <w:r w:rsidR="00234C12">
        <w:t>9</w:t>
      </w:r>
      <w:r w:rsidR="00FC511B">
        <w:t xml:space="preserve"> </w:t>
      </w:r>
      <w:r>
        <w:t>Identifying future transmission investment</w:t>
      </w:r>
    </w:p>
    <w:p w:rsidR="008C5EF8" w:rsidRDefault="008C5EF8" w:rsidP="008C5EF8">
      <w:pPr>
        <w:pStyle w:val="RecTitle"/>
        <w:framePr w:wrap="notBeside"/>
      </w:pPr>
      <w:r>
        <w:t>DRAFT Recommendation</w:t>
      </w:r>
      <w:r w:rsidR="00043096">
        <w:t xml:space="preserve"> 19.1</w:t>
      </w:r>
    </w:p>
    <w:p w:rsidR="008C5EF8" w:rsidRDefault="008C5EF8" w:rsidP="008C5EF8">
      <w:pPr>
        <w:pStyle w:val="Rec"/>
      </w:pPr>
      <w:r>
        <w:t xml:space="preserve">The Regulatory Investment Test for Transmission should not be amended to include indirect effects of investment decisions. </w:t>
      </w:r>
    </w:p>
    <w:p w:rsidR="00A23F4F" w:rsidRDefault="00A23F4F" w:rsidP="008C5EF8">
      <w:pPr>
        <w:pStyle w:val="Rec"/>
      </w:pPr>
    </w:p>
    <w:p w:rsidR="00A23F4F" w:rsidRDefault="00A23F4F" w:rsidP="008C5EF8">
      <w:pPr>
        <w:pStyle w:val="Rec"/>
      </w:pPr>
    </w:p>
    <w:p w:rsidR="008C5EF8" w:rsidRDefault="008C5EF8" w:rsidP="008C5EF8">
      <w:pPr>
        <w:pStyle w:val="RecTitle"/>
        <w:framePr w:wrap="notBeside"/>
      </w:pPr>
      <w:r>
        <w:lastRenderedPageBreak/>
        <w:t>draft Recommendation</w:t>
      </w:r>
      <w:r w:rsidR="00043096">
        <w:t xml:space="preserve"> 19.2 </w:t>
      </w:r>
    </w:p>
    <w:p w:rsidR="008C5EF8" w:rsidRDefault="008C5EF8" w:rsidP="008C5EF8">
      <w:pPr>
        <w:pStyle w:val="Rec"/>
      </w:pPr>
      <w:r>
        <w:t xml:space="preserve">In combination with the adoption of probabilistic reliability planning (draft recommendation 15.3), the Regulatory Investment Test for Transmission should be changed so that reliability is only assessed as a component of overall benefits and not as a separate criterion. </w:t>
      </w:r>
    </w:p>
    <w:p w:rsidR="00CA2823" w:rsidRDefault="00B80183" w:rsidP="00B74078">
      <w:pPr>
        <w:pStyle w:val="Heading3"/>
      </w:pPr>
      <w:r>
        <w:t>Chapter </w:t>
      </w:r>
      <w:r w:rsidR="00BB31D6">
        <w:t>21</w:t>
      </w:r>
      <w:r>
        <w:t xml:space="preserve"> </w:t>
      </w:r>
      <w:r w:rsidR="006D255F">
        <w:t>Governance</w:t>
      </w:r>
    </w:p>
    <w:p w:rsidR="00BB31D6" w:rsidRDefault="00BB31D6" w:rsidP="00BB31D6">
      <w:pPr>
        <w:pStyle w:val="RecTitle"/>
        <w:framePr w:wrap="notBeside"/>
      </w:pPr>
      <w:r>
        <w:t xml:space="preserve">draft Recommendation </w:t>
      </w:r>
      <w:r w:rsidR="00043096">
        <w:t>21.1</w:t>
      </w:r>
    </w:p>
    <w:p w:rsidR="00BB31D6" w:rsidRDefault="00BB31D6" w:rsidP="00BB31D6">
      <w:pPr>
        <w:pStyle w:val="Rec"/>
      </w:pPr>
      <w:r>
        <w:t xml:space="preserve">There should be an independent review of the resourcing and capacity of the Australian Energy Regulator to undertake all its functions, including whether there are impediments to its performance and options for improvement. </w:t>
      </w:r>
    </w:p>
    <w:p w:rsidR="00C30B31" w:rsidRDefault="00C30B31" w:rsidP="00C30B31">
      <w:pPr>
        <w:pStyle w:val="RecTitle"/>
        <w:framePr w:wrap="notBeside"/>
      </w:pPr>
      <w:r>
        <w:t xml:space="preserve">draft Recommendation </w:t>
      </w:r>
      <w:r w:rsidR="00043096">
        <w:t>21.2</w:t>
      </w:r>
    </w:p>
    <w:p w:rsidR="00C30B31" w:rsidRDefault="00C30B31" w:rsidP="00C30B31">
      <w:pPr>
        <w:pStyle w:val="Rec"/>
      </w:pPr>
      <w:r>
        <w:t>The Australian Energy Regulator should have greater control over, and accountability for, the resourcing and management of its functions. It should:</w:t>
      </w:r>
    </w:p>
    <w:p w:rsidR="00C30B31" w:rsidRDefault="00C30B31" w:rsidP="00C30B31">
      <w:pPr>
        <w:pStyle w:val="RecBullet"/>
      </w:pPr>
      <w:r>
        <w:t xml:space="preserve">have its own separate budget sufficient to meets its role </w:t>
      </w:r>
    </w:p>
    <w:p w:rsidR="00C30B31" w:rsidRDefault="00C30B31" w:rsidP="00C30B31">
      <w:pPr>
        <w:pStyle w:val="RecBullet"/>
      </w:pPr>
      <w:r>
        <w:t>submit a separate annual report of its performance</w:t>
      </w:r>
    </w:p>
    <w:p w:rsidR="00C30B31" w:rsidRDefault="00C30B31" w:rsidP="00C30B31">
      <w:pPr>
        <w:pStyle w:val="RecBullet"/>
      </w:pPr>
      <w:r>
        <w:t xml:space="preserve">publicly reveal its strategy for improving its performance </w:t>
      </w:r>
    </w:p>
    <w:p w:rsidR="00C30B31" w:rsidRDefault="00C30B31" w:rsidP="00C30B31">
      <w:pPr>
        <w:pStyle w:val="RecBullet"/>
      </w:pPr>
      <w:r>
        <w:t>have an independent capacity to negotiate resource sharing arrangements with a range of agencies, not just the Australian Competition and Consumer Commission</w:t>
      </w:r>
    </w:p>
    <w:p w:rsidR="00C30B31" w:rsidRDefault="00C30B31" w:rsidP="00C30B31">
      <w:pPr>
        <w:pStyle w:val="RecBullet"/>
      </w:pPr>
      <w:r>
        <w:t>ensure that it establishes and retains the necessary specialist expertise to competently carry out its role, in accor</w:t>
      </w:r>
      <w:r w:rsidR="003B483E">
        <w:t>dance with draft recommendation </w:t>
      </w:r>
      <w:r>
        <w:t>8.</w:t>
      </w:r>
      <w:r w:rsidR="00357991">
        <w:t>6</w:t>
      </w:r>
    </w:p>
    <w:p w:rsidR="00C30B31" w:rsidRDefault="00BD5CEF" w:rsidP="00C30B31">
      <w:pPr>
        <w:pStyle w:val="RecBullet"/>
      </w:pPr>
      <w:r>
        <w:t>develop a program for regular ongoing communication and interaction with network businesses, their customers and other relevant stakeholders, with those interactions not just confined to periods of regulatory determinations</w:t>
      </w:r>
      <w:r w:rsidR="004A22EE">
        <w:t>.</w:t>
      </w:r>
    </w:p>
    <w:p w:rsidR="00C30B31" w:rsidRDefault="00C30B31" w:rsidP="00C30B31">
      <w:pPr>
        <w:pStyle w:val="RecTitle"/>
        <w:framePr w:wrap="notBeside"/>
      </w:pPr>
      <w:r>
        <w:t xml:space="preserve">draft Recommendation </w:t>
      </w:r>
      <w:r w:rsidR="00043096">
        <w:t>21.3</w:t>
      </w:r>
    </w:p>
    <w:p w:rsidR="00C30B31" w:rsidRPr="00156060" w:rsidRDefault="00C30B31" w:rsidP="00C30B31">
      <w:pPr>
        <w:pStyle w:val="Rec"/>
      </w:pPr>
      <w:r w:rsidRPr="00156060">
        <w:t xml:space="preserve">There should be adequate ongoing funding of a single but broadly representative consumer body with expertise in economic regulation and relevant knowledge and understanding of </w:t>
      </w:r>
      <w:r>
        <w:t>energy markets</w:t>
      </w:r>
      <w:r w:rsidRPr="00156060">
        <w:t>. This body would:</w:t>
      </w:r>
    </w:p>
    <w:p w:rsidR="00C30B31" w:rsidRPr="00156060" w:rsidRDefault="00C30B31" w:rsidP="00C30B31">
      <w:pPr>
        <w:pStyle w:val="RecBullet"/>
      </w:pPr>
      <w:r w:rsidRPr="00156060">
        <w:t xml:space="preserve">represent the interests of all consumers during </w:t>
      </w:r>
      <w:r>
        <w:t>energy market</w:t>
      </w:r>
      <w:r w:rsidRPr="00156060">
        <w:t xml:space="preserve"> policy formation, regulatory and rule-making processes, merit reviews, and negotiations with </w:t>
      </w:r>
      <w:r>
        <w:t>providers of electricity networks and gas pipelines</w:t>
      </w:r>
    </w:p>
    <w:p w:rsidR="00C30B31" w:rsidRPr="00156060" w:rsidRDefault="00C30B31" w:rsidP="00C30B31">
      <w:pPr>
        <w:pStyle w:val="RecBullet"/>
      </w:pPr>
      <w:r w:rsidRPr="00156060">
        <w:lastRenderedPageBreak/>
        <w:t>subsume the role of the existing Consumer Advocacy Panel into its broader functions</w:t>
      </w:r>
    </w:p>
    <w:p w:rsidR="00C30B31" w:rsidRDefault="00C30B31" w:rsidP="00C30B31">
      <w:pPr>
        <w:pStyle w:val="RecBullet"/>
      </w:pPr>
      <w:r w:rsidRPr="00156060">
        <w:t>be funded through a levy on market participants, drawing on the approach used to currently fund the Consumer Advocacy Panel</w:t>
      </w:r>
    </w:p>
    <w:p w:rsidR="00C30B31" w:rsidRDefault="00C30B31" w:rsidP="00C30B31">
      <w:pPr>
        <w:pStyle w:val="RecBullet"/>
      </w:pPr>
      <w:r>
        <w:t>have a governance structure that involved a board of members appointed on merit, and an advisory panel to give the board advice on the needs of the mix of customers concerned.</w:t>
      </w:r>
    </w:p>
    <w:p w:rsidR="00C30B31" w:rsidRDefault="00C30B31" w:rsidP="00C30B31">
      <w:pPr>
        <w:pStyle w:val="RecTitle"/>
        <w:framePr w:wrap="notBeside"/>
      </w:pPr>
      <w:r>
        <w:t xml:space="preserve">draft Recommendation </w:t>
      </w:r>
      <w:r w:rsidR="00043096">
        <w:t>21.4</w:t>
      </w:r>
    </w:p>
    <w:p w:rsidR="00C30B31" w:rsidRDefault="00C30B31" w:rsidP="00C30B31">
      <w:pPr>
        <w:pStyle w:val="Rec"/>
      </w:pPr>
      <w:r>
        <w:t xml:space="preserve">The National Electricity Law should be amended to expedite the making of Rules arising from any appropriately conducted </w:t>
      </w:r>
      <w:r w:rsidR="00BA3E06">
        <w:t xml:space="preserve">independent </w:t>
      </w:r>
      <w:r>
        <w:t>review relevant to the National Electricity Market and that are agreed by the Standing Council on Energy and Resources. This should be achieved by giving the:</w:t>
      </w:r>
    </w:p>
    <w:p w:rsidR="00C30B31" w:rsidRDefault="00C30B31" w:rsidP="00C30B31">
      <w:pPr>
        <w:pStyle w:val="RecBullet"/>
      </w:pPr>
      <w:r>
        <w:t>Australian Energy Market Commission the power to expedite Rule requests</w:t>
      </w:r>
      <w:r w:rsidR="00BA3E06">
        <w:t xml:space="preserve"> and</w:t>
      </w:r>
    </w:p>
    <w:p w:rsidR="00C30B31" w:rsidRDefault="00C30B31" w:rsidP="00C30B31">
      <w:pPr>
        <w:pStyle w:val="RecBullet"/>
      </w:pPr>
      <w:r>
        <w:t>South Australian Minister a broader power to make Rules.</w:t>
      </w:r>
    </w:p>
    <w:p w:rsidR="008C5EF8" w:rsidRDefault="008C5EF8" w:rsidP="00BB31D6">
      <w:pPr>
        <w:pStyle w:val="BodyText"/>
      </w:pPr>
    </w:p>
    <w:p w:rsidR="00CC5BF4" w:rsidRDefault="00CC5BF4" w:rsidP="00CC5BF4">
      <w:pPr>
        <w:pStyle w:val="Heading3"/>
      </w:pPr>
      <w:r>
        <w:t>Information requests</w:t>
      </w:r>
    </w:p>
    <w:p w:rsidR="00667E40" w:rsidRDefault="00667E40" w:rsidP="00F32494">
      <w:pPr>
        <w:pStyle w:val="BodyText"/>
        <w:keepNext/>
      </w:pPr>
      <w:r>
        <w:t>Chapter 5 Incentive Regulation and Benchmarking</w:t>
      </w:r>
    </w:p>
    <w:p w:rsidR="00667E40" w:rsidRDefault="00667E40" w:rsidP="00667E40">
      <w:pPr>
        <w:pStyle w:val="InformationRequest"/>
      </w:pPr>
      <w:r w:rsidRPr="004474BF">
        <w:t xml:space="preserve">The Commission seeks feedback on whether Chapters 6 and 6A of the Rules should be harmonised to support a common and coherent treatment of transmission and distribution networks (with differences confined to those areas where the different characteristics of transmission and distribution networks made these absolutely essential). </w:t>
      </w:r>
      <w:r>
        <w:t>Would</w:t>
      </w:r>
      <w:r w:rsidRPr="004474BF">
        <w:t xml:space="preserve"> this reduce </w:t>
      </w:r>
      <w:r>
        <w:t xml:space="preserve">the </w:t>
      </w:r>
      <w:r w:rsidRPr="004474BF">
        <w:t xml:space="preserve">complexity currently caused by having two sets of Rules, lower costs for the </w:t>
      </w:r>
      <w:r w:rsidR="006844DA">
        <w:t>Australian Energy Regulator</w:t>
      </w:r>
      <w:r w:rsidRPr="004474BF">
        <w:t xml:space="preserve">, the </w:t>
      </w:r>
      <w:r w:rsidR="006844DA">
        <w:t>Australian Energy Market Operator</w:t>
      </w:r>
      <w:r w:rsidRPr="004474BF">
        <w:t xml:space="preserve">, the merits review body, and for consumers engaged in the regulatory process, and thus be more consistent with the National Electricity Objective? Would </w:t>
      </w:r>
      <w:r>
        <w:t xml:space="preserve">the </w:t>
      </w:r>
      <w:r w:rsidRPr="004474BF">
        <w:t xml:space="preserve">benefits exceed </w:t>
      </w:r>
      <w:r>
        <w:t xml:space="preserve">the </w:t>
      </w:r>
      <w:r w:rsidRPr="004474BF">
        <w:t>costs from any such transition?</w:t>
      </w:r>
    </w:p>
    <w:p w:rsidR="00A86C79" w:rsidRDefault="00A86C79" w:rsidP="00F32494">
      <w:pPr>
        <w:pStyle w:val="BodyText"/>
        <w:keepNext/>
      </w:pPr>
      <w:r>
        <w:t>Chapter 10 Technologies to achieve demand management</w:t>
      </w:r>
    </w:p>
    <w:p w:rsidR="00A86C79" w:rsidRDefault="00A86C79" w:rsidP="00A86C79">
      <w:pPr>
        <w:pStyle w:val="InformationRequest"/>
      </w:pPr>
      <w:r>
        <w:t xml:space="preserve">The Commission seeks feedback on </w:t>
      </w:r>
      <w:r w:rsidR="00536E49">
        <w:t xml:space="preserve">any </w:t>
      </w:r>
      <w:r>
        <w:t xml:space="preserve">improvements to the process proposed for smart meter roll-outs, and how distribution businesses can contribute to the </w:t>
      </w:r>
      <w:r w:rsidR="006844DA">
        <w:t>Australian Energy Regulator</w:t>
      </w:r>
      <w:r>
        <w:t>’s assessment of the costs and benefits.</w:t>
      </w:r>
    </w:p>
    <w:p w:rsidR="008B3CC8" w:rsidRDefault="008B3CC8" w:rsidP="00F32494">
      <w:pPr>
        <w:pStyle w:val="BodyText"/>
        <w:keepNext/>
      </w:pPr>
      <w:r>
        <w:lastRenderedPageBreak/>
        <w:t>Chapter 11 Moving to time-based pricing for the distribution network</w:t>
      </w:r>
    </w:p>
    <w:p w:rsidR="008B3CC8" w:rsidRDefault="008B3CC8" w:rsidP="008B3CC8">
      <w:pPr>
        <w:pStyle w:val="InformationRequest"/>
      </w:pPr>
      <w:r>
        <w:t xml:space="preserve">The Commission seeks further input from participants on the </w:t>
      </w:r>
      <w:r w:rsidR="00841199">
        <w:t>types</w:t>
      </w:r>
      <w:r>
        <w:t xml:space="preserve"> of price paths that might be appropriate in transitioning</w:t>
      </w:r>
      <w:r w:rsidR="00841199">
        <w:t xml:space="preserve"> to cost-reflective, time-based</w:t>
      </w:r>
      <w:r>
        <w:t xml:space="preserve"> network pricing, including on:</w:t>
      </w:r>
    </w:p>
    <w:p w:rsidR="008B3CC8" w:rsidRDefault="008B3CC8" w:rsidP="008B3CC8">
      <w:pPr>
        <w:pStyle w:val="InformationRequestBullet"/>
      </w:pPr>
      <w:r>
        <w:t>any impediments to the early extension of such pricing to all large commercial and industrial users</w:t>
      </w:r>
    </w:p>
    <w:p w:rsidR="008B3CC8" w:rsidRDefault="008B3CC8" w:rsidP="008B3CC8">
      <w:pPr>
        <w:pStyle w:val="InformationRequestBullet"/>
      </w:pPr>
      <w:r>
        <w:t>the benefits and costs (including that of a smart meter) from initially extending the use of ‘time-of-use’ network prices — employing peak, shoulder and non-peak tariffs — to all households and small businesses</w:t>
      </w:r>
    </w:p>
    <w:p w:rsidR="008B3CC8" w:rsidRDefault="00841199" w:rsidP="00841199">
      <w:pPr>
        <w:pStyle w:val="InformationRequestBullet"/>
      </w:pPr>
      <w:r w:rsidRPr="00841199">
        <w:t>any ways that such prices could be usefully and quickly improved to be more targeted — such as through seasonal loadings — to reflect the costs of providing network services at peak times</w:t>
      </w:r>
    </w:p>
    <w:p w:rsidR="008B3CC8" w:rsidRDefault="008B3CC8" w:rsidP="008B3CC8">
      <w:pPr>
        <w:pStyle w:val="InformationRequestBullet"/>
      </w:pPr>
      <w:r>
        <w:t>how quickly it would be appropriate to introduce greater geographic differentiation in network prices</w:t>
      </w:r>
    </w:p>
    <w:p w:rsidR="008B3CC8" w:rsidRPr="00665D4D" w:rsidRDefault="008B3CC8" w:rsidP="008B3CC8">
      <w:pPr>
        <w:pStyle w:val="InformationRequestBullet"/>
      </w:pPr>
      <w:r>
        <w:t>what indicators should be used to review how well the price transition process is progressing.</w:t>
      </w:r>
    </w:p>
    <w:p w:rsidR="008B3CC8" w:rsidRDefault="008B3CC8" w:rsidP="008B3CC8">
      <w:pPr>
        <w:pStyle w:val="InformationRequest"/>
      </w:pPr>
      <w:r>
        <w:t>It is also seeking further input on how the nature and speed of the transitional price path might be influenced by the costs and benefits of technologies (other than the smart meter itself) to improve responsiveness to price signals and assist with informed energy use decisions, including</w:t>
      </w:r>
      <w:r w:rsidR="006844DA">
        <w:t>:</w:t>
      </w:r>
    </w:p>
    <w:p w:rsidR="008B3CC8" w:rsidRPr="00D07196" w:rsidRDefault="008B3CC8" w:rsidP="008B3CC8">
      <w:pPr>
        <w:pStyle w:val="InformationRequestBullet"/>
      </w:pPr>
      <w:r>
        <w:t>‘smart appliances</w:t>
      </w:r>
      <w:r w:rsidR="00D16639">
        <w:t>’</w:t>
      </w:r>
      <w:r>
        <w:t xml:space="preserve"> that are enabled with a demand response capability (chapter 10) (such as to allow direct load control with a customer’s agreement)</w:t>
      </w:r>
    </w:p>
    <w:p w:rsidR="008B3CC8" w:rsidRPr="00D07196" w:rsidRDefault="008B3CC8" w:rsidP="008B3CC8">
      <w:pPr>
        <w:pStyle w:val="InformationRequestBullet"/>
      </w:pPr>
      <w:r>
        <w:t>‘add-on’ technologie</w:t>
      </w:r>
      <w:r w:rsidR="006D381D">
        <w:t>s, such as Home Area Networks, i</w:t>
      </w:r>
      <w:r>
        <w:t xml:space="preserve">n-home displays, online portals and phone Apps, that draw on information provided by a smart meter to assist with a consumer’s energy management </w:t>
      </w:r>
    </w:p>
    <w:p w:rsidR="008B3CC8" w:rsidRPr="00EF4D94" w:rsidRDefault="006844DA" w:rsidP="008B3CC8">
      <w:pPr>
        <w:pStyle w:val="InformationRequestBullet"/>
      </w:pPr>
      <w:r>
        <w:t xml:space="preserve">information technology </w:t>
      </w:r>
      <w:r w:rsidR="008B3CC8">
        <w:t xml:space="preserve">systems to communicate to customers, such as to provide notification of critical peak events. </w:t>
      </w:r>
    </w:p>
    <w:p w:rsidR="00896410" w:rsidRDefault="00896410" w:rsidP="00F32494">
      <w:pPr>
        <w:pStyle w:val="BodyText"/>
        <w:keepNext/>
      </w:pPr>
      <w:r>
        <w:t xml:space="preserve">Chapter 12 Complementary reforms to support </w:t>
      </w:r>
      <w:r w:rsidR="007173FE">
        <w:t>demand management</w:t>
      </w:r>
    </w:p>
    <w:p w:rsidR="00896410" w:rsidRPr="008F76CB" w:rsidRDefault="00896410" w:rsidP="00896410">
      <w:pPr>
        <w:pStyle w:val="InformationRequest"/>
      </w:pPr>
      <w:r>
        <w:t>Given the package of draft recommendations in this report, the Commission seeks feedback on what (if any) barriers remain in the National Electricity Rules (or the Australian Energy Regulator’s application of the Rules) that could impede an efficient level of demand management.</w:t>
      </w:r>
    </w:p>
    <w:p w:rsidR="00516953" w:rsidRDefault="00516953" w:rsidP="00F32494">
      <w:pPr>
        <w:pStyle w:val="BodyText"/>
        <w:keepNext/>
      </w:pPr>
      <w:r>
        <w:lastRenderedPageBreak/>
        <w:t xml:space="preserve">Chapter 15 </w:t>
      </w:r>
      <w:r w:rsidR="00420160">
        <w:t>Transmission r</w:t>
      </w:r>
      <w:r>
        <w:t xml:space="preserve">eliability </w:t>
      </w:r>
    </w:p>
    <w:p w:rsidR="00E13F1E" w:rsidRPr="00E13F1E" w:rsidRDefault="00D90F8D" w:rsidP="001234D6">
      <w:pPr>
        <w:pStyle w:val="InformationRequest"/>
        <w:rPr>
          <w:rStyle w:val="DraftingNote"/>
          <w:b w:val="0"/>
          <w:color w:val="auto"/>
          <w:u w:val="none"/>
        </w:rPr>
      </w:pPr>
      <w:r>
        <w:t xml:space="preserve">The Commission seeks </w:t>
      </w:r>
      <w:r w:rsidR="00516953" w:rsidRPr="00BF2E30">
        <w:t xml:space="preserve">information about the potential benefits </w:t>
      </w:r>
      <w:r>
        <w:t xml:space="preserve">and </w:t>
      </w:r>
      <w:r w:rsidR="00516953" w:rsidRPr="00BF2E30">
        <w:t xml:space="preserve">costs of </w:t>
      </w:r>
      <w:r w:rsidRPr="00BF2E30">
        <w:t>introduc</w:t>
      </w:r>
      <w:r>
        <w:t>ing</w:t>
      </w:r>
      <w:r w:rsidRPr="00BF2E30">
        <w:t xml:space="preserve"> contestability into </w:t>
      </w:r>
      <w:r>
        <w:t>separable</w:t>
      </w:r>
      <w:r w:rsidRPr="00BF2E30">
        <w:t xml:space="preserve"> augmentation</w:t>
      </w:r>
      <w:r>
        <w:t xml:space="preserve">s of the network, as currently occurs through </w:t>
      </w:r>
      <w:r w:rsidR="006844DA">
        <w:t xml:space="preserve">the Australian Energy Market Operator’s </w:t>
      </w:r>
      <w:r>
        <w:t>procurement role in Victoria, and i</w:t>
      </w:r>
      <w:r w:rsidR="00516953" w:rsidRPr="00BF2E30">
        <w:t>n parts of the United States.</w:t>
      </w:r>
      <w:r>
        <w:t xml:space="preserve"> </w:t>
      </w:r>
      <w:r w:rsidR="00E13F1E" w:rsidRPr="00E13F1E">
        <w:rPr>
          <w:rStyle w:val="DraftingNote"/>
          <w:b w:val="0"/>
          <w:color w:val="auto"/>
          <w:u w:val="none"/>
        </w:rPr>
        <w:t>The Commission seeks evidence from participants regarding the costs and benefits of contestability including:</w:t>
      </w:r>
    </w:p>
    <w:p w:rsidR="00E13F1E" w:rsidRPr="00E13F1E" w:rsidRDefault="00E13F1E" w:rsidP="002654EE">
      <w:pPr>
        <w:pStyle w:val="InformationRequestBullet"/>
        <w:rPr>
          <w:rStyle w:val="DraftingNote"/>
          <w:b w:val="0"/>
          <w:i w:val="0"/>
          <w:color w:val="auto"/>
          <w:u w:val="none"/>
        </w:rPr>
      </w:pPr>
      <w:r w:rsidRPr="00E13F1E">
        <w:rPr>
          <w:rStyle w:val="DraftingNote"/>
          <w:b w:val="0"/>
          <w:color w:val="auto"/>
          <w:u w:val="none"/>
        </w:rPr>
        <w:t>administrative and compliance costs</w:t>
      </w:r>
    </w:p>
    <w:p w:rsidR="00E13F1E" w:rsidRPr="00E13F1E" w:rsidRDefault="00E13F1E" w:rsidP="002654EE">
      <w:pPr>
        <w:pStyle w:val="InformationRequestBullet"/>
        <w:rPr>
          <w:rStyle w:val="DraftingNote"/>
          <w:b w:val="0"/>
          <w:i w:val="0"/>
          <w:color w:val="auto"/>
          <w:u w:val="none"/>
        </w:rPr>
      </w:pPr>
      <w:r w:rsidRPr="00E13F1E">
        <w:rPr>
          <w:rStyle w:val="DraftingNote"/>
          <w:b w:val="0"/>
          <w:color w:val="auto"/>
          <w:u w:val="none"/>
        </w:rPr>
        <w:t>the depth of the market (present and potential)</w:t>
      </w:r>
    </w:p>
    <w:p w:rsidR="002654EE" w:rsidRDefault="00E13F1E" w:rsidP="002654EE">
      <w:pPr>
        <w:pStyle w:val="InformationRequestBullet"/>
        <w:rPr>
          <w:rStyle w:val="DraftingNote"/>
          <w:b w:val="0"/>
          <w:i w:val="0"/>
          <w:color w:val="auto"/>
          <w:u w:val="none"/>
        </w:rPr>
      </w:pPr>
      <w:r w:rsidRPr="00E13F1E">
        <w:rPr>
          <w:rStyle w:val="DraftingNote"/>
          <w:b w:val="0"/>
          <w:color w:val="auto"/>
          <w:u w:val="none"/>
        </w:rPr>
        <w:t>the extent of efficiency gains available from competitive pressures from contestability for solutions to constraints (as opposed to contestability in detailed construction of a given solution</w:t>
      </w:r>
      <w:r w:rsidR="00A523DE">
        <w:rPr>
          <w:rStyle w:val="DraftingNote"/>
          <w:b w:val="0"/>
          <w:color w:val="auto"/>
          <w:u w:val="none"/>
        </w:rPr>
        <w:t>)</w:t>
      </w:r>
    </w:p>
    <w:p w:rsidR="00E13F1E" w:rsidRPr="002654EE" w:rsidRDefault="002654EE" w:rsidP="002654EE">
      <w:pPr>
        <w:pStyle w:val="InformationRequestBullet"/>
        <w:rPr>
          <w:rStyle w:val="DraftingNote"/>
          <w:b w:val="0"/>
          <w:color w:val="auto"/>
          <w:u w:val="none"/>
        </w:rPr>
      </w:pPr>
      <w:r w:rsidRPr="002654EE">
        <w:rPr>
          <w:rStyle w:val="DraftingNote"/>
          <w:b w:val="0"/>
          <w:color w:val="auto"/>
          <w:u w:val="none"/>
        </w:rPr>
        <w:t xml:space="preserve">any ongoing cost inefficiencies caused by potentially additional separate owners and operators of the ‘separable’ assets connected to the network. </w:t>
      </w:r>
    </w:p>
    <w:p w:rsidR="00E13F1E" w:rsidRDefault="00E13F1E" w:rsidP="002654EE">
      <w:pPr>
        <w:pStyle w:val="InformationRequest"/>
        <w:rPr>
          <w:rStyle w:val="DraftingNote"/>
          <w:b w:val="0"/>
          <w:color w:val="auto"/>
          <w:u w:val="none"/>
        </w:rPr>
      </w:pPr>
      <w:r w:rsidRPr="00E13F1E">
        <w:rPr>
          <w:rStyle w:val="DraftingNote"/>
          <w:b w:val="0"/>
          <w:color w:val="auto"/>
          <w:u w:val="none"/>
        </w:rPr>
        <w:t>The Commission also seeks participants’ views regarding the costs and benefits of auditing facilities and processes in transmission networks.</w:t>
      </w:r>
      <w:r w:rsidR="002654EE">
        <w:rPr>
          <w:rStyle w:val="DraftingNote"/>
          <w:b w:val="0"/>
          <w:color w:val="auto"/>
          <w:u w:val="none"/>
        </w:rPr>
        <w:t xml:space="preserve"> </w:t>
      </w:r>
      <w:r w:rsidR="002654EE" w:rsidRPr="002654EE">
        <w:rPr>
          <w:rStyle w:val="DraftingNote"/>
          <w:b w:val="0"/>
          <w:color w:val="auto"/>
          <w:u w:val="none"/>
        </w:rPr>
        <w:t xml:space="preserve">What alternative methods are there for the regulator to gain assurance about inherent reliability, in terms of whether transmission businesses are doing either, what they should do (for example maintenance), or whether they have done what </w:t>
      </w:r>
      <w:r w:rsidR="00A523DE">
        <w:rPr>
          <w:rStyle w:val="DraftingNote"/>
          <w:b w:val="0"/>
          <w:color w:val="auto"/>
          <w:u w:val="none"/>
        </w:rPr>
        <w:t xml:space="preserve">they </w:t>
      </w:r>
      <w:r w:rsidR="002654EE" w:rsidRPr="002654EE">
        <w:rPr>
          <w:rStyle w:val="DraftingNote"/>
          <w:b w:val="0"/>
          <w:color w:val="auto"/>
          <w:u w:val="none"/>
        </w:rPr>
        <w:t>said they were going to do (for example augmentations)? What is international best practice in this respect? What powers should the regulator have if an audit suggests poor compliance?</w:t>
      </w:r>
    </w:p>
    <w:p w:rsidR="006837EA" w:rsidRDefault="006837EA" w:rsidP="00F32494">
      <w:pPr>
        <w:pStyle w:val="BodyText"/>
        <w:keepNext/>
        <w:rPr>
          <w:rFonts w:ascii="Arial" w:hAnsi="Arial"/>
          <w:i/>
          <w:sz w:val="24"/>
        </w:rPr>
      </w:pPr>
      <w:r w:rsidRPr="006837EA">
        <w:rPr>
          <w:rFonts w:ascii="Arial" w:hAnsi="Arial"/>
          <w:i/>
          <w:sz w:val="24"/>
        </w:rPr>
        <w:t xml:space="preserve">The Commission seeks further input on the potential advantages and disadvantages of the Commission's suggested alternative to the </w:t>
      </w:r>
      <w:r w:rsidR="00E96321" w:rsidRPr="00E96321">
        <w:rPr>
          <w:rFonts w:ascii="Arial" w:hAnsi="Arial"/>
          <w:i/>
          <w:sz w:val="24"/>
        </w:rPr>
        <w:t>Australian Energy Market Commission’s</w:t>
      </w:r>
      <w:r w:rsidRPr="006837EA">
        <w:rPr>
          <w:rFonts w:ascii="Arial" w:hAnsi="Arial"/>
          <w:i/>
          <w:sz w:val="24"/>
        </w:rPr>
        <w:t xml:space="preserve"> hybrid planning model. How could the Commission’s preferred model be improved? Since a key objective of a national planning fram</w:t>
      </w:r>
      <w:r w:rsidR="00E96321">
        <w:rPr>
          <w:rFonts w:ascii="Arial" w:hAnsi="Arial"/>
          <w:i/>
          <w:sz w:val="24"/>
        </w:rPr>
        <w:t>ework is to avoid costly system</w:t>
      </w:r>
      <w:r w:rsidR="00E96321">
        <w:rPr>
          <w:rFonts w:ascii="Arial" w:hAnsi="Arial"/>
          <w:i/>
          <w:sz w:val="24"/>
        </w:rPr>
        <w:noBreakHyphen/>
      </w:r>
      <w:r w:rsidRPr="006837EA">
        <w:rPr>
          <w:rFonts w:ascii="Arial" w:hAnsi="Arial"/>
          <w:i/>
          <w:sz w:val="24"/>
        </w:rPr>
        <w:t>wide failures, to what extent do the different models vary in their capacity to achieve that goal?</w:t>
      </w:r>
    </w:p>
    <w:p w:rsidR="00F32494" w:rsidRDefault="00F32494" w:rsidP="00F32494">
      <w:pPr>
        <w:pStyle w:val="BodyText"/>
        <w:keepNext/>
      </w:pPr>
      <w:r w:rsidRPr="00E13F1E">
        <w:t>Chapter 17 Role of interconnectors</w:t>
      </w:r>
    </w:p>
    <w:p w:rsidR="00F32494" w:rsidRDefault="00F32494" w:rsidP="00F32494">
      <w:pPr>
        <w:pStyle w:val="InformationRequest"/>
      </w:pPr>
      <w:r>
        <w:t>The Commission seeks further evidence, and participants’ views, on the impact of price separations between regions in the National Electricity Market.</w:t>
      </w:r>
    </w:p>
    <w:p w:rsidR="00896410" w:rsidRDefault="008C5EF8" w:rsidP="00F32494">
      <w:pPr>
        <w:pStyle w:val="BodyText"/>
        <w:keepNext/>
      </w:pPr>
      <w:r>
        <w:lastRenderedPageBreak/>
        <w:t>Chapter 18 Efficient use of interconnectors</w:t>
      </w:r>
    </w:p>
    <w:p w:rsidR="008C5EF8" w:rsidRDefault="008C5EF8" w:rsidP="008C5EF8">
      <w:pPr>
        <w:pStyle w:val="InformationRequest"/>
      </w:pPr>
      <w:r>
        <w:t>The Commission seeks participants’ views about the e</w:t>
      </w:r>
      <w:r w:rsidR="0073603A">
        <w:t>xtent to which flaws in a state</w:t>
      </w:r>
      <w:r w:rsidR="0073603A">
        <w:noBreakHyphen/>
      </w:r>
      <w:r>
        <w:t>based hedging market distort the locational incentives of generators</w:t>
      </w:r>
      <w:r w:rsidRPr="00C21AC9">
        <w:t xml:space="preserve"> </w:t>
      </w:r>
      <w:r>
        <w:t>and large loads.</w:t>
      </w:r>
    </w:p>
    <w:p w:rsidR="00896410" w:rsidRDefault="00F32494" w:rsidP="00F32494">
      <w:pPr>
        <w:pStyle w:val="BodyText"/>
        <w:keepNext/>
      </w:pPr>
      <w:r>
        <w:t>Chapter 19 Identifying future transmission</w:t>
      </w:r>
    </w:p>
    <w:p w:rsidR="00A23F4F" w:rsidRDefault="00A23F4F" w:rsidP="00A23F4F">
      <w:pPr>
        <w:pStyle w:val="InformationRequest"/>
      </w:pPr>
      <w:r>
        <w:t>The Commission seeks participants’ opinions as to whether the:</w:t>
      </w:r>
    </w:p>
    <w:p w:rsidR="00A23F4F" w:rsidRDefault="00A23F4F" w:rsidP="00A23F4F">
      <w:pPr>
        <w:pStyle w:val="InformationRequestBullet"/>
      </w:pPr>
      <w:r>
        <w:t>Regulatory Investment Test for Transmission should be applied to the replacement of existing assets</w:t>
      </w:r>
    </w:p>
    <w:p w:rsidR="00A23F4F" w:rsidRDefault="00A23F4F" w:rsidP="00A23F4F">
      <w:pPr>
        <w:pStyle w:val="InformationRequestBullet"/>
      </w:pPr>
      <w:r>
        <w:t>Australian Energy Regulator could have an expanded role in the assessment of the Regulatory Investment Test for Transmission</w:t>
      </w:r>
    </w:p>
    <w:p w:rsidR="00516953" w:rsidRPr="00516953" w:rsidRDefault="00A23F4F" w:rsidP="00A23F4F">
      <w:pPr>
        <w:pStyle w:val="InformationRequestBullet"/>
      </w:pPr>
      <w:r>
        <w:t>Regulatory Investment Test for Transmission could be used more formally in the Australian Energy Regulator’s determinations.</w:t>
      </w:r>
    </w:p>
    <w:p w:rsidR="00F32494" w:rsidRDefault="00F32494" w:rsidP="00F32494">
      <w:pPr>
        <w:pStyle w:val="BodyText"/>
        <w:keepNext/>
      </w:pPr>
      <w:r>
        <w:t>Chapter 21 Governance</w:t>
      </w:r>
    </w:p>
    <w:p w:rsidR="00503BFE" w:rsidRDefault="00503BFE" w:rsidP="00503BFE">
      <w:pPr>
        <w:pStyle w:val="InformationRequest"/>
        <w:keepNext/>
        <w:keepLines w:val="0"/>
      </w:pPr>
      <w:r>
        <w:t>The Commission seeks participants’ views on the costs and benefits of the following measures concerning the location and funding of the Australian Energy Regulator compared with the arrangements p</w:t>
      </w:r>
      <w:r w:rsidR="003B483E">
        <w:t>roposed in draft recommendation </w:t>
      </w:r>
      <w:r>
        <w:t xml:space="preserve">21.2: </w:t>
      </w:r>
    </w:p>
    <w:p w:rsidR="00503BFE" w:rsidRDefault="003B483E" w:rsidP="00503BFE">
      <w:pPr>
        <w:pStyle w:val="InformationRequestBullet"/>
      </w:pPr>
      <w:r>
        <w:t>r</w:t>
      </w:r>
      <w:r w:rsidR="00503BFE">
        <w:t>emoving the Australian Energy Regulator from the Australian Competition and Consumer Commission and creating a fully independent agency</w:t>
      </w:r>
    </w:p>
    <w:p w:rsidR="00B22F64" w:rsidRDefault="003B483E" w:rsidP="00896410">
      <w:pPr>
        <w:pStyle w:val="InformationRequestBullet"/>
      </w:pPr>
      <w:r>
        <w:t>f</w:t>
      </w:r>
      <w:r w:rsidR="00503BFE">
        <w:t>unding the Australian Energy Regulator through an industry (or Nat</w:t>
      </w:r>
      <w:r w:rsidR="00DD75AD">
        <w:t>ional Electricity Market) levy.</w:t>
      </w:r>
    </w:p>
    <w:p w:rsidR="00B22F64" w:rsidRDefault="00B22F64" w:rsidP="00B22F64">
      <w:pPr>
        <w:pStyle w:val="BodyText"/>
        <w:rPr>
          <w:rFonts w:ascii="Arial" w:hAnsi="Arial"/>
          <w:sz w:val="24"/>
        </w:rPr>
      </w:pPr>
      <w:r>
        <w:br w:type="page"/>
      </w:r>
    </w:p>
    <w:p w:rsidR="00896410" w:rsidRPr="00896410" w:rsidRDefault="00896410" w:rsidP="00B22F64">
      <w:pPr>
        <w:pStyle w:val="BodyText"/>
      </w:pPr>
    </w:p>
    <w:sectPr w:rsidR="00896410" w:rsidRPr="00896410" w:rsidSect="006F36A8">
      <w:headerReference w:type="even" r:id="rId9"/>
      <w:headerReference w:type="default" r:id="rId10"/>
      <w:footerReference w:type="even" r:id="rId11"/>
      <w:footerReference w:type="default" r:id="rId12"/>
      <w:pgSz w:w="11907" w:h="16840" w:code="9"/>
      <w:pgMar w:top="1985" w:right="1304" w:bottom="1418" w:left="1814" w:header="1701" w:footer="567" w:gutter="0"/>
      <w:pgNumType w:start="39"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DBB" w:rsidRDefault="00D11DBB">
      <w:r>
        <w:separator/>
      </w:r>
    </w:p>
  </w:endnote>
  <w:endnote w:type="continuationSeparator" w:id="0">
    <w:p w:rsidR="00D11DBB" w:rsidRDefault="00D11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oudyOlSt BT">
    <w:altName w:val="Georgia"/>
    <w:charset w:val="00"/>
    <w:family w:val="roman"/>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D11DBB">
      <w:trPr>
        <w:trHeight w:hRule="exact" w:val="740"/>
      </w:trPr>
      <w:tc>
        <w:tcPr>
          <w:tcW w:w="510" w:type="dxa"/>
          <w:tcBorders>
            <w:top w:val="single" w:sz="6" w:space="0" w:color="auto"/>
          </w:tcBorders>
        </w:tcPr>
        <w:p w:rsidR="00D11DBB" w:rsidRDefault="00D11DBB" w:rsidP="00987421">
          <w:pPr>
            <w:pStyle w:val="Footer"/>
            <w:tabs>
              <w:tab w:val="left" w:pos="0"/>
            </w:tabs>
            <w:ind w:right="0"/>
            <w:rPr>
              <w:rStyle w:val="PageNumber"/>
            </w:rPr>
          </w:pPr>
          <w:r>
            <w:rPr>
              <w:rStyle w:val="PageNumber"/>
            </w:rPr>
            <w:fldChar w:fldCharType="begin"/>
          </w:r>
          <w:r>
            <w:rPr>
              <w:rStyle w:val="PageNumber"/>
            </w:rPr>
            <w:instrText xml:space="preserve"> PAGE  \* MERGEFORMAT </w:instrText>
          </w:r>
          <w:r>
            <w:rPr>
              <w:rStyle w:val="PageNumber"/>
            </w:rPr>
            <w:fldChar w:fldCharType="separate"/>
          </w:r>
          <w:r w:rsidR="00533215">
            <w:rPr>
              <w:rStyle w:val="PageNumber"/>
              <w:noProof/>
            </w:rPr>
            <w:t>62</w:t>
          </w:r>
          <w:r>
            <w:rPr>
              <w:rStyle w:val="PageNumber"/>
            </w:rPr>
            <w:fldChar w:fldCharType="end"/>
          </w:r>
        </w:p>
      </w:tc>
      <w:tc>
        <w:tcPr>
          <w:tcW w:w="1644" w:type="dxa"/>
          <w:tcBorders>
            <w:top w:val="single" w:sz="6" w:space="0" w:color="auto"/>
          </w:tcBorders>
        </w:tcPr>
        <w:p w:rsidR="00D11DBB" w:rsidRDefault="006B00A0" w:rsidP="00B23127">
          <w:pPr>
            <w:pStyle w:val="Footer"/>
          </w:pPr>
          <w:fldSimple w:instr=" SUBJECT  \* MERGEFORMAT ">
            <w:r>
              <w:t>Electricity network regulation</w:t>
            </w:r>
          </w:fldSimple>
          <w:r w:rsidR="00D11DBB">
            <w:t xml:space="preserve"> </w:t>
          </w:r>
          <w:proofErr w:type="spellStart"/>
          <w:r w:rsidR="00D11DBB">
            <w:t>regulation</w:t>
          </w:r>
          <w:proofErr w:type="spellEnd"/>
        </w:p>
      </w:tc>
      <w:tc>
        <w:tcPr>
          <w:tcW w:w="6634" w:type="dxa"/>
        </w:tcPr>
        <w:p w:rsidR="00D11DBB" w:rsidRDefault="00D11DBB" w:rsidP="0019293B">
          <w:pPr>
            <w:pStyle w:val="Footer"/>
          </w:pPr>
        </w:p>
      </w:tc>
    </w:tr>
  </w:tbl>
  <w:p w:rsidR="00D11DBB" w:rsidRDefault="00D11DBB"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D11DBB">
      <w:trPr>
        <w:trHeight w:hRule="exact" w:val="740"/>
      </w:trPr>
      <w:tc>
        <w:tcPr>
          <w:tcW w:w="6634" w:type="dxa"/>
        </w:tcPr>
        <w:p w:rsidR="00D11DBB" w:rsidRDefault="00D11DBB">
          <w:pPr>
            <w:pStyle w:val="Footer"/>
            <w:ind w:right="360" w:firstLine="360"/>
          </w:pPr>
        </w:p>
      </w:tc>
      <w:tc>
        <w:tcPr>
          <w:tcW w:w="1644" w:type="dxa"/>
          <w:tcBorders>
            <w:top w:val="single" w:sz="6" w:space="0" w:color="auto"/>
          </w:tcBorders>
        </w:tcPr>
        <w:p w:rsidR="00D11DBB" w:rsidRDefault="00D11DBB">
          <w:pPr>
            <w:pStyle w:val="Footer"/>
          </w:pPr>
          <w:r>
            <w:t>recommendations</w:t>
          </w:r>
        </w:p>
      </w:tc>
      <w:tc>
        <w:tcPr>
          <w:tcW w:w="510" w:type="dxa"/>
          <w:tcBorders>
            <w:top w:val="single" w:sz="6" w:space="0" w:color="auto"/>
          </w:tcBorders>
        </w:tcPr>
        <w:p w:rsidR="00D11DBB" w:rsidRDefault="00D11DBB">
          <w:pPr>
            <w:pStyle w:val="Footer"/>
            <w:jc w:val="right"/>
          </w:pPr>
          <w:r>
            <w:rPr>
              <w:rStyle w:val="PageNumber"/>
            </w:rPr>
            <w:fldChar w:fldCharType="begin"/>
          </w:r>
          <w:r>
            <w:rPr>
              <w:rStyle w:val="PageNumber"/>
            </w:rPr>
            <w:instrText xml:space="preserve">PAGE  </w:instrText>
          </w:r>
          <w:r>
            <w:rPr>
              <w:rStyle w:val="PageNumber"/>
            </w:rPr>
            <w:fldChar w:fldCharType="separate"/>
          </w:r>
          <w:r w:rsidR="00533215">
            <w:rPr>
              <w:rStyle w:val="PageNumber"/>
              <w:noProof/>
            </w:rPr>
            <w:t>39</w:t>
          </w:r>
          <w:r>
            <w:rPr>
              <w:rStyle w:val="PageNumber"/>
            </w:rPr>
            <w:fldChar w:fldCharType="end"/>
          </w:r>
        </w:p>
      </w:tc>
    </w:tr>
  </w:tbl>
  <w:p w:rsidR="00D11DBB" w:rsidRDefault="00D11DBB">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DBB" w:rsidRDefault="00D11DBB">
      <w:r>
        <w:separator/>
      </w:r>
    </w:p>
  </w:footnote>
  <w:footnote w:type="continuationSeparator" w:id="0">
    <w:p w:rsidR="00D11DBB" w:rsidRDefault="00D11D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D11DBB">
      <w:tc>
        <w:tcPr>
          <w:tcW w:w="2155" w:type="dxa"/>
          <w:tcBorders>
            <w:top w:val="single" w:sz="24" w:space="0" w:color="auto"/>
          </w:tcBorders>
        </w:tcPr>
        <w:p w:rsidR="00D11DBB" w:rsidRDefault="00D11DBB" w:rsidP="0019293B">
          <w:pPr>
            <w:pStyle w:val="HeaderEven"/>
          </w:pPr>
        </w:p>
      </w:tc>
      <w:tc>
        <w:tcPr>
          <w:tcW w:w="6634" w:type="dxa"/>
          <w:tcBorders>
            <w:top w:val="single" w:sz="6" w:space="0" w:color="auto"/>
          </w:tcBorders>
        </w:tcPr>
        <w:p w:rsidR="00D11DBB" w:rsidRDefault="00D11DBB" w:rsidP="0019293B">
          <w:pPr>
            <w:pStyle w:val="HeaderEven"/>
          </w:pPr>
        </w:p>
      </w:tc>
    </w:tr>
  </w:tbl>
  <w:p w:rsidR="00D11DBB" w:rsidRDefault="00D11DBB"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D11DBB">
      <w:tc>
        <w:tcPr>
          <w:tcW w:w="6634" w:type="dxa"/>
          <w:tcBorders>
            <w:top w:val="single" w:sz="6" w:space="0" w:color="auto"/>
          </w:tcBorders>
        </w:tcPr>
        <w:p w:rsidR="00D11DBB" w:rsidRDefault="00D11DBB" w:rsidP="00E669E2">
          <w:pPr>
            <w:pStyle w:val="HeaderOdd"/>
          </w:pPr>
        </w:p>
      </w:tc>
      <w:tc>
        <w:tcPr>
          <w:tcW w:w="2155" w:type="dxa"/>
          <w:tcBorders>
            <w:top w:val="single" w:sz="24" w:space="0" w:color="auto"/>
          </w:tcBorders>
        </w:tcPr>
        <w:p w:rsidR="00D11DBB" w:rsidRDefault="00D11DBB" w:rsidP="00E669E2">
          <w:pPr>
            <w:pStyle w:val="HeaderOdd"/>
          </w:pPr>
        </w:p>
      </w:tc>
    </w:tr>
  </w:tbl>
  <w:p w:rsidR="00D11DBB" w:rsidRDefault="00D11DBB"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1">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3">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7">
    <w:nsid w:val="150D5941"/>
    <w:multiLevelType w:val="hybridMultilevel"/>
    <w:tmpl w:val="5F72F97C"/>
    <w:lvl w:ilvl="0" w:tplc="98C441C4">
      <w:start w:val="7"/>
      <w:numFmt w:val="bullet"/>
      <w:lvlText w:val="–"/>
      <w:lvlJc w:val="left"/>
      <w:pPr>
        <w:ind w:left="700" w:hanging="360"/>
      </w:pPr>
      <w:rPr>
        <w:rFonts w:ascii="Times New Roman" w:eastAsia="Times New Roman" w:hAnsi="Times New Roman" w:cs="Times New Roman" w:hint="default"/>
      </w:rPr>
    </w:lvl>
    <w:lvl w:ilvl="1" w:tplc="0C090003" w:tentative="1">
      <w:start w:val="1"/>
      <w:numFmt w:val="bullet"/>
      <w:lvlText w:val="o"/>
      <w:lvlJc w:val="left"/>
      <w:pPr>
        <w:ind w:left="1420" w:hanging="360"/>
      </w:pPr>
      <w:rPr>
        <w:rFonts w:ascii="Courier New" w:hAnsi="Courier New" w:cs="Courier New" w:hint="default"/>
      </w:rPr>
    </w:lvl>
    <w:lvl w:ilvl="2" w:tplc="0C090005" w:tentative="1">
      <w:start w:val="1"/>
      <w:numFmt w:val="bullet"/>
      <w:lvlText w:val=""/>
      <w:lvlJc w:val="left"/>
      <w:pPr>
        <w:ind w:left="2140" w:hanging="360"/>
      </w:pPr>
      <w:rPr>
        <w:rFonts w:ascii="Wingdings" w:hAnsi="Wingdings" w:hint="default"/>
      </w:rPr>
    </w:lvl>
    <w:lvl w:ilvl="3" w:tplc="0C090001" w:tentative="1">
      <w:start w:val="1"/>
      <w:numFmt w:val="bullet"/>
      <w:lvlText w:val=""/>
      <w:lvlJc w:val="left"/>
      <w:pPr>
        <w:ind w:left="2860" w:hanging="360"/>
      </w:pPr>
      <w:rPr>
        <w:rFonts w:ascii="Symbol" w:hAnsi="Symbol" w:hint="default"/>
      </w:rPr>
    </w:lvl>
    <w:lvl w:ilvl="4" w:tplc="0C090003" w:tentative="1">
      <w:start w:val="1"/>
      <w:numFmt w:val="bullet"/>
      <w:lvlText w:val="o"/>
      <w:lvlJc w:val="left"/>
      <w:pPr>
        <w:ind w:left="3580" w:hanging="360"/>
      </w:pPr>
      <w:rPr>
        <w:rFonts w:ascii="Courier New" w:hAnsi="Courier New" w:cs="Courier New" w:hint="default"/>
      </w:rPr>
    </w:lvl>
    <w:lvl w:ilvl="5" w:tplc="0C090005" w:tentative="1">
      <w:start w:val="1"/>
      <w:numFmt w:val="bullet"/>
      <w:lvlText w:val=""/>
      <w:lvlJc w:val="left"/>
      <w:pPr>
        <w:ind w:left="4300" w:hanging="360"/>
      </w:pPr>
      <w:rPr>
        <w:rFonts w:ascii="Wingdings" w:hAnsi="Wingdings" w:hint="default"/>
      </w:rPr>
    </w:lvl>
    <w:lvl w:ilvl="6" w:tplc="0C090001" w:tentative="1">
      <w:start w:val="1"/>
      <w:numFmt w:val="bullet"/>
      <w:lvlText w:val=""/>
      <w:lvlJc w:val="left"/>
      <w:pPr>
        <w:ind w:left="5020" w:hanging="360"/>
      </w:pPr>
      <w:rPr>
        <w:rFonts w:ascii="Symbol" w:hAnsi="Symbol" w:hint="default"/>
      </w:rPr>
    </w:lvl>
    <w:lvl w:ilvl="7" w:tplc="0C090003" w:tentative="1">
      <w:start w:val="1"/>
      <w:numFmt w:val="bullet"/>
      <w:lvlText w:val="o"/>
      <w:lvlJc w:val="left"/>
      <w:pPr>
        <w:ind w:left="5740" w:hanging="360"/>
      </w:pPr>
      <w:rPr>
        <w:rFonts w:ascii="Courier New" w:hAnsi="Courier New" w:cs="Courier New" w:hint="default"/>
      </w:rPr>
    </w:lvl>
    <w:lvl w:ilvl="8" w:tplc="0C090005" w:tentative="1">
      <w:start w:val="1"/>
      <w:numFmt w:val="bullet"/>
      <w:lvlText w:val=""/>
      <w:lvlJc w:val="left"/>
      <w:pPr>
        <w:ind w:left="6460" w:hanging="360"/>
      </w:pPr>
      <w:rPr>
        <w:rFonts w:ascii="Wingdings" w:hAnsi="Wingdings" w:hint="default"/>
      </w:rPr>
    </w:lvl>
  </w:abstractNum>
  <w:abstractNum w:abstractNumId="8">
    <w:nsid w:val="1CB054E6"/>
    <w:multiLevelType w:val="hybridMultilevel"/>
    <w:tmpl w:val="C7B89334"/>
    <w:lvl w:ilvl="0" w:tplc="FE34C846">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0">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1">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12">
    <w:nsid w:val="370D29A7"/>
    <w:multiLevelType w:val="hybridMultilevel"/>
    <w:tmpl w:val="DD6AD222"/>
    <w:lvl w:ilvl="0" w:tplc="627819C4">
      <w:start w:val="1"/>
      <w:numFmt w:val="lowerRoman"/>
      <w:lvlText w:val="(%1)"/>
      <w:lvlJc w:val="left"/>
      <w:pPr>
        <w:ind w:left="1146" w:hanging="720"/>
      </w:pPr>
      <w:rPr>
        <w:rFonts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13">
    <w:nsid w:val="40373F2E"/>
    <w:multiLevelType w:val="hybridMultilevel"/>
    <w:tmpl w:val="21F875C6"/>
    <w:lvl w:ilvl="0" w:tplc="D2FEE964">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16">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17">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18">
    <w:nsid w:val="61454F1C"/>
    <w:multiLevelType w:val="hybridMultilevel"/>
    <w:tmpl w:val="2EA82F4E"/>
    <w:lvl w:ilvl="0" w:tplc="37785BAC">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20">
    <w:nsid w:val="65D03177"/>
    <w:multiLevelType w:val="hybridMultilevel"/>
    <w:tmpl w:val="49E2F4B8"/>
    <w:lvl w:ilvl="0" w:tplc="988220E4">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22">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num w:numId="1">
    <w:abstractNumId w:val="11"/>
  </w:num>
  <w:num w:numId="2">
    <w:abstractNumId w:val="3"/>
  </w:num>
  <w:num w:numId="3">
    <w:abstractNumId w:val="21"/>
  </w:num>
  <w:num w:numId="4">
    <w:abstractNumId w:val="1"/>
  </w:num>
  <w:num w:numId="5">
    <w:abstractNumId w:val="15"/>
  </w:num>
  <w:num w:numId="6">
    <w:abstractNumId w:val="2"/>
  </w:num>
  <w:num w:numId="7">
    <w:abstractNumId w:val="19"/>
  </w:num>
  <w:num w:numId="8">
    <w:abstractNumId w:val="17"/>
  </w:num>
  <w:num w:numId="9">
    <w:abstractNumId w:val="22"/>
  </w:num>
  <w:num w:numId="10">
    <w:abstractNumId w:val="6"/>
  </w:num>
  <w:num w:numId="11">
    <w:abstractNumId w:val="16"/>
  </w:num>
  <w:num w:numId="12">
    <w:abstractNumId w:val="5"/>
  </w:num>
  <w:num w:numId="13">
    <w:abstractNumId w:val="4"/>
  </w:num>
  <w:num w:numId="14">
    <w:abstractNumId w:val="9"/>
  </w:num>
  <w:num w:numId="15">
    <w:abstractNumId w:val="10"/>
  </w:num>
  <w:num w:numId="16">
    <w:abstractNumId w:val="14"/>
  </w:num>
  <w:num w:numId="17">
    <w:abstractNumId w:val="18"/>
  </w:num>
  <w:num w:numId="18">
    <w:abstractNumId w:val="8"/>
  </w:num>
  <w:num w:numId="19">
    <w:abstractNumId w:val="20"/>
  </w:num>
  <w:num w:numId="20">
    <w:abstractNumId w:val="22"/>
  </w:num>
  <w:num w:numId="21">
    <w:abstractNumId w:val="13"/>
  </w:num>
  <w:num w:numId="22">
    <w:abstractNumId w:val="12"/>
  </w:num>
  <w:num w:numId="23">
    <w:abstractNumId w:val="22"/>
  </w:num>
  <w:num w:numId="24">
    <w:abstractNumId w:val="0"/>
  </w:num>
  <w:num w:numId="25">
    <w:abstractNumId w:val="7"/>
  </w:num>
  <w:num w:numId="26">
    <w:abstractNumId w:val="14"/>
  </w:num>
  <w:num w:numId="27">
    <w:abstractNumId w:val="2"/>
  </w:num>
  <w:num w:numId="28">
    <w:abstractNumId w:val="2"/>
  </w:num>
  <w:num w:numId="29">
    <w:abstractNumId w:val="22"/>
  </w:num>
  <w:num w:numId="30">
    <w:abstractNumId w:val="2"/>
  </w:num>
  <w:num w:numId="31">
    <w:abstractNumId w:val="14"/>
  </w:num>
  <w:num w:numId="32">
    <w:abstractNumId w:val="22"/>
  </w:num>
  <w:num w:numId="33">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activeWritingStyle w:appName="MSWord" w:lang="en-AU" w:vendorID="64" w:dllVersion="131078" w:nlCheck="1" w:checkStyle="0"/>
  <w:activeWritingStyle w:appName="MSWord" w:lang="en-US" w:vendorID="64" w:dllVersion="131078" w:nlCheck="1" w:checkStyle="1"/>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ndingOptions" w:val="1"/>
    <w:docVar w:name="RecOptions" w:val="111"/>
    <w:docVar w:name="ShortChapterTitle" w:val="Chapter"/>
    <w:docVar w:name="ShortReportTitle" w:val="Electricity network regulation"/>
  </w:docVars>
  <w:rsids>
    <w:rsidRoot w:val="003A15DE"/>
    <w:rsid w:val="000015E9"/>
    <w:rsid w:val="000069CF"/>
    <w:rsid w:val="00006BEF"/>
    <w:rsid w:val="00006CCB"/>
    <w:rsid w:val="00011285"/>
    <w:rsid w:val="000134B0"/>
    <w:rsid w:val="00014574"/>
    <w:rsid w:val="00014868"/>
    <w:rsid w:val="00014C2A"/>
    <w:rsid w:val="00017F8E"/>
    <w:rsid w:val="000233BA"/>
    <w:rsid w:val="000245AA"/>
    <w:rsid w:val="0002684F"/>
    <w:rsid w:val="0002762B"/>
    <w:rsid w:val="00032DE0"/>
    <w:rsid w:val="00033528"/>
    <w:rsid w:val="00033CD4"/>
    <w:rsid w:val="00035F4A"/>
    <w:rsid w:val="0003664B"/>
    <w:rsid w:val="00037252"/>
    <w:rsid w:val="00040589"/>
    <w:rsid w:val="0004111F"/>
    <w:rsid w:val="00043096"/>
    <w:rsid w:val="0004465D"/>
    <w:rsid w:val="00044AFC"/>
    <w:rsid w:val="00045AD4"/>
    <w:rsid w:val="00050FB8"/>
    <w:rsid w:val="00053E15"/>
    <w:rsid w:val="000565B3"/>
    <w:rsid w:val="000565FE"/>
    <w:rsid w:val="00056F6F"/>
    <w:rsid w:val="0005714A"/>
    <w:rsid w:val="0006377E"/>
    <w:rsid w:val="000667CF"/>
    <w:rsid w:val="0007150B"/>
    <w:rsid w:val="00071510"/>
    <w:rsid w:val="000766EA"/>
    <w:rsid w:val="000774D6"/>
    <w:rsid w:val="000812C6"/>
    <w:rsid w:val="00081756"/>
    <w:rsid w:val="00090292"/>
    <w:rsid w:val="000924EE"/>
    <w:rsid w:val="0009368F"/>
    <w:rsid w:val="000938F5"/>
    <w:rsid w:val="00094F50"/>
    <w:rsid w:val="000957C0"/>
    <w:rsid w:val="000964C7"/>
    <w:rsid w:val="000967C0"/>
    <w:rsid w:val="00097D5A"/>
    <w:rsid w:val="00097EAA"/>
    <w:rsid w:val="000A47A7"/>
    <w:rsid w:val="000A6B03"/>
    <w:rsid w:val="000B158E"/>
    <w:rsid w:val="000B3208"/>
    <w:rsid w:val="000B3867"/>
    <w:rsid w:val="000B3B10"/>
    <w:rsid w:val="000B468D"/>
    <w:rsid w:val="000B525D"/>
    <w:rsid w:val="000B52E1"/>
    <w:rsid w:val="000B601B"/>
    <w:rsid w:val="000B660D"/>
    <w:rsid w:val="000B716C"/>
    <w:rsid w:val="000C0ECC"/>
    <w:rsid w:val="000C187B"/>
    <w:rsid w:val="000C207E"/>
    <w:rsid w:val="000C3186"/>
    <w:rsid w:val="000C3993"/>
    <w:rsid w:val="000C7F65"/>
    <w:rsid w:val="000D268B"/>
    <w:rsid w:val="000D4831"/>
    <w:rsid w:val="000E09F1"/>
    <w:rsid w:val="000E3315"/>
    <w:rsid w:val="000F11E3"/>
    <w:rsid w:val="000F1D02"/>
    <w:rsid w:val="000F4459"/>
    <w:rsid w:val="000F5575"/>
    <w:rsid w:val="00102755"/>
    <w:rsid w:val="00105E7D"/>
    <w:rsid w:val="001061EC"/>
    <w:rsid w:val="001062D9"/>
    <w:rsid w:val="0010703A"/>
    <w:rsid w:val="00110116"/>
    <w:rsid w:val="001132C1"/>
    <w:rsid w:val="00113735"/>
    <w:rsid w:val="001152C7"/>
    <w:rsid w:val="001208F8"/>
    <w:rsid w:val="001215B3"/>
    <w:rsid w:val="0012186B"/>
    <w:rsid w:val="00122373"/>
    <w:rsid w:val="00122501"/>
    <w:rsid w:val="001234D6"/>
    <w:rsid w:val="00124000"/>
    <w:rsid w:val="0012546A"/>
    <w:rsid w:val="00126EB8"/>
    <w:rsid w:val="001274D4"/>
    <w:rsid w:val="00132197"/>
    <w:rsid w:val="00132449"/>
    <w:rsid w:val="001363AA"/>
    <w:rsid w:val="00137C80"/>
    <w:rsid w:val="0014164C"/>
    <w:rsid w:val="0015407B"/>
    <w:rsid w:val="00154402"/>
    <w:rsid w:val="00160522"/>
    <w:rsid w:val="00161639"/>
    <w:rsid w:val="001618AA"/>
    <w:rsid w:val="001647EC"/>
    <w:rsid w:val="00165FE6"/>
    <w:rsid w:val="00166A63"/>
    <w:rsid w:val="00170EE2"/>
    <w:rsid w:val="00172754"/>
    <w:rsid w:val="00177B57"/>
    <w:rsid w:val="00180AA1"/>
    <w:rsid w:val="00181C93"/>
    <w:rsid w:val="0018333E"/>
    <w:rsid w:val="00183E82"/>
    <w:rsid w:val="00183EA0"/>
    <w:rsid w:val="001858D2"/>
    <w:rsid w:val="00186055"/>
    <w:rsid w:val="00186170"/>
    <w:rsid w:val="001911C2"/>
    <w:rsid w:val="00191AE0"/>
    <w:rsid w:val="00192299"/>
    <w:rsid w:val="0019293B"/>
    <w:rsid w:val="001931F9"/>
    <w:rsid w:val="00193897"/>
    <w:rsid w:val="001938B7"/>
    <w:rsid w:val="00195359"/>
    <w:rsid w:val="00195D33"/>
    <w:rsid w:val="00196951"/>
    <w:rsid w:val="001A08C7"/>
    <w:rsid w:val="001A1C90"/>
    <w:rsid w:val="001A3065"/>
    <w:rsid w:val="001A4384"/>
    <w:rsid w:val="001A5964"/>
    <w:rsid w:val="001A7D5A"/>
    <w:rsid w:val="001A7D67"/>
    <w:rsid w:val="001A7DD4"/>
    <w:rsid w:val="001B2A05"/>
    <w:rsid w:val="001B4442"/>
    <w:rsid w:val="001B660B"/>
    <w:rsid w:val="001C01A0"/>
    <w:rsid w:val="001C0865"/>
    <w:rsid w:val="001C131C"/>
    <w:rsid w:val="001C3ABA"/>
    <w:rsid w:val="001C4386"/>
    <w:rsid w:val="001C45B7"/>
    <w:rsid w:val="001D01D9"/>
    <w:rsid w:val="001D0EB0"/>
    <w:rsid w:val="001D1017"/>
    <w:rsid w:val="001D1900"/>
    <w:rsid w:val="001D2167"/>
    <w:rsid w:val="001D2D97"/>
    <w:rsid w:val="001D3C16"/>
    <w:rsid w:val="001D3EAE"/>
    <w:rsid w:val="001D589E"/>
    <w:rsid w:val="001D5D72"/>
    <w:rsid w:val="001E2189"/>
    <w:rsid w:val="001E47A3"/>
    <w:rsid w:val="001E7BE8"/>
    <w:rsid w:val="001F0248"/>
    <w:rsid w:val="001F0371"/>
    <w:rsid w:val="001F2B73"/>
    <w:rsid w:val="001F3EB3"/>
    <w:rsid w:val="001F3F2D"/>
    <w:rsid w:val="001F5F64"/>
    <w:rsid w:val="001F6651"/>
    <w:rsid w:val="00200627"/>
    <w:rsid w:val="00201069"/>
    <w:rsid w:val="00202C2C"/>
    <w:rsid w:val="00203740"/>
    <w:rsid w:val="00207498"/>
    <w:rsid w:val="00213B56"/>
    <w:rsid w:val="00214642"/>
    <w:rsid w:val="00214DF7"/>
    <w:rsid w:val="00215E9F"/>
    <w:rsid w:val="00216CB4"/>
    <w:rsid w:val="00217B3A"/>
    <w:rsid w:val="00220F11"/>
    <w:rsid w:val="00220FC0"/>
    <w:rsid w:val="0022222C"/>
    <w:rsid w:val="00222EFA"/>
    <w:rsid w:val="0022561B"/>
    <w:rsid w:val="002264B9"/>
    <w:rsid w:val="002300F5"/>
    <w:rsid w:val="00230DD1"/>
    <w:rsid w:val="0023306E"/>
    <w:rsid w:val="00234A7F"/>
    <w:rsid w:val="00234C12"/>
    <w:rsid w:val="00235289"/>
    <w:rsid w:val="00235B55"/>
    <w:rsid w:val="00236118"/>
    <w:rsid w:val="00236CFF"/>
    <w:rsid w:val="00237048"/>
    <w:rsid w:val="00241285"/>
    <w:rsid w:val="00242279"/>
    <w:rsid w:val="002454A1"/>
    <w:rsid w:val="002455FA"/>
    <w:rsid w:val="00245C82"/>
    <w:rsid w:val="00246D0B"/>
    <w:rsid w:val="00247388"/>
    <w:rsid w:val="00247F8D"/>
    <w:rsid w:val="00250D01"/>
    <w:rsid w:val="00251A0B"/>
    <w:rsid w:val="00252398"/>
    <w:rsid w:val="00252AA9"/>
    <w:rsid w:val="00253A55"/>
    <w:rsid w:val="002543F4"/>
    <w:rsid w:val="002565A2"/>
    <w:rsid w:val="002569C1"/>
    <w:rsid w:val="00256E9E"/>
    <w:rsid w:val="0025734E"/>
    <w:rsid w:val="0025762D"/>
    <w:rsid w:val="00260DDA"/>
    <w:rsid w:val="0026175C"/>
    <w:rsid w:val="00261B7B"/>
    <w:rsid w:val="00264408"/>
    <w:rsid w:val="00264D46"/>
    <w:rsid w:val="002654EE"/>
    <w:rsid w:val="002732E7"/>
    <w:rsid w:val="002739C5"/>
    <w:rsid w:val="002774FE"/>
    <w:rsid w:val="00277E07"/>
    <w:rsid w:val="002823D8"/>
    <w:rsid w:val="002830D4"/>
    <w:rsid w:val="0028382B"/>
    <w:rsid w:val="002848DF"/>
    <w:rsid w:val="00285709"/>
    <w:rsid w:val="002858F7"/>
    <w:rsid w:val="00290CE7"/>
    <w:rsid w:val="002910DB"/>
    <w:rsid w:val="00291B40"/>
    <w:rsid w:val="0029267F"/>
    <w:rsid w:val="00296374"/>
    <w:rsid w:val="00296A8B"/>
    <w:rsid w:val="00296BC0"/>
    <w:rsid w:val="0029706D"/>
    <w:rsid w:val="002A4964"/>
    <w:rsid w:val="002A5B8C"/>
    <w:rsid w:val="002A7E95"/>
    <w:rsid w:val="002B1E29"/>
    <w:rsid w:val="002B4008"/>
    <w:rsid w:val="002B5658"/>
    <w:rsid w:val="002B785A"/>
    <w:rsid w:val="002C2804"/>
    <w:rsid w:val="002C4205"/>
    <w:rsid w:val="002C4461"/>
    <w:rsid w:val="002C4B1F"/>
    <w:rsid w:val="002C4FC3"/>
    <w:rsid w:val="002D0E8E"/>
    <w:rsid w:val="002D1972"/>
    <w:rsid w:val="002D1C53"/>
    <w:rsid w:val="002D24B7"/>
    <w:rsid w:val="002D2BC4"/>
    <w:rsid w:val="002D57E5"/>
    <w:rsid w:val="002D66D4"/>
    <w:rsid w:val="002D6B33"/>
    <w:rsid w:val="002E3016"/>
    <w:rsid w:val="002E3520"/>
    <w:rsid w:val="002E45E4"/>
    <w:rsid w:val="002E4B1C"/>
    <w:rsid w:val="002E4F8F"/>
    <w:rsid w:val="002E7377"/>
    <w:rsid w:val="002E7410"/>
    <w:rsid w:val="002F041F"/>
    <w:rsid w:val="002F202A"/>
    <w:rsid w:val="002F2BD8"/>
    <w:rsid w:val="002F66B8"/>
    <w:rsid w:val="00301189"/>
    <w:rsid w:val="003011FA"/>
    <w:rsid w:val="0030265B"/>
    <w:rsid w:val="00302BD7"/>
    <w:rsid w:val="00303164"/>
    <w:rsid w:val="003032AE"/>
    <w:rsid w:val="003034E3"/>
    <w:rsid w:val="00303906"/>
    <w:rsid w:val="00304B3B"/>
    <w:rsid w:val="00305E8C"/>
    <w:rsid w:val="00305EB4"/>
    <w:rsid w:val="003077A8"/>
    <w:rsid w:val="003107AB"/>
    <w:rsid w:val="003120DC"/>
    <w:rsid w:val="0031457E"/>
    <w:rsid w:val="00320360"/>
    <w:rsid w:val="0032068D"/>
    <w:rsid w:val="00323468"/>
    <w:rsid w:val="003235F9"/>
    <w:rsid w:val="00323E09"/>
    <w:rsid w:val="00325A41"/>
    <w:rsid w:val="00326F3A"/>
    <w:rsid w:val="0033302E"/>
    <w:rsid w:val="00333890"/>
    <w:rsid w:val="00333932"/>
    <w:rsid w:val="003347E7"/>
    <w:rsid w:val="00337373"/>
    <w:rsid w:val="0034014F"/>
    <w:rsid w:val="00341142"/>
    <w:rsid w:val="00344284"/>
    <w:rsid w:val="003468D5"/>
    <w:rsid w:val="00350F65"/>
    <w:rsid w:val="003518AA"/>
    <w:rsid w:val="00351A36"/>
    <w:rsid w:val="00352165"/>
    <w:rsid w:val="00353182"/>
    <w:rsid w:val="00355305"/>
    <w:rsid w:val="00356105"/>
    <w:rsid w:val="00356393"/>
    <w:rsid w:val="003565D9"/>
    <w:rsid w:val="00357991"/>
    <w:rsid w:val="00357D05"/>
    <w:rsid w:val="003602E1"/>
    <w:rsid w:val="00360681"/>
    <w:rsid w:val="00360966"/>
    <w:rsid w:val="00360F31"/>
    <w:rsid w:val="00361DBC"/>
    <w:rsid w:val="003652B9"/>
    <w:rsid w:val="003663A9"/>
    <w:rsid w:val="0037026F"/>
    <w:rsid w:val="003711B4"/>
    <w:rsid w:val="00371240"/>
    <w:rsid w:val="003717A0"/>
    <w:rsid w:val="0037278F"/>
    <w:rsid w:val="00374731"/>
    <w:rsid w:val="00374785"/>
    <w:rsid w:val="00374D46"/>
    <w:rsid w:val="00375D00"/>
    <w:rsid w:val="00377642"/>
    <w:rsid w:val="00380FEC"/>
    <w:rsid w:val="0038131C"/>
    <w:rsid w:val="003816BA"/>
    <w:rsid w:val="003816CF"/>
    <w:rsid w:val="003847F1"/>
    <w:rsid w:val="00386103"/>
    <w:rsid w:val="0038651A"/>
    <w:rsid w:val="003919F9"/>
    <w:rsid w:val="00391D22"/>
    <w:rsid w:val="00391DE3"/>
    <w:rsid w:val="003940C2"/>
    <w:rsid w:val="00394225"/>
    <w:rsid w:val="003949D0"/>
    <w:rsid w:val="0039794C"/>
    <w:rsid w:val="00397CD4"/>
    <w:rsid w:val="003A0C20"/>
    <w:rsid w:val="003A15DE"/>
    <w:rsid w:val="003A6415"/>
    <w:rsid w:val="003A7615"/>
    <w:rsid w:val="003A7E99"/>
    <w:rsid w:val="003B072E"/>
    <w:rsid w:val="003B17F2"/>
    <w:rsid w:val="003B19EF"/>
    <w:rsid w:val="003B1EE4"/>
    <w:rsid w:val="003B483E"/>
    <w:rsid w:val="003B58E0"/>
    <w:rsid w:val="003B5A45"/>
    <w:rsid w:val="003C12F8"/>
    <w:rsid w:val="003C38B5"/>
    <w:rsid w:val="003C3B04"/>
    <w:rsid w:val="003C51B1"/>
    <w:rsid w:val="003C540C"/>
    <w:rsid w:val="003C5D99"/>
    <w:rsid w:val="003C6B06"/>
    <w:rsid w:val="003D0980"/>
    <w:rsid w:val="003D27B5"/>
    <w:rsid w:val="003D2A91"/>
    <w:rsid w:val="003D2F81"/>
    <w:rsid w:val="003D4F61"/>
    <w:rsid w:val="003E0838"/>
    <w:rsid w:val="003E0FA6"/>
    <w:rsid w:val="003E1047"/>
    <w:rsid w:val="003E17AD"/>
    <w:rsid w:val="003E2F59"/>
    <w:rsid w:val="003E4365"/>
    <w:rsid w:val="003E4967"/>
    <w:rsid w:val="003E637D"/>
    <w:rsid w:val="003F0789"/>
    <w:rsid w:val="003F07E6"/>
    <w:rsid w:val="003F0F2F"/>
    <w:rsid w:val="003F1AA9"/>
    <w:rsid w:val="003F630D"/>
    <w:rsid w:val="00400398"/>
    <w:rsid w:val="00401218"/>
    <w:rsid w:val="00401882"/>
    <w:rsid w:val="00402080"/>
    <w:rsid w:val="004024A6"/>
    <w:rsid w:val="00403EF6"/>
    <w:rsid w:val="004100C8"/>
    <w:rsid w:val="004101E5"/>
    <w:rsid w:val="00411DBD"/>
    <w:rsid w:val="00412ACE"/>
    <w:rsid w:val="00420160"/>
    <w:rsid w:val="004265E8"/>
    <w:rsid w:val="0042774E"/>
    <w:rsid w:val="00431249"/>
    <w:rsid w:val="00432E1E"/>
    <w:rsid w:val="00434C19"/>
    <w:rsid w:val="0043602B"/>
    <w:rsid w:val="004370DE"/>
    <w:rsid w:val="004376ED"/>
    <w:rsid w:val="004404B1"/>
    <w:rsid w:val="004431BB"/>
    <w:rsid w:val="004445F8"/>
    <w:rsid w:val="00450810"/>
    <w:rsid w:val="00452934"/>
    <w:rsid w:val="00453286"/>
    <w:rsid w:val="004534CD"/>
    <w:rsid w:val="00453B6C"/>
    <w:rsid w:val="004548F4"/>
    <w:rsid w:val="0045719E"/>
    <w:rsid w:val="00460AB4"/>
    <w:rsid w:val="00463B2D"/>
    <w:rsid w:val="004647A4"/>
    <w:rsid w:val="0046600E"/>
    <w:rsid w:val="004661A0"/>
    <w:rsid w:val="00470B45"/>
    <w:rsid w:val="00472FFA"/>
    <w:rsid w:val="00473827"/>
    <w:rsid w:val="0047483A"/>
    <w:rsid w:val="00474C3F"/>
    <w:rsid w:val="00476575"/>
    <w:rsid w:val="00477144"/>
    <w:rsid w:val="00477C45"/>
    <w:rsid w:val="00477CF6"/>
    <w:rsid w:val="00480095"/>
    <w:rsid w:val="004813A0"/>
    <w:rsid w:val="00485376"/>
    <w:rsid w:val="00485B14"/>
    <w:rsid w:val="004903ED"/>
    <w:rsid w:val="00493EC0"/>
    <w:rsid w:val="0049459F"/>
    <w:rsid w:val="00495F0E"/>
    <w:rsid w:val="004A1475"/>
    <w:rsid w:val="004A1D0D"/>
    <w:rsid w:val="004A22EE"/>
    <w:rsid w:val="004A38DD"/>
    <w:rsid w:val="004A3F29"/>
    <w:rsid w:val="004A4788"/>
    <w:rsid w:val="004A48E2"/>
    <w:rsid w:val="004A49C0"/>
    <w:rsid w:val="004A5917"/>
    <w:rsid w:val="004A65D9"/>
    <w:rsid w:val="004A67AF"/>
    <w:rsid w:val="004A6B89"/>
    <w:rsid w:val="004A79E3"/>
    <w:rsid w:val="004B0E41"/>
    <w:rsid w:val="004B43AE"/>
    <w:rsid w:val="004B4C8C"/>
    <w:rsid w:val="004C30ED"/>
    <w:rsid w:val="004C32C8"/>
    <w:rsid w:val="004C3BA2"/>
    <w:rsid w:val="004C461B"/>
    <w:rsid w:val="004D5675"/>
    <w:rsid w:val="004D597E"/>
    <w:rsid w:val="004E5A49"/>
    <w:rsid w:val="004E6863"/>
    <w:rsid w:val="004E6909"/>
    <w:rsid w:val="004F028E"/>
    <w:rsid w:val="004F09ED"/>
    <w:rsid w:val="004F0BB4"/>
    <w:rsid w:val="004F1521"/>
    <w:rsid w:val="004F1863"/>
    <w:rsid w:val="004F21B2"/>
    <w:rsid w:val="004F4826"/>
    <w:rsid w:val="00500318"/>
    <w:rsid w:val="00500672"/>
    <w:rsid w:val="00503552"/>
    <w:rsid w:val="00503BFE"/>
    <w:rsid w:val="00507569"/>
    <w:rsid w:val="00507B9F"/>
    <w:rsid w:val="00507FBC"/>
    <w:rsid w:val="00514173"/>
    <w:rsid w:val="00514670"/>
    <w:rsid w:val="00515537"/>
    <w:rsid w:val="00515A68"/>
    <w:rsid w:val="00515B1B"/>
    <w:rsid w:val="00516953"/>
    <w:rsid w:val="00523639"/>
    <w:rsid w:val="00526360"/>
    <w:rsid w:val="005269F5"/>
    <w:rsid w:val="005305A0"/>
    <w:rsid w:val="00533215"/>
    <w:rsid w:val="00534489"/>
    <w:rsid w:val="00535D12"/>
    <w:rsid w:val="00536E49"/>
    <w:rsid w:val="00537911"/>
    <w:rsid w:val="00540640"/>
    <w:rsid w:val="00541056"/>
    <w:rsid w:val="0054446B"/>
    <w:rsid w:val="0054568F"/>
    <w:rsid w:val="00550100"/>
    <w:rsid w:val="00550343"/>
    <w:rsid w:val="00550857"/>
    <w:rsid w:val="00551F10"/>
    <w:rsid w:val="005521F9"/>
    <w:rsid w:val="005524BB"/>
    <w:rsid w:val="0055583C"/>
    <w:rsid w:val="00555EC1"/>
    <w:rsid w:val="005564B8"/>
    <w:rsid w:val="00556CD4"/>
    <w:rsid w:val="0055733B"/>
    <w:rsid w:val="00557E2E"/>
    <w:rsid w:val="005602B7"/>
    <w:rsid w:val="0056108D"/>
    <w:rsid w:val="00566537"/>
    <w:rsid w:val="00566A02"/>
    <w:rsid w:val="00570F18"/>
    <w:rsid w:val="00571B07"/>
    <w:rsid w:val="0057292A"/>
    <w:rsid w:val="00573068"/>
    <w:rsid w:val="00575870"/>
    <w:rsid w:val="005764A9"/>
    <w:rsid w:val="005764B4"/>
    <w:rsid w:val="00576EA2"/>
    <w:rsid w:val="00581248"/>
    <w:rsid w:val="0058332B"/>
    <w:rsid w:val="00583C39"/>
    <w:rsid w:val="005846A5"/>
    <w:rsid w:val="005909CF"/>
    <w:rsid w:val="00591E71"/>
    <w:rsid w:val="005925B2"/>
    <w:rsid w:val="005951A9"/>
    <w:rsid w:val="005959EB"/>
    <w:rsid w:val="0059658E"/>
    <w:rsid w:val="00597FEB"/>
    <w:rsid w:val="005A0D41"/>
    <w:rsid w:val="005A3BEC"/>
    <w:rsid w:val="005A3E1D"/>
    <w:rsid w:val="005A499C"/>
    <w:rsid w:val="005A58DB"/>
    <w:rsid w:val="005A5E74"/>
    <w:rsid w:val="005A6F7F"/>
    <w:rsid w:val="005B0480"/>
    <w:rsid w:val="005B37AC"/>
    <w:rsid w:val="005B3DE7"/>
    <w:rsid w:val="005B4D90"/>
    <w:rsid w:val="005B533C"/>
    <w:rsid w:val="005B56A2"/>
    <w:rsid w:val="005B5BB6"/>
    <w:rsid w:val="005B5C68"/>
    <w:rsid w:val="005C0DB8"/>
    <w:rsid w:val="005C22C3"/>
    <w:rsid w:val="005C29D3"/>
    <w:rsid w:val="005C2F43"/>
    <w:rsid w:val="005C3154"/>
    <w:rsid w:val="005C391E"/>
    <w:rsid w:val="005C417E"/>
    <w:rsid w:val="005C51B0"/>
    <w:rsid w:val="005C53F7"/>
    <w:rsid w:val="005C5A9F"/>
    <w:rsid w:val="005C5E77"/>
    <w:rsid w:val="005C78C0"/>
    <w:rsid w:val="005C7DA3"/>
    <w:rsid w:val="005D0A18"/>
    <w:rsid w:val="005D18F3"/>
    <w:rsid w:val="005D4B87"/>
    <w:rsid w:val="005D5278"/>
    <w:rsid w:val="005D53DD"/>
    <w:rsid w:val="005D5A71"/>
    <w:rsid w:val="005D63F7"/>
    <w:rsid w:val="005D720B"/>
    <w:rsid w:val="005E3318"/>
    <w:rsid w:val="005E351B"/>
    <w:rsid w:val="005E3725"/>
    <w:rsid w:val="005E43BF"/>
    <w:rsid w:val="005E51D8"/>
    <w:rsid w:val="005F2735"/>
    <w:rsid w:val="005F5AC2"/>
    <w:rsid w:val="005F7540"/>
    <w:rsid w:val="00603BA4"/>
    <w:rsid w:val="0060440F"/>
    <w:rsid w:val="00605CE8"/>
    <w:rsid w:val="00605E2A"/>
    <w:rsid w:val="00607BF1"/>
    <w:rsid w:val="00610AED"/>
    <w:rsid w:val="00610EC9"/>
    <w:rsid w:val="00611896"/>
    <w:rsid w:val="00612E2C"/>
    <w:rsid w:val="006140DD"/>
    <w:rsid w:val="0061640B"/>
    <w:rsid w:val="00622339"/>
    <w:rsid w:val="006230C6"/>
    <w:rsid w:val="00624BD5"/>
    <w:rsid w:val="0062569A"/>
    <w:rsid w:val="00630967"/>
    <w:rsid w:val="00630D4D"/>
    <w:rsid w:val="00632A74"/>
    <w:rsid w:val="00633D9E"/>
    <w:rsid w:val="006354D7"/>
    <w:rsid w:val="00636610"/>
    <w:rsid w:val="00637890"/>
    <w:rsid w:val="00640187"/>
    <w:rsid w:val="00642B9E"/>
    <w:rsid w:val="006433F8"/>
    <w:rsid w:val="00643E0F"/>
    <w:rsid w:val="00643F42"/>
    <w:rsid w:val="00644665"/>
    <w:rsid w:val="00646A8D"/>
    <w:rsid w:val="006508C9"/>
    <w:rsid w:val="006558CC"/>
    <w:rsid w:val="006565B9"/>
    <w:rsid w:val="00656750"/>
    <w:rsid w:val="00660354"/>
    <w:rsid w:val="0066122B"/>
    <w:rsid w:val="00661BE1"/>
    <w:rsid w:val="00664330"/>
    <w:rsid w:val="0066469D"/>
    <w:rsid w:val="00664812"/>
    <w:rsid w:val="00664FF8"/>
    <w:rsid w:val="00667CE1"/>
    <w:rsid w:val="00667E40"/>
    <w:rsid w:val="0067002E"/>
    <w:rsid w:val="00670FA2"/>
    <w:rsid w:val="00675723"/>
    <w:rsid w:val="00675A4B"/>
    <w:rsid w:val="006818B6"/>
    <w:rsid w:val="006837EA"/>
    <w:rsid w:val="006844DA"/>
    <w:rsid w:val="006863FC"/>
    <w:rsid w:val="00691546"/>
    <w:rsid w:val="0069304D"/>
    <w:rsid w:val="00693457"/>
    <w:rsid w:val="006941F9"/>
    <w:rsid w:val="0069661E"/>
    <w:rsid w:val="00696B65"/>
    <w:rsid w:val="00696FD5"/>
    <w:rsid w:val="006A3137"/>
    <w:rsid w:val="006A4655"/>
    <w:rsid w:val="006A5044"/>
    <w:rsid w:val="006A58AD"/>
    <w:rsid w:val="006A658D"/>
    <w:rsid w:val="006A7076"/>
    <w:rsid w:val="006A77E8"/>
    <w:rsid w:val="006B00A0"/>
    <w:rsid w:val="006B15B0"/>
    <w:rsid w:val="006B1994"/>
    <w:rsid w:val="006B1DB0"/>
    <w:rsid w:val="006B2B3C"/>
    <w:rsid w:val="006B3603"/>
    <w:rsid w:val="006B4098"/>
    <w:rsid w:val="006B4518"/>
    <w:rsid w:val="006B6C87"/>
    <w:rsid w:val="006C1D81"/>
    <w:rsid w:val="006C290B"/>
    <w:rsid w:val="006C39B3"/>
    <w:rsid w:val="006C3EEA"/>
    <w:rsid w:val="006C4F98"/>
    <w:rsid w:val="006C5F96"/>
    <w:rsid w:val="006C7038"/>
    <w:rsid w:val="006C743D"/>
    <w:rsid w:val="006C76A2"/>
    <w:rsid w:val="006D255F"/>
    <w:rsid w:val="006D381D"/>
    <w:rsid w:val="006E0859"/>
    <w:rsid w:val="006E4EB9"/>
    <w:rsid w:val="006E5372"/>
    <w:rsid w:val="006E556F"/>
    <w:rsid w:val="006E5857"/>
    <w:rsid w:val="006E7147"/>
    <w:rsid w:val="006E73EF"/>
    <w:rsid w:val="006E77E1"/>
    <w:rsid w:val="006E7ACE"/>
    <w:rsid w:val="006F36A8"/>
    <w:rsid w:val="006F71F4"/>
    <w:rsid w:val="007009A3"/>
    <w:rsid w:val="0070371F"/>
    <w:rsid w:val="00705D45"/>
    <w:rsid w:val="00713453"/>
    <w:rsid w:val="00714D4D"/>
    <w:rsid w:val="00716147"/>
    <w:rsid w:val="007173FE"/>
    <w:rsid w:val="00721C4E"/>
    <w:rsid w:val="00724614"/>
    <w:rsid w:val="00725177"/>
    <w:rsid w:val="00725B49"/>
    <w:rsid w:val="00727A49"/>
    <w:rsid w:val="00731A55"/>
    <w:rsid w:val="00731B60"/>
    <w:rsid w:val="00731C77"/>
    <w:rsid w:val="0073603A"/>
    <w:rsid w:val="00740227"/>
    <w:rsid w:val="007417A7"/>
    <w:rsid w:val="0074336C"/>
    <w:rsid w:val="00746853"/>
    <w:rsid w:val="007501BA"/>
    <w:rsid w:val="007513B7"/>
    <w:rsid w:val="007514DF"/>
    <w:rsid w:val="00752638"/>
    <w:rsid w:val="007573C4"/>
    <w:rsid w:val="007604BB"/>
    <w:rsid w:val="00763333"/>
    <w:rsid w:val="00764B4E"/>
    <w:rsid w:val="007659FA"/>
    <w:rsid w:val="00767C62"/>
    <w:rsid w:val="00770420"/>
    <w:rsid w:val="00776778"/>
    <w:rsid w:val="007777A1"/>
    <w:rsid w:val="00781F57"/>
    <w:rsid w:val="0078400A"/>
    <w:rsid w:val="00785232"/>
    <w:rsid w:val="00785BE5"/>
    <w:rsid w:val="007873FF"/>
    <w:rsid w:val="00787827"/>
    <w:rsid w:val="00787833"/>
    <w:rsid w:val="0079170E"/>
    <w:rsid w:val="0079270F"/>
    <w:rsid w:val="0079324B"/>
    <w:rsid w:val="0079473A"/>
    <w:rsid w:val="00795B51"/>
    <w:rsid w:val="00795FB4"/>
    <w:rsid w:val="00796BE8"/>
    <w:rsid w:val="007A21EB"/>
    <w:rsid w:val="007A254A"/>
    <w:rsid w:val="007A74D9"/>
    <w:rsid w:val="007B0A6F"/>
    <w:rsid w:val="007B0C3A"/>
    <w:rsid w:val="007B1A93"/>
    <w:rsid w:val="007B4C3B"/>
    <w:rsid w:val="007C14B1"/>
    <w:rsid w:val="007C2352"/>
    <w:rsid w:val="007C2886"/>
    <w:rsid w:val="007C2ED4"/>
    <w:rsid w:val="007C36C9"/>
    <w:rsid w:val="007C51C9"/>
    <w:rsid w:val="007C63BE"/>
    <w:rsid w:val="007C7B53"/>
    <w:rsid w:val="007D1183"/>
    <w:rsid w:val="007D13CA"/>
    <w:rsid w:val="007D1666"/>
    <w:rsid w:val="007D1861"/>
    <w:rsid w:val="007D2052"/>
    <w:rsid w:val="007D30CD"/>
    <w:rsid w:val="007D332B"/>
    <w:rsid w:val="007D54A4"/>
    <w:rsid w:val="007D6401"/>
    <w:rsid w:val="007D6C9F"/>
    <w:rsid w:val="007E01E4"/>
    <w:rsid w:val="007E2A16"/>
    <w:rsid w:val="007E3175"/>
    <w:rsid w:val="007E76AA"/>
    <w:rsid w:val="007F051E"/>
    <w:rsid w:val="007F0BC6"/>
    <w:rsid w:val="007F18B1"/>
    <w:rsid w:val="007F1C61"/>
    <w:rsid w:val="007F42A5"/>
    <w:rsid w:val="007F4C7F"/>
    <w:rsid w:val="007F531B"/>
    <w:rsid w:val="007F6CF5"/>
    <w:rsid w:val="007F7107"/>
    <w:rsid w:val="00802035"/>
    <w:rsid w:val="008041F1"/>
    <w:rsid w:val="0081030F"/>
    <w:rsid w:val="00811A5C"/>
    <w:rsid w:val="00812B4D"/>
    <w:rsid w:val="0081332D"/>
    <w:rsid w:val="008148C8"/>
    <w:rsid w:val="008149CD"/>
    <w:rsid w:val="008163F4"/>
    <w:rsid w:val="0082087D"/>
    <w:rsid w:val="00821063"/>
    <w:rsid w:val="00821266"/>
    <w:rsid w:val="00822395"/>
    <w:rsid w:val="00822FEE"/>
    <w:rsid w:val="00824645"/>
    <w:rsid w:val="008254AB"/>
    <w:rsid w:val="008254FD"/>
    <w:rsid w:val="00826785"/>
    <w:rsid w:val="008300A0"/>
    <w:rsid w:val="00830E8C"/>
    <w:rsid w:val="008311F8"/>
    <w:rsid w:val="0083222D"/>
    <w:rsid w:val="0083737A"/>
    <w:rsid w:val="00841199"/>
    <w:rsid w:val="008423B9"/>
    <w:rsid w:val="00842933"/>
    <w:rsid w:val="00845921"/>
    <w:rsid w:val="00845C78"/>
    <w:rsid w:val="00846D16"/>
    <w:rsid w:val="0084764A"/>
    <w:rsid w:val="008511F4"/>
    <w:rsid w:val="00851ADC"/>
    <w:rsid w:val="008525F3"/>
    <w:rsid w:val="00852EDD"/>
    <w:rsid w:val="00853188"/>
    <w:rsid w:val="0085330C"/>
    <w:rsid w:val="00854894"/>
    <w:rsid w:val="0085637D"/>
    <w:rsid w:val="008567C5"/>
    <w:rsid w:val="0085759B"/>
    <w:rsid w:val="0086082C"/>
    <w:rsid w:val="00862BB1"/>
    <w:rsid w:val="00863BC8"/>
    <w:rsid w:val="00864ADC"/>
    <w:rsid w:val="00865D08"/>
    <w:rsid w:val="0086699D"/>
    <w:rsid w:val="008672DE"/>
    <w:rsid w:val="00867805"/>
    <w:rsid w:val="008714ED"/>
    <w:rsid w:val="0087755C"/>
    <w:rsid w:val="00880153"/>
    <w:rsid w:val="0088022B"/>
    <w:rsid w:val="00880F97"/>
    <w:rsid w:val="0088133A"/>
    <w:rsid w:val="00881A6D"/>
    <w:rsid w:val="00882FF0"/>
    <w:rsid w:val="00884F7D"/>
    <w:rsid w:val="00885CF9"/>
    <w:rsid w:val="0089008C"/>
    <w:rsid w:val="0089285E"/>
    <w:rsid w:val="00893557"/>
    <w:rsid w:val="00893B20"/>
    <w:rsid w:val="00893BDC"/>
    <w:rsid w:val="0089436C"/>
    <w:rsid w:val="00896410"/>
    <w:rsid w:val="00897048"/>
    <w:rsid w:val="00897486"/>
    <w:rsid w:val="008A55BD"/>
    <w:rsid w:val="008B0A05"/>
    <w:rsid w:val="008B16A3"/>
    <w:rsid w:val="008B1AF7"/>
    <w:rsid w:val="008B2BDC"/>
    <w:rsid w:val="008B36D5"/>
    <w:rsid w:val="008B3CC8"/>
    <w:rsid w:val="008B3F54"/>
    <w:rsid w:val="008B4BFF"/>
    <w:rsid w:val="008B7DF4"/>
    <w:rsid w:val="008C07E9"/>
    <w:rsid w:val="008C1142"/>
    <w:rsid w:val="008C1722"/>
    <w:rsid w:val="008C1B52"/>
    <w:rsid w:val="008C1EB1"/>
    <w:rsid w:val="008C3E75"/>
    <w:rsid w:val="008C52BD"/>
    <w:rsid w:val="008C5EF8"/>
    <w:rsid w:val="008C6562"/>
    <w:rsid w:val="008C774F"/>
    <w:rsid w:val="008D0F21"/>
    <w:rsid w:val="008D2686"/>
    <w:rsid w:val="008D2A16"/>
    <w:rsid w:val="008D365C"/>
    <w:rsid w:val="008D514A"/>
    <w:rsid w:val="008D6889"/>
    <w:rsid w:val="008E253E"/>
    <w:rsid w:val="008E2B72"/>
    <w:rsid w:val="008E2D80"/>
    <w:rsid w:val="008E3748"/>
    <w:rsid w:val="008E4932"/>
    <w:rsid w:val="008E6400"/>
    <w:rsid w:val="008F3BAC"/>
    <w:rsid w:val="008F44BC"/>
    <w:rsid w:val="008F6C71"/>
    <w:rsid w:val="009001D8"/>
    <w:rsid w:val="00900BED"/>
    <w:rsid w:val="00900E76"/>
    <w:rsid w:val="0090187F"/>
    <w:rsid w:val="0090304E"/>
    <w:rsid w:val="009030BF"/>
    <w:rsid w:val="009048B7"/>
    <w:rsid w:val="0090643C"/>
    <w:rsid w:val="0091032F"/>
    <w:rsid w:val="00913B44"/>
    <w:rsid w:val="00914368"/>
    <w:rsid w:val="0091719F"/>
    <w:rsid w:val="00917639"/>
    <w:rsid w:val="00917DC6"/>
    <w:rsid w:val="00921DA7"/>
    <w:rsid w:val="0092210B"/>
    <w:rsid w:val="00923813"/>
    <w:rsid w:val="00924323"/>
    <w:rsid w:val="009246CB"/>
    <w:rsid w:val="009268B2"/>
    <w:rsid w:val="00931076"/>
    <w:rsid w:val="0093161E"/>
    <w:rsid w:val="00932551"/>
    <w:rsid w:val="009345D9"/>
    <w:rsid w:val="00934B15"/>
    <w:rsid w:val="0093615A"/>
    <w:rsid w:val="0093641B"/>
    <w:rsid w:val="0094136E"/>
    <w:rsid w:val="009417D6"/>
    <w:rsid w:val="00941DB8"/>
    <w:rsid w:val="00942390"/>
    <w:rsid w:val="00942B62"/>
    <w:rsid w:val="00943E36"/>
    <w:rsid w:val="009500E3"/>
    <w:rsid w:val="00950FF1"/>
    <w:rsid w:val="00951DD6"/>
    <w:rsid w:val="009530AC"/>
    <w:rsid w:val="00954920"/>
    <w:rsid w:val="00954D0C"/>
    <w:rsid w:val="00954F6C"/>
    <w:rsid w:val="009560C7"/>
    <w:rsid w:val="00956A0C"/>
    <w:rsid w:val="00956BD9"/>
    <w:rsid w:val="0095798E"/>
    <w:rsid w:val="0096179E"/>
    <w:rsid w:val="00962489"/>
    <w:rsid w:val="00963E67"/>
    <w:rsid w:val="00970019"/>
    <w:rsid w:val="0097209F"/>
    <w:rsid w:val="009738A5"/>
    <w:rsid w:val="009744C5"/>
    <w:rsid w:val="00976EAD"/>
    <w:rsid w:val="009771D2"/>
    <w:rsid w:val="00981E58"/>
    <w:rsid w:val="009845C2"/>
    <w:rsid w:val="00986BBD"/>
    <w:rsid w:val="00987421"/>
    <w:rsid w:val="00990C2C"/>
    <w:rsid w:val="00991FC8"/>
    <w:rsid w:val="00993B20"/>
    <w:rsid w:val="009A1F10"/>
    <w:rsid w:val="009A7BD7"/>
    <w:rsid w:val="009B0999"/>
    <w:rsid w:val="009B1082"/>
    <w:rsid w:val="009B45D0"/>
    <w:rsid w:val="009B7830"/>
    <w:rsid w:val="009B7FE6"/>
    <w:rsid w:val="009C0500"/>
    <w:rsid w:val="009C266A"/>
    <w:rsid w:val="009C2C0A"/>
    <w:rsid w:val="009C4C92"/>
    <w:rsid w:val="009C4EB2"/>
    <w:rsid w:val="009C5133"/>
    <w:rsid w:val="009D0C0C"/>
    <w:rsid w:val="009D1037"/>
    <w:rsid w:val="009D1D1F"/>
    <w:rsid w:val="009D497F"/>
    <w:rsid w:val="009D7D2E"/>
    <w:rsid w:val="009E3634"/>
    <w:rsid w:val="009E55A4"/>
    <w:rsid w:val="009E5D52"/>
    <w:rsid w:val="009E5EF4"/>
    <w:rsid w:val="009E7CEA"/>
    <w:rsid w:val="009F0784"/>
    <w:rsid w:val="009F142E"/>
    <w:rsid w:val="009F696D"/>
    <w:rsid w:val="009F6BC6"/>
    <w:rsid w:val="00A00A69"/>
    <w:rsid w:val="00A00B18"/>
    <w:rsid w:val="00A0614F"/>
    <w:rsid w:val="00A064C9"/>
    <w:rsid w:val="00A10279"/>
    <w:rsid w:val="00A14C45"/>
    <w:rsid w:val="00A169D3"/>
    <w:rsid w:val="00A17328"/>
    <w:rsid w:val="00A2090E"/>
    <w:rsid w:val="00A22983"/>
    <w:rsid w:val="00A23897"/>
    <w:rsid w:val="00A23A20"/>
    <w:rsid w:val="00A23F4F"/>
    <w:rsid w:val="00A26810"/>
    <w:rsid w:val="00A268B9"/>
    <w:rsid w:val="00A2703A"/>
    <w:rsid w:val="00A273D4"/>
    <w:rsid w:val="00A32527"/>
    <w:rsid w:val="00A32A56"/>
    <w:rsid w:val="00A33DFF"/>
    <w:rsid w:val="00A33E8F"/>
    <w:rsid w:val="00A35115"/>
    <w:rsid w:val="00A364EA"/>
    <w:rsid w:val="00A36F7B"/>
    <w:rsid w:val="00A37097"/>
    <w:rsid w:val="00A37223"/>
    <w:rsid w:val="00A44756"/>
    <w:rsid w:val="00A45353"/>
    <w:rsid w:val="00A4648F"/>
    <w:rsid w:val="00A4795C"/>
    <w:rsid w:val="00A510D8"/>
    <w:rsid w:val="00A5121D"/>
    <w:rsid w:val="00A51366"/>
    <w:rsid w:val="00A523DE"/>
    <w:rsid w:val="00A52B85"/>
    <w:rsid w:val="00A5394A"/>
    <w:rsid w:val="00A53D1E"/>
    <w:rsid w:val="00A543A1"/>
    <w:rsid w:val="00A54B15"/>
    <w:rsid w:val="00A554AB"/>
    <w:rsid w:val="00A56A5C"/>
    <w:rsid w:val="00A57128"/>
    <w:rsid w:val="00A60A7F"/>
    <w:rsid w:val="00A60EF0"/>
    <w:rsid w:val="00A60FA1"/>
    <w:rsid w:val="00A6220C"/>
    <w:rsid w:val="00A63E9C"/>
    <w:rsid w:val="00A64263"/>
    <w:rsid w:val="00A65B40"/>
    <w:rsid w:val="00A65B8C"/>
    <w:rsid w:val="00A673FC"/>
    <w:rsid w:val="00A674AD"/>
    <w:rsid w:val="00A70C29"/>
    <w:rsid w:val="00A71666"/>
    <w:rsid w:val="00A720A6"/>
    <w:rsid w:val="00A72C18"/>
    <w:rsid w:val="00A76D97"/>
    <w:rsid w:val="00A80383"/>
    <w:rsid w:val="00A82510"/>
    <w:rsid w:val="00A84B21"/>
    <w:rsid w:val="00A85C2A"/>
    <w:rsid w:val="00A86C79"/>
    <w:rsid w:val="00A904CA"/>
    <w:rsid w:val="00A927D8"/>
    <w:rsid w:val="00A92B53"/>
    <w:rsid w:val="00A932D5"/>
    <w:rsid w:val="00A933F9"/>
    <w:rsid w:val="00A93CB5"/>
    <w:rsid w:val="00A94FA6"/>
    <w:rsid w:val="00A94FC9"/>
    <w:rsid w:val="00A95C7A"/>
    <w:rsid w:val="00A95E94"/>
    <w:rsid w:val="00A95F18"/>
    <w:rsid w:val="00AA178D"/>
    <w:rsid w:val="00AA1FDA"/>
    <w:rsid w:val="00AA455F"/>
    <w:rsid w:val="00AA49A0"/>
    <w:rsid w:val="00AA55BF"/>
    <w:rsid w:val="00AA6710"/>
    <w:rsid w:val="00AA6DC6"/>
    <w:rsid w:val="00AB0681"/>
    <w:rsid w:val="00AB13F6"/>
    <w:rsid w:val="00AB55CC"/>
    <w:rsid w:val="00AB5E24"/>
    <w:rsid w:val="00AB64A9"/>
    <w:rsid w:val="00AC20CA"/>
    <w:rsid w:val="00AC4C19"/>
    <w:rsid w:val="00AC5C4B"/>
    <w:rsid w:val="00AC7CC6"/>
    <w:rsid w:val="00AD03CA"/>
    <w:rsid w:val="00AD2C2F"/>
    <w:rsid w:val="00AD520B"/>
    <w:rsid w:val="00AD695A"/>
    <w:rsid w:val="00AD7F1D"/>
    <w:rsid w:val="00AE045D"/>
    <w:rsid w:val="00AE2584"/>
    <w:rsid w:val="00AE4174"/>
    <w:rsid w:val="00AE5766"/>
    <w:rsid w:val="00AE6CDF"/>
    <w:rsid w:val="00AE6F7E"/>
    <w:rsid w:val="00AE75ED"/>
    <w:rsid w:val="00AF060B"/>
    <w:rsid w:val="00AF0A14"/>
    <w:rsid w:val="00AF1173"/>
    <w:rsid w:val="00AF7D4D"/>
    <w:rsid w:val="00B00029"/>
    <w:rsid w:val="00B030F4"/>
    <w:rsid w:val="00B06E34"/>
    <w:rsid w:val="00B105A2"/>
    <w:rsid w:val="00B108FD"/>
    <w:rsid w:val="00B115C5"/>
    <w:rsid w:val="00B12690"/>
    <w:rsid w:val="00B139E8"/>
    <w:rsid w:val="00B1430E"/>
    <w:rsid w:val="00B151C5"/>
    <w:rsid w:val="00B17EE8"/>
    <w:rsid w:val="00B21EE0"/>
    <w:rsid w:val="00B22120"/>
    <w:rsid w:val="00B22F64"/>
    <w:rsid w:val="00B23127"/>
    <w:rsid w:val="00B24318"/>
    <w:rsid w:val="00B2499A"/>
    <w:rsid w:val="00B25641"/>
    <w:rsid w:val="00B263E2"/>
    <w:rsid w:val="00B26E7C"/>
    <w:rsid w:val="00B30957"/>
    <w:rsid w:val="00B31B15"/>
    <w:rsid w:val="00B32004"/>
    <w:rsid w:val="00B32874"/>
    <w:rsid w:val="00B32D36"/>
    <w:rsid w:val="00B33D6E"/>
    <w:rsid w:val="00B34A05"/>
    <w:rsid w:val="00B37A4B"/>
    <w:rsid w:val="00B41106"/>
    <w:rsid w:val="00B41A9A"/>
    <w:rsid w:val="00B41DF2"/>
    <w:rsid w:val="00B42705"/>
    <w:rsid w:val="00B42A86"/>
    <w:rsid w:val="00B43550"/>
    <w:rsid w:val="00B440AD"/>
    <w:rsid w:val="00B47B5B"/>
    <w:rsid w:val="00B5193F"/>
    <w:rsid w:val="00B53E7E"/>
    <w:rsid w:val="00B5458E"/>
    <w:rsid w:val="00B60223"/>
    <w:rsid w:val="00B60D81"/>
    <w:rsid w:val="00B6342E"/>
    <w:rsid w:val="00B66AE3"/>
    <w:rsid w:val="00B673C1"/>
    <w:rsid w:val="00B701B5"/>
    <w:rsid w:val="00B7113F"/>
    <w:rsid w:val="00B712DA"/>
    <w:rsid w:val="00B72F2E"/>
    <w:rsid w:val="00B74078"/>
    <w:rsid w:val="00B76D1D"/>
    <w:rsid w:val="00B80183"/>
    <w:rsid w:val="00B8079A"/>
    <w:rsid w:val="00B8455F"/>
    <w:rsid w:val="00B8596B"/>
    <w:rsid w:val="00B873B4"/>
    <w:rsid w:val="00B875B6"/>
    <w:rsid w:val="00B9233F"/>
    <w:rsid w:val="00B92DAA"/>
    <w:rsid w:val="00B93CC3"/>
    <w:rsid w:val="00B942F6"/>
    <w:rsid w:val="00B957D6"/>
    <w:rsid w:val="00B95C03"/>
    <w:rsid w:val="00B96734"/>
    <w:rsid w:val="00B967DF"/>
    <w:rsid w:val="00B96876"/>
    <w:rsid w:val="00B96EBF"/>
    <w:rsid w:val="00B97B9A"/>
    <w:rsid w:val="00BA0567"/>
    <w:rsid w:val="00BA2641"/>
    <w:rsid w:val="00BA3E06"/>
    <w:rsid w:val="00BA6EC9"/>
    <w:rsid w:val="00BA73B6"/>
    <w:rsid w:val="00BB1D20"/>
    <w:rsid w:val="00BB2603"/>
    <w:rsid w:val="00BB31D6"/>
    <w:rsid w:val="00BB4A41"/>
    <w:rsid w:val="00BB4FCD"/>
    <w:rsid w:val="00BC0616"/>
    <w:rsid w:val="00BC197C"/>
    <w:rsid w:val="00BC1E1D"/>
    <w:rsid w:val="00BC74FA"/>
    <w:rsid w:val="00BC7835"/>
    <w:rsid w:val="00BD0592"/>
    <w:rsid w:val="00BD08CC"/>
    <w:rsid w:val="00BD13EA"/>
    <w:rsid w:val="00BD3189"/>
    <w:rsid w:val="00BD3311"/>
    <w:rsid w:val="00BD350D"/>
    <w:rsid w:val="00BD409D"/>
    <w:rsid w:val="00BD5CEF"/>
    <w:rsid w:val="00BD755A"/>
    <w:rsid w:val="00BE0F0D"/>
    <w:rsid w:val="00BE1FC6"/>
    <w:rsid w:val="00BE2E65"/>
    <w:rsid w:val="00BE34AB"/>
    <w:rsid w:val="00BE3808"/>
    <w:rsid w:val="00BE3C84"/>
    <w:rsid w:val="00BE464C"/>
    <w:rsid w:val="00BE4802"/>
    <w:rsid w:val="00BE49D9"/>
    <w:rsid w:val="00BE5A73"/>
    <w:rsid w:val="00BF0921"/>
    <w:rsid w:val="00BF0E37"/>
    <w:rsid w:val="00BF2E30"/>
    <w:rsid w:val="00BF4B24"/>
    <w:rsid w:val="00C01BE4"/>
    <w:rsid w:val="00C03E19"/>
    <w:rsid w:val="00C062E9"/>
    <w:rsid w:val="00C07B64"/>
    <w:rsid w:val="00C07D72"/>
    <w:rsid w:val="00C10595"/>
    <w:rsid w:val="00C12AF9"/>
    <w:rsid w:val="00C13721"/>
    <w:rsid w:val="00C168ED"/>
    <w:rsid w:val="00C16A03"/>
    <w:rsid w:val="00C17133"/>
    <w:rsid w:val="00C17B3E"/>
    <w:rsid w:val="00C2042A"/>
    <w:rsid w:val="00C2093E"/>
    <w:rsid w:val="00C20A8A"/>
    <w:rsid w:val="00C22544"/>
    <w:rsid w:val="00C24EF9"/>
    <w:rsid w:val="00C25BCD"/>
    <w:rsid w:val="00C3066D"/>
    <w:rsid w:val="00C30B31"/>
    <w:rsid w:val="00C31675"/>
    <w:rsid w:val="00C31A76"/>
    <w:rsid w:val="00C32042"/>
    <w:rsid w:val="00C374AC"/>
    <w:rsid w:val="00C42CC1"/>
    <w:rsid w:val="00C450EB"/>
    <w:rsid w:val="00C45C08"/>
    <w:rsid w:val="00C47074"/>
    <w:rsid w:val="00C53051"/>
    <w:rsid w:val="00C53C22"/>
    <w:rsid w:val="00C53E0A"/>
    <w:rsid w:val="00C543F4"/>
    <w:rsid w:val="00C5462A"/>
    <w:rsid w:val="00C56E57"/>
    <w:rsid w:val="00C619A9"/>
    <w:rsid w:val="00C61F75"/>
    <w:rsid w:val="00C62753"/>
    <w:rsid w:val="00C6291C"/>
    <w:rsid w:val="00C633CB"/>
    <w:rsid w:val="00C65900"/>
    <w:rsid w:val="00C65AED"/>
    <w:rsid w:val="00C710C0"/>
    <w:rsid w:val="00C7335F"/>
    <w:rsid w:val="00C733B2"/>
    <w:rsid w:val="00C73411"/>
    <w:rsid w:val="00C73618"/>
    <w:rsid w:val="00C73F6D"/>
    <w:rsid w:val="00C7571A"/>
    <w:rsid w:val="00C7788E"/>
    <w:rsid w:val="00C806D5"/>
    <w:rsid w:val="00C813CC"/>
    <w:rsid w:val="00C819AA"/>
    <w:rsid w:val="00C82570"/>
    <w:rsid w:val="00C82775"/>
    <w:rsid w:val="00C829F8"/>
    <w:rsid w:val="00C8587B"/>
    <w:rsid w:val="00C85A1B"/>
    <w:rsid w:val="00C85CBC"/>
    <w:rsid w:val="00C8762C"/>
    <w:rsid w:val="00C92D34"/>
    <w:rsid w:val="00C951AB"/>
    <w:rsid w:val="00C96199"/>
    <w:rsid w:val="00C96BA9"/>
    <w:rsid w:val="00CA00F9"/>
    <w:rsid w:val="00CA2823"/>
    <w:rsid w:val="00CA2961"/>
    <w:rsid w:val="00CA62C0"/>
    <w:rsid w:val="00CA62DC"/>
    <w:rsid w:val="00CA658D"/>
    <w:rsid w:val="00CB257C"/>
    <w:rsid w:val="00CB3DA9"/>
    <w:rsid w:val="00CB4DA4"/>
    <w:rsid w:val="00CB50D7"/>
    <w:rsid w:val="00CB520D"/>
    <w:rsid w:val="00CB7177"/>
    <w:rsid w:val="00CB7F7B"/>
    <w:rsid w:val="00CC0E52"/>
    <w:rsid w:val="00CC1998"/>
    <w:rsid w:val="00CC2303"/>
    <w:rsid w:val="00CC2A76"/>
    <w:rsid w:val="00CC31F8"/>
    <w:rsid w:val="00CC3C39"/>
    <w:rsid w:val="00CC4946"/>
    <w:rsid w:val="00CC5BF4"/>
    <w:rsid w:val="00CC5CBC"/>
    <w:rsid w:val="00CC652B"/>
    <w:rsid w:val="00CC6FF1"/>
    <w:rsid w:val="00CD2C44"/>
    <w:rsid w:val="00CD3EAF"/>
    <w:rsid w:val="00CD71FD"/>
    <w:rsid w:val="00CD781A"/>
    <w:rsid w:val="00CE0EB2"/>
    <w:rsid w:val="00CE2D03"/>
    <w:rsid w:val="00CE2E24"/>
    <w:rsid w:val="00CE571D"/>
    <w:rsid w:val="00CE7E54"/>
    <w:rsid w:val="00CF0C3A"/>
    <w:rsid w:val="00CF18D5"/>
    <w:rsid w:val="00CF3D02"/>
    <w:rsid w:val="00CF5E01"/>
    <w:rsid w:val="00CF5EE7"/>
    <w:rsid w:val="00CF612A"/>
    <w:rsid w:val="00CF62B9"/>
    <w:rsid w:val="00CF745C"/>
    <w:rsid w:val="00CF7CF2"/>
    <w:rsid w:val="00D03CFB"/>
    <w:rsid w:val="00D0579C"/>
    <w:rsid w:val="00D119F1"/>
    <w:rsid w:val="00D11DBB"/>
    <w:rsid w:val="00D16639"/>
    <w:rsid w:val="00D16C86"/>
    <w:rsid w:val="00D17C5D"/>
    <w:rsid w:val="00D17CD2"/>
    <w:rsid w:val="00D206C4"/>
    <w:rsid w:val="00D20941"/>
    <w:rsid w:val="00D219F7"/>
    <w:rsid w:val="00D22C1D"/>
    <w:rsid w:val="00D261C2"/>
    <w:rsid w:val="00D270A4"/>
    <w:rsid w:val="00D31FE9"/>
    <w:rsid w:val="00D32490"/>
    <w:rsid w:val="00D332A4"/>
    <w:rsid w:val="00D339B6"/>
    <w:rsid w:val="00D34E1B"/>
    <w:rsid w:val="00D358F8"/>
    <w:rsid w:val="00D35A05"/>
    <w:rsid w:val="00D376BA"/>
    <w:rsid w:val="00D43714"/>
    <w:rsid w:val="00D47622"/>
    <w:rsid w:val="00D512AC"/>
    <w:rsid w:val="00D53399"/>
    <w:rsid w:val="00D5376B"/>
    <w:rsid w:val="00D54BB9"/>
    <w:rsid w:val="00D54C92"/>
    <w:rsid w:val="00D5568A"/>
    <w:rsid w:val="00D55AE9"/>
    <w:rsid w:val="00D55DD7"/>
    <w:rsid w:val="00D570CB"/>
    <w:rsid w:val="00D60333"/>
    <w:rsid w:val="00D6342B"/>
    <w:rsid w:val="00D63BDA"/>
    <w:rsid w:val="00D63D73"/>
    <w:rsid w:val="00D6597D"/>
    <w:rsid w:val="00D667EE"/>
    <w:rsid w:val="00D66E1E"/>
    <w:rsid w:val="00D74F17"/>
    <w:rsid w:val="00D75722"/>
    <w:rsid w:val="00D75A97"/>
    <w:rsid w:val="00D773A9"/>
    <w:rsid w:val="00D77426"/>
    <w:rsid w:val="00D80F28"/>
    <w:rsid w:val="00D8220E"/>
    <w:rsid w:val="00D826B6"/>
    <w:rsid w:val="00D84E45"/>
    <w:rsid w:val="00D86168"/>
    <w:rsid w:val="00D8693D"/>
    <w:rsid w:val="00D879AE"/>
    <w:rsid w:val="00D90F8D"/>
    <w:rsid w:val="00D91CE2"/>
    <w:rsid w:val="00D95B84"/>
    <w:rsid w:val="00DA4F1D"/>
    <w:rsid w:val="00DA5609"/>
    <w:rsid w:val="00DA5960"/>
    <w:rsid w:val="00DA5BBA"/>
    <w:rsid w:val="00DA6B84"/>
    <w:rsid w:val="00DA7138"/>
    <w:rsid w:val="00DA7DDD"/>
    <w:rsid w:val="00DB08FA"/>
    <w:rsid w:val="00DB4841"/>
    <w:rsid w:val="00DB67C9"/>
    <w:rsid w:val="00DC0C95"/>
    <w:rsid w:val="00DC2954"/>
    <w:rsid w:val="00DC45A6"/>
    <w:rsid w:val="00DC49EC"/>
    <w:rsid w:val="00DC4EA0"/>
    <w:rsid w:val="00DC58C4"/>
    <w:rsid w:val="00DC5C60"/>
    <w:rsid w:val="00DD3CC4"/>
    <w:rsid w:val="00DD45AE"/>
    <w:rsid w:val="00DD4CC5"/>
    <w:rsid w:val="00DD61BF"/>
    <w:rsid w:val="00DD6580"/>
    <w:rsid w:val="00DD7268"/>
    <w:rsid w:val="00DD75AD"/>
    <w:rsid w:val="00DD7C16"/>
    <w:rsid w:val="00DD7C2E"/>
    <w:rsid w:val="00DE2AC2"/>
    <w:rsid w:val="00DE3BD3"/>
    <w:rsid w:val="00DE3D1C"/>
    <w:rsid w:val="00DE559E"/>
    <w:rsid w:val="00DF08AA"/>
    <w:rsid w:val="00DF20A0"/>
    <w:rsid w:val="00E0184C"/>
    <w:rsid w:val="00E06450"/>
    <w:rsid w:val="00E13583"/>
    <w:rsid w:val="00E13F1E"/>
    <w:rsid w:val="00E1489E"/>
    <w:rsid w:val="00E1756C"/>
    <w:rsid w:val="00E17C72"/>
    <w:rsid w:val="00E21FC6"/>
    <w:rsid w:val="00E2340E"/>
    <w:rsid w:val="00E2421F"/>
    <w:rsid w:val="00E27AE1"/>
    <w:rsid w:val="00E27D60"/>
    <w:rsid w:val="00E36845"/>
    <w:rsid w:val="00E4046E"/>
    <w:rsid w:val="00E41555"/>
    <w:rsid w:val="00E431A9"/>
    <w:rsid w:val="00E46316"/>
    <w:rsid w:val="00E500B9"/>
    <w:rsid w:val="00E519F7"/>
    <w:rsid w:val="00E53043"/>
    <w:rsid w:val="00E54C2F"/>
    <w:rsid w:val="00E577E7"/>
    <w:rsid w:val="00E6490A"/>
    <w:rsid w:val="00E655FC"/>
    <w:rsid w:val="00E65850"/>
    <w:rsid w:val="00E65F84"/>
    <w:rsid w:val="00E669E2"/>
    <w:rsid w:val="00E6708C"/>
    <w:rsid w:val="00E7073D"/>
    <w:rsid w:val="00E70E62"/>
    <w:rsid w:val="00E72047"/>
    <w:rsid w:val="00E73C52"/>
    <w:rsid w:val="00E76135"/>
    <w:rsid w:val="00E7664A"/>
    <w:rsid w:val="00E80796"/>
    <w:rsid w:val="00E81933"/>
    <w:rsid w:val="00E848CE"/>
    <w:rsid w:val="00E8747D"/>
    <w:rsid w:val="00E877AF"/>
    <w:rsid w:val="00E91747"/>
    <w:rsid w:val="00E94E42"/>
    <w:rsid w:val="00E96321"/>
    <w:rsid w:val="00E97396"/>
    <w:rsid w:val="00EA0538"/>
    <w:rsid w:val="00EA057D"/>
    <w:rsid w:val="00EA160E"/>
    <w:rsid w:val="00EA1E53"/>
    <w:rsid w:val="00EA4601"/>
    <w:rsid w:val="00EA4EEA"/>
    <w:rsid w:val="00EB142D"/>
    <w:rsid w:val="00EB1A22"/>
    <w:rsid w:val="00EB4206"/>
    <w:rsid w:val="00EB4AC7"/>
    <w:rsid w:val="00EC1A72"/>
    <w:rsid w:val="00EC2844"/>
    <w:rsid w:val="00EC3F3C"/>
    <w:rsid w:val="00EC5E6A"/>
    <w:rsid w:val="00EC6581"/>
    <w:rsid w:val="00EC6D7E"/>
    <w:rsid w:val="00EC7073"/>
    <w:rsid w:val="00ED3143"/>
    <w:rsid w:val="00ED5A99"/>
    <w:rsid w:val="00ED5F8A"/>
    <w:rsid w:val="00EE1E50"/>
    <w:rsid w:val="00EE30A0"/>
    <w:rsid w:val="00EE465A"/>
    <w:rsid w:val="00EE56AD"/>
    <w:rsid w:val="00EE68FA"/>
    <w:rsid w:val="00EE7A7F"/>
    <w:rsid w:val="00EF063F"/>
    <w:rsid w:val="00EF1003"/>
    <w:rsid w:val="00EF285C"/>
    <w:rsid w:val="00EF31E7"/>
    <w:rsid w:val="00EF416C"/>
    <w:rsid w:val="00EF55B3"/>
    <w:rsid w:val="00EF6C6C"/>
    <w:rsid w:val="00EF7581"/>
    <w:rsid w:val="00F00F10"/>
    <w:rsid w:val="00F0131E"/>
    <w:rsid w:val="00F01B6E"/>
    <w:rsid w:val="00F04330"/>
    <w:rsid w:val="00F056FC"/>
    <w:rsid w:val="00F057EA"/>
    <w:rsid w:val="00F10476"/>
    <w:rsid w:val="00F135D8"/>
    <w:rsid w:val="00F139F5"/>
    <w:rsid w:val="00F144E8"/>
    <w:rsid w:val="00F20DAB"/>
    <w:rsid w:val="00F23158"/>
    <w:rsid w:val="00F24B9F"/>
    <w:rsid w:val="00F25AC5"/>
    <w:rsid w:val="00F31299"/>
    <w:rsid w:val="00F3207C"/>
    <w:rsid w:val="00F32494"/>
    <w:rsid w:val="00F327EA"/>
    <w:rsid w:val="00F33358"/>
    <w:rsid w:val="00F3534A"/>
    <w:rsid w:val="00F36255"/>
    <w:rsid w:val="00F37EA5"/>
    <w:rsid w:val="00F404BE"/>
    <w:rsid w:val="00F4132A"/>
    <w:rsid w:val="00F43428"/>
    <w:rsid w:val="00F4749F"/>
    <w:rsid w:val="00F4796B"/>
    <w:rsid w:val="00F515AF"/>
    <w:rsid w:val="00F54590"/>
    <w:rsid w:val="00F54B6B"/>
    <w:rsid w:val="00F550D1"/>
    <w:rsid w:val="00F56DC3"/>
    <w:rsid w:val="00F611D7"/>
    <w:rsid w:val="00F6351A"/>
    <w:rsid w:val="00F63C5D"/>
    <w:rsid w:val="00F64017"/>
    <w:rsid w:val="00F6478D"/>
    <w:rsid w:val="00F6485B"/>
    <w:rsid w:val="00F64958"/>
    <w:rsid w:val="00F71171"/>
    <w:rsid w:val="00F726B9"/>
    <w:rsid w:val="00F72E47"/>
    <w:rsid w:val="00F77794"/>
    <w:rsid w:val="00F7788D"/>
    <w:rsid w:val="00F8099B"/>
    <w:rsid w:val="00F8216D"/>
    <w:rsid w:val="00F85325"/>
    <w:rsid w:val="00F86C62"/>
    <w:rsid w:val="00F92904"/>
    <w:rsid w:val="00F95B3B"/>
    <w:rsid w:val="00F9766D"/>
    <w:rsid w:val="00FA05A8"/>
    <w:rsid w:val="00FA37FA"/>
    <w:rsid w:val="00FA5DE7"/>
    <w:rsid w:val="00FA6B5B"/>
    <w:rsid w:val="00FB02B4"/>
    <w:rsid w:val="00FB0CA7"/>
    <w:rsid w:val="00FB11BC"/>
    <w:rsid w:val="00FB3324"/>
    <w:rsid w:val="00FB3D4A"/>
    <w:rsid w:val="00FB4A82"/>
    <w:rsid w:val="00FB533A"/>
    <w:rsid w:val="00FB5B8E"/>
    <w:rsid w:val="00FB6C89"/>
    <w:rsid w:val="00FB7014"/>
    <w:rsid w:val="00FB7329"/>
    <w:rsid w:val="00FC289E"/>
    <w:rsid w:val="00FC2BCA"/>
    <w:rsid w:val="00FC428A"/>
    <w:rsid w:val="00FC502C"/>
    <w:rsid w:val="00FC511B"/>
    <w:rsid w:val="00FC5637"/>
    <w:rsid w:val="00FD0B56"/>
    <w:rsid w:val="00FD22B1"/>
    <w:rsid w:val="00FD3258"/>
    <w:rsid w:val="00FD3921"/>
    <w:rsid w:val="00FD3C4E"/>
    <w:rsid w:val="00FD7792"/>
    <w:rsid w:val="00FD78F5"/>
    <w:rsid w:val="00FE0999"/>
    <w:rsid w:val="00FE0D78"/>
    <w:rsid w:val="00FE0DE6"/>
    <w:rsid w:val="00FE20A4"/>
    <w:rsid w:val="00FE3136"/>
    <w:rsid w:val="00FE3F0C"/>
    <w:rsid w:val="00FE51DF"/>
    <w:rsid w:val="00FE5239"/>
    <w:rsid w:val="00FE58C0"/>
    <w:rsid w:val="00FE633C"/>
    <w:rsid w:val="00FE725A"/>
    <w:rsid w:val="00FF1534"/>
    <w:rsid w:val="00FF368A"/>
    <w:rsid w:val="00FF4A5F"/>
    <w:rsid w:val="00FF640B"/>
    <w:rsid w:val="00FF6828"/>
    <w:rsid w:val="00FF736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Default Paragraph Font" w:uiPriority="1"/>
    <w:lsdException w:name="Body Text" w:qFormat="1"/>
    <w:lsdException w:name="Subtitle" w:qFormat="1"/>
    <w:lsdException w:name="Hyperlink" w:uiPriority="99"/>
    <w:lsdException w:name="Strong" w:qFormat="1"/>
    <w:lsdException w:name="Plain Text"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727A49"/>
    <w:rPr>
      <w:sz w:val="26"/>
      <w:szCs w:val="24"/>
    </w:rPr>
  </w:style>
  <w:style w:type="paragraph" w:styleId="Heading1">
    <w:name w:val="heading 1"/>
    <w:basedOn w:val="BodyText"/>
    <w:next w:val="BodyText"/>
    <w:rsid w:val="00470B45"/>
    <w:pPr>
      <w:keepNext/>
      <w:spacing w:before="160" w:after="1360" w:line="600" w:lineRule="exact"/>
      <w:ind w:left="907" w:hanging="907"/>
      <w:jc w:val="left"/>
      <w:outlineLvl w:val="0"/>
    </w:pPr>
    <w:rPr>
      <w:sz w:val="52"/>
    </w:rPr>
  </w:style>
  <w:style w:type="paragraph" w:styleId="Heading2">
    <w:name w:val="heading 2"/>
    <w:basedOn w:val="Chapter"/>
    <w:next w:val="BodyText"/>
    <w:link w:val="Heading2Char"/>
    <w:qFormat/>
    <w:rsid w:val="00470B45"/>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470B45"/>
    <w:pPr>
      <w:spacing w:before="560" w:line="320" w:lineRule="exact"/>
      <w:ind w:left="0" w:firstLine="0"/>
      <w:outlineLvl w:val="2"/>
    </w:pPr>
    <w:rPr>
      <w:sz w:val="26"/>
    </w:rPr>
  </w:style>
  <w:style w:type="paragraph" w:styleId="Heading4">
    <w:name w:val="heading 4"/>
    <w:basedOn w:val="Heading3"/>
    <w:next w:val="BodyText"/>
    <w:link w:val="Heading4Char"/>
    <w:qFormat/>
    <w:rsid w:val="00470B45"/>
    <w:pPr>
      <w:spacing w:before="480"/>
      <w:outlineLvl w:val="3"/>
    </w:pPr>
    <w:rPr>
      <w:b w:val="0"/>
      <w:i/>
      <w:sz w:val="24"/>
    </w:rPr>
  </w:style>
  <w:style w:type="paragraph" w:styleId="Heading5">
    <w:name w:val="heading 5"/>
    <w:basedOn w:val="Heading4"/>
    <w:next w:val="BodyText"/>
    <w:link w:val="Heading5Char"/>
    <w:qFormat/>
    <w:rsid w:val="00470B45"/>
    <w:pPr>
      <w:outlineLvl w:val="4"/>
    </w:pPr>
    <w:rPr>
      <w:rFonts w:ascii="Times New Roman" w:hAnsi="Times New Roman"/>
      <w:sz w:val="26"/>
    </w:rPr>
  </w:style>
  <w:style w:type="paragraph" w:styleId="Heading6">
    <w:name w:val="heading 6"/>
    <w:basedOn w:val="BodyText"/>
    <w:next w:val="BodyText"/>
    <w:rsid w:val="00470B45"/>
    <w:pPr>
      <w:spacing w:after="60"/>
      <w:jc w:val="left"/>
      <w:outlineLvl w:val="5"/>
    </w:pPr>
    <w:rPr>
      <w:i/>
      <w:sz w:val="22"/>
    </w:rPr>
  </w:style>
  <w:style w:type="paragraph" w:styleId="Heading7">
    <w:name w:val="heading 7"/>
    <w:basedOn w:val="BodyText"/>
    <w:next w:val="BodyText"/>
    <w:rsid w:val="00470B45"/>
    <w:pPr>
      <w:spacing w:after="60" w:line="240" w:lineRule="auto"/>
      <w:jc w:val="left"/>
      <w:outlineLvl w:val="6"/>
    </w:pPr>
    <w:rPr>
      <w:rFonts w:ascii="Arial" w:hAnsi="Arial"/>
      <w:sz w:val="20"/>
    </w:rPr>
  </w:style>
  <w:style w:type="paragraph" w:styleId="Heading8">
    <w:name w:val="heading 8"/>
    <w:basedOn w:val="BodyText"/>
    <w:next w:val="BodyText"/>
    <w:rsid w:val="00470B45"/>
    <w:pPr>
      <w:spacing w:after="60" w:line="240" w:lineRule="auto"/>
      <w:jc w:val="left"/>
      <w:outlineLvl w:val="7"/>
    </w:pPr>
    <w:rPr>
      <w:rFonts w:ascii="Arial" w:hAnsi="Arial"/>
      <w:i/>
      <w:sz w:val="20"/>
    </w:rPr>
  </w:style>
  <w:style w:type="paragraph" w:styleId="Heading9">
    <w:name w:val="heading 9"/>
    <w:basedOn w:val="BodyText"/>
    <w:next w:val="BodyText"/>
    <w:rsid w:val="00470B45"/>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 Char Char Char,Body Text Char1 Char Char Char Char,Body Text Char Char Char Char Char Char,Body Text Char1 Char Char Char Char Char Char,Body Text1"/>
    <w:link w:val="BodyTextChar"/>
    <w:qFormat/>
    <w:rsid w:val="00470B45"/>
    <w:pPr>
      <w:spacing w:before="240" w:line="320" w:lineRule="atLeast"/>
      <w:jc w:val="both"/>
    </w:pPr>
    <w:rPr>
      <w:sz w:val="26"/>
    </w:rPr>
  </w:style>
  <w:style w:type="paragraph" w:styleId="Footer">
    <w:name w:val="footer"/>
    <w:basedOn w:val="BodyText"/>
    <w:rsid w:val="00470B45"/>
    <w:pPr>
      <w:spacing w:before="80" w:line="200" w:lineRule="exact"/>
      <w:ind w:right="6"/>
      <w:jc w:val="left"/>
    </w:pPr>
    <w:rPr>
      <w:caps/>
      <w:spacing w:val="-4"/>
      <w:sz w:val="16"/>
    </w:rPr>
  </w:style>
  <w:style w:type="paragraph" w:customStyle="1" w:styleId="FooterEnd">
    <w:name w:val="Footer End"/>
    <w:basedOn w:val="Footer"/>
    <w:rsid w:val="00470B45"/>
    <w:pPr>
      <w:spacing w:before="0" w:line="20" w:lineRule="exact"/>
    </w:pPr>
  </w:style>
  <w:style w:type="paragraph" w:styleId="Header">
    <w:name w:val="header"/>
    <w:basedOn w:val="BodyText"/>
    <w:rsid w:val="00470B45"/>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470B45"/>
    <w:pPr>
      <w:spacing w:line="20" w:lineRule="exact"/>
    </w:pPr>
    <w:rPr>
      <w:sz w:val="16"/>
    </w:rPr>
  </w:style>
  <w:style w:type="paragraph" w:customStyle="1" w:styleId="HeaderEven">
    <w:name w:val="Header Even"/>
    <w:basedOn w:val="Header"/>
    <w:rsid w:val="00470B45"/>
  </w:style>
  <w:style w:type="paragraph" w:customStyle="1" w:styleId="HeaderOdd">
    <w:name w:val="Header Odd"/>
    <w:basedOn w:val="Header"/>
    <w:rsid w:val="00470B45"/>
  </w:style>
  <w:style w:type="character" w:styleId="PageNumber">
    <w:name w:val="page number"/>
    <w:basedOn w:val="DefaultParagraphFont"/>
    <w:rsid w:val="00470B45"/>
    <w:rPr>
      <w:rFonts w:ascii="Arial" w:hAnsi="Arial"/>
      <w:b/>
      <w:sz w:val="16"/>
    </w:rPr>
  </w:style>
  <w:style w:type="paragraph" w:customStyle="1" w:styleId="Abbreviation">
    <w:name w:val="Abbreviation"/>
    <w:basedOn w:val="BodyText"/>
    <w:rsid w:val="00470B45"/>
    <w:pPr>
      <w:spacing w:before="120"/>
      <w:ind w:left="2381" w:hanging="2381"/>
      <w:jc w:val="left"/>
    </w:pPr>
  </w:style>
  <w:style w:type="paragraph" w:customStyle="1" w:styleId="Box">
    <w:name w:val="Box"/>
    <w:basedOn w:val="BodyText"/>
    <w:link w:val="BoxChar"/>
    <w:qFormat/>
    <w:rsid w:val="00470B45"/>
    <w:pPr>
      <w:keepNext/>
      <w:spacing w:before="120" w:line="280" w:lineRule="atLeast"/>
    </w:pPr>
    <w:rPr>
      <w:rFonts w:ascii="Arial" w:hAnsi="Arial"/>
      <w:sz w:val="22"/>
    </w:rPr>
  </w:style>
  <w:style w:type="paragraph" w:customStyle="1" w:styleId="BoxContinued">
    <w:name w:val="Box Continued"/>
    <w:basedOn w:val="BodyText"/>
    <w:next w:val="BodyText"/>
    <w:rsid w:val="00470B45"/>
    <w:pPr>
      <w:spacing w:before="180" w:line="220" w:lineRule="exact"/>
      <w:jc w:val="right"/>
    </w:pPr>
    <w:rPr>
      <w:rFonts w:ascii="Arial" w:hAnsi="Arial"/>
      <w:sz w:val="18"/>
    </w:rPr>
  </w:style>
  <w:style w:type="paragraph" w:customStyle="1" w:styleId="BoxHeading1">
    <w:name w:val="Box Heading 1"/>
    <w:basedOn w:val="BodyText"/>
    <w:next w:val="Box"/>
    <w:rsid w:val="00470B45"/>
    <w:pPr>
      <w:keepNext/>
      <w:spacing w:before="200" w:line="280" w:lineRule="atLeast"/>
    </w:pPr>
    <w:rPr>
      <w:rFonts w:ascii="Arial" w:hAnsi="Arial"/>
      <w:b/>
      <w:sz w:val="22"/>
    </w:rPr>
  </w:style>
  <w:style w:type="paragraph" w:customStyle="1" w:styleId="BoxHeading2">
    <w:name w:val="Box Heading 2"/>
    <w:basedOn w:val="BoxHeading1"/>
    <w:next w:val="Normal"/>
    <w:rsid w:val="00470B45"/>
    <w:rPr>
      <w:b w:val="0"/>
      <w:i/>
    </w:rPr>
  </w:style>
  <w:style w:type="paragraph" w:customStyle="1" w:styleId="BoxListBullet">
    <w:name w:val="Box List Bullet"/>
    <w:basedOn w:val="BodyText"/>
    <w:rsid w:val="00470B45"/>
    <w:pPr>
      <w:keepNext/>
      <w:numPr>
        <w:numId w:val="1"/>
      </w:numPr>
      <w:spacing w:before="120" w:line="280" w:lineRule="atLeast"/>
    </w:pPr>
    <w:rPr>
      <w:rFonts w:ascii="Arial" w:hAnsi="Arial"/>
      <w:sz w:val="22"/>
    </w:rPr>
  </w:style>
  <w:style w:type="paragraph" w:customStyle="1" w:styleId="BoxListBullet2">
    <w:name w:val="Box List Bullet 2"/>
    <w:basedOn w:val="BodyText"/>
    <w:rsid w:val="00470B45"/>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470B45"/>
    <w:pPr>
      <w:keepNext/>
      <w:numPr>
        <w:numId w:val="13"/>
      </w:numPr>
      <w:spacing w:before="120" w:line="280" w:lineRule="atLeast"/>
    </w:pPr>
    <w:rPr>
      <w:rFonts w:ascii="Arial" w:hAnsi="Arial"/>
      <w:sz w:val="22"/>
    </w:rPr>
  </w:style>
  <w:style w:type="paragraph" w:customStyle="1" w:styleId="BoxListNumber2">
    <w:name w:val="Box List Number 2"/>
    <w:basedOn w:val="BoxListNumber"/>
    <w:rsid w:val="00470B45"/>
    <w:pPr>
      <w:numPr>
        <w:ilvl w:val="1"/>
      </w:numPr>
      <w:spacing w:before="60"/>
    </w:pPr>
  </w:style>
  <w:style w:type="paragraph" w:customStyle="1" w:styleId="BoxQuote">
    <w:name w:val="Box Quote"/>
    <w:basedOn w:val="BodyText"/>
    <w:next w:val="Box"/>
    <w:rsid w:val="00470B45"/>
    <w:pPr>
      <w:keepNext/>
      <w:spacing w:before="60" w:line="260" w:lineRule="exact"/>
      <w:ind w:left="284"/>
    </w:pPr>
    <w:rPr>
      <w:rFonts w:ascii="Arial" w:hAnsi="Arial"/>
      <w:sz w:val="20"/>
    </w:rPr>
  </w:style>
  <w:style w:type="paragraph" w:customStyle="1" w:styleId="Note">
    <w:name w:val="Note"/>
    <w:basedOn w:val="BodyText"/>
    <w:next w:val="Normal"/>
    <w:rsid w:val="00470B45"/>
    <w:pPr>
      <w:keepLines/>
      <w:spacing w:before="80" w:line="220" w:lineRule="exact"/>
    </w:pPr>
    <w:rPr>
      <w:rFonts w:ascii="Arial" w:hAnsi="Arial"/>
      <w:sz w:val="18"/>
    </w:rPr>
  </w:style>
  <w:style w:type="paragraph" w:customStyle="1" w:styleId="Source">
    <w:name w:val="Source"/>
    <w:basedOn w:val="Note"/>
    <w:next w:val="BodyText"/>
    <w:rsid w:val="00470B45"/>
    <w:pPr>
      <w:spacing w:after="120"/>
    </w:pPr>
  </w:style>
  <w:style w:type="paragraph" w:customStyle="1" w:styleId="BoxSource">
    <w:name w:val="Box Source"/>
    <w:basedOn w:val="Source"/>
    <w:next w:val="BodyText"/>
    <w:rsid w:val="00470B45"/>
    <w:pPr>
      <w:spacing w:before="180" w:after="0"/>
    </w:pPr>
  </w:style>
  <w:style w:type="paragraph" w:customStyle="1" w:styleId="BoxSpace">
    <w:name w:val="Box Space"/>
    <w:basedOn w:val="BodyText"/>
    <w:rsid w:val="00470B45"/>
    <w:pPr>
      <w:keepNext/>
      <w:spacing w:before="360" w:line="80" w:lineRule="exact"/>
      <w:jc w:val="left"/>
    </w:pPr>
  </w:style>
  <w:style w:type="paragraph" w:styleId="Caption">
    <w:name w:val="caption"/>
    <w:basedOn w:val="Normal"/>
    <w:next w:val="BodyText"/>
    <w:rsid w:val="00470B45"/>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470B45"/>
    <w:pPr>
      <w:spacing w:before="120" w:after="0"/>
      <w:ind w:left="1304" w:hanging="1304"/>
    </w:pPr>
  </w:style>
  <w:style w:type="paragraph" w:customStyle="1" w:styleId="BoxSubtitle">
    <w:name w:val="Box Subtitle"/>
    <w:basedOn w:val="BoxTitle"/>
    <w:next w:val="Normal"/>
    <w:rsid w:val="00470B45"/>
    <w:pPr>
      <w:spacing w:after="80" w:line="200" w:lineRule="exact"/>
      <w:ind w:firstLine="0"/>
    </w:pPr>
    <w:rPr>
      <w:b w:val="0"/>
      <w:sz w:val="20"/>
    </w:rPr>
  </w:style>
  <w:style w:type="paragraph" w:customStyle="1" w:styleId="Chapter">
    <w:name w:val="Chapter"/>
    <w:basedOn w:val="Heading1"/>
    <w:next w:val="BodyText"/>
    <w:rsid w:val="00470B45"/>
    <w:pPr>
      <w:ind w:left="0" w:firstLine="0"/>
      <w:outlineLvl w:val="9"/>
    </w:pPr>
  </w:style>
  <w:style w:type="paragraph" w:customStyle="1" w:styleId="ChapterSummary">
    <w:name w:val="Chapter Summary"/>
    <w:basedOn w:val="BodyText"/>
    <w:rsid w:val="00470B45"/>
    <w:pPr>
      <w:ind w:left="907"/>
    </w:pPr>
    <w:rPr>
      <w:rFonts w:ascii="Arial" w:hAnsi="Arial"/>
      <w:b/>
      <w:sz w:val="22"/>
    </w:rPr>
  </w:style>
  <w:style w:type="character" w:styleId="CommentReference">
    <w:name w:val="annotation reference"/>
    <w:basedOn w:val="DefaultParagraphFont"/>
    <w:semiHidden/>
    <w:rsid w:val="00470B45"/>
    <w:rPr>
      <w:b/>
      <w:vanish/>
      <w:color w:val="FF00FF"/>
      <w:sz w:val="20"/>
    </w:rPr>
  </w:style>
  <w:style w:type="paragraph" w:styleId="CommentText">
    <w:name w:val="annotation text"/>
    <w:basedOn w:val="Normal"/>
    <w:link w:val="CommentTextChar"/>
    <w:semiHidden/>
    <w:rsid w:val="00470B45"/>
    <w:pPr>
      <w:spacing w:before="120" w:line="240" w:lineRule="atLeast"/>
      <w:ind w:left="567" w:hanging="567"/>
    </w:pPr>
    <w:rPr>
      <w:sz w:val="20"/>
    </w:rPr>
  </w:style>
  <w:style w:type="paragraph" w:customStyle="1" w:styleId="Continued">
    <w:name w:val="Continued"/>
    <w:basedOn w:val="BoxContinued"/>
    <w:next w:val="BodyText"/>
    <w:rsid w:val="00470B45"/>
  </w:style>
  <w:style w:type="character" w:customStyle="1" w:styleId="DocumentInfo">
    <w:name w:val="Document Info"/>
    <w:basedOn w:val="DefaultParagraphFont"/>
    <w:rsid w:val="00470B45"/>
    <w:rPr>
      <w:rFonts w:ascii="Arial" w:hAnsi="Arial"/>
      <w:sz w:val="14"/>
    </w:rPr>
  </w:style>
  <w:style w:type="character" w:customStyle="1" w:styleId="DraftingNote">
    <w:name w:val="Drafting Note"/>
    <w:basedOn w:val="DefaultParagraphFont"/>
    <w:rsid w:val="00470B45"/>
    <w:rPr>
      <w:b/>
      <w:color w:val="FF0000"/>
      <w:sz w:val="24"/>
      <w:u w:val="dotted"/>
    </w:rPr>
  </w:style>
  <w:style w:type="paragraph" w:customStyle="1" w:styleId="Figure">
    <w:name w:val="Figure"/>
    <w:basedOn w:val="BodyText"/>
    <w:rsid w:val="00470B45"/>
    <w:pPr>
      <w:keepNext/>
      <w:spacing w:before="120" w:after="120" w:line="240" w:lineRule="atLeast"/>
      <w:jc w:val="center"/>
    </w:pPr>
  </w:style>
  <w:style w:type="paragraph" w:customStyle="1" w:styleId="FigureTitle">
    <w:name w:val="Figure Title"/>
    <w:basedOn w:val="Caption"/>
    <w:next w:val="Subtitle"/>
    <w:rsid w:val="00470B45"/>
  </w:style>
  <w:style w:type="paragraph" w:styleId="Subtitle">
    <w:name w:val="Subtitle"/>
    <w:basedOn w:val="Caption"/>
    <w:link w:val="SubtitleChar"/>
    <w:rsid w:val="00470B45"/>
    <w:pPr>
      <w:spacing w:before="0" w:line="200" w:lineRule="exact"/>
      <w:ind w:firstLine="0"/>
    </w:pPr>
    <w:rPr>
      <w:b w:val="0"/>
      <w:sz w:val="20"/>
    </w:rPr>
  </w:style>
  <w:style w:type="paragraph" w:customStyle="1" w:styleId="Finding">
    <w:name w:val="Finding"/>
    <w:basedOn w:val="BodyText"/>
    <w:rsid w:val="00470B45"/>
    <w:pPr>
      <w:keepLines/>
      <w:spacing w:before="180"/>
    </w:pPr>
    <w:rPr>
      <w:i/>
    </w:rPr>
  </w:style>
  <w:style w:type="paragraph" w:customStyle="1" w:styleId="FindingBullet">
    <w:name w:val="Finding Bullet"/>
    <w:basedOn w:val="Finding"/>
    <w:rsid w:val="00470B45"/>
    <w:pPr>
      <w:numPr>
        <w:numId w:val="3"/>
      </w:numPr>
      <w:spacing w:before="80"/>
    </w:pPr>
  </w:style>
  <w:style w:type="paragraph" w:customStyle="1" w:styleId="FindingNoTitle">
    <w:name w:val="Finding NoTitle"/>
    <w:basedOn w:val="Finding"/>
    <w:rsid w:val="00470B45"/>
    <w:pPr>
      <w:spacing w:before="240"/>
    </w:pPr>
  </w:style>
  <w:style w:type="paragraph" w:customStyle="1" w:styleId="RecTitle">
    <w:name w:val="Rec Title"/>
    <w:basedOn w:val="BodyText"/>
    <w:next w:val="Normal"/>
    <w:rsid w:val="00470B45"/>
    <w:pPr>
      <w:keepNext/>
      <w:framePr w:hSpace="181" w:wrap="notBeside" w:vAnchor="text" w:hAnchor="text" w:xAlign="outside" w:y="1"/>
    </w:pPr>
    <w:rPr>
      <w:caps/>
      <w:sz w:val="16"/>
    </w:rPr>
  </w:style>
  <w:style w:type="paragraph" w:customStyle="1" w:styleId="FindingTitle">
    <w:name w:val="Finding Title"/>
    <w:basedOn w:val="RecTitle"/>
    <w:next w:val="Finding"/>
    <w:rsid w:val="00470B45"/>
    <w:pPr>
      <w:framePr w:wrap="notBeside"/>
    </w:pPr>
  </w:style>
  <w:style w:type="character" w:styleId="FootnoteReference">
    <w:name w:val="footnote reference"/>
    <w:basedOn w:val="DefaultParagraphFont"/>
    <w:semiHidden/>
    <w:rsid w:val="00470B45"/>
    <w:rPr>
      <w:rFonts w:ascii="Times New Roman" w:hAnsi="Times New Roman"/>
      <w:position w:val="6"/>
      <w:sz w:val="22"/>
      <w:vertAlign w:val="baseline"/>
    </w:rPr>
  </w:style>
  <w:style w:type="paragraph" w:styleId="FootnoteText">
    <w:name w:val="footnote text"/>
    <w:basedOn w:val="BodyText"/>
    <w:link w:val="FootnoteTextChar"/>
    <w:rsid w:val="00470B4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470B45"/>
    <w:pPr>
      <w:spacing w:before="360" w:after="120"/>
    </w:pPr>
    <w:rPr>
      <w:rFonts w:ascii="Arial" w:hAnsi="Arial"/>
      <w:sz w:val="24"/>
    </w:rPr>
  </w:style>
  <w:style w:type="paragraph" w:customStyle="1" w:styleId="Jurisdictioncommentsbodytext">
    <w:name w:val="Jurisdiction comments body text"/>
    <w:rsid w:val="00470B45"/>
    <w:pPr>
      <w:spacing w:after="140"/>
      <w:jc w:val="both"/>
    </w:pPr>
    <w:rPr>
      <w:rFonts w:ascii="Arial" w:hAnsi="Arial"/>
      <w:sz w:val="24"/>
      <w:lang w:eastAsia="en-US"/>
    </w:rPr>
  </w:style>
  <w:style w:type="paragraph" w:customStyle="1" w:styleId="Jurisdictioncommentsheading">
    <w:name w:val="Jurisdiction comments heading"/>
    <w:rsid w:val="00470B45"/>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470B45"/>
    <w:pPr>
      <w:numPr>
        <w:numId w:val="4"/>
      </w:numPr>
      <w:spacing w:after="140"/>
      <w:jc w:val="both"/>
    </w:pPr>
    <w:rPr>
      <w:rFonts w:ascii="Arial" w:hAnsi="Arial"/>
      <w:sz w:val="24"/>
      <w:lang w:eastAsia="en-US"/>
    </w:rPr>
  </w:style>
  <w:style w:type="paragraph" w:styleId="ListBullet">
    <w:name w:val="List Bullet"/>
    <w:basedOn w:val="BodyText"/>
    <w:rsid w:val="00470B45"/>
    <w:pPr>
      <w:numPr>
        <w:numId w:val="5"/>
      </w:numPr>
      <w:spacing w:before="120"/>
    </w:pPr>
  </w:style>
  <w:style w:type="paragraph" w:styleId="ListBullet2">
    <w:name w:val="List Bullet 2"/>
    <w:basedOn w:val="BodyText"/>
    <w:rsid w:val="00470B45"/>
    <w:pPr>
      <w:numPr>
        <w:numId w:val="6"/>
      </w:numPr>
      <w:spacing w:before="120"/>
    </w:pPr>
  </w:style>
  <w:style w:type="paragraph" w:styleId="ListBullet3">
    <w:name w:val="List Bullet 3"/>
    <w:basedOn w:val="BodyText"/>
    <w:rsid w:val="00470B45"/>
    <w:pPr>
      <w:numPr>
        <w:numId w:val="7"/>
      </w:numPr>
      <w:spacing w:before="120"/>
    </w:pPr>
  </w:style>
  <w:style w:type="paragraph" w:styleId="ListNumber">
    <w:name w:val="List Number"/>
    <w:basedOn w:val="BodyText"/>
    <w:rsid w:val="00470B45"/>
    <w:pPr>
      <w:numPr>
        <w:numId w:val="12"/>
      </w:numPr>
      <w:spacing w:before="120"/>
    </w:pPr>
  </w:style>
  <w:style w:type="paragraph" w:styleId="ListNumber2">
    <w:name w:val="List Number 2"/>
    <w:basedOn w:val="ListNumber"/>
    <w:rsid w:val="00470B45"/>
    <w:pPr>
      <w:numPr>
        <w:ilvl w:val="1"/>
      </w:numPr>
    </w:pPr>
  </w:style>
  <w:style w:type="paragraph" w:styleId="ListNumber3">
    <w:name w:val="List Number 3"/>
    <w:basedOn w:val="ListNumber2"/>
    <w:rsid w:val="00470B45"/>
    <w:pPr>
      <w:numPr>
        <w:ilvl w:val="2"/>
      </w:numPr>
    </w:pPr>
  </w:style>
  <w:style w:type="character" w:customStyle="1" w:styleId="NoteLabel">
    <w:name w:val="Note Label"/>
    <w:basedOn w:val="DefaultParagraphFont"/>
    <w:rsid w:val="00470B45"/>
    <w:rPr>
      <w:rFonts w:ascii="Arial" w:hAnsi="Arial"/>
      <w:b/>
      <w:position w:val="6"/>
      <w:sz w:val="18"/>
    </w:rPr>
  </w:style>
  <w:style w:type="paragraph" w:customStyle="1" w:styleId="PartDivider">
    <w:name w:val="Part Divider"/>
    <w:basedOn w:val="BodyText"/>
    <w:next w:val="BodyText"/>
    <w:rsid w:val="00470B45"/>
    <w:pPr>
      <w:spacing w:before="0" w:line="40" w:lineRule="exact"/>
      <w:jc w:val="right"/>
    </w:pPr>
    <w:rPr>
      <w:smallCaps/>
      <w:sz w:val="16"/>
    </w:rPr>
  </w:style>
  <w:style w:type="paragraph" w:customStyle="1" w:styleId="PartNumber">
    <w:name w:val="Part Number"/>
    <w:basedOn w:val="BodyText"/>
    <w:next w:val="BodyText"/>
    <w:rsid w:val="00470B45"/>
    <w:pPr>
      <w:spacing w:before="4000" w:line="320" w:lineRule="exact"/>
      <w:ind w:left="6634"/>
      <w:jc w:val="right"/>
    </w:pPr>
    <w:rPr>
      <w:smallCaps/>
      <w:spacing w:val="60"/>
      <w:sz w:val="32"/>
    </w:rPr>
  </w:style>
  <w:style w:type="paragraph" w:customStyle="1" w:styleId="PartTitle">
    <w:name w:val="Part Title"/>
    <w:basedOn w:val="BodyText"/>
    <w:rsid w:val="00470B45"/>
    <w:pPr>
      <w:spacing w:before="160" w:after="1360" w:line="520" w:lineRule="exact"/>
      <w:ind w:right="2381"/>
      <w:jc w:val="right"/>
    </w:pPr>
    <w:rPr>
      <w:smallCaps/>
      <w:sz w:val="52"/>
    </w:rPr>
  </w:style>
  <w:style w:type="paragraph" w:styleId="Quote">
    <w:name w:val="Quote"/>
    <w:basedOn w:val="BodyText"/>
    <w:next w:val="BodyText"/>
    <w:link w:val="QuoteChar"/>
    <w:qFormat/>
    <w:rsid w:val="00470B45"/>
    <w:pPr>
      <w:spacing w:before="120" w:line="280" w:lineRule="exact"/>
      <w:ind w:left="340"/>
    </w:pPr>
    <w:rPr>
      <w:sz w:val="24"/>
    </w:rPr>
  </w:style>
  <w:style w:type="paragraph" w:customStyle="1" w:styleId="QuoteBullet">
    <w:name w:val="Quote Bullet"/>
    <w:basedOn w:val="Quote"/>
    <w:rsid w:val="00470B45"/>
    <w:pPr>
      <w:numPr>
        <w:numId w:val="8"/>
      </w:numPr>
    </w:pPr>
  </w:style>
  <w:style w:type="paragraph" w:customStyle="1" w:styleId="Rec">
    <w:name w:val="Rec"/>
    <w:basedOn w:val="BodyText"/>
    <w:rsid w:val="00470B45"/>
    <w:pPr>
      <w:keepLines/>
      <w:spacing w:before="180"/>
    </w:pPr>
    <w:rPr>
      <w:b/>
      <w:i/>
    </w:rPr>
  </w:style>
  <w:style w:type="paragraph" w:customStyle="1" w:styleId="RecBullet">
    <w:name w:val="Rec Bullet"/>
    <w:basedOn w:val="Rec"/>
    <w:rsid w:val="00470B45"/>
    <w:pPr>
      <w:numPr>
        <w:numId w:val="9"/>
      </w:numPr>
      <w:spacing w:before="80"/>
    </w:pPr>
  </w:style>
  <w:style w:type="paragraph" w:customStyle="1" w:styleId="RecB">
    <w:name w:val="RecB"/>
    <w:basedOn w:val="Normal"/>
    <w:rsid w:val="00470B45"/>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470B45"/>
    <w:pPr>
      <w:numPr>
        <w:numId w:val="14"/>
      </w:numPr>
      <w:spacing w:before="80"/>
    </w:pPr>
  </w:style>
  <w:style w:type="paragraph" w:customStyle="1" w:styleId="RecBNoTitle">
    <w:name w:val="RecB NoTitle"/>
    <w:basedOn w:val="RecB"/>
    <w:rsid w:val="00470B45"/>
    <w:pPr>
      <w:spacing w:before="240"/>
    </w:pPr>
  </w:style>
  <w:style w:type="paragraph" w:customStyle="1" w:styleId="Reference">
    <w:name w:val="Reference"/>
    <w:basedOn w:val="BodyText"/>
    <w:rsid w:val="00470B45"/>
    <w:pPr>
      <w:spacing w:before="120"/>
      <w:ind w:left="340" w:hanging="340"/>
    </w:pPr>
  </w:style>
  <w:style w:type="paragraph" w:customStyle="1" w:styleId="SequenceInfo">
    <w:name w:val="Sequence Info"/>
    <w:basedOn w:val="BodyText"/>
    <w:rsid w:val="00470B45"/>
    <w:rPr>
      <w:vanish/>
      <w:sz w:val="16"/>
    </w:rPr>
  </w:style>
  <w:style w:type="paragraph" w:customStyle="1" w:styleId="SideNote">
    <w:name w:val="Side Note"/>
    <w:basedOn w:val="BodyText"/>
    <w:next w:val="BodyText"/>
    <w:rsid w:val="00470B45"/>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rsid w:val="00470B45"/>
    <w:pPr>
      <w:framePr w:wrap="around"/>
      <w:numPr>
        <w:numId w:val="10"/>
      </w:numPr>
      <w:tabs>
        <w:tab w:val="left" w:pos="227"/>
      </w:tabs>
    </w:pPr>
  </w:style>
  <w:style w:type="paragraph" w:customStyle="1" w:styleId="SideNoteGraphic">
    <w:name w:val="Side Note Graphic"/>
    <w:basedOn w:val="SideNote"/>
    <w:next w:val="BodyText"/>
    <w:rsid w:val="00470B45"/>
    <w:pPr>
      <w:framePr w:wrap="around"/>
    </w:pPr>
  </w:style>
  <w:style w:type="paragraph" w:customStyle="1" w:styleId="TableBodyText">
    <w:name w:val="Table Body Text"/>
    <w:basedOn w:val="BodyText"/>
    <w:rsid w:val="00470B45"/>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470B45"/>
    <w:pPr>
      <w:numPr>
        <w:numId w:val="11"/>
      </w:numPr>
      <w:jc w:val="left"/>
    </w:pPr>
  </w:style>
  <w:style w:type="paragraph" w:customStyle="1" w:styleId="TableColumnHeading">
    <w:name w:val="Table Column Heading"/>
    <w:basedOn w:val="TableBodyText"/>
    <w:rsid w:val="00470B45"/>
    <w:pPr>
      <w:spacing w:before="80" w:after="80"/>
    </w:pPr>
    <w:rPr>
      <w:i/>
    </w:rPr>
  </w:style>
  <w:style w:type="paragraph" w:styleId="TOC2">
    <w:name w:val="toc 2"/>
    <w:basedOn w:val="BodyText"/>
    <w:uiPriority w:val="39"/>
    <w:rsid w:val="00470B45"/>
    <w:pPr>
      <w:tabs>
        <w:tab w:val="right" w:pos="8789"/>
      </w:tabs>
      <w:ind w:left="510" w:right="851" w:hanging="510"/>
      <w:jc w:val="left"/>
    </w:pPr>
    <w:rPr>
      <w:b/>
    </w:rPr>
  </w:style>
  <w:style w:type="paragraph" w:styleId="TOC3">
    <w:name w:val="toc 3"/>
    <w:basedOn w:val="TOC2"/>
    <w:uiPriority w:val="39"/>
    <w:rsid w:val="00470B45"/>
    <w:pPr>
      <w:spacing w:before="60"/>
      <w:ind w:left="1190" w:hanging="680"/>
    </w:pPr>
    <w:rPr>
      <w:b w:val="0"/>
    </w:rPr>
  </w:style>
  <w:style w:type="paragraph" w:styleId="TableofFigures">
    <w:name w:val="table of figures"/>
    <w:basedOn w:val="TOC3"/>
    <w:next w:val="BodyText"/>
    <w:semiHidden/>
    <w:rsid w:val="00470B45"/>
    <w:pPr>
      <w:ind w:left="737" w:hanging="737"/>
    </w:pPr>
  </w:style>
  <w:style w:type="paragraph" w:customStyle="1" w:styleId="TableTitle">
    <w:name w:val="Table Title"/>
    <w:basedOn w:val="Caption"/>
    <w:next w:val="Subtitle"/>
    <w:rsid w:val="00470B45"/>
  </w:style>
  <w:style w:type="paragraph" w:customStyle="1" w:styleId="TableUnitsRow">
    <w:name w:val="Table Units Row"/>
    <w:basedOn w:val="TableBodyText"/>
    <w:rsid w:val="00470B45"/>
    <w:pPr>
      <w:spacing w:before="80" w:after="80"/>
    </w:pPr>
  </w:style>
  <w:style w:type="paragraph" w:styleId="TOC1">
    <w:name w:val="toc 1"/>
    <w:basedOn w:val="Normal"/>
    <w:next w:val="TOC2"/>
    <w:uiPriority w:val="39"/>
    <w:rsid w:val="00470B45"/>
    <w:pPr>
      <w:tabs>
        <w:tab w:val="right" w:pos="8789"/>
      </w:tabs>
      <w:spacing w:before="480" w:after="60" w:line="320" w:lineRule="exact"/>
      <w:ind w:left="1191" w:right="851" w:hanging="1191"/>
    </w:pPr>
    <w:rPr>
      <w:b/>
      <w:caps/>
    </w:rPr>
  </w:style>
  <w:style w:type="paragraph" w:styleId="TOC4">
    <w:name w:val="toc 4"/>
    <w:basedOn w:val="TOC3"/>
    <w:semiHidden/>
    <w:rsid w:val="00470B45"/>
    <w:pPr>
      <w:ind w:left="1191" w:firstLine="0"/>
    </w:pPr>
  </w:style>
  <w:style w:type="paragraph" w:customStyle="1" w:styleId="RecBBullet2">
    <w:name w:val="RecB Bullet 2"/>
    <w:basedOn w:val="ListBullet2"/>
    <w:rsid w:val="00470B45"/>
    <w:pPr>
      <w:pBdr>
        <w:left w:val="single" w:sz="24" w:space="29" w:color="C0C0C0"/>
      </w:pBdr>
    </w:pPr>
    <w:rPr>
      <w:b/>
      <w:i/>
    </w:rPr>
  </w:style>
  <w:style w:type="paragraph" w:styleId="BalloonText">
    <w:name w:val="Balloon Text"/>
    <w:basedOn w:val="Normal"/>
    <w:link w:val="BalloonTextChar"/>
    <w:rsid w:val="00470B45"/>
    <w:rPr>
      <w:rFonts w:ascii="Tahoma" w:hAnsi="Tahoma" w:cs="Tahoma"/>
      <w:sz w:val="16"/>
      <w:szCs w:val="16"/>
    </w:rPr>
  </w:style>
  <w:style w:type="character" w:customStyle="1" w:styleId="BalloonTextChar">
    <w:name w:val="Balloon Text Char"/>
    <w:basedOn w:val="DefaultParagraphFont"/>
    <w:link w:val="BalloonText"/>
    <w:rsid w:val="00470B45"/>
    <w:rPr>
      <w:rFonts w:ascii="Tahoma" w:hAnsi="Tahoma" w:cs="Tahoma"/>
      <w:sz w:val="16"/>
      <w:szCs w:val="16"/>
    </w:rPr>
  </w:style>
  <w:style w:type="character" w:customStyle="1" w:styleId="SubtitleChar">
    <w:name w:val="Subtitle Char"/>
    <w:basedOn w:val="DefaultParagraphFont"/>
    <w:link w:val="Subtitle"/>
    <w:rsid w:val="00470B45"/>
    <w:rPr>
      <w:rFonts w:ascii="Arial" w:hAnsi="Arial"/>
      <w:szCs w:val="24"/>
    </w:rPr>
  </w:style>
  <w:style w:type="paragraph" w:customStyle="1" w:styleId="BoxListBullet3">
    <w:name w:val="Box List Bullet 3"/>
    <w:basedOn w:val="ListBullet3"/>
    <w:rsid w:val="00470B45"/>
    <w:pPr>
      <w:spacing w:before="60" w:line="280" w:lineRule="atLeast"/>
      <w:ind w:left="907" w:hanging="340"/>
    </w:pPr>
    <w:rPr>
      <w:rFonts w:ascii="Arial" w:hAnsi="Arial"/>
      <w:sz w:val="22"/>
    </w:rPr>
  </w:style>
  <w:style w:type="character" w:styleId="Emphasis">
    <w:name w:val="Emphasis"/>
    <w:basedOn w:val="DefaultParagraphFont"/>
    <w:rsid w:val="00470B45"/>
    <w:rPr>
      <w:i/>
      <w:iCs/>
    </w:rPr>
  </w:style>
  <w:style w:type="character" w:customStyle="1" w:styleId="BodyTextChar2">
    <w:name w:val="Body Text Char2"/>
    <w:aliases w:val="Body Text Char1 Char,Body Text Char Char Char,Body Text Char1 Char Char Char,Body Text Char Char Char Char Char,Body Text Char1 Char Char Char Char Char,Body Text Char Char Char Char Char Char Char"/>
    <w:locked/>
    <w:rsid w:val="00F36255"/>
    <w:rPr>
      <w:color w:val="000000"/>
      <w:sz w:val="26"/>
      <w:lang w:val="en-AU" w:eastAsia="en-US" w:bidi="ar-SA"/>
    </w:rPr>
  </w:style>
  <w:style w:type="character" w:customStyle="1" w:styleId="BoxChar">
    <w:name w:val="Box Char"/>
    <w:link w:val="Box"/>
    <w:rsid w:val="00F36255"/>
    <w:rPr>
      <w:rFonts w:ascii="Arial" w:hAnsi="Arial"/>
      <w:sz w:val="22"/>
    </w:rPr>
  </w:style>
  <w:style w:type="character" w:styleId="Strong">
    <w:name w:val="Strong"/>
    <w:qFormat/>
    <w:rsid w:val="00F36255"/>
    <w:rPr>
      <w:b/>
      <w:bCs/>
    </w:rPr>
  </w:style>
  <w:style w:type="paragraph" w:customStyle="1" w:styleId="Circulartext">
    <w:name w:val="Circular text"/>
    <w:basedOn w:val="BodyText"/>
    <w:link w:val="CirculartextChar"/>
    <w:rsid w:val="00F36255"/>
    <w:pPr>
      <w:spacing w:line="240" w:lineRule="auto"/>
    </w:pPr>
    <w:rPr>
      <w:rFonts w:ascii="GoudyOlSt BT" w:hAnsi="GoudyOlSt BT"/>
      <w:sz w:val="24"/>
    </w:rPr>
  </w:style>
  <w:style w:type="character" w:customStyle="1" w:styleId="CirculartextChar">
    <w:name w:val="Circular text Char"/>
    <w:link w:val="Circulartext"/>
    <w:locked/>
    <w:rsid w:val="00F36255"/>
    <w:rPr>
      <w:rFonts w:ascii="GoudyOlSt BT" w:hAnsi="GoudyOlSt BT"/>
      <w:sz w:val="24"/>
    </w:rPr>
  </w:style>
  <w:style w:type="character" w:customStyle="1" w:styleId="BodyTextChar">
    <w:name w:val="Body Text Char"/>
    <w:aliases w:val="Body Text Char1 Char1,Body Text Char Char Char1,Body Text Char1 Char Char Char1,Body Text Char Char Char Char Char1,Body Text Char1 Char Char Char Char Char1,Body Text Char Char Char Char Char Char Char1,Body Text1 Char"/>
    <w:link w:val="BodyText"/>
    <w:locked/>
    <w:rsid w:val="007F531B"/>
    <w:rPr>
      <w:sz w:val="26"/>
    </w:rPr>
  </w:style>
  <w:style w:type="table" w:styleId="TableGrid">
    <w:name w:val="Table Grid"/>
    <w:basedOn w:val="TableNormal"/>
    <w:rsid w:val="00F362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semiHidden/>
    <w:rsid w:val="00F36255"/>
    <w:rPr>
      <w:szCs w:val="24"/>
    </w:rPr>
  </w:style>
  <w:style w:type="character" w:customStyle="1" w:styleId="Heading2Char">
    <w:name w:val="Heading 2 Char"/>
    <w:link w:val="Heading2"/>
    <w:rsid w:val="007F531B"/>
    <w:rPr>
      <w:rFonts w:ascii="Arial" w:hAnsi="Arial"/>
      <w:b/>
      <w:sz w:val="32"/>
    </w:rPr>
  </w:style>
  <w:style w:type="character" w:customStyle="1" w:styleId="Heading3Char">
    <w:name w:val="Heading 3 Char"/>
    <w:link w:val="Heading3"/>
    <w:rsid w:val="007F531B"/>
    <w:rPr>
      <w:rFonts w:ascii="Arial" w:hAnsi="Arial"/>
      <w:b/>
      <w:sz w:val="26"/>
    </w:rPr>
  </w:style>
  <w:style w:type="character" w:customStyle="1" w:styleId="Heading4Char">
    <w:name w:val="Heading 4 Char"/>
    <w:link w:val="Heading4"/>
    <w:rsid w:val="007F531B"/>
    <w:rPr>
      <w:rFonts w:ascii="Arial" w:hAnsi="Arial"/>
      <w:i/>
      <w:sz w:val="24"/>
    </w:rPr>
  </w:style>
  <w:style w:type="character" w:customStyle="1" w:styleId="Heading5Char">
    <w:name w:val="Heading 5 Char"/>
    <w:basedOn w:val="DefaultParagraphFont"/>
    <w:link w:val="Heading5"/>
    <w:rsid w:val="007F531B"/>
    <w:rPr>
      <w:i/>
      <w:sz w:val="26"/>
    </w:rPr>
  </w:style>
  <w:style w:type="character" w:customStyle="1" w:styleId="QuoteChar">
    <w:name w:val="Quote Char"/>
    <w:basedOn w:val="DefaultParagraphFont"/>
    <w:link w:val="Quote"/>
    <w:rsid w:val="007F531B"/>
    <w:rPr>
      <w:sz w:val="24"/>
    </w:rPr>
  </w:style>
  <w:style w:type="character" w:customStyle="1" w:styleId="FootnoteTextChar">
    <w:name w:val="Footnote Text Char"/>
    <w:basedOn w:val="DefaultParagraphFont"/>
    <w:link w:val="FootnoteText"/>
    <w:rsid w:val="00F36255"/>
    <w:rPr>
      <w:sz w:val="22"/>
    </w:rPr>
  </w:style>
  <w:style w:type="character" w:styleId="Hyperlink">
    <w:name w:val="Hyperlink"/>
    <w:basedOn w:val="DefaultParagraphFont"/>
    <w:uiPriority w:val="99"/>
    <w:rsid w:val="00F36255"/>
    <w:rPr>
      <w:color w:val="0000FF" w:themeColor="hyperlink"/>
      <w:u w:val="single"/>
    </w:rPr>
  </w:style>
  <w:style w:type="paragraph" w:customStyle="1" w:styleId="BoxQuoteBullet">
    <w:name w:val="Box Quote Bullet"/>
    <w:basedOn w:val="BoxQuote"/>
    <w:next w:val="Box"/>
    <w:rsid w:val="00FB7014"/>
    <w:pPr>
      <w:numPr>
        <w:numId w:val="15"/>
      </w:numPr>
      <w:ind w:left="568" w:hanging="284"/>
    </w:pPr>
  </w:style>
  <w:style w:type="paragraph" w:customStyle="1" w:styleId="InformationRequestBullet">
    <w:name w:val="Information Request Bullet"/>
    <w:basedOn w:val="ListBullet"/>
    <w:next w:val="BodyText"/>
    <w:rsid w:val="00FB7014"/>
    <w:pPr>
      <w:numPr>
        <w:numId w:val="16"/>
      </w:numPr>
    </w:pPr>
    <w:rPr>
      <w:rFonts w:ascii="Arial" w:hAnsi="Arial"/>
      <w:i/>
      <w:sz w:val="24"/>
    </w:rPr>
  </w:style>
  <w:style w:type="paragraph" w:styleId="TOCHeading">
    <w:name w:val="TOC Heading"/>
    <w:basedOn w:val="Heading1"/>
    <w:next w:val="Normal"/>
    <w:uiPriority w:val="39"/>
    <w:semiHidden/>
    <w:unhideWhenUsed/>
    <w:qFormat/>
    <w:rsid w:val="00852EDD"/>
    <w:pPr>
      <w:keepLines/>
      <w:spacing w:before="480" w:after="0" w:line="276" w:lineRule="auto"/>
      <w:ind w:left="0" w:firstLine="0"/>
      <w:outlineLvl w:val="9"/>
    </w:pPr>
    <w:rPr>
      <w:rFonts w:asciiTheme="majorHAnsi" w:eastAsiaTheme="majorEastAsia" w:hAnsiTheme="majorHAnsi" w:cstheme="majorBidi"/>
      <w:b/>
      <w:bCs/>
      <w:color w:val="365F91" w:themeColor="accent1" w:themeShade="BF"/>
      <w:sz w:val="28"/>
      <w:szCs w:val="28"/>
      <w:lang w:val="en-US" w:eastAsia="ja-JP"/>
    </w:rPr>
  </w:style>
  <w:style w:type="paragraph" w:styleId="CommentSubject">
    <w:name w:val="annotation subject"/>
    <w:basedOn w:val="CommentText"/>
    <w:next w:val="CommentText"/>
    <w:link w:val="CommentSubjectChar"/>
    <w:rsid w:val="0009368F"/>
    <w:pPr>
      <w:spacing w:before="0" w:line="240" w:lineRule="auto"/>
      <w:ind w:left="0" w:firstLine="0"/>
    </w:pPr>
    <w:rPr>
      <w:b/>
      <w:bCs/>
      <w:szCs w:val="20"/>
    </w:rPr>
  </w:style>
  <w:style w:type="character" w:customStyle="1" w:styleId="CommentSubjectChar">
    <w:name w:val="Comment Subject Char"/>
    <w:basedOn w:val="CommentTextChar"/>
    <w:link w:val="CommentSubject"/>
    <w:rsid w:val="0009368F"/>
    <w:rPr>
      <w:b/>
      <w:bCs/>
      <w:szCs w:val="24"/>
    </w:rPr>
  </w:style>
  <w:style w:type="paragraph" w:styleId="PlainText">
    <w:name w:val="Plain Text"/>
    <w:basedOn w:val="Normal"/>
    <w:link w:val="PlainTextChar"/>
    <w:uiPriority w:val="99"/>
    <w:unhideWhenUsed/>
    <w:rsid w:val="008F44BC"/>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rsid w:val="008F44BC"/>
    <w:rPr>
      <w:rFonts w:ascii="Calibri" w:eastAsiaTheme="minorHAnsi" w:hAnsi="Calibri" w:cstheme="minorBidi"/>
      <w:sz w:val="22"/>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Default Paragraph Font" w:uiPriority="1"/>
    <w:lsdException w:name="Body Text" w:qFormat="1"/>
    <w:lsdException w:name="Subtitle" w:qFormat="1"/>
    <w:lsdException w:name="Hyperlink" w:uiPriority="99"/>
    <w:lsdException w:name="Strong" w:qFormat="1"/>
    <w:lsdException w:name="Plain Text"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727A49"/>
    <w:rPr>
      <w:sz w:val="26"/>
      <w:szCs w:val="24"/>
    </w:rPr>
  </w:style>
  <w:style w:type="paragraph" w:styleId="Heading1">
    <w:name w:val="heading 1"/>
    <w:basedOn w:val="BodyText"/>
    <w:next w:val="BodyText"/>
    <w:rsid w:val="00470B45"/>
    <w:pPr>
      <w:keepNext/>
      <w:spacing w:before="160" w:after="1360" w:line="600" w:lineRule="exact"/>
      <w:ind w:left="907" w:hanging="907"/>
      <w:jc w:val="left"/>
      <w:outlineLvl w:val="0"/>
    </w:pPr>
    <w:rPr>
      <w:sz w:val="52"/>
    </w:rPr>
  </w:style>
  <w:style w:type="paragraph" w:styleId="Heading2">
    <w:name w:val="heading 2"/>
    <w:basedOn w:val="Chapter"/>
    <w:next w:val="BodyText"/>
    <w:link w:val="Heading2Char"/>
    <w:qFormat/>
    <w:rsid w:val="00470B45"/>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470B45"/>
    <w:pPr>
      <w:spacing w:before="560" w:line="320" w:lineRule="exact"/>
      <w:ind w:left="0" w:firstLine="0"/>
      <w:outlineLvl w:val="2"/>
    </w:pPr>
    <w:rPr>
      <w:sz w:val="26"/>
    </w:rPr>
  </w:style>
  <w:style w:type="paragraph" w:styleId="Heading4">
    <w:name w:val="heading 4"/>
    <w:basedOn w:val="Heading3"/>
    <w:next w:val="BodyText"/>
    <w:link w:val="Heading4Char"/>
    <w:qFormat/>
    <w:rsid w:val="00470B45"/>
    <w:pPr>
      <w:spacing w:before="480"/>
      <w:outlineLvl w:val="3"/>
    </w:pPr>
    <w:rPr>
      <w:b w:val="0"/>
      <w:i/>
      <w:sz w:val="24"/>
    </w:rPr>
  </w:style>
  <w:style w:type="paragraph" w:styleId="Heading5">
    <w:name w:val="heading 5"/>
    <w:basedOn w:val="Heading4"/>
    <w:next w:val="BodyText"/>
    <w:link w:val="Heading5Char"/>
    <w:qFormat/>
    <w:rsid w:val="00470B45"/>
    <w:pPr>
      <w:outlineLvl w:val="4"/>
    </w:pPr>
    <w:rPr>
      <w:rFonts w:ascii="Times New Roman" w:hAnsi="Times New Roman"/>
      <w:sz w:val="26"/>
    </w:rPr>
  </w:style>
  <w:style w:type="paragraph" w:styleId="Heading6">
    <w:name w:val="heading 6"/>
    <w:basedOn w:val="BodyText"/>
    <w:next w:val="BodyText"/>
    <w:rsid w:val="00470B45"/>
    <w:pPr>
      <w:spacing w:after="60"/>
      <w:jc w:val="left"/>
      <w:outlineLvl w:val="5"/>
    </w:pPr>
    <w:rPr>
      <w:i/>
      <w:sz w:val="22"/>
    </w:rPr>
  </w:style>
  <w:style w:type="paragraph" w:styleId="Heading7">
    <w:name w:val="heading 7"/>
    <w:basedOn w:val="BodyText"/>
    <w:next w:val="BodyText"/>
    <w:rsid w:val="00470B45"/>
    <w:pPr>
      <w:spacing w:after="60" w:line="240" w:lineRule="auto"/>
      <w:jc w:val="left"/>
      <w:outlineLvl w:val="6"/>
    </w:pPr>
    <w:rPr>
      <w:rFonts w:ascii="Arial" w:hAnsi="Arial"/>
      <w:sz w:val="20"/>
    </w:rPr>
  </w:style>
  <w:style w:type="paragraph" w:styleId="Heading8">
    <w:name w:val="heading 8"/>
    <w:basedOn w:val="BodyText"/>
    <w:next w:val="BodyText"/>
    <w:rsid w:val="00470B45"/>
    <w:pPr>
      <w:spacing w:after="60" w:line="240" w:lineRule="auto"/>
      <w:jc w:val="left"/>
      <w:outlineLvl w:val="7"/>
    </w:pPr>
    <w:rPr>
      <w:rFonts w:ascii="Arial" w:hAnsi="Arial"/>
      <w:i/>
      <w:sz w:val="20"/>
    </w:rPr>
  </w:style>
  <w:style w:type="paragraph" w:styleId="Heading9">
    <w:name w:val="heading 9"/>
    <w:basedOn w:val="BodyText"/>
    <w:next w:val="BodyText"/>
    <w:rsid w:val="00470B45"/>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 Char Char Char,Body Text Char1 Char Char Char Char,Body Text Char Char Char Char Char Char,Body Text Char1 Char Char Char Char Char Char,Body Text1"/>
    <w:link w:val="BodyTextChar"/>
    <w:qFormat/>
    <w:rsid w:val="00470B45"/>
    <w:pPr>
      <w:spacing w:before="240" w:line="320" w:lineRule="atLeast"/>
      <w:jc w:val="both"/>
    </w:pPr>
    <w:rPr>
      <w:sz w:val="26"/>
    </w:rPr>
  </w:style>
  <w:style w:type="paragraph" w:styleId="Footer">
    <w:name w:val="footer"/>
    <w:basedOn w:val="BodyText"/>
    <w:rsid w:val="00470B45"/>
    <w:pPr>
      <w:spacing w:before="80" w:line="200" w:lineRule="exact"/>
      <w:ind w:right="6"/>
      <w:jc w:val="left"/>
    </w:pPr>
    <w:rPr>
      <w:caps/>
      <w:spacing w:val="-4"/>
      <w:sz w:val="16"/>
    </w:rPr>
  </w:style>
  <w:style w:type="paragraph" w:customStyle="1" w:styleId="FooterEnd">
    <w:name w:val="Footer End"/>
    <w:basedOn w:val="Footer"/>
    <w:rsid w:val="00470B45"/>
    <w:pPr>
      <w:spacing w:before="0" w:line="20" w:lineRule="exact"/>
    </w:pPr>
  </w:style>
  <w:style w:type="paragraph" w:styleId="Header">
    <w:name w:val="header"/>
    <w:basedOn w:val="BodyText"/>
    <w:rsid w:val="00470B45"/>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470B45"/>
    <w:pPr>
      <w:spacing w:line="20" w:lineRule="exact"/>
    </w:pPr>
    <w:rPr>
      <w:sz w:val="16"/>
    </w:rPr>
  </w:style>
  <w:style w:type="paragraph" w:customStyle="1" w:styleId="HeaderEven">
    <w:name w:val="Header Even"/>
    <w:basedOn w:val="Header"/>
    <w:rsid w:val="00470B45"/>
  </w:style>
  <w:style w:type="paragraph" w:customStyle="1" w:styleId="HeaderOdd">
    <w:name w:val="Header Odd"/>
    <w:basedOn w:val="Header"/>
    <w:rsid w:val="00470B45"/>
  </w:style>
  <w:style w:type="character" w:styleId="PageNumber">
    <w:name w:val="page number"/>
    <w:basedOn w:val="DefaultParagraphFont"/>
    <w:rsid w:val="00470B45"/>
    <w:rPr>
      <w:rFonts w:ascii="Arial" w:hAnsi="Arial"/>
      <w:b/>
      <w:sz w:val="16"/>
    </w:rPr>
  </w:style>
  <w:style w:type="paragraph" w:customStyle="1" w:styleId="Abbreviation">
    <w:name w:val="Abbreviation"/>
    <w:basedOn w:val="BodyText"/>
    <w:rsid w:val="00470B45"/>
    <w:pPr>
      <w:spacing w:before="120"/>
      <w:ind w:left="2381" w:hanging="2381"/>
      <w:jc w:val="left"/>
    </w:pPr>
  </w:style>
  <w:style w:type="paragraph" w:customStyle="1" w:styleId="Box">
    <w:name w:val="Box"/>
    <w:basedOn w:val="BodyText"/>
    <w:link w:val="BoxChar"/>
    <w:qFormat/>
    <w:rsid w:val="00470B45"/>
    <w:pPr>
      <w:keepNext/>
      <w:spacing w:before="120" w:line="280" w:lineRule="atLeast"/>
    </w:pPr>
    <w:rPr>
      <w:rFonts w:ascii="Arial" w:hAnsi="Arial"/>
      <w:sz w:val="22"/>
    </w:rPr>
  </w:style>
  <w:style w:type="paragraph" w:customStyle="1" w:styleId="BoxContinued">
    <w:name w:val="Box Continued"/>
    <w:basedOn w:val="BodyText"/>
    <w:next w:val="BodyText"/>
    <w:rsid w:val="00470B45"/>
    <w:pPr>
      <w:spacing w:before="180" w:line="220" w:lineRule="exact"/>
      <w:jc w:val="right"/>
    </w:pPr>
    <w:rPr>
      <w:rFonts w:ascii="Arial" w:hAnsi="Arial"/>
      <w:sz w:val="18"/>
    </w:rPr>
  </w:style>
  <w:style w:type="paragraph" w:customStyle="1" w:styleId="BoxHeading1">
    <w:name w:val="Box Heading 1"/>
    <w:basedOn w:val="BodyText"/>
    <w:next w:val="Box"/>
    <w:rsid w:val="00470B45"/>
    <w:pPr>
      <w:keepNext/>
      <w:spacing w:before="200" w:line="280" w:lineRule="atLeast"/>
    </w:pPr>
    <w:rPr>
      <w:rFonts w:ascii="Arial" w:hAnsi="Arial"/>
      <w:b/>
      <w:sz w:val="22"/>
    </w:rPr>
  </w:style>
  <w:style w:type="paragraph" w:customStyle="1" w:styleId="BoxHeading2">
    <w:name w:val="Box Heading 2"/>
    <w:basedOn w:val="BoxHeading1"/>
    <w:next w:val="Normal"/>
    <w:rsid w:val="00470B45"/>
    <w:rPr>
      <w:b w:val="0"/>
      <w:i/>
    </w:rPr>
  </w:style>
  <w:style w:type="paragraph" w:customStyle="1" w:styleId="BoxListBullet">
    <w:name w:val="Box List Bullet"/>
    <w:basedOn w:val="BodyText"/>
    <w:rsid w:val="00470B45"/>
    <w:pPr>
      <w:keepNext/>
      <w:numPr>
        <w:numId w:val="1"/>
      </w:numPr>
      <w:spacing w:before="120" w:line="280" w:lineRule="atLeast"/>
    </w:pPr>
    <w:rPr>
      <w:rFonts w:ascii="Arial" w:hAnsi="Arial"/>
      <w:sz w:val="22"/>
    </w:rPr>
  </w:style>
  <w:style w:type="paragraph" w:customStyle="1" w:styleId="BoxListBullet2">
    <w:name w:val="Box List Bullet 2"/>
    <w:basedOn w:val="BodyText"/>
    <w:rsid w:val="00470B45"/>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470B45"/>
    <w:pPr>
      <w:keepNext/>
      <w:numPr>
        <w:numId w:val="13"/>
      </w:numPr>
      <w:spacing w:before="120" w:line="280" w:lineRule="atLeast"/>
    </w:pPr>
    <w:rPr>
      <w:rFonts w:ascii="Arial" w:hAnsi="Arial"/>
      <w:sz w:val="22"/>
    </w:rPr>
  </w:style>
  <w:style w:type="paragraph" w:customStyle="1" w:styleId="BoxListNumber2">
    <w:name w:val="Box List Number 2"/>
    <w:basedOn w:val="BoxListNumber"/>
    <w:rsid w:val="00470B45"/>
    <w:pPr>
      <w:numPr>
        <w:ilvl w:val="1"/>
      </w:numPr>
      <w:spacing w:before="60"/>
    </w:pPr>
  </w:style>
  <w:style w:type="paragraph" w:customStyle="1" w:styleId="BoxQuote">
    <w:name w:val="Box Quote"/>
    <w:basedOn w:val="BodyText"/>
    <w:next w:val="Box"/>
    <w:rsid w:val="00470B45"/>
    <w:pPr>
      <w:keepNext/>
      <w:spacing w:before="60" w:line="260" w:lineRule="exact"/>
      <w:ind w:left="284"/>
    </w:pPr>
    <w:rPr>
      <w:rFonts w:ascii="Arial" w:hAnsi="Arial"/>
      <w:sz w:val="20"/>
    </w:rPr>
  </w:style>
  <w:style w:type="paragraph" w:customStyle="1" w:styleId="Note">
    <w:name w:val="Note"/>
    <w:basedOn w:val="BodyText"/>
    <w:next w:val="Normal"/>
    <w:rsid w:val="00470B45"/>
    <w:pPr>
      <w:keepLines/>
      <w:spacing w:before="80" w:line="220" w:lineRule="exact"/>
    </w:pPr>
    <w:rPr>
      <w:rFonts w:ascii="Arial" w:hAnsi="Arial"/>
      <w:sz w:val="18"/>
    </w:rPr>
  </w:style>
  <w:style w:type="paragraph" w:customStyle="1" w:styleId="Source">
    <w:name w:val="Source"/>
    <w:basedOn w:val="Note"/>
    <w:next w:val="BodyText"/>
    <w:rsid w:val="00470B45"/>
    <w:pPr>
      <w:spacing w:after="120"/>
    </w:pPr>
  </w:style>
  <w:style w:type="paragraph" w:customStyle="1" w:styleId="BoxSource">
    <w:name w:val="Box Source"/>
    <w:basedOn w:val="Source"/>
    <w:next w:val="BodyText"/>
    <w:rsid w:val="00470B45"/>
    <w:pPr>
      <w:spacing w:before="180" w:after="0"/>
    </w:pPr>
  </w:style>
  <w:style w:type="paragraph" w:customStyle="1" w:styleId="BoxSpace">
    <w:name w:val="Box Space"/>
    <w:basedOn w:val="BodyText"/>
    <w:rsid w:val="00470B45"/>
    <w:pPr>
      <w:keepNext/>
      <w:spacing w:before="360" w:line="80" w:lineRule="exact"/>
      <w:jc w:val="left"/>
    </w:pPr>
  </w:style>
  <w:style w:type="paragraph" w:styleId="Caption">
    <w:name w:val="caption"/>
    <w:basedOn w:val="Normal"/>
    <w:next w:val="BodyText"/>
    <w:rsid w:val="00470B45"/>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470B45"/>
    <w:pPr>
      <w:spacing w:before="120" w:after="0"/>
      <w:ind w:left="1304" w:hanging="1304"/>
    </w:pPr>
  </w:style>
  <w:style w:type="paragraph" w:customStyle="1" w:styleId="BoxSubtitle">
    <w:name w:val="Box Subtitle"/>
    <w:basedOn w:val="BoxTitle"/>
    <w:next w:val="Normal"/>
    <w:rsid w:val="00470B45"/>
    <w:pPr>
      <w:spacing w:after="80" w:line="200" w:lineRule="exact"/>
      <w:ind w:firstLine="0"/>
    </w:pPr>
    <w:rPr>
      <w:b w:val="0"/>
      <w:sz w:val="20"/>
    </w:rPr>
  </w:style>
  <w:style w:type="paragraph" w:customStyle="1" w:styleId="Chapter">
    <w:name w:val="Chapter"/>
    <w:basedOn w:val="Heading1"/>
    <w:next w:val="BodyText"/>
    <w:rsid w:val="00470B45"/>
    <w:pPr>
      <w:ind w:left="0" w:firstLine="0"/>
      <w:outlineLvl w:val="9"/>
    </w:pPr>
  </w:style>
  <w:style w:type="paragraph" w:customStyle="1" w:styleId="ChapterSummary">
    <w:name w:val="Chapter Summary"/>
    <w:basedOn w:val="BodyText"/>
    <w:rsid w:val="00470B45"/>
    <w:pPr>
      <w:ind w:left="907"/>
    </w:pPr>
    <w:rPr>
      <w:rFonts w:ascii="Arial" w:hAnsi="Arial"/>
      <w:b/>
      <w:sz w:val="22"/>
    </w:rPr>
  </w:style>
  <w:style w:type="character" w:styleId="CommentReference">
    <w:name w:val="annotation reference"/>
    <w:basedOn w:val="DefaultParagraphFont"/>
    <w:semiHidden/>
    <w:rsid w:val="00470B45"/>
    <w:rPr>
      <w:b/>
      <w:vanish/>
      <w:color w:val="FF00FF"/>
      <w:sz w:val="20"/>
    </w:rPr>
  </w:style>
  <w:style w:type="paragraph" w:styleId="CommentText">
    <w:name w:val="annotation text"/>
    <w:basedOn w:val="Normal"/>
    <w:link w:val="CommentTextChar"/>
    <w:semiHidden/>
    <w:rsid w:val="00470B45"/>
    <w:pPr>
      <w:spacing w:before="120" w:line="240" w:lineRule="atLeast"/>
      <w:ind w:left="567" w:hanging="567"/>
    </w:pPr>
    <w:rPr>
      <w:sz w:val="20"/>
    </w:rPr>
  </w:style>
  <w:style w:type="paragraph" w:customStyle="1" w:styleId="Continued">
    <w:name w:val="Continued"/>
    <w:basedOn w:val="BoxContinued"/>
    <w:next w:val="BodyText"/>
    <w:rsid w:val="00470B45"/>
  </w:style>
  <w:style w:type="character" w:customStyle="1" w:styleId="DocumentInfo">
    <w:name w:val="Document Info"/>
    <w:basedOn w:val="DefaultParagraphFont"/>
    <w:rsid w:val="00470B45"/>
    <w:rPr>
      <w:rFonts w:ascii="Arial" w:hAnsi="Arial"/>
      <w:sz w:val="14"/>
    </w:rPr>
  </w:style>
  <w:style w:type="character" w:customStyle="1" w:styleId="DraftingNote">
    <w:name w:val="Drafting Note"/>
    <w:basedOn w:val="DefaultParagraphFont"/>
    <w:rsid w:val="00470B45"/>
    <w:rPr>
      <w:b/>
      <w:color w:val="FF0000"/>
      <w:sz w:val="24"/>
      <w:u w:val="dotted"/>
    </w:rPr>
  </w:style>
  <w:style w:type="paragraph" w:customStyle="1" w:styleId="Figure">
    <w:name w:val="Figure"/>
    <w:basedOn w:val="BodyText"/>
    <w:rsid w:val="00470B45"/>
    <w:pPr>
      <w:keepNext/>
      <w:spacing w:before="120" w:after="120" w:line="240" w:lineRule="atLeast"/>
      <w:jc w:val="center"/>
    </w:pPr>
  </w:style>
  <w:style w:type="paragraph" w:customStyle="1" w:styleId="FigureTitle">
    <w:name w:val="Figure Title"/>
    <w:basedOn w:val="Caption"/>
    <w:next w:val="Subtitle"/>
    <w:rsid w:val="00470B45"/>
  </w:style>
  <w:style w:type="paragraph" w:styleId="Subtitle">
    <w:name w:val="Subtitle"/>
    <w:basedOn w:val="Caption"/>
    <w:link w:val="SubtitleChar"/>
    <w:rsid w:val="00470B45"/>
    <w:pPr>
      <w:spacing w:before="0" w:line="200" w:lineRule="exact"/>
      <w:ind w:firstLine="0"/>
    </w:pPr>
    <w:rPr>
      <w:b w:val="0"/>
      <w:sz w:val="20"/>
    </w:rPr>
  </w:style>
  <w:style w:type="paragraph" w:customStyle="1" w:styleId="Finding">
    <w:name w:val="Finding"/>
    <w:basedOn w:val="BodyText"/>
    <w:rsid w:val="00470B45"/>
    <w:pPr>
      <w:keepLines/>
      <w:spacing w:before="180"/>
    </w:pPr>
    <w:rPr>
      <w:i/>
    </w:rPr>
  </w:style>
  <w:style w:type="paragraph" w:customStyle="1" w:styleId="FindingBullet">
    <w:name w:val="Finding Bullet"/>
    <w:basedOn w:val="Finding"/>
    <w:rsid w:val="00470B45"/>
    <w:pPr>
      <w:numPr>
        <w:numId w:val="3"/>
      </w:numPr>
      <w:spacing w:before="80"/>
    </w:pPr>
  </w:style>
  <w:style w:type="paragraph" w:customStyle="1" w:styleId="FindingNoTitle">
    <w:name w:val="Finding NoTitle"/>
    <w:basedOn w:val="Finding"/>
    <w:rsid w:val="00470B45"/>
    <w:pPr>
      <w:spacing w:before="240"/>
    </w:pPr>
  </w:style>
  <w:style w:type="paragraph" w:customStyle="1" w:styleId="RecTitle">
    <w:name w:val="Rec Title"/>
    <w:basedOn w:val="BodyText"/>
    <w:next w:val="Normal"/>
    <w:rsid w:val="00470B45"/>
    <w:pPr>
      <w:keepNext/>
      <w:framePr w:hSpace="181" w:wrap="notBeside" w:vAnchor="text" w:hAnchor="text" w:xAlign="outside" w:y="1"/>
    </w:pPr>
    <w:rPr>
      <w:caps/>
      <w:sz w:val="16"/>
    </w:rPr>
  </w:style>
  <w:style w:type="paragraph" w:customStyle="1" w:styleId="FindingTitle">
    <w:name w:val="Finding Title"/>
    <w:basedOn w:val="RecTitle"/>
    <w:next w:val="Finding"/>
    <w:rsid w:val="00470B45"/>
    <w:pPr>
      <w:framePr w:wrap="notBeside"/>
    </w:pPr>
  </w:style>
  <w:style w:type="character" w:styleId="FootnoteReference">
    <w:name w:val="footnote reference"/>
    <w:basedOn w:val="DefaultParagraphFont"/>
    <w:semiHidden/>
    <w:rsid w:val="00470B45"/>
    <w:rPr>
      <w:rFonts w:ascii="Times New Roman" w:hAnsi="Times New Roman"/>
      <w:position w:val="6"/>
      <w:sz w:val="22"/>
      <w:vertAlign w:val="baseline"/>
    </w:rPr>
  </w:style>
  <w:style w:type="paragraph" w:styleId="FootnoteText">
    <w:name w:val="footnote text"/>
    <w:basedOn w:val="BodyText"/>
    <w:link w:val="FootnoteTextChar"/>
    <w:rsid w:val="00470B4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470B45"/>
    <w:pPr>
      <w:spacing w:before="360" w:after="120"/>
    </w:pPr>
    <w:rPr>
      <w:rFonts w:ascii="Arial" w:hAnsi="Arial"/>
      <w:sz w:val="24"/>
    </w:rPr>
  </w:style>
  <w:style w:type="paragraph" w:customStyle="1" w:styleId="Jurisdictioncommentsbodytext">
    <w:name w:val="Jurisdiction comments body text"/>
    <w:rsid w:val="00470B45"/>
    <w:pPr>
      <w:spacing w:after="140"/>
      <w:jc w:val="both"/>
    </w:pPr>
    <w:rPr>
      <w:rFonts w:ascii="Arial" w:hAnsi="Arial"/>
      <w:sz w:val="24"/>
      <w:lang w:eastAsia="en-US"/>
    </w:rPr>
  </w:style>
  <w:style w:type="paragraph" w:customStyle="1" w:styleId="Jurisdictioncommentsheading">
    <w:name w:val="Jurisdiction comments heading"/>
    <w:rsid w:val="00470B45"/>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470B45"/>
    <w:pPr>
      <w:numPr>
        <w:numId w:val="4"/>
      </w:numPr>
      <w:spacing w:after="140"/>
      <w:jc w:val="both"/>
    </w:pPr>
    <w:rPr>
      <w:rFonts w:ascii="Arial" w:hAnsi="Arial"/>
      <w:sz w:val="24"/>
      <w:lang w:eastAsia="en-US"/>
    </w:rPr>
  </w:style>
  <w:style w:type="paragraph" w:styleId="ListBullet">
    <w:name w:val="List Bullet"/>
    <w:basedOn w:val="BodyText"/>
    <w:rsid w:val="00470B45"/>
    <w:pPr>
      <w:numPr>
        <w:numId w:val="5"/>
      </w:numPr>
      <w:spacing w:before="120"/>
    </w:pPr>
  </w:style>
  <w:style w:type="paragraph" w:styleId="ListBullet2">
    <w:name w:val="List Bullet 2"/>
    <w:basedOn w:val="BodyText"/>
    <w:rsid w:val="00470B45"/>
    <w:pPr>
      <w:numPr>
        <w:numId w:val="6"/>
      </w:numPr>
      <w:spacing w:before="120"/>
    </w:pPr>
  </w:style>
  <w:style w:type="paragraph" w:styleId="ListBullet3">
    <w:name w:val="List Bullet 3"/>
    <w:basedOn w:val="BodyText"/>
    <w:rsid w:val="00470B45"/>
    <w:pPr>
      <w:numPr>
        <w:numId w:val="7"/>
      </w:numPr>
      <w:spacing w:before="120"/>
    </w:pPr>
  </w:style>
  <w:style w:type="paragraph" w:styleId="ListNumber">
    <w:name w:val="List Number"/>
    <w:basedOn w:val="BodyText"/>
    <w:rsid w:val="00470B45"/>
    <w:pPr>
      <w:numPr>
        <w:numId w:val="12"/>
      </w:numPr>
      <w:spacing w:before="120"/>
    </w:pPr>
  </w:style>
  <w:style w:type="paragraph" w:styleId="ListNumber2">
    <w:name w:val="List Number 2"/>
    <w:basedOn w:val="ListNumber"/>
    <w:rsid w:val="00470B45"/>
    <w:pPr>
      <w:numPr>
        <w:ilvl w:val="1"/>
      </w:numPr>
    </w:pPr>
  </w:style>
  <w:style w:type="paragraph" w:styleId="ListNumber3">
    <w:name w:val="List Number 3"/>
    <w:basedOn w:val="ListNumber2"/>
    <w:rsid w:val="00470B45"/>
    <w:pPr>
      <w:numPr>
        <w:ilvl w:val="2"/>
      </w:numPr>
    </w:pPr>
  </w:style>
  <w:style w:type="character" w:customStyle="1" w:styleId="NoteLabel">
    <w:name w:val="Note Label"/>
    <w:basedOn w:val="DefaultParagraphFont"/>
    <w:rsid w:val="00470B45"/>
    <w:rPr>
      <w:rFonts w:ascii="Arial" w:hAnsi="Arial"/>
      <w:b/>
      <w:position w:val="6"/>
      <w:sz w:val="18"/>
    </w:rPr>
  </w:style>
  <w:style w:type="paragraph" w:customStyle="1" w:styleId="PartDivider">
    <w:name w:val="Part Divider"/>
    <w:basedOn w:val="BodyText"/>
    <w:next w:val="BodyText"/>
    <w:rsid w:val="00470B45"/>
    <w:pPr>
      <w:spacing w:before="0" w:line="40" w:lineRule="exact"/>
      <w:jc w:val="right"/>
    </w:pPr>
    <w:rPr>
      <w:smallCaps/>
      <w:sz w:val="16"/>
    </w:rPr>
  </w:style>
  <w:style w:type="paragraph" w:customStyle="1" w:styleId="PartNumber">
    <w:name w:val="Part Number"/>
    <w:basedOn w:val="BodyText"/>
    <w:next w:val="BodyText"/>
    <w:rsid w:val="00470B45"/>
    <w:pPr>
      <w:spacing w:before="4000" w:line="320" w:lineRule="exact"/>
      <w:ind w:left="6634"/>
      <w:jc w:val="right"/>
    </w:pPr>
    <w:rPr>
      <w:smallCaps/>
      <w:spacing w:val="60"/>
      <w:sz w:val="32"/>
    </w:rPr>
  </w:style>
  <w:style w:type="paragraph" w:customStyle="1" w:styleId="PartTitle">
    <w:name w:val="Part Title"/>
    <w:basedOn w:val="BodyText"/>
    <w:rsid w:val="00470B45"/>
    <w:pPr>
      <w:spacing w:before="160" w:after="1360" w:line="520" w:lineRule="exact"/>
      <w:ind w:right="2381"/>
      <w:jc w:val="right"/>
    </w:pPr>
    <w:rPr>
      <w:smallCaps/>
      <w:sz w:val="52"/>
    </w:rPr>
  </w:style>
  <w:style w:type="paragraph" w:styleId="Quote">
    <w:name w:val="Quote"/>
    <w:basedOn w:val="BodyText"/>
    <w:next w:val="BodyText"/>
    <w:link w:val="QuoteChar"/>
    <w:qFormat/>
    <w:rsid w:val="00470B45"/>
    <w:pPr>
      <w:spacing w:before="120" w:line="280" w:lineRule="exact"/>
      <w:ind w:left="340"/>
    </w:pPr>
    <w:rPr>
      <w:sz w:val="24"/>
    </w:rPr>
  </w:style>
  <w:style w:type="paragraph" w:customStyle="1" w:styleId="QuoteBullet">
    <w:name w:val="Quote Bullet"/>
    <w:basedOn w:val="Quote"/>
    <w:rsid w:val="00470B45"/>
    <w:pPr>
      <w:numPr>
        <w:numId w:val="8"/>
      </w:numPr>
    </w:pPr>
  </w:style>
  <w:style w:type="paragraph" w:customStyle="1" w:styleId="Rec">
    <w:name w:val="Rec"/>
    <w:basedOn w:val="BodyText"/>
    <w:rsid w:val="00470B45"/>
    <w:pPr>
      <w:keepLines/>
      <w:spacing w:before="180"/>
    </w:pPr>
    <w:rPr>
      <w:b/>
      <w:i/>
    </w:rPr>
  </w:style>
  <w:style w:type="paragraph" w:customStyle="1" w:styleId="RecBullet">
    <w:name w:val="Rec Bullet"/>
    <w:basedOn w:val="Rec"/>
    <w:rsid w:val="00470B45"/>
    <w:pPr>
      <w:numPr>
        <w:numId w:val="9"/>
      </w:numPr>
      <w:spacing w:before="80"/>
    </w:pPr>
  </w:style>
  <w:style w:type="paragraph" w:customStyle="1" w:styleId="RecB">
    <w:name w:val="RecB"/>
    <w:basedOn w:val="Normal"/>
    <w:rsid w:val="00470B45"/>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470B45"/>
    <w:pPr>
      <w:numPr>
        <w:numId w:val="14"/>
      </w:numPr>
      <w:spacing w:before="80"/>
    </w:pPr>
  </w:style>
  <w:style w:type="paragraph" w:customStyle="1" w:styleId="RecBNoTitle">
    <w:name w:val="RecB NoTitle"/>
    <w:basedOn w:val="RecB"/>
    <w:rsid w:val="00470B45"/>
    <w:pPr>
      <w:spacing w:before="240"/>
    </w:pPr>
  </w:style>
  <w:style w:type="paragraph" w:customStyle="1" w:styleId="Reference">
    <w:name w:val="Reference"/>
    <w:basedOn w:val="BodyText"/>
    <w:rsid w:val="00470B45"/>
    <w:pPr>
      <w:spacing w:before="120"/>
      <w:ind w:left="340" w:hanging="340"/>
    </w:pPr>
  </w:style>
  <w:style w:type="paragraph" w:customStyle="1" w:styleId="SequenceInfo">
    <w:name w:val="Sequence Info"/>
    <w:basedOn w:val="BodyText"/>
    <w:rsid w:val="00470B45"/>
    <w:rPr>
      <w:vanish/>
      <w:sz w:val="16"/>
    </w:rPr>
  </w:style>
  <w:style w:type="paragraph" w:customStyle="1" w:styleId="SideNote">
    <w:name w:val="Side Note"/>
    <w:basedOn w:val="BodyText"/>
    <w:next w:val="BodyText"/>
    <w:rsid w:val="00470B45"/>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rsid w:val="00470B45"/>
    <w:pPr>
      <w:framePr w:wrap="around"/>
      <w:numPr>
        <w:numId w:val="10"/>
      </w:numPr>
      <w:tabs>
        <w:tab w:val="left" w:pos="227"/>
      </w:tabs>
    </w:pPr>
  </w:style>
  <w:style w:type="paragraph" w:customStyle="1" w:styleId="SideNoteGraphic">
    <w:name w:val="Side Note Graphic"/>
    <w:basedOn w:val="SideNote"/>
    <w:next w:val="BodyText"/>
    <w:rsid w:val="00470B45"/>
    <w:pPr>
      <w:framePr w:wrap="around"/>
    </w:pPr>
  </w:style>
  <w:style w:type="paragraph" w:customStyle="1" w:styleId="TableBodyText">
    <w:name w:val="Table Body Text"/>
    <w:basedOn w:val="BodyText"/>
    <w:rsid w:val="00470B45"/>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470B45"/>
    <w:pPr>
      <w:numPr>
        <w:numId w:val="11"/>
      </w:numPr>
      <w:jc w:val="left"/>
    </w:pPr>
  </w:style>
  <w:style w:type="paragraph" w:customStyle="1" w:styleId="TableColumnHeading">
    <w:name w:val="Table Column Heading"/>
    <w:basedOn w:val="TableBodyText"/>
    <w:rsid w:val="00470B45"/>
    <w:pPr>
      <w:spacing w:before="80" w:after="80"/>
    </w:pPr>
    <w:rPr>
      <w:i/>
    </w:rPr>
  </w:style>
  <w:style w:type="paragraph" w:styleId="TOC2">
    <w:name w:val="toc 2"/>
    <w:basedOn w:val="BodyText"/>
    <w:uiPriority w:val="39"/>
    <w:rsid w:val="00470B45"/>
    <w:pPr>
      <w:tabs>
        <w:tab w:val="right" w:pos="8789"/>
      </w:tabs>
      <w:ind w:left="510" w:right="851" w:hanging="510"/>
      <w:jc w:val="left"/>
    </w:pPr>
    <w:rPr>
      <w:b/>
    </w:rPr>
  </w:style>
  <w:style w:type="paragraph" w:styleId="TOC3">
    <w:name w:val="toc 3"/>
    <w:basedOn w:val="TOC2"/>
    <w:uiPriority w:val="39"/>
    <w:rsid w:val="00470B45"/>
    <w:pPr>
      <w:spacing w:before="60"/>
      <w:ind w:left="1190" w:hanging="680"/>
    </w:pPr>
    <w:rPr>
      <w:b w:val="0"/>
    </w:rPr>
  </w:style>
  <w:style w:type="paragraph" w:styleId="TableofFigures">
    <w:name w:val="table of figures"/>
    <w:basedOn w:val="TOC3"/>
    <w:next w:val="BodyText"/>
    <w:semiHidden/>
    <w:rsid w:val="00470B45"/>
    <w:pPr>
      <w:ind w:left="737" w:hanging="737"/>
    </w:pPr>
  </w:style>
  <w:style w:type="paragraph" w:customStyle="1" w:styleId="TableTitle">
    <w:name w:val="Table Title"/>
    <w:basedOn w:val="Caption"/>
    <w:next w:val="Subtitle"/>
    <w:rsid w:val="00470B45"/>
  </w:style>
  <w:style w:type="paragraph" w:customStyle="1" w:styleId="TableUnitsRow">
    <w:name w:val="Table Units Row"/>
    <w:basedOn w:val="TableBodyText"/>
    <w:rsid w:val="00470B45"/>
    <w:pPr>
      <w:spacing w:before="80" w:after="80"/>
    </w:pPr>
  </w:style>
  <w:style w:type="paragraph" w:styleId="TOC1">
    <w:name w:val="toc 1"/>
    <w:basedOn w:val="Normal"/>
    <w:next w:val="TOC2"/>
    <w:uiPriority w:val="39"/>
    <w:rsid w:val="00470B45"/>
    <w:pPr>
      <w:tabs>
        <w:tab w:val="right" w:pos="8789"/>
      </w:tabs>
      <w:spacing w:before="480" w:after="60" w:line="320" w:lineRule="exact"/>
      <w:ind w:left="1191" w:right="851" w:hanging="1191"/>
    </w:pPr>
    <w:rPr>
      <w:b/>
      <w:caps/>
    </w:rPr>
  </w:style>
  <w:style w:type="paragraph" w:styleId="TOC4">
    <w:name w:val="toc 4"/>
    <w:basedOn w:val="TOC3"/>
    <w:semiHidden/>
    <w:rsid w:val="00470B45"/>
    <w:pPr>
      <w:ind w:left="1191" w:firstLine="0"/>
    </w:pPr>
  </w:style>
  <w:style w:type="paragraph" w:customStyle="1" w:styleId="RecBBullet2">
    <w:name w:val="RecB Bullet 2"/>
    <w:basedOn w:val="ListBullet2"/>
    <w:rsid w:val="00470B45"/>
    <w:pPr>
      <w:pBdr>
        <w:left w:val="single" w:sz="24" w:space="29" w:color="C0C0C0"/>
      </w:pBdr>
    </w:pPr>
    <w:rPr>
      <w:b/>
      <w:i/>
    </w:rPr>
  </w:style>
  <w:style w:type="paragraph" w:styleId="BalloonText">
    <w:name w:val="Balloon Text"/>
    <w:basedOn w:val="Normal"/>
    <w:link w:val="BalloonTextChar"/>
    <w:rsid w:val="00470B45"/>
    <w:rPr>
      <w:rFonts w:ascii="Tahoma" w:hAnsi="Tahoma" w:cs="Tahoma"/>
      <w:sz w:val="16"/>
      <w:szCs w:val="16"/>
    </w:rPr>
  </w:style>
  <w:style w:type="character" w:customStyle="1" w:styleId="BalloonTextChar">
    <w:name w:val="Balloon Text Char"/>
    <w:basedOn w:val="DefaultParagraphFont"/>
    <w:link w:val="BalloonText"/>
    <w:rsid w:val="00470B45"/>
    <w:rPr>
      <w:rFonts w:ascii="Tahoma" w:hAnsi="Tahoma" w:cs="Tahoma"/>
      <w:sz w:val="16"/>
      <w:szCs w:val="16"/>
    </w:rPr>
  </w:style>
  <w:style w:type="character" w:customStyle="1" w:styleId="SubtitleChar">
    <w:name w:val="Subtitle Char"/>
    <w:basedOn w:val="DefaultParagraphFont"/>
    <w:link w:val="Subtitle"/>
    <w:rsid w:val="00470B45"/>
    <w:rPr>
      <w:rFonts w:ascii="Arial" w:hAnsi="Arial"/>
      <w:szCs w:val="24"/>
    </w:rPr>
  </w:style>
  <w:style w:type="paragraph" w:customStyle="1" w:styleId="BoxListBullet3">
    <w:name w:val="Box List Bullet 3"/>
    <w:basedOn w:val="ListBullet3"/>
    <w:rsid w:val="00470B45"/>
    <w:pPr>
      <w:spacing w:before="60" w:line="280" w:lineRule="atLeast"/>
      <w:ind w:left="907" w:hanging="340"/>
    </w:pPr>
    <w:rPr>
      <w:rFonts w:ascii="Arial" w:hAnsi="Arial"/>
      <w:sz w:val="22"/>
    </w:rPr>
  </w:style>
  <w:style w:type="character" w:styleId="Emphasis">
    <w:name w:val="Emphasis"/>
    <w:basedOn w:val="DefaultParagraphFont"/>
    <w:rsid w:val="00470B45"/>
    <w:rPr>
      <w:i/>
      <w:iCs/>
    </w:rPr>
  </w:style>
  <w:style w:type="character" w:customStyle="1" w:styleId="BodyTextChar2">
    <w:name w:val="Body Text Char2"/>
    <w:aliases w:val="Body Text Char1 Char,Body Text Char Char Char,Body Text Char1 Char Char Char,Body Text Char Char Char Char Char,Body Text Char1 Char Char Char Char Char,Body Text Char Char Char Char Char Char Char"/>
    <w:locked/>
    <w:rsid w:val="00F36255"/>
    <w:rPr>
      <w:color w:val="000000"/>
      <w:sz w:val="26"/>
      <w:lang w:val="en-AU" w:eastAsia="en-US" w:bidi="ar-SA"/>
    </w:rPr>
  </w:style>
  <w:style w:type="character" w:customStyle="1" w:styleId="BoxChar">
    <w:name w:val="Box Char"/>
    <w:link w:val="Box"/>
    <w:rsid w:val="00F36255"/>
    <w:rPr>
      <w:rFonts w:ascii="Arial" w:hAnsi="Arial"/>
      <w:sz w:val="22"/>
    </w:rPr>
  </w:style>
  <w:style w:type="character" w:styleId="Strong">
    <w:name w:val="Strong"/>
    <w:qFormat/>
    <w:rsid w:val="00F36255"/>
    <w:rPr>
      <w:b/>
      <w:bCs/>
    </w:rPr>
  </w:style>
  <w:style w:type="paragraph" w:customStyle="1" w:styleId="Circulartext">
    <w:name w:val="Circular text"/>
    <w:basedOn w:val="BodyText"/>
    <w:link w:val="CirculartextChar"/>
    <w:rsid w:val="00F36255"/>
    <w:pPr>
      <w:spacing w:line="240" w:lineRule="auto"/>
    </w:pPr>
    <w:rPr>
      <w:rFonts w:ascii="GoudyOlSt BT" w:hAnsi="GoudyOlSt BT"/>
      <w:sz w:val="24"/>
    </w:rPr>
  </w:style>
  <w:style w:type="character" w:customStyle="1" w:styleId="CirculartextChar">
    <w:name w:val="Circular text Char"/>
    <w:link w:val="Circulartext"/>
    <w:locked/>
    <w:rsid w:val="00F36255"/>
    <w:rPr>
      <w:rFonts w:ascii="GoudyOlSt BT" w:hAnsi="GoudyOlSt BT"/>
      <w:sz w:val="24"/>
    </w:rPr>
  </w:style>
  <w:style w:type="character" w:customStyle="1" w:styleId="BodyTextChar">
    <w:name w:val="Body Text Char"/>
    <w:aliases w:val="Body Text Char1 Char1,Body Text Char Char Char1,Body Text Char1 Char Char Char1,Body Text Char Char Char Char Char1,Body Text Char1 Char Char Char Char Char1,Body Text Char Char Char Char Char Char Char1,Body Text1 Char"/>
    <w:link w:val="BodyText"/>
    <w:locked/>
    <w:rsid w:val="007F531B"/>
    <w:rPr>
      <w:sz w:val="26"/>
    </w:rPr>
  </w:style>
  <w:style w:type="table" w:styleId="TableGrid">
    <w:name w:val="Table Grid"/>
    <w:basedOn w:val="TableNormal"/>
    <w:rsid w:val="00F362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semiHidden/>
    <w:rsid w:val="00F36255"/>
    <w:rPr>
      <w:szCs w:val="24"/>
    </w:rPr>
  </w:style>
  <w:style w:type="character" w:customStyle="1" w:styleId="Heading2Char">
    <w:name w:val="Heading 2 Char"/>
    <w:link w:val="Heading2"/>
    <w:rsid w:val="007F531B"/>
    <w:rPr>
      <w:rFonts w:ascii="Arial" w:hAnsi="Arial"/>
      <w:b/>
      <w:sz w:val="32"/>
    </w:rPr>
  </w:style>
  <w:style w:type="character" w:customStyle="1" w:styleId="Heading3Char">
    <w:name w:val="Heading 3 Char"/>
    <w:link w:val="Heading3"/>
    <w:rsid w:val="007F531B"/>
    <w:rPr>
      <w:rFonts w:ascii="Arial" w:hAnsi="Arial"/>
      <w:b/>
      <w:sz w:val="26"/>
    </w:rPr>
  </w:style>
  <w:style w:type="character" w:customStyle="1" w:styleId="Heading4Char">
    <w:name w:val="Heading 4 Char"/>
    <w:link w:val="Heading4"/>
    <w:rsid w:val="007F531B"/>
    <w:rPr>
      <w:rFonts w:ascii="Arial" w:hAnsi="Arial"/>
      <w:i/>
      <w:sz w:val="24"/>
    </w:rPr>
  </w:style>
  <w:style w:type="character" w:customStyle="1" w:styleId="Heading5Char">
    <w:name w:val="Heading 5 Char"/>
    <w:basedOn w:val="DefaultParagraphFont"/>
    <w:link w:val="Heading5"/>
    <w:rsid w:val="007F531B"/>
    <w:rPr>
      <w:i/>
      <w:sz w:val="26"/>
    </w:rPr>
  </w:style>
  <w:style w:type="character" w:customStyle="1" w:styleId="QuoteChar">
    <w:name w:val="Quote Char"/>
    <w:basedOn w:val="DefaultParagraphFont"/>
    <w:link w:val="Quote"/>
    <w:rsid w:val="007F531B"/>
    <w:rPr>
      <w:sz w:val="24"/>
    </w:rPr>
  </w:style>
  <w:style w:type="character" w:customStyle="1" w:styleId="FootnoteTextChar">
    <w:name w:val="Footnote Text Char"/>
    <w:basedOn w:val="DefaultParagraphFont"/>
    <w:link w:val="FootnoteText"/>
    <w:rsid w:val="00F36255"/>
    <w:rPr>
      <w:sz w:val="22"/>
    </w:rPr>
  </w:style>
  <w:style w:type="character" w:styleId="Hyperlink">
    <w:name w:val="Hyperlink"/>
    <w:basedOn w:val="DefaultParagraphFont"/>
    <w:uiPriority w:val="99"/>
    <w:rsid w:val="00F36255"/>
    <w:rPr>
      <w:color w:val="0000FF" w:themeColor="hyperlink"/>
      <w:u w:val="single"/>
    </w:rPr>
  </w:style>
  <w:style w:type="paragraph" w:customStyle="1" w:styleId="BoxQuoteBullet">
    <w:name w:val="Box Quote Bullet"/>
    <w:basedOn w:val="BoxQuote"/>
    <w:next w:val="Box"/>
    <w:rsid w:val="00FB7014"/>
    <w:pPr>
      <w:numPr>
        <w:numId w:val="15"/>
      </w:numPr>
      <w:ind w:left="568" w:hanging="284"/>
    </w:pPr>
  </w:style>
  <w:style w:type="paragraph" w:customStyle="1" w:styleId="InformationRequestBullet">
    <w:name w:val="Information Request Bullet"/>
    <w:basedOn w:val="ListBullet"/>
    <w:next w:val="BodyText"/>
    <w:rsid w:val="00FB7014"/>
    <w:pPr>
      <w:numPr>
        <w:numId w:val="16"/>
      </w:numPr>
    </w:pPr>
    <w:rPr>
      <w:rFonts w:ascii="Arial" w:hAnsi="Arial"/>
      <w:i/>
      <w:sz w:val="24"/>
    </w:rPr>
  </w:style>
  <w:style w:type="paragraph" w:styleId="TOCHeading">
    <w:name w:val="TOC Heading"/>
    <w:basedOn w:val="Heading1"/>
    <w:next w:val="Normal"/>
    <w:uiPriority w:val="39"/>
    <w:semiHidden/>
    <w:unhideWhenUsed/>
    <w:qFormat/>
    <w:rsid w:val="00852EDD"/>
    <w:pPr>
      <w:keepLines/>
      <w:spacing w:before="480" w:after="0" w:line="276" w:lineRule="auto"/>
      <w:ind w:left="0" w:firstLine="0"/>
      <w:outlineLvl w:val="9"/>
    </w:pPr>
    <w:rPr>
      <w:rFonts w:asciiTheme="majorHAnsi" w:eastAsiaTheme="majorEastAsia" w:hAnsiTheme="majorHAnsi" w:cstheme="majorBidi"/>
      <w:b/>
      <w:bCs/>
      <w:color w:val="365F91" w:themeColor="accent1" w:themeShade="BF"/>
      <w:sz w:val="28"/>
      <w:szCs w:val="28"/>
      <w:lang w:val="en-US" w:eastAsia="ja-JP"/>
    </w:rPr>
  </w:style>
  <w:style w:type="paragraph" w:styleId="CommentSubject">
    <w:name w:val="annotation subject"/>
    <w:basedOn w:val="CommentText"/>
    <w:next w:val="CommentText"/>
    <w:link w:val="CommentSubjectChar"/>
    <w:rsid w:val="0009368F"/>
    <w:pPr>
      <w:spacing w:before="0" w:line="240" w:lineRule="auto"/>
      <w:ind w:left="0" w:firstLine="0"/>
    </w:pPr>
    <w:rPr>
      <w:b/>
      <w:bCs/>
      <w:szCs w:val="20"/>
    </w:rPr>
  </w:style>
  <w:style w:type="character" w:customStyle="1" w:styleId="CommentSubjectChar">
    <w:name w:val="Comment Subject Char"/>
    <w:basedOn w:val="CommentTextChar"/>
    <w:link w:val="CommentSubject"/>
    <w:rsid w:val="0009368F"/>
    <w:rPr>
      <w:b/>
      <w:bCs/>
      <w:szCs w:val="24"/>
    </w:rPr>
  </w:style>
  <w:style w:type="paragraph" w:styleId="PlainText">
    <w:name w:val="Plain Text"/>
    <w:basedOn w:val="Normal"/>
    <w:link w:val="PlainTextChar"/>
    <w:uiPriority w:val="99"/>
    <w:unhideWhenUsed/>
    <w:rsid w:val="008F44BC"/>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rsid w:val="008F44BC"/>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800355">
      <w:bodyDiv w:val="1"/>
      <w:marLeft w:val="0"/>
      <w:marRight w:val="0"/>
      <w:marTop w:val="0"/>
      <w:marBottom w:val="0"/>
      <w:divBdr>
        <w:top w:val="none" w:sz="0" w:space="0" w:color="auto"/>
        <w:left w:val="none" w:sz="0" w:space="0" w:color="auto"/>
        <w:bottom w:val="none" w:sz="0" w:space="0" w:color="auto"/>
        <w:right w:val="none" w:sz="0" w:space="0" w:color="auto"/>
      </w:divBdr>
    </w:div>
    <w:div w:id="600912649">
      <w:bodyDiv w:val="1"/>
      <w:marLeft w:val="0"/>
      <w:marRight w:val="0"/>
      <w:marTop w:val="0"/>
      <w:marBottom w:val="0"/>
      <w:divBdr>
        <w:top w:val="none" w:sz="0" w:space="0" w:color="auto"/>
        <w:left w:val="none" w:sz="0" w:space="0" w:color="auto"/>
        <w:bottom w:val="none" w:sz="0" w:space="0" w:color="auto"/>
        <w:right w:val="none" w:sz="0" w:space="0" w:color="auto"/>
      </w:divBdr>
    </w:div>
    <w:div w:id="628436880">
      <w:bodyDiv w:val="1"/>
      <w:marLeft w:val="0"/>
      <w:marRight w:val="0"/>
      <w:marTop w:val="0"/>
      <w:marBottom w:val="0"/>
      <w:divBdr>
        <w:top w:val="none" w:sz="0" w:space="0" w:color="auto"/>
        <w:left w:val="none" w:sz="0" w:space="0" w:color="auto"/>
        <w:bottom w:val="none" w:sz="0" w:space="0" w:color="auto"/>
        <w:right w:val="none" w:sz="0" w:space="0" w:color="auto"/>
      </w:divBdr>
      <w:divsChild>
        <w:div w:id="2097628260">
          <w:marLeft w:val="0"/>
          <w:marRight w:val="0"/>
          <w:marTop w:val="240"/>
          <w:marBottom w:val="0"/>
          <w:divBdr>
            <w:top w:val="none" w:sz="0" w:space="0" w:color="auto"/>
            <w:left w:val="none" w:sz="0" w:space="0" w:color="auto"/>
            <w:bottom w:val="none" w:sz="0" w:space="0" w:color="auto"/>
            <w:right w:val="none" w:sz="0" w:space="0" w:color="auto"/>
          </w:divBdr>
        </w:div>
        <w:div w:id="1307709963">
          <w:marLeft w:val="0"/>
          <w:marRight w:val="0"/>
          <w:marTop w:val="180"/>
          <w:marBottom w:val="0"/>
          <w:divBdr>
            <w:top w:val="none" w:sz="0" w:space="0" w:color="auto"/>
            <w:left w:val="none" w:sz="0" w:space="0" w:color="auto"/>
            <w:bottom w:val="none" w:sz="0" w:space="0" w:color="auto"/>
            <w:right w:val="none" w:sz="0" w:space="0" w:color="auto"/>
          </w:divBdr>
        </w:div>
        <w:div w:id="950815595">
          <w:marLeft w:val="0"/>
          <w:marRight w:val="0"/>
          <w:marTop w:val="240"/>
          <w:marBottom w:val="0"/>
          <w:divBdr>
            <w:top w:val="none" w:sz="0" w:space="0" w:color="auto"/>
            <w:left w:val="none" w:sz="0" w:space="0" w:color="auto"/>
            <w:bottom w:val="none" w:sz="0" w:space="0" w:color="auto"/>
            <w:right w:val="none" w:sz="0" w:space="0" w:color="auto"/>
          </w:divBdr>
        </w:div>
        <w:div w:id="1749812620">
          <w:marLeft w:val="0"/>
          <w:marRight w:val="0"/>
          <w:marTop w:val="180"/>
          <w:marBottom w:val="0"/>
          <w:divBdr>
            <w:top w:val="none" w:sz="0" w:space="0" w:color="auto"/>
            <w:left w:val="none" w:sz="0" w:space="0" w:color="auto"/>
            <w:bottom w:val="none" w:sz="0" w:space="0" w:color="auto"/>
            <w:right w:val="none" w:sz="0" w:space="0" w:color="auto"/>
          </w:divBdr>
        </w:div>
        <w:div w:id="2056655929">
          <w:marLeft w:val="0"/>
          <w:marRight w:val="0"/>
          <w:marTop w:val="180"/>
          <w:marBottom w:val="0"/>
          <w:divBdr>
            <w:top w:val="none" w:sz="0" w:space="0" w:color="auto"/>
            <w:left w:val="none" w:sz="0" w:space="0" w:color="auto"/>
            <w:bottom w:val="none" w:sz="0" w:space="0" w:color="auto"/>
            <w:right w:val="none" w:sz="0" w:space="0" w:color="auto"/>
          </w:divBdr>
        </w:div>
        <w:div w:id="1536309453">
          <w:marLeft w:val="0"/>
          <w:marRight w:val="0"/>
          <w:marTop w:val="240"/>
          <w:marBottom w:val="0"/>
          <w:divBdr>
            <w:top w:val="none" w:sz="0" w:space="0" w:color="auto"/>
            <w:left w:val="none" w:sz="0" w:space="0" w:color="auto"/>
            <w:bottom w:val="none" w:sz="0" w:space="0" w:color="auto"/>
            <w:right w:val="none" w:sz="0" w:space="0" w:color="auto"/>
          </w:divBdr>
        </w:div>
        <w:div w:id="969092929">
          <w:marLeft w:val="0"/>
          <w:marRight w:val="0"/>
          <w:marTop w:val="180"/>
          <w:marBottom w:val="0"/>
          <w:divBdr>
            <w:top w:val="none" w:sz="0" w:space="0" w:color="auto"/>
            <w:left w:val="none" w:sz="0" w:space="0" w:color="auto"/>
            <w:bottom w:val="none" w:sz="0" w:space="0" w:color="auto"/>
            <w:right w:val="none" w:sz="0" w:space="0" w:color="auto"/>
          </w:divBdr>
        </w:div>
        <w:div w:id="1314918104">
          <w:marLeft w:val="0"/>
          <w:marRight w:val="0"/>
          <w:marTop w:val="240"/>
          <w:marBottom w:val="0"/>
          <w:divBdr>
            <w:top w:val="none" w:sz="0" w:space="0" w:color="auto"/>
            <w:left w:val="none" w:sz="0" w:space="0" w:color="auto"/>
            <w:bottom w:val="none" w:sz="0" w:space="0" w:color="auto"/>
            <w:right w:val="none" w:sz="0" w:space="0" w:color="auto"/>
          </w:divBdr>
        </w:div>
        <w:div w:id="1925452549">
          <w:marLeft w:val="0"/>
          <w:marRight w:val="0"/>
          <w:marTop w:val="180"/>
          <w:marBottom w:val="0"/>
          <w:divBdr>
            <w:top w:val="none" w:sz="0" w:space="0" w:color="auto"/>
            <w:left w:val="none" w:sz="0" w:space="0" w:color="auto"/>
            <w:bottom w:val="none" w:sz="0" w:space="0" w:color="auto"/>
            <w:right w:val="none" w:sz="0" w:space="0" w:color="auto"/>
          </w:divBdr>
        </w:div>
        <w:div w:id="902564986">
          <w:marLeft w:val="0"/>
          <w:marRight w:val="0"/>
          <w:marTop w:val="180"/>
          <w:marBottom w:val="0"/>
          <w:divBdr>
            <w:top w:val="none" w:sz="0" w:space="0" w:color="auto"/>
            <w:left w:val="none" w:sz="0" w:space="0" w:color="auto"/>
            <w:bottom w:val="none" w:sz="0" w:space="0" w:color="auto"/>
            <w:right w:val="none" w:sz="0" w:space="0" w:color="auto"/>
          </w:divBdr>
        </w:div>
      </w:divsChild>
    </w:div>
    <w:div w:id="838737422">
      <w:bodyDiv w:val="1"/>
      <w:marLeft w:val="0"/>
      <w:marRight w:val="0"/>
      <w:marTop w:val="0"/>
      <w:marBottom w:val="0"/>
      <w:divBdr>
        <w:top w:val="none" w:sz="0" w:space="0" w:color="auto"/>
        <w:left w:val="none" w:sz="0" w:space="0" w:color="auto"/>
        <w:bottom w:val="none" w:sz="0" w:space="0" w:color="auto"/>
        <w:right w:val="none" w:sz="0" w:space="0" w:color="auto"/>
      </w:divBdr>
    </w:div>
    <w:div w:id="1019820359">
      <w:bodyDiv w:val="1"/>
      <w:marLeft w:val="0"/>
      <w:marRight w:val="0"/>
      <w:marTop w:val="0"/>
      <w:marBottom w:val="0"/>
      <w:divBdr>
        <w:top w:val="none" w:sz="0" w:space="0" w:color="auto"/>
        <w:left w:val="none" w:sz="0" w:space="0" w:color="auto"/>
        <w:bottom w:val="none" w:sz="0" w:space="0" w:color="auto"/>
        <w:right w:val="none" w:sz="0" w:space="0" w:color="auto"/>
      </w:divBdr>
    </w:div>
    <w:div w:id="1132288969">
      <w:bodyDiv w:val="1"/>
      <w:marLeft w:val="0"/>
      <w:marRight w:val="0"/>
      <w:marTop w:val="0"/>
      <w:marBottom w:val="0"/>
      <w:divBdr>
        <w:top w:val="none" w:sz="0" w:space="0" w:color="auto"/>
        <w:left w:val="none" w:sz="0" w:space="0" w:color="auto"/>
        <w:bottom w:val="none" w:sz="0" w:space="0" w:color="auto"/>
        <w:right w:val="none" w:sz="0" w:space="0" w:color="auto"/>
      </w:divBdr>
    </w:div>
    <w:div w:id="1599368798">
      <w:bodyDiv w:val="1"/>
      <w:marLeft w:val="0"/>
      <w:marRight w:val="0"/>
      <w:marTop w:val="0"/>
      <w:marBottom w:val="0"/>
      <w:divBdr>
        <w:top w:val="none" w:sz="0" w:space="0" w:color="auto"/>
        <w:left w:val="none" w:sz="0" w:space="0" w:color="auto"/>
        <w:bottom w:val="none" w:sz="0" w:space="0" w:color="auto"/>
        <w:right w:val="none" w:sz="0" w:space="0" w:color="auto"/>
      </w:divBdr>
    </w:div>
    <w:div w:id="1885286127">
      <w:bodyDiv w:val="1"/>
      <w:marLeft w:val="0"/>
      <w:marRight w:val="0"/>
      <w:marTop w:val="0"/>
      <w:marBottom w:val="0"/>
      <w:divBdr>
        <w:top w:val="none" w:sz="0" w:space="0" w:color="auto"/>
        <w:left w:val="none" w:sz="0" w:space="0" w:color="auto"/>
        <w:bottom w:val="none" w:sz="0" w:space="0" w:color="auto"/>
        <w:right w:val="none" w:sz="0" w:space="0" w:color="auto"/>
      </w:divBdr>
    </w:div>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 w:id="199140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4B7E8-B37F-47DC-994B-E68BC766F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chapter.dotm</Template>
  <TotalTime>398</TotalTime>
  <Pages>24</Pages>
  <Words>6040</Words>
  <Characters>37182</Characters>
  <Application>Microsoft Office Word</Application>
  <DocSecurity>0</DocSecurity>
  <Lines>309</Lines>
  <Paragraphs>86</Paragraphs>
  <ScaleCrop>false</ScaleCrop>
  <HeadingPairs>
    <vt:vector size="2" baseType="variant">
      <vt:variant>
        <vt:lpstr>Title</vt:lpstr>
      </vt:variant>
      <vt:variant>
        <vt:i4>1</vt:i4>
      </vt:variant>
    </vt:vector>
  </HeadingPairs>
  <TitlesOfParts>
    <vt:vector size="1" baseType="lpstr">
      <vt:lpstr>Chapter</vt:lpstr>
    </vt:vector>
  </TitlesOfParts>
  <Company>Productivity Commission</Company>
  <LinksUpToDate>false</LinksUpToDate>
  <CharactersWithSpaces>43136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dc:title>
  <dc:subject>Electricity network regulation</dc:subject>
  <dc:creator>Productivity Commission</dc:creator>
  <cp:keywords/>
  <dc:description>1.</dc:description>
  <cp:lastModifiedBy>Productivity Commission</cp:lastModifiedBy>
  <cp:revision>131</cp:revision>
  <cp:lastPrinted>2012-10-10T16:52:00Z</cp:lastPrinted>
  <dcterms:created xsi:type="dcterms:W3CDTF">2012-10-02T01:48:00Z</dcterms:created>
  <dcterms:modified xsi:type="dcterms:W3CDTF">2012-10-14T22:23:00Z</dcterms:modified>
</cp:coreProperties>
</file>